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1AFFF6">
      <w:pPr>
        <w:adjustRightInd w:val="0"/>
        <w:snapToGrid w:val="0"/>
        <w:jc w:val="center"/>
        <w:rPr>
          <w:rFonts w:hint="default" w:ascii="Times New Roman" w:hAnsi="Times New Roman" w:eastAsia="方正小标宋_GBK" w:cs="Times New Roman"/>
          <w:bCs/>
          <w:color w:val="auto"/>
          <w:sz w:val="72"/>
          <w:szCs w:val="72"/>
          <w:highlight w:val="none"/>
          <w:lang w:val="en-US" w:eastAsia="zh-CN"/>
        </w:rPr>
      </w:pPr>
      <w:r>
        <w:rPr>
          <w:rFonts w:hint="eastAsia" w:eastAsia="方正小标宋_GBK" w:cs="Times New Roman"/>
          <w:bCs/>
          <w:color w:val="auto"/>
          <w:sz w:val="72"/>
          <w:szCs w:val="72"/>
          <w:highlight w:val="none"/>
          <w:lang w:val="en-US" w:eastAsia="zh-CN"/>
        </w:rPr>
        <w:t xml:space="preserve"> </w:t>
      </w:r>
    </w:p>
    <w:p w14:paraId="2FE470FE">
      <w:pPr>
        <w:adjustRightInd w:val="0"/>
        <w:snapToGrid w:val="0"/>
        <w:jc w:val="center"/>
        <w:rPr>
          <w:rFonts w:hint="default" w:ascii="Times New Roman" w:hAnsi="Times New Roman" w:eastAsia="方正小标宋_GBK" w:cs="Times New Roman"/>
          <w:bCs/>
          <w:color w:val="auto"/>
          <w:sz w:val="72"/>
          <w:szCs w:val="72"/>
          <w:highlight w:val="none"/>
          <w:lang w:eastAsia="zh-CN"/>
        </w:rPr>
      </w:pPr>
    </w:p>
    <w:p w14:paraId="026E4F13">
      <w:pPr>
        <w:adjustRightInd w:val="0"/>
        <w:snapToGrid w:val="0"/>
        <w:jc w:val="center"/>
        <w:rPr>
          <w:rFonts w:hint="default" w:ascii="Times New Roman" w:hAnsi="Times New Roman" w:eastAsia="方正小标宋_GBK" w:cs="Times New Roman"/>
          <w:bCs/>
          <w:color w:val="auto"/>
          <w:sz w:val="72"/>
          <w:szCs w:val="72"/>
          <w:highlight w:val="none"/>
        </w:rPr>
      </w:pPr>
      <w:r>
        <w:rPr>
          <w:rFonts w:hint="default" w:ascii="Times New Roman" w:hAnsi="Times New Roman" w:eastAsia="方正小标宋_GBK" w:cs="Times New Roman"/>
          <w:bCs/>
          <w:color w:val="auto"/>
          <w:sz w:val="72"/>
          <w:szCs w:val="72"/>
          <w:highlight w:val="none"/>
        </w:rPr>
        <w:t>建设项目环境影响报告表</w:t>
      </w:r>
    </w:p>
    <w:p w14:paraId="77640C67">
      <w:pPr>
        <w:adjustRightInd w:val="0"/>
        <w:snapToGrid w:val="0"/>
        <w:spacing w:beforeLines="80"/>
        <w:jc w:val="center"/>
        <w:rPr>
          <w:rFonts w:hint="default" w:ascii="Times New Roman" w:hAnsi="Times New Roman" w:eastAsia="楷体_GB2312" w:cs="Times New Roman"/>
          <w:bCs/>
          <w:color w:val="auto"/>
          <w:sz w:val="48"/>
          <w:szCs w:val="48"/>
          <w:highlight w:val="none"/>
        </w:rPr>
      </w:pPr>
      <w:r>
        <w:rPr>
          <w:rFonts w:hint="default" w:ascii="Times New Roman" w:hAnsi="Times New Roman" w:eastAsia="楷体_GB2312" w:cs="Times New Roman"/>
          <w:bCs/>
          <w:color w:val="auto"/>
          <w:sz w:val="48"/>
          <w:szCs w:val="48"/>
          <w:highlight w:val="none"/>
        </w:rPr>
        <w:t>（污染影响类）</w:t>
      </w:r>
    </w:p>
    <w:p w14:paraId="3B79B6AF">
      <w:pPr>
        <w:adjustRightInd w:val="0"/>
        <w:snapToGrid w:val="0"/>
        <w:spacing w:line="288" w:lineRule="auto"/>
        <w:jc w:val="center"/>
        <w:rPr>
          <w:rFonts w:hint="default" w:ascii="Times New Roman" w:hAnsi="Times New Roman" w:eastAsia="华文仿宋" w:cs="Times New Roman"/>
          <w:color w:val="auto"/>
          <w:kern w:val="44"/>
          <w:sz w:val="44"/>
          <w:szCs w:val="44"/>
          <w:highlight w:val="none"/>
        </w:rPr>
      </w:pPr>
    </w:p>
    <w:p w14:paraId="5FAB53B8">
      <w:pPr>
        <w:jc w:val="center"/>
        <w:rPr>
          <w:rFonts w:hint="default" w:ascii="Times New Roman" w:hAnsi="Times New Roman" w:eastAsia="仿宋" w:cs="Times New Roman"/>
          <w:color w:val="auto"/>
          <w:sz w:val="52"/>
          <w:szCs w:val="52"/>
          <w:highlight w:val="none"/>
        </w:rPr>
      </w:pPr>
    </w:p>
    <w:p w14:paraId="73A398C6">
      <w:pPr>
        <w:rPr>
          <w:rFonts w:hint="default" w:ascii="Times New Roman" w:hAnsi="Times New Roman" w:eastAsia="仿宋" w:cs="Times New Roman"/>
          <w:color w:val="auto"/>
          <w:sz w:val="44"/>
          <w:szCs w:val="44"/>
          <w:highlight w:val="none"/>
        </w:rPr>
      </w:pPr>
    </w:p>
    <w:p w14:paraId="6511B589">
      <w:pPr>
        <w:pStyle w:val="2"/>
        <w:rPr>
          <w:rFonts w:hint="default" w:ascii="Times New Roman" w:hAnsi="Times New Roman" w:eastAsia="仿宋" w:cs="Times New Roman"/>
          <w:color w:val="auto"/>
          <w:sz w:val="44"/>
          <w:szCs w:val="44"/>
          <w:highlight w:val="none"/>
        </w:rPr>
      </w:pPr>
    </w:p>
    <w:p w14:paraId="634F3486">
      <w:pPr>
        <w:pStyle w:val="21"/>
        <w:rPr>
          <w:rFonts w:hint="default" w:ascii="Times New Roman" w:hAnsi="Times New Roman" w:eastAsia="仿宋" w:cs="Times New Roman"/>
          <w:color w:val="auto"/>
          <w:sz w:val="44"/>
          <w:szCs w:val="44"/>
          <w:highlight w:val="none"/>
        </w:rPr>
      </w:pPr>
    </w:p>
    <w:p w14:paraId="3249D961">
      <w:pPr>
        <w:rPr>
          <w:rFonts w:hint="default" w:ascii="Times New Roman" w:hAnsi="Times New Roman" w:eastAsia="仿宋" w:cs="Times New Roman"/>
          <w:color w:val="auto"/>
          <w:sz w:val="44"/>
          <w:szCs w:val="44"/>
          <w:highlight w:val="none"/>
        </w:rPr>
      </w:pPr>
    </w:p>
    <w:p w14:paraId="3E5F1A26">
      <w:pPr>
        <w:adjustRightInd w:val="0"/>
        <w:snapToGrid w:val="0"/>
        <w:spacing w:line="360" w:lineRule="auto"/>
        <w:ind w:left="1800" w:hanging="1800" w:hangingChars="500"/>
        <w:rPr>
          <w:rFonts w:hint="default" w:ascii="Times New Roman" w:hAnsi="Times New Roman" w:eastAsia="仿宋_GB2312" w:cs="Times New Roman"/>
          <w:color w:val="auto"/>
          <w:sz w:val="36"/>
          <w:szCs w:val="36"/>
          <w:highlight w:val="none"/>
          <w:u w:val="single"/>
          <w:lang w:val="en-US" w:eastAsia="zh-CN"/>
        </w:rPr>
      </w:pPr>
      <w:bookmarkStart w:id="0" w:name="_Hlk57884087"/>
      <w:r>
        <w:rPr>
          <w:rFonts w:hint="default" w:ascii="Times New Roman" w:hAnsi="Times New Roman" w:eastAsia="仿宋_GB2312" w:cs="Times New Roman"/>
          <w:color w:val="auto"/>
          <w:sz w:val="36"/>
          <w:szCs w:val="36"/>
          <w:highlight w:val="none"/>
        </w:rPr>
        <w:t>项目名称：</w:t>
      </w:r>
      <w:r>
        <w:rPr>
          <w:rFonts w:hint="default" w:ascii="Times New Roman" w:hAnsi="Times New Roman" w:eastAsia="仿宋_GB2312" w:cs="Times New Roman"/>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lang w:eastAsia="zh-CN"/>
        </w:rPr>
        <w:t>钢制边框复合隔墙板及砂浆</w:t>
      </w:r>
      <w:r>
        <w:rPr>
          <w:rFonts w:hint="default" w:ascii="Times New Roman" w:hAnsi="Times New Roman" w:eastAsia="仿宋_GB2312" w:cs="Times New Roman"/>
          <w:color w:val="auto"/>
          <w:sz w:val="36"/>
          <w:szCs w:val="36"/>
          <w:highlight w:val="none"/>
          <w:u w:val="single"/>
          <w:lang w:val="en-US" w:eastAsia="zh-CN"/>
        </w:rPr>
        <w:t>生产</w:t>
      </w:r>
      <w:r>
        <w:rPr>
          <w:rFonts w:hint="default" w:ascii="Times New Roman" w:hAnsi="Times New Roman" w:eastAsia="仿宋_GB2312" w:cs="Times New Roman"/>
          <w:color w:val="auto"/>
          <w:sz w:val="36"/>
          <w:szCs w:val="36"/>
          <w:highlight w:val="none"/>
          <w:u w:val="single"/>
          <w:lang w:eastAsia="zh-CN"/>
        </w:rPr>
        <w:t>项目</w:t>
      </w:r>
      <w:r>
        <w:rPr>
          <w:rFonts w:hint="default" w:ascii="Times New Roman" w:hAnsi="Times New Roman" w:eastAsia="仿宋_GB2312" w:cs="Times New Roman"/>
          <w:color w:val="auto"/>
          <w:sz w:val="36"/>
          <w:szCs w:val="36"/>
          <w:highlight w:val="none"/>
          <w:u w:val="single"/>
        </w:rPr>
        <w:t xml:space="preserve">    </w:t>
      </w:r>
    </w:p>
    <w:p w14:paraId="41F18DF3">
      <w:pPr>
        <w:adjustRightInd w:val="0"/>
        <w:snapToGrid w:val="0"/>
        <w:spacing w:line="360" w:lineRule="auto"/>
        <w:rPr>
          <w:rFonts w:hint="default" w:ascii="Times New Roman" w:hAnsi="Times New Roman" w:eastAsia="仿宋_GB2312" w:cs="Times New Roman"/>
          <w:color w:val="auto"/>
          <w:sz w:val="36"/>
          <w:szCs w:val="36"/>
          <w:highlight w:val="none"/>
        </w:rPr>
      </w:pPr>
      <w:r>
        <w:rPr>
          <w:rFonts w:hint="default" w:ascii="Times New Roman" w:hAnsi="Times New Roman" w:eastAsia="仿宋_GB2312" w:cs="Times New Roman"/>
          <w:color w:val="auto"/>
          <w:sz w:val="36"/>
          <w:szCs w:val="36"/>
          <w:highlight w:val="none"/>
        </w:rPr>
        <w:t>建设单位（盖章）：</w:t>
      </w:r>
      <w:r>
        <w:rPr>
          <w:rFonts w:hint="default" w:ascii="Times New Roman" w:hAnsi="Times New Roman" w:eastAsia="仿宋_GB2312" w:cs="Times New Roman"/>
          <w:color w:val="auto"/>
          <w:sz w:val="36"/>
          <w:szCs w:val="36"/>
          <w:highlight w:val="none"/>
          <w:u w:val="single"/>
        </w:rPr>
        <w:t xml:space="preserve">  </w:t>
      </w:r>
      <w:r>
        <w:rPr>
          <w:rFonts w:hint="default" w:ascii="Times New Roman" w:hAnsi="Times New Roman" w:eastAsia="仿宋_GB2312" w:cs="Times New Roman"/>
          <w:color w:val="auto"/>
          <w:sz w:val="36"/>
          <w:szCs w:val="36"/>
          <w:highlight w:val="none"/>
          <w:u w:val="single"/>
          <w:lang w:eastAsia="zh-CN"/>
        </w:rPr>
        <w:t>河北鑫山建材有限公司</w:t>
      </w:r>
      <w:r>
        <w:rPr>
          <w:rFonts w:hint="default" w:ascii="Times New Roman" w:hAnsi="Times New Roman" w:eastAsia="仿宋_GB2312" w:cs="Times New Roman"/>
          <w:color w:val="auto"/>
          <w:sz w:val="36"/>
          <w:szCs w:val="36"/>
          <w:highlight w:val="none"/>
          <w:u w:val="single"/>
        </w:rPr>
        <w:t xml:space="preserve">          </w:t>
      </w:r>
    </w:p>
    <w:p w14:paraId="52AEB264">
      <w:pPr>
        <w:adjustRightInd w:val="0"/>
        <w:snapToGrid w:val="0"/>
        <w:spacing w:line="360" w:lineRule="auto"/>
        <w:rPr>
          <w:rFonts w:hint="default" w:ascii="Times New Roman" w:hAnsi="Times New Roman" w:eastAsia="仿宋_GB2312" w:cs="Times New Roman"/>
          <w:color w:val="auto"/>
          <w:sz w:val="36"/>
          <w:szCs w:val="36"/>
          <w:highlight w:val="none"/>
          <w:u w:val="single"/>
        </w:rPr>
      </w:pPr>
      <w:r>
        <w:rPr>
          <w:rFonts w:hint="default" w:ascii="Times New Roman" w:hAnsi="Times New Roman" w:eastAsia="仿宋_GB2312" w:cs="Times New Roman"/>
          <w:color w:val="auto"/>
          <w:sz w:val="36"/>
          <w:szCs w:val="36"/>
          <w:highlight w:val="none"/>
        </w:rPr>
        <w:t>编制日期：</w:t>
      </w:r>
      <w:r>
        <w:rPr>
          <w:rFonts w:hint="default" w:ascii="Times New Roman" w:hAnsi="Times New Roman" w:eastAsia="仿宋_GB2312" w:cs="Times New Roman"/>
          <w:color w:val="auto"/>
          <w:sz w:val="36"/>
          <w:szCs w:val="36"/>
          <w:highlight w:val="none"/>
          <w:u w:val="single"/>
        </w:rPr>
        <w:t xml:space="preserve">               202</w:t>
      </w:r>
      <w:r>
        <w:rPr>
          <w:rFonts w:hint="default" w:ascii="Times New Roman" w:hAnsi="Times New Roman" w:eastAsia="仿宋_GB2312" w:cs="Times New Roman"/>
          <w:color w:val="auto"/>
          <w:sz w:val="36"/>
          <w:szCs w:val="36"/>
          <w:highlight w:val="none"/>
          <w:u w:val="single"/>
          <w:lang w:val="en-US" w:eastAsia="zh-CN"/>
        </w:rPr>
        <w:t>5</w:t>
      </w:r>
      <w:r>
        <w:rPr>
          <w:rFonts w:hint="default" w:ascii="Times New Roman" w:hAnsi="Times New Roman" w:eastAsia="仿宋_GB2312" w:cs="Times New Roman"/>
          <w:color w:val="auto"/>
          <w:sz w:val="36"/>
          <w:szCs w:val="36"/>
          <w:highlight w:val="none"/>
          <w:u w:val="single"/>
        </w:rPr>
        <w:t>年</w:t>
      </w:r>
      <w:r>
        <w:rPr>
          <w:rFonts w:hint="default" w:ascii="Times New Roman" w:hAnsi="Times New Roman" w:eastAsia="仿宋_GB2312" w:cs="Times New Roman"/>
          <w:color w:val="auto"/>
          <w:sz w:val="36"/>
          <w:szCs w:val="36"/>
          <w:highlight w:val="none"/>
          <w:u w:val="single"/>
          <w:lang w:val="en-US" w:eastAsia="zh-CN"/>
        </w:rPr>
        <w:t>12</w:t>
      </w:r>
      <w:r>
        <w:rPr>
          <w:rFonts w:hint="default" w:ascii="Times New Roman" w:hAnsi="Times New Roman" w:eastAsia="仿宋_GB2312" w:cs="Times New Roman"/>
          <w:color w:val="auto"/>
          <w:sz w:val="36"/>
          <w:szCs w:val="36"/>
          <w:highlight w:val="none"/>
          <w:u w:val="single"/>
        </w:rPr>
        <w:t xml:space="preserve">月              </w:t>
      </w:r>
    </w:p>
    <w:p w14:paraId="1FA70236">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14:paraId="271BC999">
      <w:pPr>
        <w:adjustRightInd w:val="0"/>
        <w:snapToGrid w:val="0"/>
        <w:spacing w:line="288" w:lineRule="auto"/>
        <w:rPr>
          <w:rFonts w:hint="default" w:ascii="Times New Roman" w:hAnsi="Times New Roman" w:eastAsia="仿宋_GB2312" w:cs="Times New Roman"/>
          <w:color w:val="auto"/>
          <w:sz w:val="36"/>
          <w:szCs w:val="36"/>
          <w:highlight w:val="none"/>
        </w:rPr>
      </w:pPr>
    </w:p>
    <w:p w14:paraId="6BFFD04B">
      <w:pPr>
        <w:pStyle w:val="2"/>
        <w:rPr>
          <w:rFonts w:hint="default" w:ascii="Times New Roman" w:hAnsi="Times New Roman" w:eastAsia="仿宋_GB2312" w:cs="Times New Roman"/>
          <w:color w:val="auto"/>
          <w:highlight w:val="none"/>
        </w:rPr>
      </w:pPr>
    </w:p>
    <w:p w14:paraId="1CDFE576">
      <w:pPr>
        <w:rPr>
          <w:rFonts w:hint="default" w:ascii="Times New Roman" w:hAnsi="Times New Roman" w:cs="Times New Roman"/>
          <w:color w:val="auto"/>
          <w:highlight w:val="none"/>
        </w:rPr>
      </w:pPr>
    </w:p>
    <w:p w14:paraId="53343E96">
      <w:pPr>
        <w:pStyle w:val="2"/>
        <w:rPr>
          <w:rFonts w:hint="default" w:ascii="Times New Roman" w:hAnsi="Times New Roman" w:cs="Times New Roman"/>
          <w:color w:val="auto"/>
          <w:highlight w:val="none"/>
        </w:rPr>
      </w:pPr>
    </w:p>
    <w:p w14:paraId="1C15CE64">
      <w:pPr>
        <w:pStyle w:val="21"/>
        <w:rPr>
          <w:rFonts w:hint="default" w:ascii="Times New Roman" w:hAnsi="Times New Roman" w:cs="Times New Roman"/>
          <w:color w:val="auto"/>
          <w:highlight w:val="none"/>
        </w:rPr>
      </w:pPr>
    </w:p>
    <w:p w14:paraId="52CECEE1">
      <w:pPr>
        <w:pStyle w:val="21"/>
        <w:rPr>
          <w:rFonts w:hint="default" w:ascii="Times New Roman" w:hAnsi="Times New Roman" w:cs="Times New Roman"/>
          <w:color w:val="auto"/>
          <w:highlight w:val="none"/>
        </w:rPr>
      </w:pPr>
    </w:p>
    <w:p w14:paraId="586101D8">
      <w:pPr>
        <w:pStyle w:val="21"/>
        <w:rPr>
          <w:rFonts w:hint="default" w:ascii="Times New Roman" w:hAnsi="Times New Roman" w:cs="Times New Roman"/>
          <w:color w:val="auto"/>
          <w:highlight w:val="none"/>
        </w:rPr>
      </w:pPr>
    </w:p>
    <w:p w14:paraId="4C08F426">
      <w:pPr>
        <w:pStyle w:val="21"/>
        <w:rPr>
          <w:rFonts w:hint="default" w:ascii="Times New Roman" w:hAnsi="Times New Roman" w:cs="Times New Roman"/>
          <w:color w:val="auto"/>
          <w:highlight w:val="none"/>
        </w:rPr>
      </w:pPr>
    </w:p>
    <w:bookmarkEnd w:id="0"/>
    <w:p w14:paraId="15D4B2F6">
      <w:pPr>
        <w:adjustRightInd w:val="0"/>
        <w:snapToGrid w:val="0"/>
        <w:spacing w:line="288" w:lineRule="auto"/>
        <w:jc w:val="center"/>
        <w:rPr>
          <w:rFonts w:hint="default" w:ascii="Times New Roman" w:hAnsi="Times New Roman" w:eastAsia="楷体_GB2312" w:cs="Times New Roman"/>
          <w:color w:val="auto"/>
          <w:sz w:val="36"/>
          <w:szCs w:val="36"/>
          <w:highlight w:val="none"/>
        </w:rPr>
      </w:pPr>
      <w:r>
        <w:rPr>
          <w:rFonts w:hint="default" w:ascii="Times New Roman" w:hAnsi="Times New Roman" w:eastAsia="楷体_GB2312" w:cs="Times New Roman"/>
          <w:color w:val="auto"/>
          <w:sz w:val="36"/>
          <w:szCs w:val="36"/>
          <w:highlight w:val="none"/>
        </w:rPr>
        <w:t>中华人民共和国生态环境部制</w:t>
      </w:r>
    </w:p>
    <w:p w14:paraId="34BA76A4">
      <w:pPr>
        <w:rPr>
          <w:rFonts w:hint="default" w:ascii="Times New Roman" w:hAnsi="Times New Roman" w:eastAsia="楷体_GB2312" w:cs="Times New Roman"/>
          <w:color w:val="auto"/>
          <w:sz w:val="36"/>
          <w:szCs w:val="36"/>
          <w:highlight w:val="none"/>
        </w:rPr>
      </w:pPr>
    </w:p>
    <w:p w14:paraId="3E7B8F19">
      <w:pPr>
        <w:pStyle w:val="14"/>
        <w:rPr>
          <w:rFonts w:hint="default" w:ascii="Times New Roman" w:hAnsi="Times New Roman" w:eastAsia="楷体_GB2312" w:cs="Times New Roman"/>
          <w:color w:val="auto"/>
          <w:sz w:val="36"/>
          <w:szCs w:val="36"/>
          <w:highlight w:val="none"/>
        </w:rPr>
      </w:pPr>
    </w:p>
    <w:p w14:paraId="0B875637">
      <w:pPr>
        <w:rPr>
          <w:rFonts w:hint="default" w:ascii="Times New Roman" w:hAnsi="Times New Roman" w:cs="Times New Roman"/>
          <w:color w:val="auto"/>
          <w:highlight w:val="none"/>
        </w:rPr>
        <w:sectPr>
          <w:footerReference r:id="rId3" w:type="default"/>
          <w:footerReference r:id="rId4" w:type="even"/>
          <w:pgSz w:w="11906" w:h="16838"/>
          <w:pgMar w:top="1440" w:right="1800" w:bottom="1440" w:left="1800" w:header="851" w:footer="1077" w:gutter="0"/>
          <w:pgBorders>
            <w:top w:val="none" w:sz="0" w:space="0"/>
            <w:left w:val="none" w:sz="0" w:space="0"/>
            <w:bottom w:val="none" w:sz="0" w:space="0"/>
            <w:right w:val="none" w:sz="0" w:space="0"/>
          </w:pgBorders>
          <w:pgNumType w:start="3"/>
          <w:cols w:space="720" w:num="1"/>
          <w:docGrid w:linePitch="312" w:charSpace="0"/>
        </w:sectPr>
      </w:pPr>
    </w:p>
    <w:p w14:paraId="7F9E03F8">
      <w:pPr>
        <w:pStyle w:val="36"/>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一、建设项目基本情况</w:t>
      </w:r>
    </w:p>
    <w:tbl>
      <w:tblPr>
        <w:tblStyle w:val="40"/>
        <w:tblW w:w="880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543"/>
        <w:gridCol w:w="1025"/>
        <w:gridCol w:w="2282"/>
        <w:gridCol w:w="2025"/>
        <w:gridCol w:w="2931"/>
      </w:tblGrid>
      <w:tr w14:paraId="20BEDD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1568" w:type="dxa"/>
            <w:gridSpan w:val="2"/>
            <w:tcMar>
              <w:top w:w="16" w:type="dxa"/>
              <w:left w:w="16" w:type="dxa"/>
              <w:right w:w="16" w:type="dxa"/>
            </w:tcMar>
            <w:vAlign w:val="center"/>
          </w:tcPr>
          <w:p w14:paraId="22D88EC8">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建设项目名称</w:t>
            </w:r>
          </w:p>
        </w:tc>
        <w:tc>
          <w:tcPr>
            <w:tcW w:w="7238" w:type="dxa"/>
            <w:gridSpan w:val="3"/>
            <w:vAlign w:val="center"/>
          </w:tcPr>
          <w:p w14:paraId="118C5E9C">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eastAsia="zh-CN"/>
              </w:rPr>
              <w:t>钢制边框复合隔墙板及砂浆</w:t>
            </w:r>
            <w:r>
              <w:rPr>
                <w:rFonts w:hint="default" w:ascii="Times New Roman" w:hAnsi="Times New Roman" w:cs="Times New Roman"/>
                <w:color w:val="auto"/>
                <w:sz w:val="24"/>
                <w:highlight w:val="none"/>
                <w:lang w:val="en-US" w:eastAsia="zh-CN"/>
              </w:rPr>
              <w:t>生产</w:t>
            </w:r>
            <w:r>
              <w:rPr>
                <w:rFonts w:hint="default" w:ascii="Times New Roman" w:hAnsi="Times New Roman" w:cs="Times New Roman"/>
                <w:color w:val="auto"/>
                <w:sz w:val="24"/>
                <w:highlight w:val="none"/>
                <w:lang w:eastAsia="zh-CN"/>
              </w:rPr>
              <w:t>项目</w:t>
            </w:r>
          </w:p>
        </w:tc>
      </w:tr>
      <w:tr w14:paraId="1A69CE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8" w:type="dxa"/>
            <w:gridSpan w:val="2"/>
            <w:tcMar>
              <w:top w:w="16" w:type="dxa"/>
              <w:left w:w="16" w:type="dxa"/>
              <w:right w:w="16" w:type="dxa"/>
            </w:tcMar>
            <w:vAlign w:val="center"/>
          </w:tcPr>
          <w:p w14:paraId="22B300AA">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项目代码</w:t>
            </w:r>
          </w:p>
        </w:tc>
        <w:tc>
          <w:tcPr>
            <w:tcW w:w="7238" w:type="dxa"/>
            <w:gridSpan w:val="3"/>
            <w:vAlign w:val="center"/>
          </w:tcPr>
          <w:p w14:paraId="3F6C83E1">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2309-130107-89-01-170721</w:t>
            </w:r>
          </w:p>
        </w:tc>
      </w:tr>
      <w:tr w14:paraId="5DA64D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8" w:type="dxa"/>
            <w:gridSpan w:val="2"/>
            <w:tcMar>
              <w:top w:w="16" w:type="dxa"/>
              <w:left w:w="16" w:type="dxa"/>
              <w:right w:w="16" w:type="dxa"/>
            </w:tcMar>
            <w:vAlign w:val="center"/>
          </w:tcPr>
          <w:p w14:paraId="2F0414ED">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建设单位联系人</w:t>
            </w:r>
          </w:p>
        </w:tc>
        <w:tc>
          <w:tcPr>
            <w:tcW w:w="2282" w:type="dxa"/>
            <w:shd w:val="clear" w:color="auto" w:fill="auto"/>
            <w:vAlign w:val="center"/>
          </w:tcPr>
          <w:p w14:paraId="4FFBA889">
            <w:pPr>
              <w:adjustRightInd w:val="0"/>
              <w:snapToGrid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eastAsia="zh-CN"/>
              </w:rPr>
              <w:t>储建锋</w:t>
            </w:r>
          </w:p>
        </w:tc>
        <w:tc>
          <w:tcPr>
            <w:tcW w:w="2025" w:type="dxa"/>
            <w:shd w:val="clear" w:color="auto" w:fill="auto"/>
            <w:vAlign w:val="center"/>
          </w:tcPr>
          <w:p w14:paraId="5D747D98">
            <w:pPr>
              <w:adjustRightInd w:val="0"/>
              <w:snapToGrid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联系方式</w:t>
            </w:r>
          </w:p>
        </w:tc>
        <w:tc>
          <w:tcPr>
            <w:tcW w:w="2931" w:type="dxa"/>
            <w:shd w:val="clear" w:color="auto" w:fill="auto"/>
            <w:vAlign w:val="center"/>
          </w:tcPr>
          <w:p w14:paraId="11D0587B">
            <w:pPr>
              <w:adjustRightInd w:val="0"/>
              <w:snapToGrid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eastAsia="zh-CN"/>
              </w:rPr>
              <w:t>18830127728</w:t>
            </w:r>
          </w:p>
        </w:tc>
      </w:tr>
      <w:tr w14:paraId="3E5AF2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8" w:type="dxa"/>
            <w:gridSpan w:val="2"/>
            <w:tcMar>
              <w:top w:w="16" w:type="dxa"/>
              <w:left w:w="16" w:type="dxa"/>
              <w:right w:w="16" w:type="dxa"/>
            </w:tcMar>
            <w:vAlign w:val="center"/>
          </w:tcPr>
          <w:p w14:paraId="2395D778">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建设地点</w:t>
            </w:r>
          </w:p>
        </w:tc>
        <w:tc>
          <w:tcPr>
            <w:tcW w:w="7238" w:type="dxa"/>
            <w:gridSpan w:val="3"/>
            <w:vAlign w:val="center"/>
          </w:tcPr>
          <w:p w14:paraId="2F3A33D4">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河北省石家庄市井陉矿区丰达产业园东区7号</w:t>
            </w:r>
          </w:p>
        </w:tc>
      </w:tr>
      <w:tr w14:paraId="1AE959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8" w:type="dxa"/>
            <w:gridSpan w:val="2"/>
            <w:tcMar>
              <w:top w:w="16" w:type="dxa"/>
              <w:left w:w="16" w:type="dxa"/>
              <w:right w:w="16" w:type="dxa"/>
            </w:tcMar>
            <w:vAlign w:val="center"/>
          </w:tcPr>
          <w:p w14:paraId="0B0EB57C">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地理坐标</w:t>
            </w:r>
          </w:p>
        </w:tc>
        <w:tc>
          <w:tcPr>
            <w:tcW w:w="7238" w:type="dxa"/>
            <w:gridSpan w:val="3"/>
            <w:vAlign w:val="center"/>
          </w:tcPr>
          <w:p w14:paraId="148D4362">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val="en-US" w:eastAsia="zh-CN"/>
              </w:rPr>
              <w:t>（东经</w:t>
            </w:r>
            <w:r>
              <w:rPr>
                <w:rFonts w:hint="default" w:ascii="Times New Roman" w:hAnsi="Times New Roman" w:cs="Times New Roman"/>
                <w:color w:val="auto"/>
                <w:sz w:val="24"/>
                <w:highlight w:val="none"/>
              </w:rPr>
              <w:t>114°</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40.056</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北纬38°4′25.827″）</w:t>
            </w:r>
          </w:p>
        </w:tc>
      </w:tr>
      <w:tr w14:paraId="054347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568" w:type="dxa"/>
            <w:gridSpan w:val="2"/>
            <w:tcMar>
              <w:top w:w="16" w:type="dxa"/>
              <w:left w:w="16" w:type="dxa"/>
              <w:right w:w="16" w:type="dxa"/>
            </w:tcMar>
            <w:vAlign w:val="center"/>
          </w:tcPr>
          <w:p w14:paraId="76C9C54B">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国民经济</w:t>
            </w:r>
          </w:p>
          <w:p w14:paraId="73537193">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行业类别</w:t>
            </w:r>
          </w:p>
        </w:tc>
        <w:tc>
          <w:tcPr>
            <w:tcW w:w="2282" w:type="dxa"/>
            <w:vAlign w:val="center"/>
          </w:tcPr>
          <w:p w14:paraId="727262A4">
            <w:pPr>
              <w:keepNext w:val="0"/>
              <w:keepLines w:val="0"/>
              <w:widowControl/>
              <w:suppressLineNumbers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C</w:t>
            </w:r>
            <w:r>
              <w:rPr>
                <w:rFonts w:hint="default" w:ascii="Times New Roman" w:hAnsi="Times New Roman" w:cs="Times New Roman"/>
                <w:color w:val="auto"/>
                <w:sz w:val="24"/>
                <w:highlight w:val="none"/>
                <w:lang w:val="en-US" w:eastAsia="zh-CN"/>
              </w:rPr>
              <w:t>3024轻质建筑材料制造</w:t>
            </w:r>
          </w:p>
          <w:p w14:paraId="4A2D07D4">
            <w:pPr>
              <w:keepNext w:val="0"/>
              <w:keepLines w:val="0"/>
              <w:widowControl/>
              <w:suppressLineNumbers w:val="0"/>
              <w:jc w:val="center"/>
              <w:rPr>
                <w:rFonts w:hint="default" w:ascii="Times New Roman" w:hAnsi="Times New Roman"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C</w:t>
            </w:r>
            <w:r>
              <w:rPr>
                <w:rFonts w:hint="default" w:ascii="Times New Roman" w:hAnsi="Times New Roman" w:cs="Times New Roman"/>
                <w:color w:val="auto"/>
                <w:sz w:val="24"/>
                <w:highlight w:val="none"/>
                <w:lang w:val="en-US" w:eastAsia="zh-CN"/>
              </w:rPr>
              <w:t>3034隔热和隔音材料制造</w:t>
            </w:r>
          </w:p>
          <w:p w14:paraId="26353C0C">
            <w:pPr>
              <w:keepNext w:val="0"/>
              <w:keepLines w:val="0"/>
              <w:widowControl/>
              <w:suppressLineNumbers w:val="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C3039 其他建筑材料制造</w:t>
            </w:r>
          </w:p>
        </w:tc>
        <w:tc>
          <w:tcPr>
            <w:tcW w:w="2025" w:type="dxa"/>
            <w:vAlign w:val="center"/>
          </w:tcPr>
          <w:p w14:paraId="535C512B">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建设项目</w:t>
            </w:r>
          </w:p>
          <w:p w14:paraId="3521EC61">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行业类别</w:t>
            </w:r>
          </w:p>
        </w:tc>
        <w:tc>
          <w:tcPr>
            <w:tcW w:w="2931" w:type="dxa"/>
            <w:vAlign w:val="center"/>
          </w:tcPr>
          <w:p w14:paraId="3E21086F">
            <w:pPr>
              <w:pStyle w:val="31"/>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二十七、非金属矿物制品业 5</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eastAsia="zh-CN"/>
              </w:rPr>
              <w:t xml:space="preserve"> </w:t>
            </w:r>
            <w:r>
              <w:rPr>
                <w:rFonts w:hint="default" w:ascii="Times New Roman" w:hAnsi="Times New Roman" w:cs="Times New Roman"/>
                <w:color w:val="auto"/>
                <w:sz w:val="24"/>
                <w:szCs w:val="24"/>
                <w:highlight w:val="none"/>
                <w:lang w:val="en-US" w:eastAsia="zh-CN"/>
              </w:rPr>
              <w:t>石膏、水泥制品及类似制品制造 302-水泥制品制造</w:t>
            </w:r>
          </w:p>
          <w:p w14:paraId="1A774C74">
            <w:pPr>
              <w:pStyle w:val="31"/>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4"/>
                <w:szCs w:val="24"/>
                <w:highlight w:val="none"/>
                <w:lang w:eastAsia="zh-CN"/>
              </w:rPr>
              <w:t>二十七、非金属矿物制品业 56 砖瓦、石材等建筑材料制造 303-</w:t>
            </w:r>
            <w:r>
              <w:rPr>
                <w:rFonts w:hint="default" w:ascii="Times New Roman" w:hAnsi="Times New Roman" w:cs="Times New Roman"/>
                <w:color w:val="auto"/>
                <w:sz w:val="24"/>
                <w:szCs w:val="24"/>
                <w:highlight w:val="none"/>
                <w:lang w:val="en-US" w:eastAsia="zh-CN"/>
              </w:rPr>
              <w:t>隔热、隔音材料制造；</w:t>
            </w:r>
            <w:r>
              <w:rPr>
                <w:rFonts w:hint="default" w:ascii="Times New Roman" w:hAnsi="Times New Roman" w:cs="Times New Roman"/>
                <w:color w:val="auto"/>
                <w:sz w:val="24"/>
                <w:szCs w:val="24"/>
                <w:highlight w:val="none"/>
                <w:lang w:eastAsia="zh-CN"/>
              </w:rPr>
              <w:t>其他建筑材料制造(含干粉砂浆搅拌站)</w:t>
            </w:r>
          </w:p>
        </w:tc>
      </w:tr>
      <w:tr w14:paraId="4F3028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568" w:type="dxa"/>
            <w:gridSpan w:val="2"/>
            <w:tcMar>
              <w:top w:w="16" w:type="dxa"/>
              <w:left w:w="16" w:type="dxa"/>
              <w:right w:w="16" w:type="dxa"/>
            </w:tcMar>
            <w:vAlign w:val="center"/>
          </w:tcPr>
          <w:p w14:paraId="1742212A">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建设性质</w:t>
            </w:r>
          </w:p>
        </w:tc>
        <w:tc>
          <w:tcPr>
            <w:tcW w:w="2282" w:type="dxa"/>
            <w:vAlign w:val="center"/>
          </w:tcPr>
          <w:p w14:paraId="1FFF0B70">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52"/>
            </w:r>
            <w:r>
              <w:rPr>
                <w:rFonts w:hint="default" w:ascii="Times New Roman" w:hAnsi="Times New Roman" w:cs="Times New Roman"/>
                <w:color w:val="auto"/>
                <w:sz w:val="24"/>
                <w:highlight w:val="none"/>
              </w:rPr>
              <w:t>新建（迁建）</w:t>
            </w:r>
          </w:p>
          <w:p w14:paraId="6EB1C6DA">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sz w:val="24"/>
                <w:highlight w:val="none"/>
              </w:rPr>
              <w:t>改建</w:t>
            </w:r>
          </w:p>
          <w:p w14:paraId="259B31B9">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sz w:val="24"/>
                <w:highlight w:val="none"/>
              </w:rPr>
              <w:t>扩建</w:t>
            </w:r>
          </w:p>
          <w:p w14:paraId="6871CA9B">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sz w:val="24"/>
                <w:highlight w:val="none"/>
              </w:rPr>
              <w:t>技术改造</w:t>
            </w:r>
          </w:p>
        </w:tc>
        <w:tc>
          <w:tcPr>
            <w:tcW w:w="2025" w:type="dxa"/>
            <w:vAlign w:val="center"/>
          </w:tcPr>
          <w:p w14:paraId="2C32E6DA">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w:t>
            </w:r>
          </w:p>
          <w:p w14:paraId="014F4133">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申报情形</w:t>
            </w:r>
          </w:p>
        </w:tc>
        <w:tc>
          <w:tcPr>
            <w:tcW w:w="2931" w:type="dxa"/>
            <w:vAlign w:val="center"/>
          </w:tcPr>
          <w:p w14:paraId="731A3400">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☑首次申报项目             </w:t>
            </w:r>
          </w:p>
          <w:p w14:paraId="1578BE60">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□不予批准后再次申报项目</w:t>
            </w:r>
          </w:p>
          <w:p w14:paraId="2A5FEF66">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□超五年重新审核项目     </w:t>
            </w:r>
          </w:p>
          <w:p w14:paraId="2997882C">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□重大变动重新报批项目</w:t>
            </w:r>
          </w:p>
        </w:tc>
      </w:tr>
      <w:tr w14:paraId="3BBC82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568" w:type="dxa"/>
            <w:gridSpan w:val="2"/>
            <w:tcMar>
              <w:top w:w="16" w:type="dxa"/>
              <w:left w:w="16" w:type="dxa"/>
              <w:right w:w="16" w:type="dxa"/>
            </w:tcMar>
            <w:vAlign w:val="center"/>
          </w:tcPr>
          <w:p w14:paraId="1A428441">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项目审批（核准/备案）部门（选填）</w:t>
            </w:r>
          </w:p>
        </w:tc>
        <w:tc>
          <w:tcPr>
            <w:tcW w:w="2282" w:type="dxa"/>
            <w:vAlign w:val="center"/>
          </w:tcPr>
          <w:p w14:paraId="0202DF0D">
            <w:pPr>
              <w:spacing w:line="300" w:lineRule="exact"/>
              <w:jc w:val="center"/>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石家庄市井陉矿区</w:t>
            </w:r>
          </w:p>
          <w:p w14:paraId="1C086219">
            <w:pPr>
              <w:spacing w:line="300" w:lineRule="exact"/>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数据和政务服务局</w:t>
            </w:r>
          </w:p>
        </w:tc>
        <w:tc>
          <w:tcPr>
            <w:tcW w:w="2025" w:type="dxa"/>
            <w:vAlign w:val="center"/>
          </w:tcPr>
          <w:p w14:paraId="4836DDDB">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项目审批（核准/</w:t>
            </w:r>
          </w:p>
          <w:p w14:paraId="4E0E545E">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备案）文号（选填）</w:t>
            </w:r>
          </w:p>
        </w:tc>
        <w:tc>
          <w:tcPr>
            <w:tcW w:w="2931" w:type="dxa"/>
            <w:vAlign w:val="center"/>
          </w:tcPr>
          <w:p w14:paraId="00482DC3">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矿</w:t>
            </w:r>
            <w:r>
              <w:rPr>
                <w:rFonts w:hint="default" w:ascii="Times New Roman" w:hAnsi="Times New Roman" w:cs="Times New Roman"/>
                <w:color w:val="auto"/>
                <w:sz w:val="24"/>
                <w:highlight w:val="none"/>
                <w:lang w:val="en-US" w:eastAsia="zh-CN"/>
              </w:rPr>
              <w:t>行审投资</w:t>
            </w:r>
            <w:r>
              <w:rPr>
                <w:rFonts w:hint="default" w:ascii="Times New Roman" w:hAnsi="Times New Roman" w:eastAsia="宋体" w:cs="Times New Roman"/>
                <w:color w:val="auto"/>
                <w:sz w:val="24"/>
                <w:highlight w:val="none"/>
                <w:lang w:val="en-US" w:eastAsia="zh-CN"/>
              </w:rPr>
              <w:t>备字（2024）</w:t>
            </w:r>
            <w:r>
              <w:rPr>
                <w:rFonts w:hint="default" w:ascii="Times New Roman" w:hAnsi="Times New Roman" w:cs="Times New Roman"/>
                <w:color w:val="auto"/>
                <w:sz w:val="24"/>
                <w:highlight w:val="none"/>
                <w:lang w:val="en-US" w:eastAsia="zh-CN"/>
              </w:rPr>
              <w:t>83</w:t>
            </w:r>
            <w:r>
              <w:rPr>
                <w:rFonts w:hint="default" w:ascii="Times New Roman" w:hAnsi="Times New Roman" w:eastAsia="宋体" w:cs="Times New Roman"/>
                <w:color w:val="auto"/>
                <w:sz w:val="24"/>
                <w:highlight w:val="none"/>
                <w:lang w:val="en-US" w:eastAsia="zh-CN"/>
              </w:rPr>
              <w:t>号</w:t>
            </w:r>
          </w:p>
        </w:tc>
      </w:tr>
      <w:tr w14:paraId="29EB03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8" w:type="dxa"/>
            <w:gridSpan w:val="2"/>
            <w:tcMar>
              <w:top w:w="16" w:type="dxa"/>
              <w:left w:w="16" w:type="dxa"/>
              <w:right w:w="16" w:type="dxa"/>
            </w:tcMar>
            <w:vAlign w:val="center"/>
          </w:tcPr>
          <w:p w14:paraId="6904BEBB">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总投资（万元）</w:t>
            </w:r>
          </w:p>
        </w:tc>
        <w:tc>
          <w:tcPr>
            <w:tcW w:w="2282" w:type="dxa"/>
            <w:vAlign w:val="center"/>
          </w:tcPr>
          <w:p w14:paraId="6A75F040">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10550</w:t>
            </w:r>
          </w:p>
        </w:tc>
        <w:tc>
          <w:tcPr>
            <w:tcW w:w="2025" w:type="dxa"/>
            <w:tcMar>
              <w:top w:w="16" w:type="dxa"/>
              <w:left w:w="16" w:type="dxa"/>
              <w:right w:w="16" w:type="dxa"/>
            </w:tcMar>
            <w:vAlign w:val="center"/>
          </w:tcPr>
          <w:p w14:paraId="3D3A2C93">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环保投资（万元）</w:t>
            </w:r>
          </w:p>
        </w:tc>
        <w:tc>
          <w:tcPr>
            <w:tcW w:w="2931" w:type="dxa"/>
            <w:vAlign w:val="center"/>
          </w:tcPr>
          <w:p w14:paraId="52C6004D">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80</w:t>
            </w:r>
          </w:p>
        </w:tc>
      </w:tr>
      <w:tr w14:paraId="60E10B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8" w:type="dxa"/>
            <w:gridSpan w:val="2"/>
            <w:tcMar>
              <w:top w:w="16" w:type="dxa"/>
              <w:left w:w="16" w:type="dxa"/>
              <w:right w:w="16" w:type="dxa"/>
            </w:tcMar>
            <w:vAlign w:val="center"/>
          </w:tcPr>
          <w:p w14:paraId="2DC65C00">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环保投资占比（%）</w:t>
            </w:r>
          </w:p>
        </w:tc>
        <w:tc>
          <w:tcPr>
            <w:tcW w:w="2282" w:type="dxa"/>
            <w:vAlign w:val="center"/>
          </w:tcPr>
          <w:p w14:paraId="792B764F">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0.76</w:t>
            </w:r>
          </w:p>
        </w:tc>
        <w:tc>
          <w:tcPr>
            <w:tcW w:w="2025" w:type="dxa"/>
            <w:tcMar>
              <w:top w:w="16" w:type="dxa"/>
              <w:left w:w="16" w:type="dxa"/>
              <w:right w:w="16" w:type="dxa"/>
            </w:tcMar>
            <w:vAlign w:val="center"/>
          </w:tcPr>
          <w:p w14:paraId="6B3B7D3F">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施工工期</w:t>
            </w:r>
          </w:p>
        </w:tc>
        <w:tc>
          <w:tcPr>
            <w:tcW w:w="2931" w:type="dxa"/>
            <w:vAlign w:val="center"/>
          </w:tcPr>
          <w:p w14:paraId="1F19092B">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个月</w:t>
            </w:r>
          </w:p>
        </w:tc>
      </w:tr>
      <w:tr w14:paraId="3A155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8" w:type="dxa"/>
            <w:gridSpan w:val="2"/>
            <w:tcMar>
              <w:top w:w="16" w:type="dxa"/>
              <w:left w:w="16" w:type="dxa"/>
              <w:right w:w="16" w:type="dxa"/>
            </w:tcMar>
            <w:vAlign w:val="center"/>
          </w:tcPr>
          <w:p w14:paraId="4BD8A8D9">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是否开工建设</w:t>
            </w:r>
          </w:p>
        </w:tc>
        <w:tc>
          <w:tcPr>
            <w:tcW w:w="2282" w:type="dxa"/>
            <w:vAlign w:val="center"/>
          </w:tcPr>
          <w:p w14:paraId="0C11313E">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☑否</w:t>
            </w:r>
          </w:p>
          <w:p w14:paraId="561A7C9F">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□是：</w:t>
            </w:r>
          </w:p>
        </w:tc>
        <w:tc>
          <w:tcPr>
            <w:tcW w:w="2025" w:type="dxa"/>
            <w:tcMar>
              <w:top w:w="16" w:type="dxa"/>
              <w:left w:w="16" w:type="dxa"/>
              <w:right w:w="16" w:type="dxa"/>
            </w:tcMar>
            <w:vAlign w:val="center"/>
          </w:tcPr>
          <w:p w14:paraId="095FC307">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用地（用海）</w:t>
            </w:r>
          </w:p>
          <w:p w14:paraId="229065A7">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面积（m</w:t>
            </w:r>
            <w:r>
              <w:rPr>
                <w:rFonts w:hint="default" w:ascii="Times New Roman" w:hAnsi="Times New Roman" w:cs="Times New Roman"/>
                <w:color w:val="auto"/>
                <w:sz w:val="24"/>
                <w:highlight w:val="none"/>
                <w:vertAlign w:val="superscript"/>
              </w:rPr>
              <w:t>2</w:t>
            </w:r>
            <w:r>
              <w:rPr>
                <w:rFonts w:hint="default" w:ascii="Times New Roman" w:hAnsi="Times New Roman" w:cs="Times New Roman"/>
                <w:color w:val="auto"/>
                <w:sz w:val="24"/>
                <w:highlight w:val="none"/>
              </w:rPr>
              <w:t>）</w:t>
            </w:r>
          </w:p>
        </w:tc>
        <w:tc>
          <w:tcPr>
            <w:tcW w:w="2931" w:type="dxa"/>
            <w:vAlign w:val="center"/>
          </w:tcPr>
          <w:p w14:paraId="08D629C5">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15951.18</w:t>
            </w:r>
          </w:p>
        </w:tc>
      </w:tr>
      <w:tr w14:paraId="5CED6D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568" w:type="dxa"/>
            <w:gridSpan w:val="2"/>
            <w:vAlign w:val="center"/>
          </w:tcPr>
          <w:p w14:paraId="0BAD54F2">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专项评价设置情况</w:t>
            </w:r>
          </w:p>
        </w:tc>
        <w:tc>
          <w:tcPr>
            <w:tcW w:w="7238" w:type="dxa"/>
            <w:gridSpan w:val="3"/>
            <w:vAlign w:val="center"/>
          </w:tcPr>
          <w:p w14:paraId="5C6B3F3F">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2"/>
                <w:sz w:val="24"/>
                <w:szCs w:val="20"/>
                <w:highlight w:val="none"/>
                <w:lang w:val="en-US" w:eastAsia="zh-CN"/>
              </w:rPr>
              <w:t>对照《建设项目环境影响报告表编制技术指南 污染影响类（试行）》</w:t>
            </w:r>
            <w:r>
              <w:rPr>
                <w:rFonts w:hint="default" w:ascii="Times New Roman" w:hAnsi="Times New Roman" w:eastAsia="宋体" w:cs="Times New Roman"/>
                <w:color w:val="auto"/>
                <w:kern w:val="2"/>
                <w:sz w:val="24"/>
                <w:szCs w:val="20"/>
                <w:highlight w:val="none"/>
                <w:lang w:eastAsia="zh-CN"/>
              </w:rPr>
              <w:t>专项评价设置原则，根据本项目排污特点及周边环境敏感程度，本项目</w:t>
            </w:r>
            <w:r>
              <w:rPr>
                <w:rFonts w:hint="default" w:ascii="Times New Roman" w:hAnsi="Times New Roman" w:cs="Times New Roman"/>
                <w:color w:val="auto"/>
                <w:kern w:val="2"/>
                <w:sz w:val="24"/>
                <w:szCs w:val="20"/>
                <w:highlight w:val="none"/>
                <w:lang w:eastAsia="zh-CN"/>
              </w:rPr>
              <w:t>不需要设置</w:t>
            </w:r>
            <w:r>
              <w:rPr>
                <w:rFonts w:hint="default" w:ascii="Times New Roman" w:hAnsi="Times New Roman" w:eastAsia="宋体" w:cs="Times New Roman"/>
                <w:color w:val="auto"/>
                <w:kern w:val="2"/>
                <w:sz w:val="24"/>
                <w:szCs w:val="20"/>
                <w:highlight w:val="none"/>
                <w:lang w:eastAsia="zh-CN"/>
              </w:rPr>
              <w:t>专项评价。</w:t>
            </w:r>
          </w:p>
        </w:tc>
      </w:tr>
      <w:tr w14:paraId="7ED407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568" w:type="dxa"/>
            <w:gridSpan w:val="2"/>
            <w:vAlign w:val="center"/>
          </w:tcPr>
          <w:p w14:paraId="72421BD1">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规划情况</w:t>
            </w:r>
          </w:p>
        </w:tc>
        <w:tc>
          <w:tcPr>
            <w:tcW w:w="7238" w:type="dxa"/>
            <w:gridSpan w:val="3"/>
            <w:vAlign w:val="center"/>
          </w:tcPr>
          <w:p w14:paraId="056A5CAA">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①</w:t>
            </w:r>
            <w:r>
              <w:rPr>
                <w:rFonts w:hint="default" w:ascii="Times New Roman" w:hAnsi="Times New Roman" w:eastAsia="宋体" w:cs="Times New Roman"/>
                <w:color w:val="auto"/>
                <w:kern w:val="0"/>
                <w:sz w:val="24"/>
                <w:highlight w:val="none"/>
                <w:lang w:val="en-US" w:eastAsia="zh-CN"/>
              </w:rPr>
              <w:t>《河北石家庄矿区工业园区总体发展规划（2022-2030）》</w:t>
            </w:r>
          </w:p>
          <w:p w14:paraId="72811836">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textAlignment w:val="auto"/>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kern w:val="0"/>
                <w:sz w:val="24"/>
                <w:highlight w:val="none"/>
                <w:lang w:eastAsia="zh-CN"/>
              </w:rPr>
              <w:t>②《井陉矿区国土空间总体规划（2021-2035年）》</w:t>
            </w:r>
          </w:p>
        </w:tc>
      </w:tr>
      <w:tr w14:paraId="743EF8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68" w:type="dxa"/>
            <w:gridSpan w:val="2"/>
            <w:vAlign w:val="center"/>
          </w:tcPr>
          <w:p w14:paraId="089ADFDD">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规划环境影响评价情况</w:t>
            </w:r>
          </w:p>
        </w:tc>
        <w:tc>
          <w:tcPr>
            <w:tcW w:w="7238" w:type="dxa"/>
            <w:gridSpan w:val="3"/>
            <w:vAlign w:val="center"/>
          </w:tcPr>
          <w:p w14:paraId="5FD66A32">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Times New Roman" w:hAnsi="Times New Roman" w:eastAsia="宋体" w:cs="Times New Roman"/>
                <w:color w:val="auto"/>
                <w:kern w:val="2"/>
                <w:sz w:val="24"/>
                <w:szCs w:val="20"/>
                <w:highlight w:val="none"/>
                <w:lang w:val="en-US" w:eastAsia="zh-CN"/>
              </w:rPr>
            </w:pPr>
            <w:r>
              <w:rPr>
                <w:rFonts w:hint="default" w:ascii="Times New Roman" w:hAnsi="Times New Roman" w:eastAsia="宋体" w:cs="Times New Roman"/>
                <w:color w:val="auto"/>
                <w:kern w:val="2"/>
                <w:sz w:val="24"/>
                <w:szCs w:val="20"/>
                <w:highlight w:val="none"/>
                <w:lang w:val="en-US" w:eastAsia="zh-CN"/>
              </w:rPr>
              <w:t>规划环境影响评价名称：《河北石家庄矿区工业园区总体发展规划（2022-2030）环境影响报告书》；</w:t>
            </w:r>
          </w:p>
          <w:p w14:paraId="7039CAE0">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Times New Roman" w:hAnsi="Times New Roman" w:eastAsia="宋体" w:cs="Times New Roman"/>
                <w:color w:val="auto"/>
                <w:kern w:val="2"/>
                <w:sz w:val="24"/>
                <w:szCs w:val="20"/>
                <w:highlight w:val="none"/>
                <w:lang w:val="en-US" w:eastAsia="zh-CN"/>
              </w:rPr>
            </w:pPr>
            <w:r>
              <w:rPr>
                <w:rFonts w:hint="default" w:ascii="Times New Roman" w:hAnsi="Times New Roman" w:eastAsia="宋体" w:cs="Times New Roman"/>
                <w:color w:val="auto"/>
                <w:kern w:val="2"/>
                <w:sz w:val="24"/>
                <w:szCs w:val="20"/>
                <w:highlight w:val="none"/>
                <w:lang w:val="en-US" w:eastAsia="zh-CN"/>
              </w:rPr>
              <w:t>审查机关：河北省生态环境厅；</w:t>
            </w:r>
          </w:p>
          <w:p w14:paraId="490B6DF9">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Times New Roman" w:hAnsi="Times New Roman" w:cs="Times New Roman"/>
                <w:color w:val="auto"/>
                <w:highlight w:val="none"/>
                <w:lang w:eastAsia="zh-CN"/>
              </w:rPr>
            </w:pPr>
            <w:r>
              <w:rPr>
                <w:rFonts w:hint="default" w:ascii="Times New Roman" w:hAnsi="Times New Roman" w:eastAsia="宋体" w:cs="Times New Roman"/>
                <w:color w:val="auto"/>
                <w:kern w:val="2"/>
                <w:sz w:val="24"/>
                <w:szCs w:val="20"/>
                <w:highlight w:val="none"/>
                <w:lang w:val="en-US" w:eastAsia="zh-CN"/>
              </w:rPr>
              <w:t>审查文件及文号：《河北省生态环境厅关于&lt;河北石家庄矿区工业园区总体发展规划（2022-2030）环境影响报告书&gt;的审查意见》（冀环环评函[2025]1318号）。</w:t>
            </w:r>
          </w:p>
        </w:tc>
      </w:tr>
      <w:tr w14:paraId="282A6A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3" w:type="dxa"/>
            <w:vAlign w:val="center"/>
          </w:tcPr>
          <w:p w14:paraId="1139457C">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规划及规划环境影响评价符合性分析</w:t>
            </w:r>
          </w:p>
        </w:tc>
        <w:tc>
          <w:tcPr>
            <w:tcW w:w="8263" w:type="dxa"/>
            <w:gridSpan w:val="4"/>
            <w:vAlign w:val="center"/>
          </w:tcPr>
          <w:p w14:paraId="7B3A9CBD">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80" w:lineRule="exact"/>
              <w:ind w:left="0" w:right="0"/>
              <w:textAlignment w:val="auto"/>
              <w:rPr>
                <w:rFonts w:hint="default" w:ascii="Times New Roman" w:hAnsi="Times New Roman" w:eastAsia="宋体" w:cs="Times New Roman"/>
                <w:b/>
                <w:bCs/>
                <w:color w:val="auto"/>
                <w:kern w:val="0"/>
                <w:sz w:val="24"/>
                <w:highlight w:val="none"/>
                <w:lang w:eastAsia="zh-CN"/>
              </w:rPr>
            </w:pPr>
            <w:r>
              <w:rPr>
                <w:rFonts w:hint="default" w:ascii="Times New Roman" w:hAnsi="Times New Roman" w:cs="Times New Roman"/>
                <w:b/>
                <w:bCs/>
                <w:color w:val="auto"/>
                <w:kern w:val="0"/>
                <w:sz w:val="24"/>
                <w:highlight w:val="none"/>
                <w:lang w:eastAsia="zh-CN"/>
              </w:rPr>
              <w:t>一</w:t>
            </w:r>
            <w:r>
              <w:rPr>
                <w:rFonts w:hint="default" w:ascii="Times New Roman" w:hAnsi="Times New Roman" w:cs="Times New Roman"/>
                <w:b/>
                <w:bCs/>
                <w:color w:val="auto"/>
                <w:kern w:val="0"/>
                <w:sz w:val="24"/>
                <w:highlight w:val="none"/>
              </w:rPr>
              <w:t>、</w:t>
            </w:r>
            <w:r>
              <w:rPr>
                <w:rFonts w:hint="default" w:ascii="Times New Roman" w:hAnsi="Times New Roman" w:cs="Times New Roman"/>
                <w:b/>
                <w:bCs/>
                <w:color w:val="auto"/>
                <w:kern w:val="0"/>
                <w:sz w:val="24"/>
                <w:highlight w:val="none"/>
                <w:lang w:eastAsia="zh-CN"/>
              </w:rPr>
              <w:t>与河北石家庄矿区工业园区总体发展规划（2022-2030）符合性分析</w:t>
            </w:r>
          </w:p>
          <w:p w14:paraId="59D18681">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val="en-US" w:eastAsia="zh-CN"/>
              </w:rPr>
              <w:t>1、</w:t>
            </w:r>
            <w:r>
              <w:rPr>
                <w:rFonts w:hint="default" w:ascii="Times New Roman" w:hAnsi="Times New Roman" w:cs="Times New Roman"/>
                <w:color w:val="auto"/>
                <w:kern w:val="0"/>
                <w:sz w:val="24"/>
                <w:highlight w:val="none"/>
                <w:lang w:eastAsia="zh-CN"/>
              </w:rPr>
              <w:t>用地布局符合性</w:t>
            </w:r>
          </w:p>
          <w:p w14:paraId="6F2D57B4">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河北石家庄矿区工业园区总规划范围 1775.19 公顷，分为四个片区：</w:t>
            </w:r>
          </w:p>
          <w:p w14:paraId="6A74125F">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石钢片区：东至南寨村、新王舍村及西岗头社区西侧，南至世纪大道、张家井村北侧，西至西环旅游路，北至西四排，规划面积 880.52 公顷。</w:t>
            </w:r>
          </w:p>
          <w:p w14:paraId="55B5FF15">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天汇片区：东至矿区垃圾填埋场西侧，南至冯家沟村北侧，西至南寨村东侧、南寨水库西侧，北至峰矿水泥厂采石场，规划面积 184.13 公顷。</w:t>
            </w:r>
          </w:p>
          <w:p w14:paraId="3DE08F06">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丰达片区：东至冶金新材料装备产业园，南至秋树坡村北侧，西至赵村店东侧及古桥北街，北至赵村铺南侧，规划面积 210.23 公顷。</w:t>
            </w:r>
          </w:p>
          <w:p w14:paraId="77CE10E6">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融合片区分为一区和二区：一区东至绵左支渠东侧，南至贾天公路南侧，西至红星路西侧，北至北清线，规划面积 409.51 公顷；二区东至西南正村西侧，南至井矿快速路北侧，西至青泉村东侧，北至北清线、古桥南街，规划面积 71.16 公顷。</w:t>
            </w:r>
          </w:p>
          <w:p w14:paraId="6C9184A3">
            <w:pPr>
              <w:keepNext w:val="0"/>
              <w:keepLines w:val="0"/>
              <w:pageBreakBefore w:val="0"/>
              <w:widowControl w:val="0"/>
              <w:kinsoku/>
              <w:wordWrap/>
              <w:overflowPunct/>
              <w:topLinePunct w:val="0"/>
              <w:autoSpaceDE w:val="0"/>
              <w:autoSpaceDN w:val="0"/>
              <w:bidi w:val="0"/>
              <w:adjustRightInd w:val="0"/>
              <w:snapToGrid w:val="0"/>
              <w:spacing w:line="480" w:lineRule="exact"/>
              <w:ind w:firstLine="482" w:firstLineChars="200"/>
              <w:jc w:val="left"/>
              <w:textAlignment w:val="auto"/>
              <w:rPr>
                <w:rFonts w:hint="default" w:ascii="Times New Roman" w:hAnsi="Times New Roman" w:cs="Times New Roman"/>
                <w:b/>
                <w:bCs/>
                <w:color w:val="auto"/>
                <w:kern w:val="0"/>
                <w:sz w:val="24"/>
                <w:highlight w:val="none"/>
                <w:lang w:val="en-US" w:eastAsia="zh-CN"/>
              </w:rPr>
            </w:pPr>
            <w:r>
              <w:rPr>
                <w:rFonts w:hint="default" w:ascii="Times New Roman" w:hAnsi="Times New Roman" w:cs="Times New Roman"/>
                <w:b/>
                <w:bCs/>
                <w:color w:val="auto"/>
                <w:kern w:val="0"/>
                <w:sz w:val="24"/>
                <w:highlight w:val="none"/>
                <w:lang w:val="en-US" w:eastAsia="zh-CN"/>
              </w:rPr>
              <w:t>本项目符合性：</w:t>
            </w:r>
            <w:r>
              <w:rPr>
                <w:rFonts w:hint="default" w:ascii="Times New Roman" w:hAnsi="Times New Roman" w:cs="Times New Roman"/>
                <w:color w:val="auto"/>
                <w:kern w:val="0"/>
                <w:sz w:val="24"/>
                <w:highlight w:val="none"/>
                <w:lang w:val="en-US" w:eastAsia="zh-CN"/>
              </w:rPr>
              <w:t>项目位于河北省石家庄市井陉矿区丰达产业园东区7号，厂址中心地理坐标为</w:t>
            </w:r>
            <w:r>
              <w:rPr>
                <w:rFonts w:hint="default" w:ascii="Times New Roman" w:hAnsi="Times New Roman" w:eastAsia="宋体" w:cs="Times New Roman"/>
                <w:color w:val="auto"/>
                <w:kern w:val="0"/>
                <w:sz w:val="24"/>
                <w:highlight w:val="none"/>
                <w:lang w:eastAsia="zh-CN"/>
              </w:rPr>
              <w:t>东经114°</w:t>
            </w:r>
            <w:r>
              <w:rPr>
                <w:rFonts w:hint="default" w:ascii="Times New Roman" w:hAnsi="Times New Roman" w:cs="Times New Roman"/>
                <w:color w:val="auto"/>
                <w:kern w:val="0"/>
                <w:sz w:val="24"/>
                <w:highlight w:val="none"/>
                <w:lang w:val="en-US" w:eastAsia="zh-CN"/>
              </w:rPr>
              <w:t>5</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40.156</w:t>
            </w:r>
            <w:r>
              <w:rPr>
                <w:rFonts w:hint="default" w:ascii="Times New Roman" w:hAnsi="Times New Roman" w:eastAsia="宋体" w:cs="Times New Roman"/>
                <w:color w:val="auto"/>
                <w:kern w:val="0"/>
                <w:sz w:val="24"/>
                <w:highlight w:val="none"/>
                <w:lang w:eastAsia="zh-CN"/>
              </w:rPr>
              <w:t>″，北纬38°4′</w:t>
            </w:r>
            <w:r>
              <w:rPr>
                <w:rFonts w:hint="default" w:ascii="Times New Roman" w:hAnsi="Times New Roman" w:cs="Times New Roman"/>
                <w:color w:val="auto"/>
                <w:kern w:val="0"/>
                <w:sz w:val="24"/>
                <w:highlight w:val="none"/>
                <w:lang w:val="en-US" w:eastAsia="zh-CN"/>
              </w:rPr>
              <w:t>25.827</w:t>
            </w:r>
            <w:r>
              <w:rPr>
                <w:rFonts w:hint="default" w:ascii="Times New Roman" w:hAnsi="Times New Roman" w:eastAsia="宋体" w:cs="Times New Roman"/>
                <w:color w:val="auto"/>
                <w:kern w:val="0"/>
                <w:sz w:val="24"/>
                <w:highlight w:val="none"/>
                <w:lang w:eastAsia="zh-CN"/>
              </w:rPr>
              <w:t>″，属于丰达片区。根据河北石家庄矿区工业园区管理委员会出具的证明，本项目用地性质为工业用地，符合</w:t>
            </w:r>
            <w:r>
              <w:rPr>
                <w:rFonts w:hint="default" w:ascii="Times New Roman" w:hAnsi="Times New Roman" w:cs="Times New Roman"/>
                <w:color w:val="auto"/>
                <w:kern w:val="0"/>
                <w:sz w:val="24"/>
                <w:highlight w:val="none"/>
                <w:lang w:eastAsia="zh-CN"/>
              </w:rPr>
              <w:t>园区</w:t>
            </w:r>
            <w:r>
              <w:rPr>
                <w:rFonts w:hint="default" w:ascii="Times New Roman" w:hAnsi="Times New Roman" w:eastAsia="宋体" w:cs="Times New Roman"/>
                <w:color w:val="auto"/>
                <w:kern w:val="0"/>
                <w:sz w:val="24"/>
                <w:highlight w:val="none"/>
                <w:lang w:eastAsia="zh-CN"/>
              </w:rPr>
              <w:t>总体规划。</w:t>
            </w:r>
            <w:r>
              <w:rPr>
                <w:rFonts w:hint="default" w:ascii="Times New Roman" w:hAnsi="Times New Roman" w:cs="Times New Roman"/>
                <w:color w:val="auto"/>
                <w:kern w:val="0"/>
                <w:sz w:val="24"/>
                <w:highlight w:val="none"/>
                <w:lang w:eastAsia="zh-CN"/>
              </w:rPr>
              <w:t>用地规划图见附图</w:t>
            </w:r>
            <w:r>
              <w:rPr>
                <w:rFonts w:hint="default" w:ascii="Times New Roman" w:hAnsi="Times New Roman" w:cs="Times New Roman"/>
                <w:color w:val="auto"/>
                <w:kern w:val="0"/>
                <w:sz w:val="24"/>
                <w:highlight w:val="none"/>
                <w:lang w:val="en-US" w:eastAsia="zh-CN"/>
              </w:rPr>
              <w:t>5</w:t>
            </w:r>
            <w:r>
              <w:rPr>
                <w:rFonts w:hint="default" w:ascii="Times New Roman" w:hAnsi="Times New Roman" w:cs="Times New Roman"/>
                <w:color w:val="auto"/>
                <w:kern w:val="0"/>
                <w:sz w:val="24"/>
                <w:highlight w:val="none"/>
                <w:lang w:eastAsia="zh-CN"/>
              </w:rPr>
              <w:t>。</w:t>
            </w:r>
          </w:p>
          <w:p w14:paraId="167221C9">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val="en-US" w:eastAsia="zh-CN"/>
              </w:rPr>
              <w:t>2、</w:t>
            </w:r>
            <w:r>
              <w:rPr>
                <w:rFonts w:hint="default" w:ascii="Times New Roman" w:hAnsi="Times New Roman" w:cs="Times New Roman"/>
                <w:color w:val="auto"/>
                <w:kern w:val="0"/>
                <w:sz w:val="24"/>
                <w:highlight w:val="none"/>
              </w:rPr>
              <w:t>产业</w:t>
            </w:r>
            <w:r>
              <w:rPr>
                <w:rFonts w:hint="default" w:ascii="Times New Roman" w:hAnsi="Times New Roman" w:cs="Times New Roman"/>
                <w:color w:val="auto"/>
                <w:kern w:val="0"/>
                <w:sz w:val="24"/>
                <w:highlight w:val="none"/>
                <w:lang w:eastAsia="zh-CN"/>
              </w:rPr>
              <w:t>发展规划</w:t>
            </w:r>
          </w:p>
          <w:p w14:paraId="40BFB7F9">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80" w:lineRule="exact"/>
              <w:ind w:left="0" w:right="0" w:firstLine="480" w:firstLineChars="200"/>
              <w:textAlignment w:val="auto"/>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1</w:t>
            </w:r>
            <w:r>
              <w:rPr>
                <w:rFonts w:hint="default" w:ascii="Times New Roman" w:hAnsi="Times New Roman" w:cs="Times New Roman"/>
                <w:color w:val="auto"/>
                <w:kern w:val="0"/>
                <w:sz w:val="24"/>
                <w:highlight w:val="none"/>
                <w:lang w:eastAsia="zh-CN"/>
              </w:rPr>
              <w:t>）产业发展定位</w:t>
            </w:r>
          </w:p>
          <w:p w14:paraId="3B72AA3B">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园区产业发展战略为：以特钢上下游、高端装备制造、新材料为主导产业，着眼各主导产业全生命周期，大力发展循环经济。</w:t>
            </w:r>
          </w:p>
          <w:p w14:paraId="6FFA94A6">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具体产业发展方向为：大力发展特钢上下游产业，做大做强高端装备制造产业，加快发展新材料产业，用高新技术改造传统产业，推进传统产业的转型升级。</w:t>
            </w:r>
          </w:p>
          <w:p w14:paraId="7E4874E1">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2</w:t>
            </w:r>
            <w:r>
              <w:rPr>
                <w:rFonts w:hint="default" w:ascii="Times New Roman" w:hAnsi="Times New Roman" w:cs="Times New Roman"/>
                <w:color w:val="auto"/>
                <w:kern w:val="0"/>
                <w:sz w:val="24"/>
                <w:highlight w:val="none"/>
                <w:lang w:eastAsia="zh-CN"/>
              </w:rPr>
              <w:t>）产业发展思路</w:t>
            </w:r>
          </w:p>
          <w:p w14:paraId="10973EF3">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以绿色化、生态化为方向，对传统产业进行节能提升改造，加快培育、发展高新技术产业，用高新技术改造传统产业，以信息化带动工业化，走出一条科技含量高、经济效益好、资源消耗低、环境污染少、人力资源优势得到充分发挥的新型工业化道路，促进传统产业和高新技术产业的协调发展，大力推进特钢上下游、高端装备制造、新材料三大主导产业发展，延伸产业链条，促进循环经济发展。</w:t>
            </w:r>
          </w:p>
          <w:p w14:paraId="57EF8418">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3</w:t>
            </w:r>
            <w:r>
              <w:rPr>
                <w:rFonts w:hint="default" w:ascii="Times New Roman" w:hAnsi="Times New Roman" w:cs="Times New Roman"/>
                <w:color w:val="auto"/>
                <w:kern w:val="0"/>
                <w:sz w:val="24"/>
                <w:highlight w:val="none"/>
                <w:lang w:eastAsia="zh-CN"/>
              </w:rPr>
              <w:t>）重点产业发展方向</w:t>
            </w:r>
          </w:p>
          <w:p w14:paraId="0BA64FC5">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园区重点产业发展方向见下表。</w:t>
            </w:r>
          </w:p>
          <w:p w14:paraId="21F2EFD8">
            <w:pPr>
              <w:keepNext w:val="0"/>
              <w:keepLines w:val="0"/>
              <w:pageBreakBefore w:val="0"/>
              <w:widowControl w:val="0"/>
              <w:kinsoku/>
              <w:wordWrap/>
              <w:overflowPunct/>
              <w:topLinePunct w:val="0"/>
              <w:autoSpaceDE w:val="0"/>
              <w:autoSpaceDN w:val="0"/>
              <w:bidi w:val="0"/>
              <w:adjustRightInd w:val="0"/>
              <w:snapToGrid w:val="0"/>
              <w:spacing w:line="480" w:lineRule="exact"/>
              <w:jc w:val="center"/>
              <w:textAlignment w:val="auto"/>
              <w:rPr>
                <w:rFonts w:hint="default" w:ascii="Times New Roman" w:hAnsi="Times New Roman" w:cs="Times New Roman"/>
                <w:b/>
                <w:bCs/>
                <w:color w:val="auto"/>
                <w:kern w:val="0"/>
                <w:sz w:val="24"/>
                <w:highlight w:val="none"/>
                <w:lang w:val="en-US" w:eastAsia="zh-CN"/>
              </w:rPr>
            </w:pPr>
            <w:r>
              <w:rPr>
                <w:rFonts w:hint="default" w:ascii="Times New Roman" w:hAnsi="Times New Roman" w:cs="Times New Roman"/>
                <w:b/>
                <w:bCs/>
                <w:color w:val="auto"/>
                <w:kern w:val="0"/>
                <w:sz w:val="24"/>
                <w:highlight w:val="none"/>
                <w:lang w:eastAsia="zh-CN"/>
              </w:rPr>
              <w:t>表</w:t>
            </w:r>
            <w:r>
              <w:rPr>
                <w:rFonts w:hint="default" w:ascii="Times New Roman" w:hAnsi="Times New Roman" w:cs="Times New Roman"/>
                <w:b/>
                <w:bCs/>
                <w:color w:val="auto"/>
                <w:kern w:val="0"/>
                <w:sz w:val="24"/>
                <w:highlight w:val="none"/>
                <w:lang w:val="en-US" w:eastAsia="zh-CN"/>
              </w:rPr>
              <w:t>1-1  园区各片区发展方向一览表</w:t>
            </w:r>
          </w:p>
          <w:tbl>
            <w:tblPr>
              <w:tblStyle w:val="41"/>
              <w:tblW w:w="8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gridCol w:w="548"/>
              <w:gridCol w:w="7175"/>
            </w:tblGrid>
            <w:tr w14:paraId="6CC8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 w:type="dxa"/>
                  <w:tcMar>
                    <w:top w:w="0" w:type="dxa"/>
                    <w:left w:w="6" w:type="dxa"/>
                    <w:bottom w:w="0" w:type="dxa"/>
                    <w:right w:w="6" w:type="dxa"/>
                  </w:tcMar>
                  <w:vAlign w:val="center"/>
                </w:tcPr>
                <w:p w14:paraId="30FB0E5B">
                  <w:pPr>
                    <w:keepNext w:val="0"/>
                    <w:keepLines w:val="0"/>
                    <w:pageBreakBefore w:val="0"/>
                    <w:widowControl w:val="0"/>
                    <w:kinsoku/>
                    <w:wordWrap/>
                    <w:overflowPunct/>
                    <w:topLinePunct w:val="0"/>
                    <w:autoSpaceDE w:val="0"/>
                    <w:autoSpaceDN w:val="0"/>
                    <w:bidi w:val="0"/>
                    <w:adjustRightInd w:val="0"/>
                    <w:snapToGrid w:val="0"/>
                    <w:spacing w:line="280" w:lineRule="exact"/>
                    <w:jc w:val="center"/>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序号</w:t>
                  </w:r>
                </w:p>
              </w:tc>
              <w:tc>
                <w:tcPr>
                  <w:tcW w:w="548" w:type="dxa"/>
                  <w:tcMar>
                    <w:top w:w="0" w:type="dxa"/>
                    <w:left w:w="6" w:type="dxa"/>
                    <w:bottom w:w="0" w:type="dxa"/>
                    <w:right w:w="6" w:type="dxa"/>
                  </w:tcMar>
                  <w:vAlign w:val="center"/>
                </w:tcPr>
                <w:p w14:paraId="37825F9A">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产业</w:t>
                  </w:r>
                </w:p>
                <w:p w14:paraId="47D260BE">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定位</w:t>
                  </w:r>
                </w:p>
              </w:tc>
              <w:tc>
                <w:tcPr>
                  <w:tcW w:w="7175" w:type="dxa"/>
                  <w:tcMar>
                    <w:top w:w="0" w:type="dxa"/>
                    <w:left w:w="6" w:type="dxa"/>
                    <w:bottom w:w="0" w:type="dxa"/>
                    <w:right w:w="6" w:type="dxa"/>
                  </w:tcMar>
                  <w:vAlign w:val="center"/>
                </w:tcPr>
                <w:p w14:paraId="464D596C">
                  <w:pPr>
                    <w:keepNext w:val="0"/>
                    <w:keepLines w:val="0"/>
                    <w:pageBreakBefore w:val="0"/>
                    <w:widowControl w:val="0"/>
                    <w:kinsoku/>
                    <w:wordWrap/>
                    <w:overflowPunct/>
                    <w:topLinePunct w:val="0"/>
                    <w:autoSpaceDE w:val="0"/>
                    <w:autoSpaceDN w:val="0"/>
                    <w:bidi w:val="0"/>
                    <w:adjustRightInd w:val="0"/>
                    <w:snapToGrid w:val="0"/>
                    <w:spacing w:line="280" w:lineRule="exact"/>
                    <w:jc w:val="center"/>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重点发展方向</w:t>
                  </w:r>
                </w:p>
              </w:tc>
            </w:tr>
            <w:tr w14:paraId="2206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 w:type="dxa"/>
                  <w:tcMar>
                    <w:top w:w="0" w:type="dxa"/>
                    <w:left w:w="6" w:type="dxa"/>
                    <w:bottom w:w="0" w:type="dxa"/>
                    <w:right w:w="6" w:type="dxa"/>
                  </w:tcMar>
                  <w:vAlign w:val="center"/>
                </w:tcPr>
                <w:p w14:paraId="22C4EDA9">
                  <w:pPr>
                    <w:keepNext w:val="0"/>
                    <w:keepLines w:val="0"/>
                    <w:pageBreakBefore w:val="0"/>
                    <w:widowControl w:val="0"/>
                    <w:kinsoku/>
                    <w:wordWrap/>
                    <w:overflowPunct/>
                    <w:topLinePunct w:val="0"/>
                    <w:autoSpaceDE w:val="0"/>
                    <w:autoSpaceDN w:val="0"/>
                    <w:bidi w:val="0"/>
                    <w:adjustRightInd w:val="0"/>
                    <w:snapToGrid w:val="0"/>
                    <w:spacing w:line="280" w:lineRule="exact"/>
                    <w:jc w:val="center"/>
                    <w:textAlignment w:val="auto"/>
                    <w:rPr>
                      <w:rFonts w:hint="default" w:ascii="Times New Roman" w:hAnsi="Times New Roman" w:cs="Times New Roman"/>
                      <w:color w:val="auto"/>
                      <w:kern w:val="0"/>
                      <w:sz w:val="18"/>
                      <w:szCs w:val="18"/>
                      <w:highlight w:val="none"/>
                      <w:vertAlign w:val="baseline"/>
                      <w:lang w:val="en-US" w:eastAsia="zh-CN"/>
                    </w:rPr>
                  </w:pPr>
                  <w:r>
                    <w:rPr>
                      <w:rFonts w:hint="default" w:ascii="Times New Roman" w:hAnsi="Times New Roman" w:cs="Times New Roman"/>
                      <w:color w:val="auto"/>
                      <w:kern w:val="0"/>
                      <w:sz w:val="18"/>
                      <w:szCs w:val="18"/>
                      <w:highlight w:val="none"/>
                      <w:vertAlign w:val="baseline"/>
                      <w:lang w:val="en-US" w:eastAsia="zh-CN"/>
                    </w:rPr>
                    <w:t>1</w:t>
                  </w:r>
                </w:p>
              </w:tc>
              <w:tc>
                <w:tcPr>
                  <w:tcW w:w="548" w:type="dxa"/>
                  <w:tcMar>
                    <w:top w:w="0" w:type="dxa"/>
                    <w:left w:w="6" w:type="dxa"/>
                    <w:bottom w:w="0" w:type="dxa"/>
                    <w:right w:w="6" w:type="dxa"/>
                  </w:tcMar>
                  <w:vAlign w:val="center"/>
                </w:tcPr>
                <w:p w14:paraId="4D27E1E2">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特钢</w:t>
                  </w:r>
                </w:p>
                <w:p w14:paraId="37448BC2">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上下</w:t>
                  </w:r>
                </w:p>
                <w:p w14:paraId="0134B4A8">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游</w:t>
                  </w:r>
                </w:p>
              </w:tc>
              <w:tc>
                <w:tcPr>
                  <w:tcW w:w="7175" w:type="dxa"/>
                  <w:tcMar>
                    <w:top w:w="0" w:type="dxa"/>
                    <w:left w:w="6" w:type="dxa"/>
                    <w:bottom w:w="0" w:type="dxa"/>
                    <w:right w:w="6" w:type="dxa"/>
                  </w:tcMar>
                  <w:vAlign w:val="center"/>
                </w:tcPr>
                <w:p w14:paraId="7386E406">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以特种钢产业为主导，形成以机加工为突破口、以关键部件和基础零部件为支撑的“1+2”产业构架，打造河北省战略性新兴产业示范基地、京津冀晋特钢精深加工区域中心。产业主要发展方向包括：</w:t>
                  </w:r>
                </w:p>
                <w:p w14:paraId="37532C79">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1）围绕石钢齿轮钢、弹簧钢、易切削钢、轴承钢等产品，以石钢后部处理工序为主要内容，将石钢自有生产线与外部后处理环节外包、外协企业结合，加快推进精密棒材银亮、冷拔、探伤、精密锻造等系列项目建设，推进产品向“近终型”发展，发展特钢后部精细加工业；（2）依托石钢特钢项目，重点发展关键核心零部件产业；（3）围绕石钢生产配套发展钢铁装备维修、加工业，带动传统中小型机械加工企业转型升级，形成特钢生产配套体系。特钢上下游产业主要分布在石钢片区。</w:t>
                  </w:r>
                </w:p>
              </w:tc>
            </w:tr>
            <w:tr w14:paraId="5515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 w:type="dxa"/>
                  <w:tcMar>
                    <w:top w:w="0" w:type="dxa"/>
                    <w:left w:w="6" w:type="dxa"/>
                    <w:bottom w:w="0" w:type="dxa"/>
                    <w:right w:w="6" w:type="dxa"/>
                  </w:tcMar>
                  <w:vAlign w:val="center"/>
                </w:tcPr>
                <w:p w14:paraId="11FF51B7">
                  <w:pPr>
                    <w:keepNext w:val="0"/>
                    <w:keepLines w:val="0"/>
                    <w:pageBreakBefore w:val="0"/>
                    <w:widowControl w:val="0"/>
                    <w:kinsoku/>
                    <w:wordWrap/>
                    <w:overflowPunct/>
                    <w:topLinePunct w:val="0"/>
                    <w:autoSpaceDE w:val="0"/>
                    <w:autoSpaceDN w:val="0"/>
                    <w:bidi w:val="0"/>
                    <w:adjustRightInd w:val="0"/>
                    <w:snapToGrid w:val="0"/>
                    <w:spacing w:line="280" w:lineRule="exact"/>
                    <w:jc w:val="center"/>
                    <w:textAlignment w:val="auto"/>
                    <w:rPr>
                      <w:rFonts w:hint="default" w:ascii="Times New Roman" w:hAnsi="Times New Roman" w:cs="Times New Roman"/>
                      <w:color w:val="auto"/>
                      <w:kern w:val="0"/>
                      <w:sz w:val="18"/>
                      <w:szCs w:val="18"/>
                      <w:highlight w:val="none"/>
                      <w:vertAlign w:val="baseline"/>
                      <w:lang w:val="en-US" w:eastAsia="zh-CN"/>
                    </w:rPr>
                  </w:pPr>
                  <w:r>
                    <w:rPr>
                      <w:rFonts w:hint="default" w:ascii="Times New Roman" w:hAnsi="Times New Roman" w:cs="Times New Roman"/>
                      <w:color w:val="auto"/>
                      <w:kern w:val="0"/>
                      <w:sz w:val="18"/>
                      <w:szCs w:val="18"/>
                      <w:highlight w:val="none"/>
                      <w:vertAlign w:val="baseline"/>
                      <w:lang w:val="en-US" w:eastAsia="zh-CN"/>
                    </w:rPr>
                    <w:t>2</w:t>
                  </w:r>
                </w:p>
              </w:tc>
              <w:tc>
                <w:tcPr>
                  <w:tcW w:w="548" w:type="dxa"/>
                  <w:tcMar>
                    <w:top w:w="0" w:type="dxa"/>
                    <w:left w:w="6" w:type="dxa"/>
                    <w:bottom w:w="0" w:type="dxa"/>
                    <w:right w:w="6" w:type="dxa"/>
                  </w:tcMar>
                  <w:vAlign w:val="center"/>
                </w:tcPr>
                <w:p w14:paraId="05170D46">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高端</w:t>
                  </w:r>
                </w:p>
                <w:p w14:paraId="261A9ACB">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装备</w:t>
                  </w:r>
                </w:p>
                <w:p w14:paraId="5DDDC8B5">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制造</w:t>
                  </w:r>
                </w:p>
              </w:tc>
              <w:tc>
                <w:tcPr>
                  <w:tcW w:w="7175" w:type="dxa"/>
                  <w:tcMar>
                    <w:top w:w="0" w:type="dxa"/>
                    <w:left w:w="6" w:type="dxa"/>
                    <w:bottom w:w="0" w:type="dxa"/>
                    <w:right w:w="6" w:type="dxa"/>
                  </w:tcMar>
                  <w:vAlign w:val="center"/>
                </w:tcPr>
                <w:p w14:paraId="5A251930">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依托上游特钢上下游产业优势，建成在河北省具有一定特色，涵盖汽车、矿山、铁路交通、工程机械、电气机械和器材等领域的装备制造基地，使之成为推动园区经济快速发展的成长产业和新的增长极。装备制造产业发展思路紧抓国家出台《装备制造业调整和振兴规划》的契机，对园区装备制造业进行整合升级，做大做强现有企业，做精现有产品，做好优势产品，配合石家庄和园区近期及中长期发展需要，积极招商引资，引进大型装备制造企业，打造装备制造产业链，实现产品类型多样化、全面化发展，促进园区乃至石家庄装备制造业的快速发展。高端装备制造产业主要分布在丰达片区和融合片区，另外在石钢片区和天汇片区也有少量分布。</w:t>
                  </w:r>
                </w:p>
              </w:tc>
            </w:tr>
            <w:tr w14:paraId="55A5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 w:type="dxa"/>
                  <w:tcMar>
                    <w:top w:w="0" w:type="dxa"/>
                    <w:left w:w="6" w:type="dxa"/>
                    <w:bottom w:w="0" w:type="dxa"/>
                    <w:right w:w="6" w:type="dxa"/>
                  </w:tcMar>
                  <w:vAlign w:val="center"/>
                </w:tcPr>
                <w:p w14:paraId="1AB27CD6">
                  <w:pPr>
                    <w:keepNext w:val="0"/>
                    <w:keepLines w:val="0"/>
                    <w:pageBreakBefore w:val="0"/>
                    <w:widowControl w:val="0"/>
                    <w:kinsoku/>
                    <w:wordWrap/>
                    <w:overflowPunct/>
                    <w:topLinePunct w:val="0"/>
                    <w:autoSpaceDE w:val="0"/>
                    <w:autoSpaceDN w:val="0"/>
                    <w:bidi w:val="0"/>
                    <w:adjustRightInd w:val="0"/>
                    <w:snapToGrid w:val="0"/>
                    <w:spacing w:line="280" w:lineRule="exact"/>
                    <w:jc w:val="center"/>
                    <w:textAlignment w:val="auto"/>
                    <w:rPr>
                      <w:rFonts w:hint="default" w:ascii="Times New Roman" w:hAnsi="Times New Roman" w:cs="Times New Roman"/>
                      <w:color w:val="auto"/>
                      <w:kern w:val="0"/>
                      <w:sz w:val="18"/>
                      <w:szCs w:val="18"/>
                      <w:highlight w:val="none"/>
                      <w:vertAlign w:val="baseline"/>
                      <w:lang w:val="en-US" w:eastAsia="zh-CN"/>
                    </w:rPr>
                  </w:pPr>
                  <w:r>
                    <w:rPr>
                      <w:rFonts w:hint="default" w:ascii="Times New Roman" w:hAnsi="Times New Roman" w:cs="Times New Roman"/>
                      <w:color w:val="auto"/>
                      <w:kern w:val="0"/>
                      <w:sz w:val="18"/>
                      <w:szCs w:val="18"/>
                      <w:highlight w:val="none"/>
                      <w:vertAlign w:val="baseline"/>
                      <w:lang w:val="en-US" w:eastAsia="zh-CN"/>
                    </w:rPr>
                    <w:t>3</w:t>
                  </w:r>
                </w:p>
              </w:tc>
              <w:tc>
                <w:tcPr>
                  <w:tcW w:w="548" w:type="dxa"/>
                  <w:tcMar>
                    <w:top w:w="0" w:type="dxa"/>
                    <w:left w:w="6" w:type="dxa"/>
                    <w:bottom w:w="0" w:type="dxa"/>
                    <w:right w:w="6" w:type="dxa"/>
                  </w:tcMar>
                  <w:vAlign w:val="center"/>
                </w:tcPr>
                <w:p w14:paraId="1EA38AAF">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新材</w:t>
                  </w:r>
                </w:p>
                <w:p w14:paraId="0538F274">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料</w:t>
                  </w:r>
                </w:p>
              </w:tc>
              <w:tc>
                <w:tcPr>
                  <w:tcW w:w="7175" w:type="dxa"/>
                  <w:tcMar>
                    <w:top w:w="0" w:type="dxa"/>
                    <w:left w:w="6" w:type="dxa"/>
                    <w:bottom w:w="0" w:type="dxa"/>
                    <w:right w:w="6" w:type="dxa"/>
                  </w:tcMar>
                  <w:vAlign w:val="center"/>
                </w:tcPr>
                <w:p w14:paraId="0CAD2024">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以绿色化、生态化为方向，激发传统产业在新材料方向发展新动能，深入挖掘矿峰水泥等大型本地企业资源，加快推进建材行业提档升级，转型发展。主要发展方向为：依托矿峰水泥，打造新材料产业基地，大力发展新型建材等产业。优化新材料产业布局和结构，建立完善的产业链条、提升产业集聚度、推动产业结构升级、加强企业技术创新，推广绿色生产技术、开发环保型新材料产品、建立循环经济体系，促进新材料产业的健康可持续发展。新型金属材料主要包括：高性能金属材料及特殊合金材料生产技术；电子元器件用金属功能材料制造技术；半导体材料生产技术；特殊功能有色金属材料及应用技术；金属及非金属材料先进制备、加工和成型技术等。新型无机非金属材料主要包括：高性能结构陶瓷强化增韧技术；高性能功能陶瓷制造技术；节能与环保用新型无机非金属材料制造技术。新材料产业主要分布在天汇片区，另外在石钢片区和丰达片区也有少量分布。</w:t>
                  </w:r>
                </w:p>
              </w:tc>
            </w:tr>
            <w:tr w14:paraId="0952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 w:type="dxa"/>
                  <w:tcMar>
                    <w:top w:w="0" w:type="dxa"/>
                    <w:left w:w="6" w:type="dxa"/>
                    <w:bottom w:w="0" w:type="dxa"/>
                    <w:right w:w="6" w:type="dxa"/>
                  </w:tcMar>
                  <w:vAlign w:val="center"/>
                </w:tcPr>
                <w:p w14:paraId="2427FD73">
                  <w:pPr>
                    <w:keepNext w:val="0"/>
                    <w:keepLines w:val="0"/>
                    <w:pageBreakBefore w:val="0"/>
                    <w:widowControl w:val="0"/>
                    <w:kinsoku/>
                    <w:wordWrap/>
                    <w:overflowPunct/>
                    <w:topLinePunct w:val="0"/>
                    <w:autoSpaceDE w:val="0"/>
                    <w:autoSpaceDN w:val="0"/>
                    <w:bidi w:val="0"/>
                    <w:adjustRightInd w:val="0"/>
                    <w:snapToGrid w:val="0"/>
                    <w:spacing w:line="280" w:lineRule="exact"/>
                    <w:jc w:val="center"/>
                    <w:textAlignment w:val="auto"/>
                    <w:rPr>
                      <w:rFonts w:hint="default" w:ascii="Times New Roman" w:hAnsi="Times New Roman" w:cs="Times New Roman"/>
                      <w:color w:val="auto"/>
                      <w:kern w:val="0"/>
                      <w:sz w:val="18"/>
                      <w:szCs w:val="18"/>
                      <w:highlight w:val="none"/>
                      <w:vertAlign w:val="baseline"/>
                      <w:lang w:val="en-US" w:eastAsia="zh-CN"/>
                    </w:rPr>
                  </w:pPr>
                  <w:r>
                    <w:rPr>
                      <w:rFonts w:hint="default" w:ascii="Times New Roman" w:hAnsi="Times New Roman" w:cs="Times New Roman"/>
                      <w:color w:val="auto"/>
                      <w:kern w:val="0"/>
                      <w:sz w:val="18"/>
                      <w:szCs w:val="18"/>
                      <w:highlight w:val="none"/>
                      <w:vertAlign w:val="baseline"/>
                      <w:lang w:val="en-US" w:eastAsia="zh-CN"/>
                    </w:rPr>
                    <w:t>4</w:t>
                  </w:r>
                </w:p>
              </w:tc>
              <w:tc>
                <w:tcPr>
                  <w:tcW w:w="548" w:type="dxa"/>
                  <w:tcMar>
                    <w:top w:w="0" w:type="dxa"/>
                    <w:left w:w="6" w:type="dxa"/>
                    <w:bottom w:w="0" w:type="dxa"/>
                    <w:right w:w="6" w:type="dxa"/>
                  </w:tcMar>
                  <w:vAlign w:val="center"/>
                </w:tcPr>
                <w:p w14:paraId="61CD28DE">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循环</w:t>
                  </w:r>
                </w:p>
                <w:p w14:paraId="3FF21829">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经济</w:t>
                  </w:r>
                </w:p>
              </w:tc>
              <w:tc>
                <w:tcPr>
                  <w:tcW w:w="7175" w:type="dxa"/>
                  <w:tcMar>
                    <w:top w:w="0" w:type="dxa"/>
                    <w:left w:w="6" w:type="dxa"/>
                    <w:bottom w:w="0" w:type="dxa"/>
                    <w:right w:w="6" w:type="dxa"/>
                  </w:tcMar>
                  <w:vAlign w:val="center"/>
                </w:tcPr>
                <w:p w14:paraId="5D885429">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全面推进园区能源资源的梯级利用和系统优化，加强园区内产业循环耦合，创建生态工业示范园区和绿色产业示范基地，推动园区各产业跨行业废旧资源综合利用融合发展、集聚发展，积极做好碳达峰、碳中和工作。主要发展方向为：（1）围绕各产业生产工艺以及配套公辅工程等环节产生的废旧资源进行回收利用，为特钢、先进装备制造、新材料等产业生产提供废钢资源、稀有金属辅配料、特钢材料等原材料，实现物质流循环（2）充分利用石钢、矿峰水泥余热，实现能量流循环。</w:t>
                  </w:r>
                </w:p>
              </w:tc>
            </w:tr>
          </w:tbl>
          <w:p w14:paraId="0D3E1C7D">
            <w:pPr>
              <w:keepNext w:val="0"/>
              <w:keepLines w:val="0"/>
              <w:pageBreakBefore w:val="0"/>
              <w:widowControl w:val="0"/>
              <w:kinsoku/>
              <w:wordWrap/>
              <w:overflowPunct/>
              <w:topLinePunct w:val="0"/>
              <w:autoSpaceDE w:val="0"/>
              <w:autoSpaceDN w:val="0"/>
              <w:bidi w:val="0"/>
              <w:adjustRightInd w:val="0"/>
              <w:snapToGrid w:val="0"/>
              <w:spacing w:line="480" w:lineRule="exact"/>
              <w:ind w:firstLine="482"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b/>
                <w:bCs/>
                <w:color w:val="auto"/>
                <w:kern w:val="0"/>
                <w:sz w:val="24"/>
                <w:highlight w:val="none"/>
                <w:lang w:val="en-US" w:eastAsia="zh-CN"/>
              </w:rPr>
              <w:t>本项目符合性：</w:t>
            </w:r>
            <w:r>
              <w:rPr>
                <w:rFonts w:hint="default" w:ascii="Times New Roman" w:hAnsi="Times New Roman" w:cs="Times New Roman"/>
                <w:color w:val="auto"/>
                <w:kern w:val="0"/>
                <w:sz w:val="24"/>
                <w:highlight w:val="none"/>
                <w:lang w:val="en-US" w:eastAsia="zh-CN"/>
              </w:rPr>
              <w:t>项目依托矿峰水泥等大型本地企业资源，生产钢制边框复合隔墙板、石膏砂浆、防火保温砂浆，均属于新型材料。隔墙板主要原料为脱硫石膏、珍珠岩等，</w:t>
            </w:r>
            <w:r>
              <w:rPr>
                <w:rFonts w:hint="default" w:ascii="Times New Roman" w:hAnsi="Times New Roman" w:cs="Times New Roman"/>
                <w:color w:val="auto"/>
                <w:kern w:val="0"/>
                <w:sz w:val="24"/>
                <w:highlight w:val="none"/>
                <w:lang w:eastAsia="zh-CN"/>
              </w:rPr>
              <w:t>具有良好的防火、保温、隔音性能，同时具备一定的强度和稳定性；石膏砂浆属于一种新型墙体抹灰涂料，与传统的水泥基形态有很大的区别，属于一种创新材料，它有着极强的附着性，可以很轻松的附着在物体表面，还具有抗裂、隔音、隔热、自动调节室内温度等诸多优势；防火保温砂浆是一种用于建筑物内外墙粉刷的新型保温节能砂浆材料，采用容重轻、导热系数小、不燃的无机保温材料为主要原料。根据</w:t>
            </w:r>
            <w:r>
              <w:rPr>
                <w:rFonts w:hint="default" w:ascii="Times New Roman" w:hAnsi="Times New Roman" w:eastAsia="宋体" w:cs="Times New Roman"/>
                <w:color w:val="auto"/>
                <w:kern w:val="2"/>
                <w:sz w:val="24"/>
                <w:szCs w:val="20"/>
                <w:highlight w:val="none"/>
                <w:lang w:val="en-US" w:eastAsia="zh-CN"/>
              </w:rPr>
              <w:t>《河北石家庄矿区工业园区总体发展规划（2022-2030）环境影响报告书》及其审批意见</w:t>
            </w:r>
            <w:r>
              <w:rPr>
                <w:rFonts w:hint="default" w:ascii="Times New Roman" w:hAnsi="Times New Roman" w:eastAsia="宋体" w:cs="Times New Roman"/>
                <w:color w:val="auto"/>
                <w:kern w:val="0"/>
                <w:sz w:val="24"/>
                <w:highlight w:val="none"/>
                <w:lang w:eastAsia="zh-CN"/>
              </w:rPr>
              <w:t>，本项目</w:t>
            </w:r>
            <w:r>
              <w:rPr>
                <w:rFonts w:hint="default" w:ascii="Times New Roman" w:hAnsi="Times New Roman" w:cs="Times New Roman"/>
                <w:color w:val="auto"/>
                <w:kern w:val="0"/>
                <w:sz w:val="24"/>
                <w:highlight w:val="none"/>
                <w:lang w:val="en-US" w:eastAsia="zh-CN"/>
              </w:rPr>
              <w:t>符合开发区总体规划</w:t>
            </w:r>
            <w:r>
              <w:rPr>
                <w:rFonts w:hint="default" w:ascii="Times New Roman" w:hAnsi="Times New Roman" w:cs="Times New Roman"/>
                <w:color w:val="auto"/>
                <w:kern w:val="0"/>
                <w:sz w:val="24"/>
                <w:highlight w:val="none"/>
                <w:lang w:eastAsia="zh-CN"/>
              </w:rPr>
              <w:t>，因此，本项目符合</w:t>
            </w:r>
            <w:r>
              <w:rPr>
                <w:rFonts w:hint="default" w:ascii="Times New Roman" w:hAnsi="Times New Roman" w:eastAsia="宋体" w:cs="Times New Roman"/>
                <w:color w:val="auto"/>
                <w:kern w:val="0"/>
                <w:sz w:val="24"/>
                <w:highlight w:val="none"/>
                <w:lang w:eastAsia="zh-CN"/>
              </w:rPr>
              <w:t>河北石家庄矿区工业园区</w:t>
            </w:r>
            <w:r>
              <w:rPr>
                <w:rFonts w:hint="default" w:ascii="Times New Roman" w:hAnsi="Times New Roman" w:cs="Times New Roman"/>
                <w:color w:val="auto"/>
                <w:kern w:val="0"/>
                <w:sz w:val="24"/>
                <w:highlight w:val="none"/>
                <w:lang w:eastAsia="zh-CN"/>
              </w:rPr>
              <w:t>及丰达片区的产业发展方向。产业规划图见附图</w:t>
            </w:r>
            <w:r>
              <w:rPr>
                <w:rFonts w:hint="default" w:ascii="Times New Roman" w:hAnsi="Times New Roman" w:cs="Times New Roman"/>
                <w:color w:val="auto"/>
                <w:kern w:val="0"/>
                <w:sz w:val="24"/>
                <w:highlight w:val="none"/>
                <w:lang w:val="en-US" w:eastAsia="zh-CN"/>
              </w:rPr>
              <w:t>6</w:t>
            </w:r>
            <w:r>
              <w:rPr>
                <w:rFonts w:hint="default" w:ascii="Times New Roman" w:hAnsi="Times New Roman" w:cs="Times New Roman"/>
                <w:color w:val="auto"/>
                <w:kern w:val="0"/>
                <w:sz w:val="24"/>
                <w:highlight w:val="none"/>
                <w:lang w:eastAsia="zh-CN"/>
              </w:rPr>
              <w:t>。</w:t>
            </w:r>
          </w:p>
          <w:p w14:paraId="1F52A33A">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val="en-US" w:eastAsia="zh-CN"/>
              </w:rPr>
              <w:t>3</w:t>
            </w:r>
            <w:r>
              <w:rPr>
                <w:rFonts w:hint="default" w:ascii="Times New Roman" w:hAnsi="Times New Roman" w:eastAsia="宋体" w:cs="Times New Roman"/>
                <w:color w:val="auto"/>
                <w:kern w:val="0"/>
                <w:sz w:val="24"/>
                <w:highlight w:val="none"/>
                <w:lang w:eastAsia="zh-CN"/>
              </w:rPr>
              <w:t>、基础设施规划符合性分析</w:t>
            </w:r>
          </w:p>
          <w:p w14:paraId="5C4AA75E">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（1）供水工程</w:t>
            </w:r>
          </w:p>
          <w:p w14:paraId="6B1F1046">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规划园区水源以地表水和再生水为主，地下水作为紧急备用水源</w:t>
            </w:r>
            <w:r>
              <w:rPr>
                <w:rFonts w:hint="default" w:ascii="Times New Roman" w:hAnsi="Times New Roman" w:cs="Times New Roman"/>
                <w:color w:val="auto"/>
                <w:kern w:val="0"/>
                <w:sz w:val="24"/>
                <w:highlight w:val="none"/>
                <w:lang w:eastAsia="zh-CN"/>
              </w:rPr>
              <w:t>。园区的用水结构为地表水优先供应生活用水；再生水优先供应石钢公司工业用水，其次供应其他企业工业用水、景观用水、浇洒道路、市政用水。矿区白彪水厂，近期规模2.0万立方米/日，远期规模达到4.5万立方米/日，占地2.03公顷。规划在南寨水库东侧新建南寨水厂，水源为地表水，供水规模为2.00万立方米/日，占地1.71公顷。规划保留2座再生水厂，其中矿区再生水厂位于城区东南侧，设计规模为2万m</w:t>
            </w:r>
            <w:r>
              <w:rPr>
                <w:rFonts w:hint="default" w:ascii="Times New Roman" w:hAnsi="Times New Roman" w:cs="Times New Roman"/>
                <w:color w:val="auto"/>
                <w:kern w:val="0"/>
                <w:sz w:val="24"/>
                <w:highlight w:val="none"/>
                <w:vertAlign w:val="superscript"/>
                <w:lang w:eastAsia="zh-CN"/>
              </w:rPr>
              <w:t>3</w:t>
            </w:r>
            <w:r>
              <w:rPr>
                <w:rFonts w:hint="default" w:ascii="Times New Roman" w:hAnsi="Times New Roman" w:cs="Times New Roman"/>
                <w:color w:val="auto"/>
                <w:kern w:val="0"/>
                <w:sz w:val="24"/>
                <w:highlight w:val="none"/>
                <w:lang w:eastAsia="zh-CN"/>
              </w:rPr>
              <w:t>/d；贾庄再生水厂位于石钢片区北侧，设计规模为1500m</w:t>
            </w:r>
            <w:r>
              <w:rPr>
                <w:rFonts w:hint="default" w:ascii="Times New Roman" w:hAnsi="Times New Roman" w:cs="Times New Roman"/>
                <w:color w:val="auto"/>
                <w:kern w:val="0"/>
                <w:sz w:val="24"/>
                <w:highlight w:val="none"/>
                <w:vertAlign w:val="superscript"/>
                <w:lang w:eastAsia="zh-CN"/>
              </w:rPr>
              <w:t>3</w:t>
            </w:r>
            <w:r>
              <w:rPr>
                <w:rFonts w:hint="default" w:ascii="Times New Roman" w:hAnsi="Times New Roman" w:cs="Times New Roman"/>
                <w:color w:val="auto"/>
                <w:kern w:val="0"/>
                <w:sz w:val="24"/>
                <w:highlight w:val="none"/>
                <w:lang w:eastAsia="zh-CN"/>
              </w:rPr>
              <w:t>/d。</w:t>
            </w:r>
          </w:p>
          <w:p w14:paraId="3D83A5E4">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本</w:t>
            </w:r>
            <w:r>
              <w:rPr>
                <w:rFonts w:hint="default" w:ascii="Times New Roman" w:hAnsi="Times New Roman" w:eastAsia="宋体" w:cs="Times New Roman"/>
                <w:color w:val="auto"/>
                <w:kern w:val="0"/>
                <w:sz w:val="24"/>
                <w:highlight w:val="none"/>
                <w:lang w:eastAsia="zh-CN"/>
              </w:rPr>
              <w:t>项目新鲜水用量为</w:t>
            </w:r>
            <w:r>
              <w:rPr>
                <w:rFonts w:hint="default" w:ascii="Times New Roman" w:hAnsi="Times New Roman" w:cs="Times New Roman"/>
                <w:color w:val="auto"/>
                <w:kern w:val="0"/>
                <w:sz w:val="24"/>
                <w:highlight w:val="none"/>
                <w:lang w:val="en-US" w:eastAsia="zh-CN"/>
              </w:rPr>
              <w:t>12.26</w:t>
            </w:r>
            <w:r>
              <w:rPr>
                <w:rFonts w:hint="default" w:ascii="Times New Roman" w:hAnsi="Times New Roman" w:eastAsia="宋体" w:cs="Times New Roman"/>
                <w:color w:val="auto"/>
                <w:kern w:val="0"/>
                <w:sz w:val="24"/>
                <w:highlight w:val="none"/>
                <w:lang w:eastAsia="zh-CN"/>
              </w:rPr>
              <w:t>m</w:t>
            </w:r>
            <w:r>
              <w:rPr>
                <w:rFonts w:hint="default" w:ascii="Times New Roman" w:hAnsi="Times New Roman" w:eastAsia="宋体" w:cs="Times New Roman"/>
                <w:color w:val="auto"/>
                <w:kern w:val="0"/>
                <w:sz w:val="24"/>
                <w:highlight w:val="none"/>
                <w:vertAlign w:val="superscript"/>
                <w:lang w:eastAsia="zh-CN"/>
              </w:rPr>
              <w:t>3</w:t>
            </w:r>
            <w:r>
              <w:rPr>
                <w:rFonts w:hint="default" w:ascii="Times New Roman" w:hAnsi="Times New Roman" w:eastAsia="宋体" w:cs="Times New Roman"/>
                <w:color w:val="auto"/>
                <w:kern w:val="0"/>
                <w:sz w:val="24"/>
                <w:highlight w:val="none"/>
                <w:lang w:eastAsia="zh-CN"/>
              </w:rPr>
              <w:t>/d（</w:t>
            </w:r>
            <w:r>
              <w:rPr>
                <w:rFonts w:hint="default" w:ascii="Times New Roman" w:hAnsi="Times New Roman" w:cs="Times New Roman"/>
                <w:color w:val="auto"/>
                <w:kern w:val="0"/>
                <w:sz w:val="24"/>
                <w:highlight w:val="none"/>
                <w:lang w:val="en-US" w:eastAsia="zh-CN"/>
              </w:rPr>
              <w:t>3678</w:t>
            </w:r>
            <w:r>
              <w:rPr>
                <w:rFonts w:hint="default" w:ascii="Times New Roman" w:hAnsi="Times New Roman" w:eastAsia="宋体" w:cs="Times New Roman"/>
                <w:color w:val="auto"/>
                <w:kern w:val="0"/>
                <w:sz w:val="24"/>
                <w:highlight w:val="none"/>
                <w:lang w:eastAsia="zh-CN"/>
              </w:rPr>
              <w:t>m</w:t>
            </w:r>
            <w:r>
              <w:rPr>
                <w:rFonts w:hint="default" w:ascii="Times New Roman" w:hAnsi="Times New Roman" w:eastAsia="宋体" w:cs="Times New Roman"/>
                <w:color w:val="auto"/>
                <w:kern w:val="0"/>
                <w:sz w:val="24"/>
                <w:highlight w:val="none"/>
                <w:vertAlign w:val="superscript"/>
                <w:lang w:eastAsia="zh-CN"/>
              </w:rPr>
              <w:t>3</w:t>
            </w:r>
            <w:r>
              <w:rPr>
                <w:rFonts w:hint="default" w:ascii="Times New Roman" w:hAnsi="Times New Roman" w:eastAsia="宋体" w:cs="Times New Roman"/>
                <w:color w:val="auto"/>
                <w:kern w:val="0"/>
                <w:sz w:val="24"/>
                <w:highlight w:val="none"/>
                <w:lang w:eastAsia="zh-CN"/>
              </w:rPr>
              <w:t>/a），由园区供水管网集中供给，可满足项目生产生活用水需求。</w:t>
            </w:r>
          </w:p>
          <w:p w14:paraId="1139AF25">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（2）排水</w:t>
            </w:r>
          </w:p>
          <w:p w14:paraId="34807396">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规划排水体制采用雨污分流制。</w:t>
            </w:r>
            <w:r>
              <w:rPr>
                <w:rFonts w:hint="default" w:ascii="Times New Roman" w:hAnsi="Times New Roman" w:cs="Times New Roman"/>
                <w:color w:val="auto"/>
                <w:kern w:val="0"/>
                <w:sz w:val="24"/>
                <w:highlight w:val="none"/>
                <w:lang w:eastAsia="zh-CN"/>
              </w:rPr>
              <w:t>污水处理</w:t>
            </w:r>
            <w:r>
              <w:rPr>
                <w:rFonts w:hint="default" w:ascii="Times New Roman" w:hAnsi="Times New Roman" w:eastAsia="宋体" w:cs="Times New Roman"/>
                <w:color w:val="auto"/>
                <w:kern w:val="0"/>
                <w:sz w:val="24"/>
                <w:highlight w:val="none"/>
                <w:lang w:eastAsia="zh-CN"/>
              </w:rPr>
              <w:t>遵守水源保护地准保护区政策，生产污水处理采用企业自行处理方式，实现生产污水处理零排放，后期对企业进行跟踪，严令禁止排放污水。生活污水由污水管道排入矿区绿洁污水处理厂和贾庄污水处理厂。</w:t>
            </w:r>
          </w:p>
          <w:p w14:paraId="34DA8EB9">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规划保留现状 2 座生活污水处理厂，矿区绿洁污水处理厂位于城区东南侧，设计规模为 2 万m</w:t>
            </w:r>
            <w:r>
              <w:rPr>
                <w:rFonts w:hint="default" w:ascii="Times New Roman" w:hAnsi="Times New Roman" w:eastAsia="宋体" w:cs="Times New Roman"/>
                <w:color w:val="auto"/>
                <w:kern w:val="0"/>
                <w:sz w:val="24"/>
                <w:highlight w:val="none"/>
                <w:vertAlign w:val="superscript"/>
                <w:lang w:eastAsia="zh-CN"/>
              </w:rPr>
              <w:t>3</w:t>
            </w:r>
            <w:r>
              <w:rPr>
                <w:rFonts w:hint="default" w:ascii="Times New Roman" w:hAnsi="Times New Roman" w:eastAsia="宋体" w:cs="Times New Roman"/>
                <w:color w:val="auto"/>
                <w:kern w:val="0"/>
                <w:sz w:val="24"/>
                <w:highlight w:val="none"/>
                <w:lang w:eastAsia="zh-CN"/>
              </w:rPr>
              <w:t>/d；贾庄污水处理厂位于石钢片区北侧，设计规模为 1500m</w:t>
            </w:r>
            <w:r>
              <w:rPr>
                <w:rFonts w:hint="default" w:ascii="Times New Roman" w:hAnsi="Times New Roman" w:eastAsia="宋体" w:cs="Times New Roman"/>
                <w:color w:val="auto"/>
                <w:kern w:val="0"/>
                <w:sz w:val="24"/>
                <w:highlight w:val="none"/>
                <w:vertAlign w:val="superscript"/>
                <w:lang w:eastAsia="zh-CN"/>
              </w:rPr>
              <w:t>3</w:t>
            </w:r>
            <w:r>
              <w:rPr>
                <w:rFonts w:hint="default" w:ascii="Times New Roman" w:hAnsi="Times New Roman" w:eastAsia="宋体" w:cs="Times New Roman"/>
                <w:color w:val="auto"/>
                <w:kern w:val="0"/>
                <w:sz w:val="24"/>
                <w:highlight w:val="none"/>
                <w:lang w:eastAsia="zh-CN"/>
              </w:rPr>
              <w:t>/d。</w:t>
            </w:r>
          </w:p>
          <w:p w14:paraId="3497140C">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本项目车辆冲洗水、模具冲洗水</w:t>
            </w:r>
            <w:r>
              <w:rPr>
                <w:rFonts w:hint="default" w:ascii="Times New Roman" w:hAnsi="Times New Roman" w:eastAsia="宋体" w:cs="Times New Roman"/>
                <w:color w:val="auto"/>
                <w:kern w:val="0"/>
                <w:sz w:val="24"/>
                <w:highlight w:val="none"/>
                <w:lang w:val="en-US" w:eastAsia="zh-CN"/>
              </w:rPr>
              <w:t>经各自沉淀池沉淀后回用，不外排；生活污水，排入厂区化粪池，定期清掏，废水不外排</w:t>
            </w:r>
            <w:r>
              <w:rPr>
                <w:rFonts w:hint="default" w:ascii="Times New Roman" w:hAnsi="Times New Roman" w:eastAsia="宋体" w:cs="Times New Roman"/>
                <w:color w:val="auto"/>
                <w:kern w:val="0"/>
                <w:sz w:val="24"/>
                <w:highlight w:val="none"/>
                <w:lang w:eastAsia="zh-CN"/>
              </w:rPr>
              <w:t>。</w:t>
            </w:r>
          </w:p>
          <w:p w14:paraId="60807E66">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（3）</w:t>
            </w:r>
            <w:r>
              <w:rPr>
                <w:rFonts w:hint="default" w:ascii="Times New Roman" w:hAnsi="Times New Roman" w:cs="Times New Roman"/>
                <w:color w:val="auto"/>
                <w:kern w:val="0"/>
                <w:sz w:val="24"/>
                <w:highlight w:val="none"/>
                <w:lang w:eastAsia="zh-CN"/>
              </w:rPr>
              <w:t>供热</w:t>
            </w:r>
          </w:p>
          <w:p w14:paraId="3F3276D8">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根据生产特点，钢铁企业生产用热可自身解决；装备制造行业中的中频炉熔融、退火、烘干等工序用热使用电或天然气，采暖也通过自身生产余热供给；在无法实施集中供热的区域，积极采用太阳能、地热、电能、天然气等多种环保型供热方式。本次规划不再规划集中供热设施，园区企业根据行业特点充分利用生产余热为主力热源，天然气、电能等清洁能源为补充，远期视园区发展情况而定。</w:t>
            </w:r>
          </w:p>
          <w:p w14:paraId="7A2131CC">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本</w:t>
            </w:r>
            <w:r>
              <w:rPr>
                <w:rFonts w:hint="default" w:ascii="Times New Roman" w:hAnsi="Times New Roman" w:eastAsia="宋体" w:cs="Times New Roman"/>
                <w:color w:val="auto"/>
                <w:kern w:val="0"/>
                <w:sz w:val="24"/>
                <w:highlight w:val="none"/>
                <w:lang w:eastAsia="zh-CN"/>
              </w:rPr>
              <w:t>项目生产</w:t>
            </w:r>
            <w:r>
              <w:rPr>
                <w:rFonts w:hint="default" w:ascii="Times New Roman" w:hAnsi="Times New Roman" w:cs="Times New Roman"/>
                <w:color w:val="auto"/>
                <w:kern w:val="0"/>
                <w:sz w:val="24"/>
                <w:highlight w:val="none"/>
                <w:lang w:val="en-US" w:eastAsia="zh-CN"/>
              </w:rPr>
              <w:t>不</w:t>
            </w:r>
            <w:r>
              <w:rPr>
                <w:rFonts w:hint="default" w:ascii="Times New Roman" w:hAnsi="Times New Roman" w:eastAsia="宋体" w:cs="Times New Roman"/>
                <w:color w:val="auto"/>
                <w:kern w:val="0"/>
                <w:sz w:val="24"/>
                <w:highlight w:val="none"/>
                <w:lang w:eastAsia="zh-CN"/>
              </w:rPr>
              <w:t>用热，冬季办公室取暖由空调提供。</w:t>
            </w:r>
          </w:p>
          <w:p w14:paraId="5ED4A822">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4</w:t>
            </w:r>
            <w:r>
              <w:rPr>
                <w:rFonts w:hint="default" w:ascii="Times New Roman" w:hAnsi="Times New Roman" w:cs="Times New Roman"/>
                <w:color w:val="auto"/>
                <w:kern w:val="0"/>
                <w:sz w:val="24"/>
                <w:highlight w:val="none"/>
                <w:lang w:eastAsia="zh-CN"/>
              </w:rPr>
              <w:t>）燃气规划</w:t>
            </w:r>
          </w:p>
          <w:p w14:paraId="3F830ADA">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根据矿区国土空间总体规划，保留现状矿区门站，续建贾庄门站，规模为 12万m</w:t>
            </w:r>
            <w:r>
              <w:rPr>
                <w:rFonts w:hint="default" w:ascii="Times New Roman" w:hAnsi="Times New Roman" w:eastAsia="宋体" w:cs="Times New Roman"/>
                <w:color w:val="auto"/>
                <w:kern w:val="0"/>
                <w:sz w:val="24"/>
                <w:highlight w:val="none"/>
                <w:vertAlign w:val="superscript"/>
                <w:lang w:eastAsia="zh-CN"/>
              </w:rPr>
              <w:t>3</w:t>
            </w:r>
            <w:r>
              <w:rPr>
                <w:rFonts w:hint="default" w:ascii="Times New Roman" w:hAnsi="Times New Roman" w:eastAsia="宋体" w:cs="Times New Roman"/>
                <w:color w:val="auto"/>
                <w:kern w:val="0"/>
                <w:sz w:val="24"/>
                <w:highlight w:val="none"/>
                <w:lang w:eastAsia="zh-CN"/>
              </w:rPr>
              <w:t>/h。加强应急储气保障，规划结合贾庄门站新建LNG储配站1座。</w:t>
            </w:r>
          </w:p>
          <w:p w14:paraId="02DB0056">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本项目不使用天然气。</w:t>
            </w:r>
          </w:p>
          <w:p w14:paraId="5978838A">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5</w:t>
            </w:r>
            <w:r>
              <w:rPr>
                <w:rFonts w:hint="default" w:ascii="Times New Roman" w:hAnsi="Times New Roman"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eastAsia="zh-CN"/>
              </w:rPr>
              <w:t>供电</w:t>
            </w:r>
          </w:p>
          <w:p w14:paraId="7A73AF39">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220kv变电站建设保留现状园区井矿220kV变电站。110kv变电站建设规划新增110千伏凤凰站一座，位于南区西南侧，规模为150MVA，占地0.52公顷。扩建升级现状35千伏洪州站为110千伏站，规模为100MVA，占地0.62公顷。保留现状110kv王舍、西王、清泉变电站。</w:t>
            </w:r>
          </w:p>
          <w:p w14:paraId="61ACC895">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本项目年用电量27万kWh/a，依托园区供电设施，能够满足项目需求。</w:t>
            </w:r>
          </w:p>
          <w:p w14:paraId="385AB0E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4、生态环境准入清单</w:t>
            </w:r>
          </w:p>
          <w:p w14:paraId="017CF1A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根据规划环评，“开发区规划范围内除优先保护单元外，其他区域主要以工业用地分布为主，属于开发区以产业发展为主要功能的区域，评价将该区域划定为重点管控单元。本评价建议开发区的规划、建设和发展要坚持高起点、高标准和高水平，要选择发展基础好、工艺技术和产品先进、拥有自主知识产权和具有较强竞争力及带动性的优势企业作为开发区龙头企业和主导产业。立足用先进适用技术改造传统产业，积极发展高新技术产业。严格控制土地供应，保护有限的土地资源，提高土地资源的利用效率，发挥开发区的辐射作用，带动区域经济整体发展，减轻资源环境压力。”</w:t>
            </w:r>
          </w:p>
          <w:p w14:paraId="527BB227">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结合河北省、石家庄市“三线一单”指标限值要求，根据园区规划产业类别及对应相关产业政策及环境准入要求，规划环评提出园区生态环境准入清单见下表。本项目所在区域属于重点管控单元，本项目建设与规划环评提出的生态环境准入清单要求符合性分析见下表。</w:t>
            </w:r>
          </w:p>
          <w:p w14:paraId="71A4F66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textAlignment w:val="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表</w:t>
            </w:r>
            <w:r>
              <w:rPr>
                <w:rFonts w:hint="default" w:ascii="Times New Roman" w:hAnsi="Times New Roman" w:cs="Times New Roman"/>
                <w:b/>
                <w:bCs/>
                <w:color w:val="auto"/>
                <w:kern w:val="0"/>
                <w:sz w:val="24"/>
                <w:highlight w:val="none"/>
                <w:lang w:val="en-US" w:eastAsia="zh-CN"/>
              </w:rPr>
              <w:t xml:space="preserve">1-2  </w:t>
            </w:r>
            <w:r>
              <w:rPr>
                <w:rFonts w:hint="default" w:ascii="Times New Roman" w:hAnsi="Times New Roman" w:cs="Times New Roman"/>
                <w:b/>
                <w:bCs/>
                <w:color w:val="auto"/>
                <w:kern w:val="0"/>
                <w:sz w:val="24"/>
                <w:highlight w:val="none"/>
              </w:rPr>
              <w:t>本项目与规划环评</w:t>
            </w:r>
            <w:r>
              <w:rPr>
                <w:rFonts w:hint="default" w:ascii="Times New Roman" w:hAnsi="Times New Roman" w:cs="Times New Roman"/>
                <w:b/>
                <w:bCs/>
                <w:color w:val="auto"/>
                <w:kern w:val="0"/>
                <w:sz w:val="24"/>
                <w:highlight w:val="none"/>
                <w:lang w:eastAsia="zh-CN"/>
              </w:rPr>
              <w:t>提出</w:t>
            </w:r>
            <w:r>
              <w:rPr>
                <w:rFonts w:hint="default" w:ascii="Times New Roman" w:hAnsi="Times New Roman" w:cs="Times New Roman"/>
                <w:b/>
                <w:bCs/>
                <w:color w:val="auto"/>
                <w:kern w:val="0"/>
                <w:sz w:val="24"/>
                <w:highlight w:val="none"/>
              </w:rPr>
              <w:t>的</w:t>
            </w:r>
            <w:r>
              <w:rPr>
                <w:rFonts w:hint="default" w:ascii="Times New Roman" w:hAnsi="Times New Roman" w:cs="Times New Roman"/>
                <w:b/>
                <w:bCs/>
                <w:color w:val="auto"/>
                <w:kern w:val="0"/>
                <w:sz w:val="24"/>
                <w:highlight w:val="none"/>
                <w:lang w:eastAsia="zh-CN"/>
              </w:rPr>
              <w:t>园区总体</w:t>
            </w:r>
            <w:r>
              <w:rPr>
                <w:rFonts w:hint="default" w:ascii="Times New Roman" w:hAnsi="Times New Roman" w:cs="Times New Roman"/>
                <w:b/>
                <w:bCs/>
                <w:color w:val="auto"/>
                <w:kern w:val="0"/>
                <w:sz w:val="24"/>
                <w:highlight w:val="none"/>
              </w:rPr>
              <w:t>生态环境准入清单要求符合性分析</w:t>
            </w:r>
          </w:p>
          <w:tbl>
            <w:tblPr>
              <w:tblStyle w:val="40"/>
              <w:tblW w:w="8085" w:type="dxa"/>
              <w:tblInd w:w="0" w:type="dxa"/>
              <w:tblLayout w:type="fixed"/>
              <w:tblCellMar>
                <w:top w:w="0" w:type="dxa"/>
                <w:left w:w="0" w:type="dxa"/>
                <w:bottom w:w="0" w:type="dxa"/>
                <w:right w:w="0" w:type="dxa"/>
              </w:tblCellMar>
            </w:tblPr>
            <w:tblGrid>
              <w:gridCol w:w="440"/>
              <w:gridCol w:w="441"/>
              <w:gridCol w:w="5056"/>
              <w:gridCol w:w="1550"/>
              <w:gridCol w:w="598"/>
            </w:tblGrid>
            <w:tr w14:paraId="3084B6BD">
              <w:tblPrEx>
                <w:tblCellMar>
                  <w:top w:w="0" w:type="dxa"/>
                  <w:left w:w="0" w:type="dxa"/>
                  <w:bottom w:w="0" w:type="dxa"/>
                  <w:right w:w="0" w:type="dxa"/>
                </w:tblCellMar>
              </w:tblPrEx>
              <w:trPr>
                <w:trHeight w:val="0" w:hRule="atLeast"/>
                <w:tblHeader/>
              </w:trPr>
              <w:tc>
                <w:tcPr>
                  <w:tcW w:w="544" w:type="pct"/>
                  <w:gridSpan w:val="2"/>
                  <w:tcBorders>
                    <w:top w:val="single" w:color="000000" w:sz="4" w:space="0"/>
                    <w:left w:val="single" w:color="000000" w:sz="4" w:space="0"/>
                    <w:bottom w:val="single" w:color="000000" w:sz="4" w:space="0"/>
                    <w:right w:val="single" w:color="000000" w:sz="4" w:space="0"/>
                  </w:tcBorders>
                  <w:vAlign w:val="center"/>
                </w:tcPr>
                <w:p w14:paraId="68B3DF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清单类型</w:t>
                  </w:r>
                </w:p>
              </w:tc>
              <w:tc>
                <w:tcPr>
                  <w:tcW w:w="3126" w:type="pct"/>
                  <w:tcBorders>
                    <w:top w:val="single" w:color="000000" w:sz="4" w:space="0"/>
                    <w:left w:val="single" w:color="000000" w:sz="4" w:space="0"/>
                    <w:bottom w:val="single" w:color="000000" w:sz="4" w:space="0"/>
                    <w:right w:val="single" w:color="000000" w:sz="4" w:space="0"/>
                  </w:tcBorders>
                  <w:vAlign w:val="center"/>
                </w:tcPr>
                <w:p w14:paraId="25E63B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准入要求</w:t>
                  </w:r>
                </w:p>
              </w:tc>
              <w:tc>
                <w:tcPr>
                  <w:tcW w:w="958" w:type="pct"/>
                  <w:tcBorders>
                    <w:top w:val="single" w:color="000000" w:sz="4" w:space="0"/>
                    <w:left w:val="single" w:color="000000" w:sz="4" w:space="0"/>
                    <w:bottom w:val="single" w:color="000000" w:sz="4" w:space="0"/>
                    <w:right w:val="single" w:color="000000" w:sz="4" w:space="0"/>
                  </w:tcBorders>
                  <w:vAlign w:val="center"/>
                </w:tcPr>
                <w:p w14:paraId="3AA106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本项目情况</w:t>
                  </w:r>
                </w:p>
              </w:tc>
              <w:tc>
                <w:tcPr>
                  <w:tcW w:w="369" w:type="pct"/>
                  <w:tcBorders>
                    <w:top w:val="single" w:color="000000" w:sz="4" w:space="0"/>
                    <w:left w:val="single" w:color="000000" w:sz="4" w:space="0"/>
                    <w:bottom w:val="single" w:color="000000" w:sz="4" w:space="0"/>
                    <w:right w:val="single" w:color="000000" w:sz="4" w:space="0"/>
                  </w:tcBorders>
                  <w:vAlign w:val="center"/>
                </w:tcPr>
                <w:p w14:paraId="7D3835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符合性</w:t>
                  </w:r>
                </w:p>
              </w:tc>
            </w:tr>
            <w:tr w14:paraId="5C85AF7F">
              <w:tblPrEx>
                <w:tblCellMar>
                  <w:top w:w="0" w:type="dxa"/>
                  <w:left w:w="0" w:type="dxa"/>
                  <w:bottom w:w="0" w:type="dxa"/>
                  <w:right w:w="0" w:type="dxa"/>
                </w:tblCellMar>
              </w:tblPrEx>
              <w:trPr>
                <w:trHeight w:val="0" w:hRule="atLeast"/>
              </w:trPr>
              <w:tc>
                <w:tcPr>
                  <w:tcW w:w="544" w:type="pct"/>
                  <w:gridSpan w:val="2"/>
                  <w:tcBorders>
                    <w:top w:val="single" w:color="000000" w:sz="4" w:space="0"/>
                    <w:left w:val="single" w:color="000000" w:sz="4" w:space="0"/>
                    <w:bottom w:val="single" w:color="000000" w:sz="4" w:space="0"/>
                    <w:right w:val="single" w:color="000000" w:sz="4" w:space="0"/>
                  </w:tcBorders>
                  <w:vAlign w:val="center"/>
                </w:tcPr>
                <w:p w14:paraId="08A445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全市总体要求</w:t>
                  </w:r>
                </w:p>
              </w:tc>
              <w:tc>
                <w:tcPr>
                  <w:tcW w:w="3126" w:type="pct"/>
                  <w:tcBorders>
                    <w:top w:val="single" w:color="000000" w:sz="4" w:space="0"/>
                    <w:left w:val="single" w:color="000000" w:sz="4" w:space="0"/>
                    <w:bottom w:val="single" w:color="000000" w:sz="4" w:space="0"/>
                    <w:right w:val="single" w:color="000000" w:sz="4" w:space="0"/>
                  </w:tcBorders>
                  <w:vAlign w:val="center"/>
                </w:tcPr>
                <w:p w14:paraId="5EB0E5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按照《石家庄市人民政府关于加快实施“三线一单”生态环境分区管控的意见》（石政函[2021]40号）及《石家庄市生态环境准入清单（2023年版）》中全市总体准入要求执行，具体内容不再列出。</w:t>
                  </w:r>
                </w:p>
              </w:tc>
              <w:tc>
                <w:tcPr>
                  <w:tcW w:w="958" w:type="pct"/>
                  <w:tcBorders>
                    <w:top w:val="single" w:color="000000" w:sz="4" w:space="0"/>
                    <w:left w:val="single" w:color="000000" w:sz="4" w:space="0"/>
                    <w:bottom w:val="single" w:color="000000" w:sz="4" w:space="0"/>
                    <w:right w:val="single" w:color="000000" w:sz="4" w:space="0"/>
                  </w:tcBorders>
                  <w:vAlign w:val="center"/>
                </w:tcPr>
                <w:p w14:paraId="7A6137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.本项目符合石家庄市总体准入要求，具体内容详见表1-7。</w:t>
                  </w:r>
                </w:p>
              </w:tc>
              <w:tc>
                <w:tcPr>
                  <w:tcW w:w="369" w:type="pct"/>
                  <w:tcBorders>
                    <w:top w:val="single" w:color="000000" w:sz="4" w:space="0"/>
                    <w:left w:val="single" w:color="000000" w:sz="4" w:space="0"/>
                    <w:bottom w:val="single" w:color="000000" w:sz="4" w:space="0"/>
                    <w:right w:val="single" w:color="000000" w:sz="4" w:space="0"/>
                  </w:tcBorders>
                  <w:vAlign w:val="center"/>
                </w:tcPr>
                <w:p w14:paraId="13F34D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31BFD1D4">
              <w:tblPrEx>
                <w:tblCellMar>
                  <w:top w:w="0" w:type="dxa"/>
                  <w:left w:w="0" w:type="dxa"/>
                  <w:bottom w:w="0" w:type="dxa"/>
                  <w:right w:w="0" w:type="dxa"/>
                </w:tblCellMar>
              </w:tblPrEx>
              <w:trPr>
                <w:trHeight w:val="0" w:hRule="atLeast"/>
              </w:trPr>
              <w:tc>
                <w:tcPr>
                  <w:tcW w:w="272" w:type="pct"/>
                  <w:vMerge w:val="restart"/>
                  <w:tcBorders>
                    <w:top w:val="single" w:color="000000" w:sz="4" w:space="0"/>
                    <w:left w:val="single" w:color="000000" w:sz="4" w:space="0"/>
                    <w:right w:val="single" w:color="000000" w:sz="4" w:space="0"/>
                  </w:tcBorders>
                  <w:vAlign w:val="center"/>
                </w:tcPr>
                <w:p w14:paraId="7FD175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规划环评补充要求</w:t>
                  </w:r>
                </w:p>
              </w:tc>
              <w:tc>
                <w:tcPr>
                  <w:tcW w:w="272" w:type="pct"/>
                  <w:tcBorders>
                    <w:top w:val="single" w:color="000000" w:sz="4" w:space="0"/>
                    <w:left w:val="single" w:color="000000" w:sz="4" w:space="0"/>
                    <w:bottom w:val="single" w:color="000000" w:sz="4" w:space="0"/>
                    <w:right w:val="single" w:color="000000" w:sz="4" w:space="0"/>
                  </w:tcBorders>
                  <w:vAlign w:val="center"/>
                </w:tcPr>
                <w:p w14:paraId="57C7D3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产业及政策准入管理要求</w:t>
                  </w:r>
                </w:p>
              </w:tc>
              <w:tc>
                <w:tcPr>
                  <w:tcW w:w="3126" w:type="pct"/>
                  <w:tcBorders>
                    <w:top w:val="single" w:color="000000" w:sz="4" w:space="0"/>
                    <w:left w:val="single" w:color="000000" w:sz="4" w:space="0"/>
                    <w:bottom w:val="single" w:color="000000" w:sz="4" w:space="0"/>
                    <w:right w:val="single" w:color="000000" w:sz="4" w:space="0"/>
                  </w:tcBorders>
                  <w:vAlign w:val="center"/>
                </w:tcPr>
                <w:p w14:paraId="14B358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1.禁止“两高”项目入驻，园区钢铁行业不得突破现状产能规模（年产钢坯200万吨、年产钢材192万吨）；水泥行业不得突破现状产能规模（年产水泥熟料240万吨，年产水泥151万吨）；</w:t>
                  </w:r>
                </w:p>
                <w:p w14:paraId="671F0B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2.禁止建设电镀、酸洗、碱洗、磷化等专门从事表面处理的建设项目；</w:t>
                  </w:r>
                </w:p>
                <w:p w14:paraId="3B6C04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3.禁止建设镍氢电池、铅蓄电池、锌锰电池制造项目；</w:t>
                  </w:r>
                </w:p>
                <w:p w14:paraId="392C9B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4.严格落实《工业和信息化部 国家发展和改革委员会 生态环境部关于推动铸造和锻压行业高质量发展的指导意见》（工信部联通装(2023)40号）相关要求，严格落实主要污染物排放总量控制、能源消耗总量和强度调控制度，坚决遏制不符合要求的项目盲目发展和低水平重复建设，防止产能盲目扩张，合理选择低污染、低能耗、经济高效的先进工艺技术，严禁以铸造和锻压名义违规新增钢铁产能、违规生产钢坯钢锭；</w:t>
                  </w:r>
                </w:p>
                <w:p w14:paraId="3CB43E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5.禁止建设与园区产业无关联的废弃资源综合利用项目，与园区特种钢、高端装备制造、新材料等产业相关联的、利于形成园区循环经济产业链的项目方可入园；</w:t>
                  </w:r>
                </w:p>
                <w:p w14:paraId="0D0AE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6.禁止建设集中收集、贮存、利用、处置危险废物项目。</w:t>
                  </w:r>
                </w:p>
              </w:tc>
              <w:tc>
                <w:tcPr>
                  <w:tcW w:w="958" w:type="pct"/>
                  <w:tcBorders>
                    <w:top w:val="single" w:color="000000" w:sz="4" w:space="0"/>
                    <w:left w:val="single" w:color="000000" w:sz="4" w:space="0"/>
                    <w:bottom w:val="single" w:color="000000" w:sz="4" w:space="0"/>
                    <w:right w:val="single" w:color="000000" w:sz="4" w:space="0"/>
                  </w:tcBorders>
                  <w:vAlign w:val="center"/>
                </w:tcPr>
                <w:p w14:paraId="49123F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1、不属于“两高”项目，不属于钢铁和水泥行业；</w:t>
                  </w:r>
                </w:p>
                <w:p w14:paraId="77B5BA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2、不涉及表面处理；</w:t>
                  </w:r>
                </w:p>
                <w:p w14:paraId="784AA9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3、不涉及；</w:t>
                  </w:r>
                </w:p>
                <w:p w14:paraId="7AD134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4、不涉及；</w:t>
                  </w:r>
                </w:p>
                <w:p w14:paraId="54114B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5、不属于废弃资源综合利用项目，不违背园区产业规划；</w:t>
                  </w:r>
                </w:p>
                <w:p w14:paraId="1B06C4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6、不涉及。</w:t>
                  </w:r>
                </w:p>
              </w:tc>
              <w:tc>
                <w:tcPr>
                  <w:tcW w:w="369" w:type="pct"/>
                  <w:tcBorders>
                    <w:top w:val="single" w:color="000000" w:sz="4" w:space="0"/>
                    <w:left w:val="single" w:color="000000" w:sz="4" w:space="0"/>
                    <w:bottom w:val="single" w:color="000000" w:sz="4" w:space="0"/>
                    <w:right w:val="single" w:color="000000" w:sz="4" w:space="0"/>
                  </w:tcBorders>
                  <w:vAlign w:val="center"/>
                </w:tcPr>
                <w:p w14:paraId="00D262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7803BBD8">
              <w:tblPrEx>
                <w:tblCellMar>
                  <w:top w:w="0" w:type="dxa"/>
                  <w:left w:w="0" w:type="dxa"/>
                  <w:bottom w:w="0" w:type="dxa"/>
                  <w:right w:w="0" w:type="dxa"/>
                </w:tblCellMar>
              </w:tblPrEx>
              <w:trPr>
                <w:trHeight w:val="0" w:hRule="atLeast"/>
              </w:trPr>
              <w:tc>
                <w:tcPr>
                  <w:tcW w:w="272" w:type="pct"/>
                  <w:vMerge w:val="continue"/>
                  <w:tcBorders>
                    <w:left w:val="single" w:color="000000" w:sz="4" w:space="0"/>
                    <w:right w:val="single" w:color="000000" w:sz="4" w:space="0"/>
                  </w:tcBorders>
                  <w:vAlign w:val="center"/>
                </w:tcPr>
                <w:p w14:paraId="456959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p>
              </w:tc>
              <w:tc>
                <w:tcPr>
                  <w:tcW w:w="272" w:type="pct"/>
                  <w:tcBorders>
                    <w:top w:val="single" w:color="000000" w:sz="4" w:space="0"/>
                    <w:left w:val="single" w:color="000000" w:sz="4" w:space="0"/>
                    <w:bottom w:val="single" w:color="000000" w:sz="4" w:space="0"/>
                    <w:right w:val="single" w:color="000000" w:sz="4" w:space="0"/>
                  </w:tcBorders>
                  <w:vAlign w:val="center"/>
                </w:tcPr>
                <w:p w14:paraId="3ECDB7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空间布局约束</w:t>
                  </w:r>
                </w:p>
              </w:tc>
              <w:tc>
                <w:tcPr>
                  <w:tcW w:w="3126" w:type="pct"/>
                  <w:tcBorders>
                    <w:top w:val="single" w:color="000000" w:sz="4" w:space="0"/>
                    <w:left w:val="single" w:color="000000" w:sz="4" w:space="0"/>
                    <w:bottom w:val="single" w:color="000000" w:sz="4" w:space="0"/>
                    <w:right w:val="single" w:color="000000" w:sz="4" w:space="0"/>
                  </w:tcBorders>
                  <w:vAlign w:val="center"/>
                </w:tcPr>
                <w:p w14:paraId="772BC5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eastAsia="zh-CN"/>
                    </w:rPr>
                    <w:t>.规划范围内城镇开发边界外的区域维持现状不变；基本农田范围未经依法调整，需按照《基本农田保护条例》对上述区域进行严格保护，园区规划建设一律不得占用；</w:t>
                  </w:r>
                </w:p>
                <w:p w14:paraId="4E92B1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lang w:eastAsia="zh-CN"/>
                    </w:rPr>
                    <w:t>禁止在公园绿地、广场绿地等规划绿地范围内开展与绿地无关的建设活动，禁止占用公路用地红线；</w:t>
                  </w:r>
                </w:p>
                <w:p w14:paraId="39B7C3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3.将现状村庄和规划居住区作为环境敏感点予以保护，合理控制周边建设项目布局，根据不同的区位特点进行差别化管控；</w:t>
                  </w:r>
                </w:p>
                <w:p w14:paraId="0E2392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4</w:t>
                  </w:r>
                  <w:r>
                    <w:rPr>
                      <w:rFonts w:hint="default" w:ascii="Times New Roman" w:hAnsi="Times New Roman" w:cs="Times New Roman"/>
                      <w:color w:val="auto"/>
                      <w:sz w:val="18"/>
                      <w:szCs w:val="18"/>
                      <w:highlight w:val="none"/>
                      <w:lang w:eastAsia="zh-CN"/>
                    </w:rPr>
                    <w:t>.清凉湾湿地公园周边禁止倾倒有毒有害物质、废弃物、垃圾和其他破坏湿地及其生态功能的活动；</w:t>
                  </w:r>
                </w:p>
                <w:p w14:paraId="5985F4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5.</w:t>
                  </w:r>
                  <w:r>
                    <w:rPr>
                      <w:rFonts w:hint="default" w:ascii="Times New Roman" w:hAnsi="Times New Roman" w:cs="Times New Roman"/>
                      <w:color w:val="auto"/>
                      <w:sz w:val="18"/>
                      <w:szCs w:val="18"/>
                      <w:highlight w:val="none"/>
                      <w:lang w:eastAsia="zh-CN"/>
                    </w:rPr>
                    <w:t>禁止建设集中收集、利用、处置易溶性、有毒有害废弃物的暂存和转运设施；</w:t>
                  </w:r>
                </w:p>
                <w:p w14:paraId="33EE9D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6.入区项目应做好选址可行性分析，地下岩溶区不宜布设水污染较重构建筑物及设备设施。如若工程无法避让，应在基础施工阶段对地基进行防渗处理。同时该区域涉水设备设施应采取“可视化”措施，并严格防渗，加强跟踪监测频次，最大可能的减少对区域地下水的污染影响；</w:t>
                  </w:r>
                </w:p>
                <w:p w14:paraId="03C03A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7.污染企业退出的遗留污染宗地：园区内退出的遗留宗地应当按照《污染地块土壤环境管理办法》、《工矿用地土壤环境管理办法</w:t>
                  </w:r>
                  <w:r>
                    <w:rPr>
                      <w:rFonts w:hint="eastAsia" w:cs="Times New Roman"/>
                      <w:color w:val="auto"/>
                      <w:sz w:val="18"/>
                      <w:szCs w:val="18"/>
                      <w:highlight w:val="none"/>
                      <w:lang w:eastAsia="zh-CN"/>
                    </w:rPr>
                    <w:t>（</w:t>
                  </w:r>
                  <w:r>
                    <w:rPr>
                      <w:rFonts w:hint="eastAsia" w:cs="Times New Roman"/>
                      <w:color w:val="auto"/>
                      <w:sz w:val="18"/>
                      <w:szCs w:val="18"/>
                      <w:highlight w:val="none"/>
                      <w:lang w:val="en-US" w:eastAsia="zh-CN"/>
                    </w:rPr>
                    <w:t>试行</w:t>
                  </w:r>
                  <w:r>
                    <w:rPr>
                      <w:rFonts w:hint="eastAsia" w:cs="Times New Roman"/>
                      <w:color w:val="auto"/>
                      <w:sz w:val="18"/>
                      <w:szCs w:val="18"/>
                      <w:highlight w:val="none"/>
                      <w:lang w:eastAsia="zh-CN"/>
                    </w:rPr>
                    <w:t>）</w:t>
                  </w:r>
                  <w:r>
                    <w:rPr>
                      <w:rFonts w:hint="default" w:ascii="Times New Roman" w:hAnsi="Times New Roman" w:cs="Times New Roman"/>
                      <w:color w:val="auto"/>
                      <w:sz w:val="18"/>
                      <w:szCs w:val="18"/>
                      <w:highlight w:val="none"/>
                      <w:lang w:eastAsia="zh-CN"/>
                    </w:rPr>
                    <w:t>》、《关于加强工业企业关停、搬迁及原址场地再开发利用过程中污染防治工作的通知》开展土壤和地下水环境初步调查，编制调查报告。土壤和地下水环境初步调查发现该重点单立用地污染物含量超过国家或者地方有关建设用地土壤污染风险管控标准的，应当开展详细调查、风险评估、风险管控、治理与修复等活动。</w:t>
                  </w:r>
                </w:p>
              </w:tc>
              <w:tc>
                <w:tcPr>
                  <w:tcW w:w="958" w:type="pct"/>
                  <w:tcBorders>
                    <w:top w:val="single" w:color="000000" w:sz="4" w:space="0"/>
                    <w:left w:val="single" w:color="000000" w:sz="4" w:space="0"/>
                    <w:bottom w:val="single" w:color="000000" w:sz="4" w:space="0"/>
                    <w:right w:val="single" w:color="000000" w:sz="4" w:space="0"/>
                  </w:tcBorders>
                  <w:vAlign w:val="center"/>
                </w:tcPr>
                <w:p w14:paraId="2F4B31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1、项目占地为工业用地，位于规划的城镇开发边界内，不属于基本农田；</w:t>
                  </w:r>
                </w:p>
                <w:p w14:paraId="01ADDF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2、项目用地不属于绿地、公路用地；</w:t>
                  </w:r>
                </w:p>
                <w:p w14:paraId="1F790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3、项目周边调查范围内不涉及村庄和规划居住区；</w:t>
                  </w:r>
                </w:p>
                <w:p w14:paraId="53D0B4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4、本项目距离清凉湾湿地公园约2.9km，不会破坏湿地及其生态功能；</w:t>
                  </w:r>
                </w:p>
                <w:p w14:paraId="560BE0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5、不涉及；</w:t>
                  </w:r>
                </w:p>
                <w:p w14:paraId="587AB7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6、本项目不属于水污染较重的项目；</w:t>
                  </w:r>
                </w:p>
                <w:p w14:paraId="1A148A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7、不涉及。</w:t>
                  </w:r>
                </w:p>
              </w:tc>
              <w:tc>
                <w:tcPr>
                  <w:tcW w:w="369" w:type="pct"/>
                  <w:tcBorders>
                    <w:top w:val="single" w:color="000000" w:sz="4" w:space="0"/>
                    <w:left w:val="single" w:color="000000" w:sz="4" w:space="0"/>
                    <w:bottom w:val="single" w:color="000000" w:sz="4" w:space="0"/>
                    <w:right w:val="single" w:color="000000" w:sz="4" w:space="0"/>
                  </w:tcBorders>
                  <w:vAlign w:val="center"/>
                </w:tcPr>
                <w:p w14:paraId="516462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2419484F">
              <w:tblPrEx>
                <w:tblCellMar>
                  <w:top w:w="0" w:type="dxa"/>
                  <w:left w:w="0" w:type="dxa"/>
                  <w:bottom w:w="0" w:type="dxa"/>
                  <w:right w:w="0" w:type="dxa"/>
                </w:tblCellMar>
              </w:tblPrEx>
              <w:trPr>
                <w:trHeight w:val="0" w:hRule="atLeast"/>
              </w:trPr>
              <w:tc>
                <w:tcPr>
                  <w:tcW w:w="272" w:type="pct"/>
                  <w:vMerge w:val="continue"/>
                  <w:tcBorders>
                    <w:left w:val="single" w:color="000000" w:sz="4" w:space="0"/>
                    <w:right w:val="single" w:color="000000" w:sz="4" w:space="0"/>
                  </w:tcBorders>
                  <w:vAlign w:val="center"/>
                </w:tcPr>
                <w:p w14:paraId="21CC42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p>
              </w:tc>
              <w:tc>
                <w:tcPr>
                  <w:tcW w:w="272" w:type="pct"/>
                  <w:tcBorders>
                    <w:top w:val="single" w:color="000000" w:sz="4" w:space="0"/>
                    <w:left w:val="single" w:color="000000" w:sz="4" w:space="0"/>
                    <w:bottom w:val="single" w:color="000000" w:sz="4" w:space="0"/>
                    <w:right w:val="single" w:color="000000" w:sz="4" w:space="0"/>
                  </w:tcBorders>
                  <w:vAlign w:val="center"/>
                </w:tcPr>
                <w:p w14:paraId="38AC18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污染物排放管控</w:t>
                  </w:r>
                </w:p>
              </w:tc>
              <w:tc>
                <w:tcPr>
                  <w:tcW w:w="3126" w:type="pct"/>
                  <w:tcBorders>
                    <w:top w:val="single" w:color="000000" w:sz="4" w:space="0"/>
                    <w:left w:val="single" w:color="000000" w:sz="4" w:space="0"/>
                    <w:bottom w:val="single" w:color="000000" w:sz="4" w:space="0"/>
                    <w:right w:val="single" w:color="000000" w:sz="4" w:space="0"/>
                  </w:tcBorders>
                  <w:vAlign w:val="center"/>
                </w:tcPr>
                <w:p w14:paraId="4195AC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eastAsia="zh-CN"/>
                    </w:rPr>
                    <w:t>入区项目需满足建设项目污染物排放总量控制要求，重点行业建设项目按照《关于加强重点行业建设项目区域削减措施监督管理的通知(环办环评(2020)36号)》要求，严格落实区域主要污染物削减方案；</w:t>
                  </w:r>
                </w:p>
                <w:p w14:paraId="7DF0F0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2.入区项目污染物排放必须满足国家、河北省、石家庄市等规定的标准要求，排放指标必须满足清洁生产指标要求(如有)；</w:t>
                  </w:r>
                </w:p>
                <w:p w14:paraId="6F64B9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3.固体废物零排放，其中危险废物收集、贮存、运输、处置、利用等须满足</w:t>
                  </w:r>
                  <w:r>
                    <w:rPr>
                      <w:rFonts w:hint="eastAsia" w:cs="Times New Roman"/>
                      <w:color w:val="auto"/>
                      <w:sz w:val="18"/>
                      <w:szCs w:val="18"/>
                      <w:highlight w:val="none"/>
                      <w:lang w:eastAsia="zh-CN"/>
                    </w:rPr>
                    <w:t>《中华人民共和国固体废物污染环境防治法》</w:t>
                  </w:r>
                  <w:r>
                    <w:rPr>
                      <w:rFonts w:hint="default" w:ascii="Times New Roman" w:hAnsi="Times New Roman" w:cs="Times New Roman"/>
                      <w:color w:val="auto"/>
                      <w:sz w:val="18"/>
                      <w:szCs w:val="18"/>
                      <w:highlight w:val="none"/>
                      <w:lang w:eastAsia="zh-CN"/>
                    </w:rPr>
                    <w:t>、《危险废物收集 贮存 运输技术规范》、《危险废物贮存污染控制标准》等国家、地方相关法律去规、技术规范、标准要求；</w:t>
                  </w:r>
                </w:p>
                <w:p w14:paraId="65FB0A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4.入区企业生产废水经处理后全部回用，不外排；</w:t>
                  </w:r>
                </w:p>
                <w:p w14:paraId="6404CA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5.新建具有绩效评级要求的涉气入区建设项目，应达到B级及以上水平；</w:t>
                  </w:r>
                </w:p>
                <w:p w14:paraId="4779CF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6.严格落实区域减排方案，开发区污染物排放量不得突破允许排放量：颗粒物459.538t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a、二氧化硫120.165t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a、氮氧化物617.954t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a、VOCs17.332t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a；存量源削减量：颗粒物72.348t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a、二氧化硫3.721t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a、氮氧化物166.783t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a、VOCs2.017t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a；新增源控制量：颗粒物34.307t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a、二氧化硫1.804t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a、氮氧化物29.005t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a、VOCs3.349t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w:t>
                  </w:r>
                </w:p>
                <w:p w14:paraId="7ECB00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7</w:t>
                  </w:r>
                  <w:r>
                    <w:rPr>
                      <w:rFonts w:hint="default" w:ascii="Times New Roman" w:hAnsi="Times New Roman" w:cs="Times New Roman"/>
                      <w:color w:val="auto"/>
                      <w:sz w:val="18"/>
                      <w:szCs w:val="18"/>
                      <w:highlight w:val="none"/>
                      <w:lang w:eastAsia="zh-CN"/>
                    </w:rPr>
                    <w:t>.园区废水污染物允许排放量（排入集中污水处理厂）：COD9.928t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a、氨氮0.496t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w:t>
                  </w:r>
                </w:p>
                <w:p w14:paraId="7A0538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8.碳排放及强度：碳排放量401.29万t/a、碳排放强度1.38t/万元产值。</w:t>
                  </w:r>
                </w:p>
              </w:tc>
              <w:tc>
                <w:tcPr>
                  <w:tcW w:w="958" w:type="pct"/>
                  <w:tcBorders>
                    <w:top w:val="single" w:color="000000" w:sz="4" w:space="0"/>
                    <w:left w:val="single" w:color="000000" w:sz="4" w:space="0"/>
                    <w:bottom w:val="single" w:color="000000" w:sz="4" w:space="0"/>
                    <w:right w:val="single" w:color="000000" w:sz="4" w:space="0"/>
                  </w:tcBorders>
                  <w:vAlign w:val="center"/>
                </w:tcPr>
                <w:p w14:paraId="5B0604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1.本项目不涉及SO</w:t>
                  </w:r>
                  <w:r>
                    <w:rPr>
                      <w:rFonts w:hint="default" w:ascii="Times New Roman" w:hAnsi="Times New Roman" w:cs="Times New Roman"/>
                      <w:color w:val="auto"/>
                      <w:sz w:val="18"/>
                      <w:szCs w:val="18"/>
                      <w:highlight w:val="none"/>
                      <w:vertAlign w:val="subscript"/>
                      <w:lang w:val="en-US" w:eastAsia="zh-CN"/>
                    </w:rPr>
                    <w:t>2</w:t>
                  </w:r>
                  <w:r>
                    <w:rPr>
                      <w:rFonts w:hint="default" w:ascii="Times New Roman" w:hAnsi="Times New Roman" w:cs="Times New Roman"/>
                      <w:color w:val="auto"/>
                      <w:sz w:val="18"/>
                      <w:szCs w:val="18"/>
                      <w:highlight w:val="none"/>
                      <w:lang w:val="en-US" w:eastAsia="zh-CN"/>
                    </w:rPr>
                    <w:t>、NOx、COD、氨氮污染物排放，不涉及需要落实区域削减的重点行业。</w:t>
                  </w:r>
                </w:p>
                <w:p w14:paraId="189CF9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2.本项目污染物排放满足国家及地方标准要求。</w:t>
                  </w:r>
                </w:p>
                <w:p w14:paraId="1336C6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3.本项目固体废物零排放，不涉及危险废物。</w:t>
                  </w:r>
                </w:p>
                <w:p w14:paraId="5734A3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4.本项目生产废水全部回用，不外排。</w:t>
                  </w:r>
                </w:p>
                <w:p w14:paraId="1E050F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5.符合要求。</w:t>
                  </w:r>
                </w:p>
                <w:p w14:paraId="72BEDA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6.颗粒物排放量在控制范围内，不涉及二氧化硫、氮氧化物、VOCs排放。</w:t>
                  </w:r>
                </w:p>
                <w:p w14:paraId="2C283B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7.不涉及废水排放。</w:t>
                  </w:r>
                </w:p>
                <w:p w14:paraId="26B82E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8.符合要求。</w:t>
                  </w:r>
                </w:p>
              </w:tc>
              <w:tc>
                <w:tcPr>
                  <w:tcW w:w="369" w:type="pct"/>
                  <w:tcBorders>
                    <w:top w:val="single" w:color="000000" w:sz="4" w:space="0"/>
                    <w:left w:val="single" w:color="000000" w:sz="4" w:space="0"/>
                    <w:bottom w:val="single" w:color="000000" w:sz="4" w:space="0"/>
                    <w:right w:val="single" w:color="000000" w:sz="4" w:space="0"/>
                  </w:tcBorders>
                  <w:vAlign w:val="center"/>
                </w:tcPr>
                <w:p w14:paraId="4B28ED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5D89C388">
              <w:tblPrEx>
                <w:tblCellMar>
                  <w:top w:w="0" w:type="dxa"/>
                  <w:left w:w="0" w:type="dxa"/>
                  <w:bottom w:w="0" w:type="dxa"/>
                  <w:right w:w="0" w:type="dxa"/>
                </w:tblCellMar>
              </w:tblPrEx>
              <w:trPr>
                <w:trHeight w:val="0" w:hRule="atLeast"/>
              </w:trPr>
              <w:tc>
                <w:tcPr>
                  <w:tcW w:w="272" w:type="pct"/>
                  <w:vMerge w:val="continue"/>
                  <w:tcBorders>
                    <w:left w:val="single" w:color="000000" w:sz="4" w:space="0"/>
                    <w:right w:val="single" w:color="000000" w:sz="4" w:space="0"/>
                  </w:tcBorders>
                  <w:vAlign w:val="center"/>
                </w:tcPr>
                <w:p w14:paraId="04807A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p>
              </w:tc>
              <w:tc>
                <w:tcPr>
                  <w:tcW w:w="272" w:type="pct"/>
                  <w:tcBorders>
                    <w:top w:val="single" w:color="000000" w:sz="4" w:space="0"/>
                    <w:left w:val="single" w:color="000000" w:sz="4" w:space="0"/>
                    <w:bottom w:val="single" w:color="000000" w:sz="4" w:space="0"/>
                    <w:right w:val="single" w:color="000000" w:sz="4" w:space="0"/>
                  </w:tcBorders>
                  <w:vAlign w:val="center"/>
                </w:tcPr>
                <w:p w14:paraId="28AD76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环境风险管控</w:t>
                  </w:r>
                </w:p>
              </w:tc>
              <w:tc>
                <w:tcPr>
                  <w:tcW w:w="3126" w:type="pct"/>
                  <w:tcBorders>
                    <w:top w:val="single" w:color="000000" w:sz="4" w:space="0"/>
                    <w:left w:val="single" w:color="000000" w:sz="4" w:space="0"/>
                    <w:bottom w:val="single" w:color="000000" w:sz="4" w:space="0"/>
                    <w:right w:val="single" w:color="000000" w:sz="4" w:space="0"/>
                  </w:tcBorders>
                  <w:vAlign w:val="center"/>
                </w:tcPr>
                <w:p w14:paraId="5FFB52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eastAsia="zh-CN"/>
                    </w:rPr>
                    <w:t>.重点监管企业和园区周边土壤和地下水环境污染风险防控：定期开展监督性监测，重点监测重金属和持久性有机污染物；</w:t>
                  </w:r>
                </w:p>
                <w:p w14:paraId="3E2816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2.加强园区与周边敏感区环境风险防范设施建设；</w:t>
                  </w:r>
                </w:p>
                <w:p w14:paraId="74E54D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3.对于易导致环境风险的有毒有害和易燃易爆物质的生产、使用、排放、贮运等新建、改扩建项目，风险防控措施应满足本评价提出的环境风险管理要求。</w:t>
                  </w:r>
                </w:p>
                <w:p w14:paraId="4AF5D6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4</w:t>
                  </w:r>
                  <w:r>
                    <w:rPr>
                      <w:rFonts w:hint="default" w:ascii="Times New Roman" w:hAnsi="Times New Roman" w:cs="Times New Roman"/>
                      <w:color w:val="auto"/>
                      <w:sz w:val="18"/>
                      <w:szCs w:val="18"/>
                      <w:highlight w:val="none"/>
                      <w:lang w:eastAsia="zh-CN"/>
                    </w:rPr>
                    <w:t>.实施“三级防控”措施，将事故废水严格控制在一定区域范围内。各入区涉水企业设置废水事故池，事故状态下废水送事故池存放，待废水处理站事故消除后，将事故池废水送废水站处理，不得排入外环境。</w:t>
                  </w:r>
                </w:p>
                <w:p w14:paraId="68F25A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5.</w:t>
                  </w:r>
                  <w:r>
                    <w:rPr>
                      <w:rFonts w:hint="default" w:ascii="Times New Roman" w:hAnsi="Times New Roman" w:cs="Times New Roman"/>
                      <w:color w:val="auto"/>
                      <w:sz w:val="18"/>
                      <w:szCs w:val="18"/>
                      <w:highlight w:val="none"/>
                      <w:lang w:eastAsia="zh-CN"/>
                    </w:rPr>
                    <w:t>危险废物全过程监管:产生危险废物的单位，按照国家有关规定制定危险废物管理计划，建立危险废物管理台账，如实记录有关信息，并通过国家危险废物信息管理系统向所在地生态环境主管部门申报危险废物的种类、产生量、流向、贮存、处置等有关资料，并执行排污许可管理制度的规定，危废贮存严格按照《危险废物贮存污染控制标准》的要求规范建设。</w:t>
                  </w:r>
                </w:p>
                <w:p w14:paraId="7BE3F5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6.</w:t>
                  </w:r>
                  <w:r>
                    <w:rPr>
                      <w:rFonts w:hint="default" w:ascii="Times New Roman" w:hAnsi="Times New Roman" w:cs="Times New Roman"/>
                      <w:color w:val="auto"/>
                      <w:sz w:val="18"/>
                      <w:szCs w:val="18"/>
                      <w:highlight w:val="none"/>
                      <w:lang w:eastAsia="zh-CN"/>
                    </w:rPr>
                    <w:t>建设用地风险管控和修复：用途变更为“一住两公”地块、腾退工矿企业用地、土壤污染重点监管单位在终止生产经营活动前应依法</w:t>
                  </w:r>
                  <w:r>
                    <w:rPr>
                      <w:rFonts w:hint="eastAsia" w:cs="Times New Roman"/>
                      <w:color w:val="auto"/>
                      <w:sz w:val="18"/>
                      <w:szCs w:val="18"/>
                      <w:highlight w:val="none"/>
                      <w:lang w:eastAsia="zh-CN"/>
                    </w:rPr>
                    <w:t>开展</w:t>
                  </w:r>
                  <w:r>
                    <w:rPr>
                      <w:rFonts w:hint="default" w:ascii="Times New Roman" w:hAnsi="Times New Roman" w:cs="Times New Roman"/>
                      <w:color w:val="auto"/>
                      <w:sz w:val="18"/>
                      <w:szCs w:val="18"/>
                      <w:highlight w:val="none"/>
                      <w:lang w:eastAsia="zh-CN"/>
                    </w:rPr>
                    <w:t>土壤和地下水环境初步调查，编制调查报告。土壤和地下水环境初步调查发现该重点单位用地污染物含量超过国家或者地方有关建设用地土壤污染风险管控标准的，应当开展详细调</w:t>
                  </w:r>
                  <w:r>
                    <w:rPr>
                      <w:rFonts w:hint="eastAsia" w:cs="Times New Roman"/>
                      <w:color w:val="auto"/>
                      <w:sz w:val="18"/>
                      <w:szCs w:val="18"/>
                      <w:highlight w:val="none"/>
                      <w:lang w:eastAsia="zh-CN"/>
                    </w:rPr>
                    <w:t>查</w:t>
                  </w:r>
                  <w:r>
                    <w:rPr>
                      <w:rFonts w:hint="default" w:ascii="Times New Roman" w:hAnsi="Times New Roman" w:cs="Times New Roman"/>
                      <w:color w:val="auto"/>
                      <w:sz w:val="18"/>
                      <w:szCs w:val="18"/>
                      <w:highlight w:val="none"/>
                      <w:lang w:eastAsia="zh-CN"/>
                    </w:rPr>
                    <w:t>、风险评估、风险管控、治理与修复等活动。对于拟开发利用的关停搬迁企业场地，未按有关规定开展场地环境调查及风险评估的、未明确治理修复责任主体的，禁止进行土地流转；污染场地未经治理修复的，禁止开工建设与治理修复无关的任何项目。对暂不开发利用的关停搬迁企业场地，要督促责任人采取隔离等措施，防止污染扩散。</w:t>
                  </w:r>
                </w:p>
              </w:tc>
              <w:tc>
                <w:tcPr>
                  <w:tcW w:w="958" w:type="pct"/>
                  <w:tcBorders>
                    <w:top w:val="single" w:color="000000" w:sz="4" w:space="0"/>
                    <w:left w:val="single" w:color="000000" w:sz="4" w:space="0"/>
                    <w:bottom w:val="single" w:color="000000" w:sz="4" w:space="0"/>
                    <w:right w:val="single" w:color="000000" w:sz="4" w:space="0"/>
                  </w:tcBorders>
                  <w:vAlign w:val="center"/>
                </w:tcPr>
                <w:p w14:paraId="399E6B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1.本项目不涉及重金属和持久性有机污染物。</w:t>
                  </w:r>
                </w:p>
                <w:p w14:paraId="5FF8EB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2.本项目距离周边敏感区较远，环境风险影响很小。</w:t>
                  </w:r>
                </w:p>
                <w:p w14:paraId="7E53ED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3.不涉及。</w:t>
                  </w:r>
                </w:p>
                <w:p w14:paraId="4B5911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4.本项目废水全部回用于生产，不外排，设废水收集池，事故状态下废水不外排。</w:t>
                  </w:r>
                </w:p>
                <w:p w14:paraId="3CA73E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5.不涉及。</w:t>
                  </w:r>
                </w:p>
                <w:p w14:paraId="68BADC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6.不涉及。</w:t>
                  </w:r>
                </w:p>
              </w:tc>
              <w:tc>
                <w:tcPr>
                  <w:tcW w:w="369" w:type="pct"/>
                  <w:tcBorders>
                    <w:top w:val="single" w:color="000000" w:sz="4" w:space="0"/>
                    <w:left w:val="single" w:color="000000" w:sz="4" w:space="0"/>
                    <w:bottom w:val="single" w:color="000000" w:sz="4" w:space="0"/>
                    <w:right w:val="single" w:color="000000" w:sz="4" w:space="0"/>
                  </w:tcBorders>
                  <w:vAlign w:val="center"/>
                </w:tcPr>
                <w:p w14:paraId="6F5C83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30F4FC81">
              <w:tblPrEx>
                <w:tblCellMar>
                  <w:top w:w="0" w:type="dxa"/>
                  <w:left w:w="0" w:type="dxa"/>
                  <w:bottom w:w="0" w:type="dxa"/>
                  <w:right w:w="0" w:type="dxa"/>
                </w:tblCellMar>
              </w:tblPrEx>
              <w:trPr>
                <w:trHeight w:val="0" w:hRule="atLeast"/>
              </w:trPr>
              <w:tc>
                <w:tcPr>
                  <w:tcW w:w="272" w:type="pct"/>
                  <w:vMerge w:val="continue"/>
                  <w:tcBorders>
                    <w:left w:val="single" w:color="000000" w:sz="4" w:space="0"/>
                    <w:bottom w:val="single" w:color="000000" w:sz="4" w:space="0"/>
                    <w:right w:val="single" w:color="000000" w:sz="4" w:space="0"/>
                  </w:tcBorders>
                  <w:vAlign w:val="center"/>
                </w:tcPr>
                <w:p w14:paraId="77BE68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p>
              </w:tc>
              <w:tc>
                <w:tcPr>
                  <w:tcW w:w="272" w:type="pct"/>
                  <w:tcBorders>
                    <w:top w:val="single" w:color="000000" w:sz="4" w:space="0"/>
                    <w:left w:val="single" w:color="000000" w:sz="4" w:space="0"/>
                    <w:bottom w:val="single" w:color="000000" w:sz="4" w:space="0"/>
                    <w:right w:val="single" w:color="000000" w:sz="4" w:space="0"/>
                  </w:tcBorders>
                  <w:vAlign w:val="center"/>
                </w:tcPr>
                <w:p w14:paraId="7965C0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资源开发利用要求</w:t>
                  </w:r>
                </w:p>
              </w:tc>
              <w:tc>
                <w:tcPr>
                  <w:tcW w:w="3126" w:type="pct"/>
                  <w:tcBorders>
                    <w:top w:val="single" w:color="000000" w:sz="4" w:space="0"/>
                    <w:left w:val="single" w:color="000000" w:sz="4" w:space="0"/>
                    <w:bottom w:val="single" w:color="000000" w:sz="4" w:space="0"/>
                    <w:right w:val="single" w:color="000000" w:sz="4" w:space="0"/>
                  </w:tcBorders>
                  <w:vAlign w:val="center"/>
                </w:tcPr>
                <w:p w14:paraId="07DC5F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eastAsia="zh-CN"/>
                    </w:rPr>
                    <w:t>.入区项目资源和能源消耗量应满足开发区划定的土地、水、能源等主要资源能源可开发利用总量上线：能源利用上线：煤炭用量39.67万t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a；天然气用量为4102.91万m</w:t>
                  </w:r>
                  <w:r>
                    <w:rPr>
                      <w:rFonts w:hint="default" w:ascii="Times New Roman" w:hAnsi="Times New Roman" w:cs="Times New Roman"/>
                      <w:color w:val="auto"/>
                      <w:sz w:val="18"/>
                      <w:szCs w:val="18"/>
                      <w:highlight w:val="none"/>
                      <w:vertAlign w:val="superscript"/>
                      <w:lang w:val="en-US" w:eastAsia="zh-CN"/>
                    </w:rPr>
                    <w:t>3</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a；水资源利用上线：新水量为432.945万m/a；土地利用上线：工业用地面积864.20hm</w:t>
                  </w:r>
                  <w:r>
                    <w:rPr>
                      <w:rFonts w:hint="default" w:ascii="Times New Roman" w:hAnsi="Times New Roman" w:cs="Times New Roman"/>
                      <w:color w:val="auto"/>
                      <w:sz w:val="18"/>
                      <w:szCs w:val="18"/>
                      <w:highlight w:val="none"/>
                      <w:vertAlign w:val="superscript"/>
                      <w:lang w:val="en-US" w:eastAsia="zh-CN"/>
                    </w:rPr>
                    <w:t>2</w:t>
                  </w:r>
                  <w:r>
                    <w:rPr>
                      <w:rFonts w:hint="default" w:ascii="Times New Roman" w:hAnsi="Times New Roman" w:cs="Times New Roman"/>
                      <w:color w:val="auto"/>
                      <w:sz w:val="18"/>
                      <w:szCs w:val="18"/>
                      <w:highlight w:val="none"/>
                      <w:lang w:eastAsia="zh-CN"/>
                    </w:rPr>
                    <w:t>。</w:t>
                  </w:r>
                </w:p>
                <w:p w14:paraId="70F902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2.不断优化能源消费结构，优先利用区域集中供热和工业余热资源，禁止建设分散燃煤供热设施。</w:t>
                  </w:r>
                </w:p>
                <w:p w14:paraId="2966E3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3.加快推进水源切换，现有拥有合法手续的自备水井给予保留备用，南寨地表水厂建成后，园区内自备水井进行封井；封井前，开发区现有企业应严格落实取水许可制度，不得突破地下水取水许可量。</w:t>
                  </w:r>
                </w:p>
              </w:tc>
              <w:tc>
                <w:tcPr>
                  <w:tcW w:w="958" w:type="pct"/>
                  <w:tcBorders>
                    <w:top w:val="single" w:color="000000" w:sz="4" w:space="0"/>
                    <w:left w:val="single" w:color="000000" w:sz="4" w:space="0"/>
                    <w:bottom w:val="single" w:color="000000" w:sz="4" w:space="0"/>
                    <w:right w:val="single" w:color="000000" w:sz="4" w:space="0"/>
                  </w:tcBorders>
                  <w:vAlign w:val="center"/>
                </w:tcPr>
                <w:p w14:paraId="1F06A8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1.项目资源和能源消耗量满足开发区划定的主要资源能源可开发利用总量上线。</w:t>
                  </w:r>
                </w:p>
                <w:p w14:paraId="653994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2.本项目生产不用热，办公采暖采用空调，不涉及燃煤供热设施。</w:t>
                  </w:r>
                </w:p>
                <w:p w14:paraId="1EE55B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3.本项目用水依托开发区供水管网，不涉及地下水取水。</w:t>
                  </w:r>
                </w:p>
              </w:tc>
              <w:tc>
                <w:tcPr>
                  <w:tcW w:w="369" w:type="pct"/>
                  <w:tcBorders>
                    <w:top w:val="single" w:color="000000" w:sz="4" w:space="0"/>
                    <w:left w:val="single" w:color="000000" w:sz="4" w:space="0"/>
                    <w:bottom w:val="single" w:color="000000" w:sz="4" w:space="0"/>
                    <w:right w:val="single" w:color="000000" w:sz="4" w:space="0"/>
                  </w:tcBorders>
                  <w:vAlign w:val="center"/>
                </w:tcPr>
                <w:p w14:paraId="12DCEB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bl>
          <w:p w14:paraId="54D33F4A">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val="en-US" w:eastAsia="zh-CN"/>
              </w:rPr>
              <w:t xml:space="preserve">表1-3  </w:t>
            </w:r>
            <w:r>
              <w:rPr>
                <w:rFonts w:hint="default" w:ascii="Times New Roman" w:hAnsi="Times New Roman" w:cs="Times New Roman"/>
                <w:b/>
                <w:bCs/>
                <w:color w:val="auto"/>
                <w:kern w:val="0"/>
                <w:sz w:val="21"/>
                <w:szCs w:val="21"/>
                <w:highlight w:val="none"/>
              </w:rPr>
              <w:t>本项目与规划环评</w:t>
            </w:r>
            <w:r>
              <w:rPr>
                <w:rFonts w:hint="default" w:ascii="Times New Roman" w:hAnsi="Times New Roman" w:cs="Times New Roman"/>
                <w:b/>
                <w:bCs/>
                <w:color w:val="auto"/>
                <w:kern w:val="0"/>
                <w:sz w:val="21"/>
                <w:szCs w:val="21"/>
                <w:highlight w:val="none"/>
                <w:lang w:eastAsia="zh-CN"/>
              </w:rPr>
              <w:t>提出</w:t>
            </w:r>
            <w:r>
              <w:rPr>
                <w:rFonts w:hint="default" w:ascii="Times New Roman" w:hAnsi="Times New Roman" w:cs="Times New Roman"/>
                <w:b/>
                <w:bCs/>
                <w:color w:val="auto"/>
                <w:kern w:val="0"/>
                <w:sz w:val="21"/>
                <w:szCs w:val="21"/>
                <w:highlight w:val="none"/>
              </w:rPr>
              <w:t>的</w:t>
            </w:r>
            <w:r>
              <w:rPr>
                <w:rFonts w:hint="default" w:ascii="Times New Roman" w:hAnsi="Times New Roman" w:cs="Times New Roman"/>
                <w:b/>
                <w:bCs/>
                <w:color w:val="auto"/>
                <w:kern w:val="0"/>
                <w:sz w:val="21"/>
                <w:szCs w:val="21"/>
                <w:highlight w:val="none"/>
                <w:lang w:eastAsia="zh-CN"/>
              </w:rPr>
              <w:t>园区丰达片区</w:t>
            </w:r>
            <w:r>
              <w:rPr>
                <w:rFonts w:hint="default" w:ascii="Times New Roman" w:hAnsi="Times New Roman" w:cs="Times New Roman"/>
                <w:b/>
                <w:bCs/>
                <w:color w:val="auto"/>
                <w:kern w:val="0"/>
                <w:sz w:val="21"/>
                <w:szCs w:val="21"/>
                <w:highlight w:val="none"/>
              </w:rPr>
              <w:t>生态环境准入清单要求符合性分析</w:t>
            </w:r>
          </w:p>
          <w:tbl>
            <w:tblPr>
              <w:tblStyle w:val="40"/>
              <w:tblW w:w="8083" w:type="dxa"/>
              <w:jc w:val="center"/>
              <w:tblLayout w:type="fixed"/>
              <w:tblCellMar>
                <w:top w:w="0" w:type="dxa"/>
                <w:left w:w="0" w:type="dxa"/>
                <w:bottom w:w="0" w:type="dxa"/>
                <w:right w:w="0" w:type="dxa"/>
              </w:tblCellMar>
            </w:tblPr>
            <w:tblGrid>
              <w:gridCol w:w="240"/>
              <w:gridCol w:w="248"/>
              <w:gridCol w:w="2370"/>
              <w:gridCol w:w="3815"/>
              <w:gridCol w:w="1035"/>
              <w:gridCol w:w="375"/>
            </w:tblGrid>
            <w:tr w14:paraId="4C1CE4C5">
              <w:tblPrEx>
                <w:tblCellMar>
                  <w:top w:w="0" w:type="dxa"/>
                  <w:left w:w="0" w:type="dxa"/>
                  <w:bottom w:w="0" w:type="dxa"/>
                  <w:right w:w="0" w:type="dxa"/>
                </w:tblCellMar>
              </w:tblPrEx>
              <w:trPr>
                <w:trHeight w:val="0" w:hRule="atLeast"/>
                <w:jc w:val="center"/>
              </w:trPr>
              <w:tc>
                <w:tcPr>
                  <w:tcW w:w="1767" w:type="pct"/>
                  <w:gridSpan w:val="3"/>
                  <w:tcBorders>
                    <w:top w:val="single" w:color="000000" w:sz="4" w:space="0"/>
                    <w:left w:val="single" w:color="000000" w:sz="4" w:space="0"/>
                    <w:bottom w:val="single" w:color="000000" w:sz="4" w:space="0"/>
                    <w:right w:val="single" w:color="000000" w:sz="4" w:space="0"/>
                  </w:tcBorders>
                  <w:vAlign w:val="center"/>
                </w:tcPr>
                <w:p w14:paraId="539ACD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石家庄市“三线一单”准入要求</w:t>
                  </w:r>
                </w:p>
              </w:tc>
              <w:tc>
                <w:tcPr>
                  <w:tcW w:w="2359" w:type="pct"/>
                  <w:tcBorders>
                    <w:top w:val="single" w:color="000000" w:sz="4" w:space="0"/>
                    <w:left w:val="single" w:color="000000" w:sz="4" w:space="0"/>
                    <w:bottom w:val="single" w:color="000000" w:sz="4" w:space="0"/>
                    <w:right w:val="single" w:color="000000" w:sz="4" w:space="0"/>
                  </w:tcBorders>
                  <w:vAlign w:val="center"/>
                </w:tcPr>
                <w:p w14:paraId="018FEB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规划环评建议补充的准入要求</w:t>
                  </w:r>
                </w:p>
              </w:tc>
              <w:tc>
                <w:tcPr>
                  <w:tcW w:w="640" w:type="pct"/>
                  <w:tcBorders>
                    <w:top w:val="single" w:color="000000" w:sz="4" w:space="0"/>
                    <w:left w:val="single" w:color="000000" w:sz="4" w:space="0"/>
                    <w:bottom w:val="single" w:color="000000" w:sz="4" w:space="0"/>
                    <w:right w:val="single" w:color="000000" w:sz="4" w:space="0"/>
                  </w:tcBorders>
                  <w:vAlign w:val="center"/>
                </w:tcPr>
                <w:p w14:paraId="57055B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本项目情况</w:t>
                  </w:r>
                </w:p>
              </w:tc>
              <w:tc>
                <w:tcPr>
                  <w:tcW w:w="231" w:type="pct"/>
                  <w:tcBorders>
                    <w:top w:val="single" w:color="000000" w:sz="4" w:space="0"/>
                    <w:left w:val="single" w:color="000000" w:sz="4" w:space="0"/>
                    <w:bottom w:val="single" w:color="000000" w:sz="4" w:space="0"/>
                    <w:right w:val="single" w:color="000000" w:sz="4" w:space="0"/>
                  </w:tcBorders>
                  <w:vAlign w:val="center"/>
                </w:tcPr>
                <w:p w14:paraId="64AB0B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符合性</w:t>
                  </w:r>
                </w:p>
              </w:tc>
            </w:tr>
            <w:tr w14:paraId="5BA45AED">
              <w:tblPrEx>
                <w:tblCellMar>
                  <w:top w:w="0" w:type="dxa"/>
                  <w:left w:w="0" w:type="dxa"/>
                  <w:bottom w:w="0" w:type="dxa"/>
                  <w:right w:w="0" w:type="dxa"/>
                </w:tblCellMar>
              </w:tblPrEx>
              <w:trPr>
                <w:trHeight w:val="0" w:hRule="atLeast"/>
                <w:jc w:val="center"/>
              </w:trPr>
              <w:tc>
                <w:tcPr>
                  <w:tcW w:w="148" w:type="pct"/>
                  <w:vMerge w:val="restart"/>
                  <w:tcBorders>
                    <w:top w:val="single" w:color="000000" w:sz="4" w:space="0"/>
                    <w:left w:val="single" w:color="000000" w:sz="4" w:space="0"/>
                    <w:right w:val="single" w:color="000000" w:sz="4" w:space="0"/>
                  </w:tcBorders>
                  <w:vAlign w:val="center"/>
                </w:tcPr>
                <w:p w14:paraId="78BFAC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园区丰达片区（重点管控单元</w:t>
                  </w:r>
                  <w:r>
                    <w:rPr>
                      <w:rFonts w:hint="default" w:ascii="Times New Roman" w:hAnsi="Times New Roman" w:cs="Times New Roman"/>
                      <w:color w:val="auto"/>
                      <w:sz w:val="18"/>
                      <w:szCs w:val="18"/>
                      <w:highlight w:val="none"/>
                      <w:lang w:val="en-US" w:eastAsia="zh-CN"/>
                    </w:rPr>
                    <w:t>1、重点管控单元4</w:t>
                  </w:r>
                  <w:r>
                    <w:rPr>
                      <w:rFonts w:hint="default" w:ascii="Times New Roman" w:hAnsi="Times New Roman" w:cs="Times New Roman"/>
                      <w:color w:val="auto"/>
                      <w:sz w:val="18"/>
                      <w:szCs w:val="18"/>
                      <w:highlight w:val="none"/>
                      <w:lang w:eastAsia="zh-CN"/>
                    </w:rPr>
                    <w:t>）</w:t>
                  </w:r>
                </w:p>
              </w:tc>
              <w:tc>
                <w:tcPr>
                  <w:tcW w:w="153" w:type="pct"/>
                  <w:tcBorders>
                    <w:top w:val="single" w:color="000000" w:sz="4" w:space="0"/>
                    <w:left w:val="single" w:color="000000" w:sz="4" w:space="0"/>
                    <w:bottom w:val="single" w:color="000000" w:sz="4" w:space="0"/>
                    <w:right w:val="single" w:color="000000" w:sz="4" w:space="0"/>
                  </w:tcBorders>
                  <w:vAlign w:val="center"/>
                </w:tcPr>
                <w:p w14:paraId="516C92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空间布局约束</w:t>
                  </w:r>
                </w:p>
              </w:tc>
              <w:tc>
                <w:tcPr>
                  <w:tcW w:w="1466" w:type="pct"/>
                  <w:tcBorders>
                    <w:top w:val="single" w:color="000000" w:sz="4" w:space="0"/>
                    <w:left w:val="single" w:color="000000" w:sz="4" w:space="0"/>
                    <w:bottom w:val="single" w:color="000000" w:sz="4" w:space="0"/>
                    <w:right w:val="single" w:color="000000" w:sz="4" w:space="0"/>
                  </w:tcBorders>
                  <w:vAlign w:val="center"/>
                </w:tcPr>
                <w:p w14:paraId="09FB30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管控单元1：</w:t>
                  </w:r>
                </w:p>
                <w:p w14:paraId="4D0366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eastAsia="zh-CN"/>
                    </w:rPr>
                    <w:t>.严格落实国家、河北省以及石家庄市最新产业目录准入要求。</w:t>
                  </w:r>
                </w:p>
                <w:p w14:paraId="5F3AEA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lang w:eastAsia="zh-CN"/>
                    </w:rPr>
                    <w:t>严格落实最新规划环评及其批复文牛制定的环境准入要求。</w:t>
                  </w:r>
                </w:p>
                <w:p w14:paraId="61A2B1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管控单元4：</w:t>
                  </w:r>
                </w:p>
                <w:p w14:paraId="7DA0D3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1.加快城市建成区工业企业搬迁入园或关闭退出。</w:t>
                  </w:r>
                </w:p>
              </w:tc>
              <w:tc>
                <w:tcPr>
                  <w:tcW w:w="2359" w:type="pct"/>
                  <w:tcBorders>
                    <w:top w:val="single" w:color="000000" w:sz="4" w:space="0"/>
                    <w:left w:val="single" w:color="000000" w:sz="4" w:space="0"/>
                    <w:bottom w:val="single" w:color="000000" w:sz="4" w:space="0"/>
                    <w:right w:val="single" w:color="000000" w:sz="4" w:space="0"/>
                  </w:tcBorders>
                  <w:vAlign w:val="center"/>
                </w:tcPr>
                <w:p w14:paraId="7CE1E7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1.将位于水土保持和水源涵养一般生态空间部分划为优先保护区域，严格按照水土保持和水源涵养的管控要求进行开发建设。</w:t>
                  </w:r>
                </w:p>
                <w:p w14:paraId="668BA7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入区项目选址还应尽量避开采空区、塌陷影响区，若确需在采空区、塌陷影响区内进行工程建设，建设前要做好采空区的勘察和评估工作，优化建设场地平面布置，结合采空区分布情况，重点优化废水污染源的布置。</w:t>
                  </w:r>
                </w:p>
                <w:p w14:paraId="282DFE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3.居住用地、教育用地 50 米范围内布局办公区、仓储区或机械加工区，50~100m 范围内禁止新上涉及表面处理和石墨化工的重污染项目；新增涉及喷漆、喷涂工序的生产企业通过使用水性、粉末、高固体分、无溶剂、辐射固化等低 VOCs 含量的涂料降低有机废气排放，使用涂料应满足《低挥发性有机化合物含量涂料产品技术要求》；采用《排污许可证申请与核发技术规范 铁路、船舶、航空航天和其他运输设备制造业》附录 A 表面处理（涂装）排污单位中可行技术，禁止使用单一低温等离子、光氧化、光催化、非水溶性 VOCs 废气处理技术。</w:t>
                  </w:r>
                </w:p>
                <w:p w14:paraId="7B3705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4.临近生态保护红线、居住区一侧布设 20m 绿化带减缓对</w:t>
                  </w:r>
                  <w:r>
                    <w:rPr>
                      <w:rFonts w:hint="eastAsia" w:cs="Times New Roman"/>
                      <w:color w:val="auto"/>
                      <w:sz w:val="18"/>
                      <w:szCs w:val="18"/>
                      <w:highlight w:val="none"/>
                      <w:lang w:eastAsia="zh-CN"/>
                    </w:rPr>
                    <w:t>其影响</w:t>
                  </w:r>
                  <w:r>
                    <w:rPr>
                      <w:rFonts w:hint="default" w:ascii="Times New Roman" w:hAnsi="Times New Roman" w:cs="Times New Roman"/>
                      <w:color w:val="auto"/>
                      <w:sz w:val="18"/>
                      <w:szCs w:val="18"/>
                      <w:highlight w:val="none"/>
                      <w:lang w:eastAsia="zh-CN"/>
                    </w:rPr>
                    <w:t>。</w:t>
                  </w:r>
                </w:p>
              </w:tc>
              <w:tc>
                <w:tcPr>
                  <w:tcW w:w="640" w:type="pct"/>
                  <w:tcBorders>
                    <w:top w:val="single" w:color="000000" w:sz="4" w:space="0"/>
                    <w:left w:val="single" w:color="000000" w:sz="4" w:space="0"/>
                    <w:bottom w:val="single" w:color="000000" w:sz="4" w:space="0"/>
                    <w:right w:val="single" w:color="000000" w:sz="4" w:space="0"/>
                  </w:tcBorders>
                  <w:vAlign w:val="center"/>
                </w:tcPr>
                <w:p w14:paraId="04904E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本项目符合国家及地方最新产业目录准入要求，项目选址不涉及优先保护区域，不涉及采空区、塌陷影响区，选址周边50米内不涉及居住用地、教育用地，周边不涉及生态保护红线和居住区。</w:t>
                  </w:r>
                </w:p>
              </w:tc>
              <w:tc>
                <w:tcPr>
                  <w:tcW w:w="231" w:type="pct"/>
                  <w:tcBorders>
                    <w:top w:val="single" w:color="000000" w:sz="4" w:space="0"/>
                    <w:left w:val="single" w:color="000000" w:sz="4" w:space="0"/>
                    <w:bottom w:val="single" w:color="000000" w:sz="4" w:space="0"/>
                    <w:right w:val="single" w:color="000000" w:sz="4" w:space="0"/>
                  </w:tcBorders>
                  <w:vAlign w:val="center"/>
                </w:tcPr>
                <w:p w14:paraId="51A1BC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3D4F5414">
              <w:tblPrEx>
                <w:tblCellMar>
                  <w:top w:w="0" w:type="dxa"/>
                  <w:left w:w="0" w:type="dxa"/>
                  <w:bottom w:w="0" w:type="dxa"/>
                  <w:right w:w="0" w:type="dxa"/>
                </w:tblCellMar>
              </w:tblPrEx>
              <w:trPr>
                <w:trHeight w:val="0" w:hRule="atLeast"/>
                <w:jc w:val="center"/>
              </w:trPr>
              <w:tc>
                <w:tcPr>
                  <w:tcW w:w="148" w:type="pct"/>
                  <w:vMerge w:val="continue"/>
                  <w:tcBorders>
                    <w:left w:val="single" w:color="000000" w:sz="4" w:space="0"/>
                    <w:right w:val="single" w:color="000000" w:sz="4" w:space="0"/>
                  </w:tcBorders>
                  <w:vAlign w:val="center"/>
                </w:tcPr>
                <w:p w14:paraId="461527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p>
              </w:tc>
              <w:tc>
                <w:tcPr>
                  <w:tcW w:w="153" w:type="pct"/>
                  <w:tcBorders>
                    <w:top w:val="single" w:color="000000" w:sz="4" w:space="0"/>
                    <w:left w:val="single" w:color="000000" w:sz="4" w:space="0"/>
                    <w:bottom w:val="single" w:color="000000" w:sz="4" w:space="0"/>
                    <w:right w:val="single" w:color="000000" w:sz="4" w:space="0"/>
                  </w:tcBorders>
                  <w:vAlign w:val="center"/>
                </w:tcPr>
                <w:p w14:paraId="6FEB4D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污染物排放管控</w:t>
                  </w:r>
                </w:p>
              </w:tc>
              <w:tc>
                <w:tcPr>
                  <w:tcW w:w="1466" w:type="pct"/>
                  <w:tcBorders>
                    <w:top w:val="single" w:color="000000" w:sz="4" w:space="0"/>
                    <w:left w:val="single" w:color="000000" w:sz="4" w:space="0"/>
                    <w:bottom w:val="single" w:color="000000" w:sz="4" w:space="0"/>
                    <w:right w:val="single" w:color="000000" w:sz="4" w:space="0"/>
                  </w:tcBorders>
                  <w:vAlign w:val="center"/>
                </w:tcPr>
                <w:p w14:paraId="36DF9F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管控单元1：</w:t>
                  </w:r>
                </w:p>
                <w:p w14:paraId="617FAF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1.涉挥发性有机物企业排放标准执行《工业企业挥发性有机物排放控制标准》（DB12/2322-2016）和《挥发性有机物无组织排放控制标准》（GB37822-2019）。</w:t>
                  </w:r>
                </w:p>
                <w:p w14:paraId="6EC44A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2.新(改、扩)建向环境水体直接排放污水的排污单位执行《子牙河流域水污染物排放标准》(DB13/2796-2018)排放限值。</w:t>
                  </w:r>
                </w:p>
                <w:p w14:paraId="22D895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管控单元4：</w:t>
                  </w:r>
                </w:p>
                <w:p w14:paraId="2E844B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1.重点行业依法实施强制性清洁生产审核。</w:t>
                  </w:r>
                </w:p>
                <w:p w14:paraId="458A0B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2.加快配套管网建设。新（改、扩）建向环境水体直接排放污水的排污单位执行《子牙河流域水污染物排放标准》(DB13/2796-2018)排放限值。</w:t>
                  </w:r>
                </w:p>
                <w:p w14:paraId="56F7D5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3.提高城镇生活污水收集处理效率。</w:t>
                  </w:r>
                </w:p>
              </w:tc>
              <w:tc>
                <w:tcPr>
                  <w:tcW w:w="2359" w:type="pct"/>
                  <w:tcBorders>
                    <w:top w:val="single" w:color="000000" w:sz="4" w:space="0"/>
                    <w:left w:val="single" w:color="000000" w:sz="4" w:space="0"/>
                    <w:bottom w:val="single" w:color="000000" w:sz="4" w:space="0"/>
                    <w:right w:val="single" w:color="000000" w:sz="4" w:space="0"/>
                  </w:tcBorders>
                  <w:vAlign w:val="center"/>
                </w:tcPr>
                <w:p w14:paraId="3F38C3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1.重点关注挥发性有机物排放管控，禁止使用高 VOCs 含量涂料或胶粘剂。挥发性有机物治理工艺禁止采用低温等离子、光氧化/催化、劣质活性炭吸附、喷淋吸收等单一低效治理技术；采用活性炭吸附工艺的应满足《石家庄市涉 VOCs 企业活性炭吸附脱附技术指南》的要求；</w:t>
                  </w:r>
                </w:p>
                <w:p w14:paraId="258805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2.入区企业生产废水经处理后全部回用，不外排。生活污水经收集后排入贾庄污水处理厂或矿区绿洁污水处理厂处理，不得向环境水体直接排放污水。</w:t>
                  </w:r>
                </w:p>
              </w:tc>
              <w:tc>
                <w:tcPr>
                  <w:tcW w:w="640" w:type="pct"/>
                  <w:tcBorders>
                    <w:top w:val="single" w:color="000000" w:sz="4" w:space="0"/>
                    <w:left w:val="single" w:color="000000" w:sz="4" w:space="0"/>
                    <w:bottom w:val="single" w:color="000000" w:sz="4" w:space="0"/>
                    <w:right w:val="single" w:color="000000" w:sz="4" w:space="0"/>
                  </w:tcBorders>
                  <w:vAlign w:val="center"/>
                </w:tcPr>
                <w:p w14:paraId="167650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1.不涉及挥发性有机物排放。</w:t>
                  </w:r>
                </w:p>
                <w:p w14:paraId="2A3D5A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2.本项目生产废水全部回用不外排，生活污水采用化粪池收集处理，定期清掏用作农肥，不向环境水体直接排放污水。</w:t>
                  </w:r>
                </w:p>
              </w:tc>
              <w:tc>
                <w:tcPr>
                  <w:tcW w:w="231" w:type="pct"/>
                  <w:tcBorders>
                    <w:top w:val="single" w:color="000000" w:sz="4" w:space="0"/>
                    <w:left w:val="single" w:color="000000" w:sz="4" w:space="0"/>
                    <w:bottom w:val="single" w:color="000000" w:sz="4" w:space="0"/>
                    <w:right w:val="single" w:color="000000" w:sz="4" w:space="0"/>
                  </w:tcBorders>
                  <w:vAlign w:val="center"/>
                </w:tcPr>
                <w:p w14:paraId="46536D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6AD4AA21">
              <w:tblPrEx>
                <w:tblCellMar>
                  <w:top w:w="0" w:type="dxa"/>
                  <w:left w:w="0" w:type="dxa"/>
                  <w:bottom w:w="0" w:type="dxa"/>
                  <w:right w:w="0" w:type="dxa"/>
                </w:tblCellMar>
              </w:tblPrEx>
              <w:trPr>
                <w:trHeight w:val="0" w:hRule="atLeast"/>
                <w:jc w:val="center"/>
              </w:trPr>
              <w:tc>
                <w:tcPr>
                  <w:tcW w:w="148" w:type="pct"/>
                  <w:vMerge w:val="continue"/>
                  <w:tcBorders>
                    <w:left w:val="single" w:color="000000" w:sz="4" w:space="0"/>
                    <w:right w:val="single" w:color="000000" w:sz="4" w:space="0"/>
                  </w:tcBorders>
                  <w:vAlign w:val="center"/>
                </w:tcPr>
                <w:p w14:paraId="2277EF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p>
              </w:tc>
              <w:tc>
                <w:tcPr>
                  <w:tcW w:w="153" w:type="pct"/>
                  <w:tcBorders>
                    <w:top w:val="single" w:color="000000" w:sz="4" w:space="0"/>
                    <w:left w:val="single" w:color="000000" w:sz="4" w:space="0"/>
                    <w:bottom w:val="single" w:color="000000" w:sz="4" w:space="0"/>
                    <w:right w:val="single" w:color="000000" w:sz="4" w:space="0"/>
                  </w:tcBorders>
                  <w:vAlign w:val="center"/>
                </w:tcPr>
                <w:p w14:paraId="783066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环境风险管控</w:t>
                  </w:r>
                </w:p>
              </w:tc>
              <w:tc>
                <w:tcPr>
                  <w:tcW w:w="1466" w:type="pct"/>
                  <w:tcBorders>
                    <w:top w:val="single" w:color="000000" w:sz="4" w:space="0"/>
                    <w:left w:val="single" w:color="000000" w:sz="4" w:space="0"/>
                    <w:bottom w:val="single" w:color="000000" w:sz="4" w:space="0"/>
                    <w:right w:val="single" w:color="000000" w:sz="4" w:space="0"/>
                  </w:tcBorders>
                  <w:vAlign w:val="center"/>
                </w:tcPr>
                <w:p w14:paraId="2F8AD3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管控单元1：</w:t>
                  </w:r>
                </w:p>
                <w:p w14:paraId="5ED375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园区按照相关要求，建立完善环境风险管理相关制度和有效的事故风险防范体系。</w:t>
                  </w:r>
                </w:p>
              </w:tc>
              <w:tc>
                <w:tcPr>
                  <w:tcW w:w="2359" w:type="pct"/>
                  <w:tcBorders>
                    <w:top w:val="single" w:color="000000" w:sz="4" w:space="0"/>
                    <w:left w:val="single" w:color="000000" w:sz="4" w:space="0"/>
                    <w:bottom w:val="single" w:color="000000" w:sz="4" w:space="0"/>
                    <w:right w:val="single" w:color="000000" w:sz="4" w:space="0"/>
                  </w:tcBorders>
                  <w:vAlign w:val="center"/>
                </w:tcPr>
                <w:p w14:paraId="65B034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1.结合道路绿化、居住区绿地布置，合理布置涉及风险物质的生产单元，涉重大危险源生产装置和储罐区的项目不得紧邻居住区布局。加强重大危险源企业环境风险管理。</w:t>
                  </w:r>
                </w:p>
                <w:p w14:paraId="1ABEBF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2.对园区内已规划为工业用地的刘赵村实施搬迁，加强与居住区临近的现有企业环境风险管理。</w:t>
                  </w:r>
                </w:p>
                <w:p w14:paraId="78D59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3.各企业做好分区防渗，强化地下水及土壤环境监管。</w:t>
                  </w:r>
                </w:p>
              </w:tc>
              <w:tc>
                <w:tcPr>
                  <w:tcW w:w="640" w:type="pct"/>
                  <w:tcBorders>
                    <w:top w:val="single" w:color="000000" w:sz="4" w:space="0"/>
                    <w:left w:val="single" w:color="000000" w:sz="4" w:space="0"/>
                    <w:bottom w:val="single" w:color="000000" w:sz="4" w:space="0"/>
                    <w:right w:val="single" w:color="000000" w:sz="4" w:space="0"/>
                  </w:tcBorders>
                  <w:vAlign w:val="center"/>
                </w:tcPr>
                <w:p w14:paraId="087B11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1.不涉及重大危险源。</w:t>
                  </w:r>
                </w:p>
                <w:p w14:paraId="4A58A0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2.不涉及。</w:t>
                  </w:r>
                </w:p>
                <w:p w14:paraId="10978B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3.采取分区防渗措施，不会对地下水及土壤环境造成污染。</w:t>
                  </w:r>
                </w:p>
              </w:tc>
              <w:tc>
                <w:tcPr>
                  <w:tcW w:w="231" w:type="pct"/>
                  <w:tcBorders>
                    <w:top w:val="single" w:color="000000" w:sz="4" w:space="0"/>
                    <w:left w:val="single" w:color="000000" w:sz="4" w:space="0"/>
                    <w:bottom w:val="single" w:color="000000" w:sz="4" w:space="0"/>
                    <w:right w:val="single" w:color="000000" w:sz="4" w:space="0"/>
                  </w:tcBorders>
                  <w:vAlign w:val="center"/>
                </w:tcPr>
                <w:p w14:paraId="773B5E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4DFAAF6C">
              <w:tblPrEx>
                <w:tblCellMar>
                  <w:top w:w="0" w:type="dxa"/>
                  <w:left w:w="0" w:type="dxa"/>
                  <w:bottom w:w="0" w:type="dxa"/>
                  <w:right w:w="0" w:type="dxa"/>
                </w:tblCellMar>
              </w:tblPrEx>
              <w:trPr>
                <w:trHeight w:val="0" w:hRule="atLeast"/>
                <w:jc w:val="center"/>
              </w:trPr>
              <w:tc>
                <w:tcPr>
                  <w:tcW w:w="148" w:type="pct"/>
                  <w:vMerge w:val="continue"/>
                  <w:tcBorders>
                    <w:left w:val="single" w:color="000000" w:sz="4" w:space="0"/>
                    <w:bottom w:val="single" w:color="000000" w:sz="4" w:space="0"/>
                    <w:right w:val="single" w:color="000000" w:sz="4" w:space="0"/>
                  </w:tcBorders>
                  <w:vAlign w:val="center"/>
                </w:tcPr>
                <w:p w14:paraId="0F1877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p>
              </w:tc>
              <w:tc>
                <w:tcPr>
                  <w:tcW w:w="153" w:type="pct"/>
                  <w:tcBorders>
                    <w:top w:val="single" w:color="000000" w:sz="4" w:space="0"/>
                    <w:left w:val="single" w:color="000000" w:sz="4" w:space="0"/>
                    <w:bottom w:val="single" w:color="000000" w:sz="4" w:space="0"/>
                    <w:right w:val="single" w:color="000000" w:sz="4" w:space="0"/>
                  </w:tcBorders>
                  <w:vAlign w:val="center"/>
                </w:tcPr>
                <w:p w14:paraId="53DA40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资源利用效率</w:t>
                  </w:r>
                </w:p>
              </w:tc>
              <w:tc>
                <w:tcPr>
                  <w:tcW w:w="1466" w:type="pct"/>
                  <w:tcBorders>
                    <w:top w:val="single" w:color="000000" w:sz="4" w:space="0"/>
                    <w:left w:val="single" w:color="000000" w:sz="4" w:space="0"/>
                    <w:bottom w:val="single" w:color="000000" w:sz="4" w:space="0"/>
                    <w:right w:val="single" w:color="000000" w:sz="4" w:space="0"/>
                  </w:tcBorders>
                  <w:vAlign w:val="center"/>
                </w:tcPr>
                <w:p w14:paraId="2A6697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管控单元1：</w:t>
                  </w:r>
                </w:p>
                <w:p w14:paraId="337536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eastAsia="zh-CN"/>
                    </w:rPr>
                    <w:t>提高中水回用率。</w:t>
                  </w:r>
                </w:p>
                <w:p w14:paraId="348881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lang w:eastAsia="zh-CN"/>
                    </w:rPr>
                    <w:t>.鼓励开展余热利用，提高能源利用效率。</w:t>
                  </w:r>
                </w:p>
                <w:p w14:paraId="088A07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管控单元4：</w:t>
                  </w:r>
                </w:p>
                <w:p w14:paraId="5D5516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1.淘汰集中供热管网覆盖范围内的散煤</w:t>
                  </w:r>
                </w:p>
              </w:tc>
              <w:tc>
                <w:tcPr>
                  <w:tcW w:w="2359" w:type="pct"/>
                  <w:tcBorders>
                    <w:top w:val="single" w:color="000000" w:sz="4" w:space="0"/>
                    <w:left w:val="single" w:color="000000" w:sz="4" w:space="0"/>
                    <w:bottom w:val="single" w:color="000000" w:sz="4" w:space="0"/>
                    <w:right w:val="single" w:color="000000" w:sz="4" w:space="0"/>
                  </w:tcBorders>
                  <w:vAlign w:val="center"/>
                </w:tcPr>
                <w:p w14:paraId="0D24A4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1.加快生活污水及再生水管网建设，提高污水收集率和再生水的回用率，减轻对地表水利用的压力；</w:t>
                  </w:r>
                </w:p>
                <w:p w14:paraId="3E3592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2.装备制造行业中的中频炉熔融、退火、烘干等工序用热使用电或天然气，采暖优先通过自身生产余热供给；根据行业特点充分利用生产余热为主力热源，电能等清洁能源为补充。</w:t>
                  </w:r>
                </w:p>
              </w:tc>
              <w:tc>
                <w:tcPr>
                  <w:tcW w:w="640" w:type="pct"/>
                  <w:tcBorders>
                    <w:top w:val="single" w:color="000000" w:sz="4" w:space="0"/>
                    <w:left w:val="single" w:color="000000" w:sz="4" w:space="0"/>
                    <w:bottom w:val="single" w:color="000000" w:sz="4" w:space="0"/>
                    <w:right w:val="single" w:color="000000" w:sz="4" w:space="0"/>
                  </w:tcBorders>
                  <w:vAlign w:val="center"/>
                </w:tcPr>
                <w:p w14:paraId="15E39C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1.不涉及。</w:t>
                  </w:r>
                </w:p>
                <w:p w14:paraId="39B9E0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2.不涉及。</w:t>
                  </w:r>
                </w:p>
              </w:tc>
              <w:tc>
                <w:tcPr>
                  <w:tcW w:w="231" w:type="pct"/>
                  <w:tcBorders>
                    <w:top w:val="single" w:color="000000" w:sz="4" w:space="0"/>
                    <w:left w:val="single" w:color="000000" w:sz="4" w:space="0"/>
                    <w:bottom w:val="single" w:color="000000" w:sz="4" w:space="0"/>
                    <w:right w:val="single" w:color="000000" w:sz="4" w:space="0"/>
                  </w:tcBorders>
                  <w:vAlign w:val="center"/>
                </w:tcPr>
                <w:p w14:paraId="29C2E7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bl>
          <w:p w14:paraId="3B3B8FC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0" w:firstLineChars="0"/>
              <w:textAlignment w:val="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eastAsia="zh-CN"/>
              </w:rPr>
              <w:t>二</w:t>
            </w:r>
            <w:r>
              <w:rPr>
                <w:rFonts w:hint="default" w:ascii="Times New Roman" w:hAnsi="Times New Roman" w:cs="Times New Roman"/>
                <w:b/>
                <w:bCs/>
                <w:color w:val="auto"/>
                <w:kern w:val="0"/>
                <w:sz w:val="24"/>
                <w:highlight w:val="none"/>
              </w:rPr>
              <w:t>、项目与规划环境影响评价结论的符合性分析</w:t>
            </w:r>
          </w:p>
          <w:p w14:paraId="221BDE7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项目与</w:t>
            </w:r>
            <w:r>
              <w:rPr>
                <w:rFonts w:hint="default" w:ascii="Times New Roman" w:hAnsi="Times New Roman" w:cs="Times New Roman"/>
                <w:color w:val="auto"/>
                <w:kern w:val="0"/>
                <w:sz w:val="24"/>
                <w:highlight w:val="none"/>
                <w:lang w:eastAsia="zh-CN"/>
              </w:rPr>
              <w:t>《</w:t>
            </w:r>
            <w:r>
              <w:rPr>
                <w:rFonts w:hint="default" w:ascii="Times New Roman" w:hAnsi="Times New Roman" w:eastAsia="宋体" w:cs="Times New Roman"/>
                <w:color w:val="auto"/>
                <w:kern w:val="2"/>
                <w:sz w:val="24"/>
                <w:szCs w:val="20"/>
                <w:highlight w:val="none"/>
                <w:lang w:val="en-US" w:eastAsia="zh-CN"/>
              </w:rPr>
              <w:t>河北石家庄矿区工业园区总体发展规划（2022-2030）环境影响报告书</w:t>
            </w:r>
            <w:r>
              <w:rPr>
                <w:rFonts w:hint="default" w:ascii="Times New Roman" w:hAnsi="Times New Roman" w:cs="Times New Roman"/>
                <w:color w:val="auto"/>
                <w:kern w:val="0"/>
                <w:sz w:val="24"/>
                <w:highlight w:val="none"/>
                <w:lang w:eastAsia="zh-CN"/>
              </w:rPr>
              <w:t>》主要</w:t>
            </w:r>
            <w:r>
              <w:rPr>
                <w:rFonts w:hint="default" w:ascii="Times New Roman" w:hAnsi="Times New Roman" w:cs="Times New Roman"/>
                <w:color w:val="auto"/>
                <w:kern w:val="0"/>
                <w:sz w:val="24"/>
                <w:highlight w:val="none"/>
              </w:rPr>
              <w:t>结论的符合性分析见表</w:t>
            </w:r>
            <w:r>
              <w:rPr>
                <w:rFonts w:hint="default" w:ascii="Times New Roman" w:hAnsi="Times New Roman" w:cs="Times New Roman"/>
                <w:color w:val="auto"/>
                <w:kern w:val="0"/>
                <w:sz w:val="24"/>
                <w:highlight w:val="none"/>
                <w:lang w:val="en-US" w:eastAsia="zh-CN"/>
              </w:rPr>
              <w:t>1-4</w:t>
            </w:r>
            <w:r>
              <w:rPr>
                <w:rFonts w:hint="default" w:ascii="Times New Roman" w:hAnsi="Times New Roman" w:cs="Times New Roman"/>
                <w:color w:val="auto"/>
                <w:kern w:val="0"/>
                <w:sz w:val="24"/>
                <w:highlight w:val="none"/>
              </w:rPr>
              <w:t>。</w:t>
            </w:r>
          </w:p>
          <w:p w14:paraId="52F78DE3">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0" w:firstLineChars="0"/>
              <w:jc w:val="center"/>
              <w:textAlignment w:val="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表</w:t>
            </w:r>
            <w:r>
              <w:rPr>
                <w:rFonts w:hint="default" w:ascii="Times New Roman" w:hAnsi="Times New Roman" w:cs="Times New Roman"/>
                <w:b/>
                <w:bCs/>
                <w:color w:val="auto"/>
                <w:kern w:val="0"/>
                <w:sz w:val="24"/>
                <w:highlight w:val="none"/>
                <w:lang w:val="en-US" w:eastAsia="zh-CN"/>
              </w:rPr>
              <w:t xml:space="preserve">1-4  </w:t>
            </w:r>
            <w:r>
              <w:rPr>
                <w:rFonts w:hint="default" w:ascii="Times New Roman" w:hAnsi="Times New Roman" w:cs="Times New Roman"/>
                <w:b/>
                <w:bCs/>
                <w:color w:val="auto"/>
                <w:kern w:val="0"/>
                <w:sz w:val="24"/>
                <w:highlight w:val="none"/>
              </w:rPr>
              <w:t>本项目与规划环境影响评价</w:t>
            </w:r>
            <w:r>
              <w:rPr>
                <w:rFonts w:hint="default" w:ascii="Times New Roman" w:hAnsi="Times New Roman" w:cs="Times New Roman"/>
                <w:b/>
                <w:bCs/>
                <w:color w:val="auto"/>
                <w:kern w:val="0"/>
                <w:sz w:val="24"/>
                <w:highlight w:val="none"/>
                <w:lang w:eastAsia="zh-CN"/>
              </w:rPr>
              <w:t>主要</w:t>
            </w:r>
            <w:r>
              <w:rPr>
                <w:rFonts w:hint="default" w:ascii="Times New Roman" w:hAnsi="Times New Roman" w:cs="Times New Roman"/>
                <w:b/>
                <w:bCs/>
                <w:color w:val="auto"/>
                <w:kern w:val="0"/>
                <w:sz w:val="24"/>
                <w:highlight w:val="none"/>
              </w:rPr>
              <w:t>结论的符合性分析</w:t>
            </w:r>
          </w:p>
          <w:tbl>
            <w:tblPr>
              <w:tblStyle w:val="40"/>
              <w:tblW w:w="8097" w:type="dxa"/>
              <w:jc w:val="center"/>
              <w:tblLayout w:type="fixed"/>
              <w:tblCellMar>
                <w:top w:w="0" w:type="dxa"/>
                <w:left w:w="0" w:type="dxa"/>
                <w:bottom w:w="0" w:type="dxa"/>
                <w:right w:w="0" w:type="dxa"/>
              </w:tblCellMar>
            </w:tblPr>
            <w:tblGrid>
              <w:gridCol w:w="385"/>
              <w:gridCol w:w="4920"/>
              <w:gridCol w:w="2230"/>
              <w:gridCol w:w="562"/>
            </w:tblGrid>
            <w:tr w14:paraId="712E074E">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6544862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3038" w:type="pct"/>
                  <w:tcBorders>
                    <w:top w:val="single" w:color="000000" w:sz="4" w:space="0"/>
                    <w:left w:val="single" w:color="000000" w:sz="4" w:space="0"/>
                    <w:bottom w:val="single" w:color="000000" w:sz="4" w:space="0"/>
                    <w:right w:val="single" w:color="000000" w:sz="4" w:space="0"/>
                  </w:tcBorders>
                  <w:vAlign w:val="center"/>
                </w:tcPr>
                <w:p w14:paraId="25024861">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规划环境影响评价</w:t>
                  </w:r>
                  <w:r>
                    <w:rPr>
                      <w:rFonts w:hint="default" w:ascii="Times New Roman" w:hAnsi="Times New Roman" w:cs="Times New Roman"/>
                      <w:color w:val="auto"/>
                      <w:sz w:val="18"/>
                      <w:szCs w:val="18"/>
                      <w:highlight w:val="none"/>
                      <w:lang w:eastAsia="zh-CN"/>
                    </w:rPr>
                    <w:t>主要</w:t>
                  </w:r>
                  <w:r>
                    <w:rPr>
                      <w:rFonts w:hint="default" w:ascii="Times New Roman" w:hAnsi="Times New Roman" w:cs="Times New Roman"/>
                      <w:color w:val="auto"/>
                      <w:sz w:val="18"/>
                      <w:szCs w:val="18"/>
                      <w:highlight w:val="none"/>
                    </w:rPr>
                    <w:t>结论</w:t>
                  </w:r>
                </w:p>
              </w:tc>
              <w:tc>
                <w:tcPr>
                  <w:tcW w:w="1377" w:type="pct"/>
                  <w:tcBorders>
                    <w:top w:val="single" w:color="000000" w:sz="4" w:space="0"/>
                    <w:left w:val="single" w:color="000000" w:sz="4" w:space="0"/>
                    <w:bottom w:val="single" w:color="000000" w:sz="4" w:space="0"/>
                    <w:right w:val="single" w:color="000000" w:sz="4" w:space="0"/>
                  </w:tcBorders>
                  <w:vAlign w:val="center"/>
                </w:tcPr>
                <w:p w14:paraId="0ADBCAE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本项目情况</w:t>
                  </w:r>
                </w:p>
              </w:tc>
              <w:tc>
                <w:tcPr>
                  <w:tcW w:w="347" w:type="pct"/>
                  <w:tcBorders>
                    <w:top w:val="single" w:color="000000" w:sz="4" w:space="0"/>
                    <w:left w:val="single" w:color="000000" w:sz="4" w:space="0"/>
                    <w:bottom w:val="single" w:color="000000" w:sz="4" w:space="0"/>
                    <w:right w:val="single" w:color="000000" w:sz="4" w:space="0"/>
                  </w:tcBorders>
                  <w:vAlign w:val="center"/>
                </w:tcPr>
                <w:p w14:paraId="50E95166">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符合性</w:t>
                  </w:r>
                </w:p>
              </w:tc>
            </w:tr>
            <w:tr w14:paraId="545B7E1C">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6E049333">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c>
                <w:tcPr>
                  <w:tcW w:w="3038" w:type="pct"/>
                  <w:tcBorders>
                    <w:top w:val="single" w:color="000000" w:sz="4" w:space="0"/>
                    <w:left w:val="single" w:color="000000" w:sz="4" w:space="0"/>
                    <w:bottom w:val="single" w:color="000000" w:sz="4" w:space="0"/>
                    <w:right w:val="single" w:color="000000" w:sz="4" w:space="0"/>
                  </w:tcBorders>
                  <w:vAlign w:val="center"/>
                </w:tcPr>
                <w:p w14:paraId="1F2C1534">
                  <w:pPr>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大气环境影响评价结论：本次规划实施后，在入区企业严格按照环评建议提出的要求，采取完善的环境治理措施的前提下，落实规划提出的削减措施的前提下，对区域环境空气的影响程度在可接受范围之内。</w:t>
                  </w:r>
                </w:p>
              </w:tc>
              <w:tc>
                <w:tcPr>
                  <w:tcW w:w="1377" w:type="pct"/>
                  <w:tcBorders>
                    <w:top w:val="single" w:color="000000" w:sz="4" w:space="0"/>
                    <w:left w:val="single" w:color="000000" w:sz="4" w:space="0"/>
                    <w:bottom w:val="single" w:color="000000" w:sz="4" w:space="0"/>
                    <w:right w:val="single" w:color="000000" w:sz="4" w:space="0"/>
                  </w:tcBorders>
                  <w:vAlign w:val="center"/>
                </w:tcPr>
                <w:p w14:paraId="62D4BAE0">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本项目废气采取可行的治理措施后，达标排放，对区域环境空气的影响程度较小，在可接受范围之内。</w:t>
                  </w:r>
                </w:p>
              </w:tc>
              <w:tc>
                <w:tcPr>
                  <w:tcW w:w="347" w:type="pct"/>
                  <w:tcBorders>
                    <w:top w:val="single" w:color="000000" w:sz="4" w:space="0"/>
                    <w:left w:val="single" w:color="000000" w:sz="4" w:space="0"/>
                    <w:bottom w:val="single" w:color="000000" w:sz="4" w:space="0"/>
                    <w:right w:val="single" w:color="000000" w:sz="4" w:space="0"/>
                  </w:tcBorders>
                  <w:vAlign w:val="center"/>
                </w:tcPr>
                <w:p w14:paraId="05A965C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0FADDBD5">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54BC4F7A">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p>
              </w:tc>
              <w:tc>
                <w:tcPr>
                  <w:tcW w:w="3038" w:type="pct"/>
                  <w:tcBorders>
                    <w:top w:val="single" w:color="000000" w:sz="4" w:space="0"/>
                    <w:left w:val="single" w:color="000000" w:sz="4" w:space="0"/>
                    <w:bottom w:val="single" w:color="000000" w:sz="4" w:space="0"/>
                    <w:right w:val="single" w:color="000000" w:sz="4" w:space="0"/>
                  </w:tcBorders>
                  <w:vAlign w:val="center"/>
                </w:tcPr>
                <w:p w14:paraId="6ED3A6F7">
                  <w:pPr>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地表水环境影响评价结论：园区规划实施后，矿区绿洁污水处理厂处理后废水中COD、BOD</w:t>
                  </w:r>
                  <w:r>
                    <w:rPr>
                      <w:rFonts w:hint="default" w:ascii="Times New Roman" w:hAnsi="Times New Roman" w:cs="Times New Roman"/>
                      <w:color w:val="auto"/>
                      <w:sz w:val="18"/>
                      <w:szCs w:val="18"/>
                      <w:highlight w:val="none"/>
                      <w:vertAlign w:val="subscript"/>
                      <w:lang w:eastAsia="zh-CN"/>
                    </w:rPr>
                    <w:t>5</w:t>
                  </w:r>
                  <w:r>
                    <w:rPr>
                      <w:rFonts w:hint="default" w:ascii="Times New Roman" w:hAnsi="Times New Roman" w:cs="Times New Roman"/>
                      <w:color w:val="auto"/>
                      <w:sz w:val="18"/>
                      <w:szCs w:val="18"/>
                      <w:highlight w:val="none"/>
                      <w:lang w:eastAsia="zh-CN"/>
                    </w:rPr>
                    <w:t>、氨氮、总氮、总磷排放浓度满足《子牙河流域水污染物排放标准》(DB13/2796-2018)表1中重点控制区排放限值、《城市污水再生利用 工业用水水质》(GB/T19923-2005)表1冷却用水标准和《农田灌溉水质标准》(GB/5084-2021)标准要求，部分回用于河钢集团石家庄钢铁有限责任公司特殊钢分公司内部生产、杏花沟生态补水、城市道路洒扫降尘、城市绿化，剩余中水排入长岗沟，进行生态补水。根据《石家庄市矿区绿洁污水处理有限公司环境影响报告书》，矿区绿洁污水处理厂污水处理后外排可行。</w:t>
                  </w:r>
                </w:p>
                <w:p w14:paraId="74270530">
                  <w:pPr>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另外，本次评价提出了入区企业和园区污水处理厂事故状态下的防范措施，保证事故工况下不会对区域地表水产生污染影响。综上分析，本次规划实施后对区域地表水环境影响可接受。</w:t>
                  </w:r>
                </w:p>
              </w:tc>
              <w:tc>
                <w:tcPr>
                  <w:tcW w:w="1377" w:type="pct"/>
                  <w:tcBorders>
                    <w:top w:val="single" w:color="000000" w:sz="4" w:space="0"/>
                    <w:left w:val="single" w:color="000000" w:sz="4" w:space="0"/>
                    <w:bottom w:val="single" w:color="000000" w:sz="4" w:space="0"/>
                    <w:right w:val="single" w:color="000000" w:sz="4" w:space="0"/>
                  </w:tcBorders>
                  <w:vAlign w:val="center"/>
                </w:tcPr>
                <w:p w14:paraId="60EE3DC0">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本项目生产废水全部回用不外排，生活污水采用化粪池处理，定期清掏用作农肥，废水不外排，不会对区域地表水产生污染影响。</w:t>
                  </w:r>
                </w:p>
              </w:tc>
              <w:tc>
                <w:tcPr>
                  <w:tcW w:w="347" w:type="pct"/>
                  <w:tcBorders>
                    <w:top w:val="single" w:color="000000" w:sz="4" w:space="0"/>
                    <w:left w:val="single" w:color="000000" w:sz="4" w:space="0"/>
                    <w:bottom w:val="single" w:color="000000" w:sz="4" w:space="0"/>
                    <w:right w:val="single" w:color="000000" w:sz="4" w:space="0"/>
                  </w:tcBorders>
                  <w:vAlign w:val="center"/>
                </w:tcPr>
                <w:p w14:paraId="40D72A5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2E03010E">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1245454D">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w:t>
                  </w:r>
                </w:p>
              </w:tc>
              <w:tc>
                <w:tcPr>
                  <w:tcW w:w="3038" w:type="pct"/>
                  <w:tcBorders>
                    <w:top w:val="single" w:color="000000" w:sz="4" w:space="0"/>
                    <w:left w:val="single" w:color="000000" w:sz="4" w:space="0"/>
                    <w:bottom w:val="single" w:color="000000" w:sz="4" w:space="0"/>
                    <w:right w:val="single" w:color="000000" w:sz="4" w:space="0"/>
                  </w:tcBorders>
                  <w:vAlign w:val="center"/>
                </w:tcPr>
                <w:p w14:paraId="0BFB2C38">
                  <w:pPr>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地下水环境影响评价结论：园区内企业在严格落实防渗措施，建立健全地下水水质监测系统，突发事件预警预报系统和事故应急防范措施的基础上，园区内企业对地下水环境影响较小。因此在强化管理切实落实各项环保措施的前提下，从地下水保护的角度分析，本评价认为该园区规划是可行的。</w:t>
                  </w:r>
                </w:p>
              </w:tc>
              <w:tc>
                <w:tcPr>
                  <w:tcW w:w="1377" w:type="pct"/>
                  <w:tcBorders>
                    <w:top w:val="single" w:color="000000" w:sz="4" w:space="0"/>
                    <w:left w:val="single" w:color="000000" w:sz="4" w:space="0"/>
                    <w:bottom w:val="single" w:color="000000" w:sz="4" w:space="0"/>
                    <w:right w:val="single" w:color="000000" w:sz="4" w:space="0"/>
                  </w:tcBorders>
                  <w:vAlign w:val="center"/>
                </w:tcPr>
                <w:p w14:paraId="6015CAEF">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本项目采取分区防渗措施，不会对地下水环境造成影响。</w:t>
                  </w:r>
                </w:p>
              </w:tc>
              <w:tc>
                <w:tcPr>
                  <w:tcW w:w="347" w:type="pct"/>
                  <w:tcBorders>
                    <w:top w:val="single" w:color="000000" w:sz="4" w:space="0"/>
                    <w:left w:val="single" w:color="000000" w:sz="4" w:space="0"/>
                    <w:bottom w:val="single" w:color="000000" w:sz="4" w:space="0"/>
                    <w:right w:val="single" w:color="000000" w:sz="4" w:space="0"/>
                  </w:tcBorders>
                  <w:vAlign w:val="center"/>
                </w:tcPr>
                <w:p w14:paraId="68A5D54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7D854128">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452AA408">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w:t>
                  </w:r>
                </w:p>
              </w:tc>
              <w:tc>
                <w:tcPr>
                  <w:tcW w:w="3038" w:type="pct"/>
                  <w:tcBorders>
                    <w:top w:val="single" w:color="000000" w:sz="4" w:space="0"/>
                    <w:left w:val="single" w:color="000000" w:sz="4" w:space="0"/>
                    <w:bottom w:val="single" w:color="000000" w:sz="4" w:space="0"/>
                    <w:right w:val="single" w:color="000000" w:sz="4" w:space="0"/>
                  </w:tcBorders>
                  <w:vAlign w:val="center"/>
                </w:tcPr>
                <w:p w14:paraId="73534FEC">
                  <w:pPr>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声环境影响评价结论</w:t>
                  </w:r>
                  <w:r>
                    <w:rPr>
                      <w:rFonts w:hint="default" w:ascii="Times New Roman" w:hAnsi="Times New Roman" w:cs="Times New Roman"/>
                      <w:color w:val="auto"/>
                      <w:sz w:val="18"/>
                      <w:szCs w:val="18"/>
                      <w:highlight w:val="none"/>
                      <w:lang w:eastAsia="zh-CN"/>
                    </w:rPr>
                    <w:t>：</w:t>
                  </w:r>
                </w:p>
                <w:p w14:paraId="2201A6D4">
                  <w:pPr>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根据园区规划布局和预测结果可知，园区规划道路全部建成通车后，高速路的交通噪声40m以内区域满足《声环境质量标准》</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GB3096-2008</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4a类区标准</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昼间 70dB(A)、夜间 55dB(A)</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要求</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省道及规划其他主、次干道的交通噪声20m以外区域声环境满足</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GB3096-2008</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3类区标准</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昼间 65B(A)、夜间 55dB(A)</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要求。规划的实施不会改变区域声环境功能，满足环境质量底线要求。</w:t>
                  </w:r>
                </w:p>
              </w:tc>
              <w:tc>
                <w:tcPr>
                  <w:tcW w:w="1377" w:type="pct"/>
                  <w:tcBorders>
                    <w:top w:val="single" w:color="000000" w:sz="4" w:space="0"/>
                    <w:left w:val="single" w:color="000000" w:sz="4" w:space="0"/>
                    <w:bottom w:val="single" w:color="000000" w:sz="4" w:space="0"/>
                    <w:right w:val="single" w:color="000000" w:sz="4" w:space="0"/>
                  </w:tcBorders>
                  <w:vAlign w:val="center"/>
                </w:tcPr>
                <w:p w14:paraId="67339675">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eastAsia="zh-CN"/>
                    </w:rPr>
                    <w:t>本项目噪声主要为生产设备、风机、泵类等产生的噪声，通过采取选用低噪声设备，合理布局，基础减震、厂房隔声等措施，厂界噪声符合</w:t>
                  </w:r>
                  <w:r>
                    <w:rPr>
                      <w:rFonts w:hint="default" w:ascii="Times New Roman" w:hAnsi="Times New Roman" w:cs="Times New Roman"/>
                      <w:color w:val="auto"/>
                      <w:sz w:val="18"/>
                      <w:szCs w:val="18"/>
                      <w:highlight w:val="none"/>
                      <w:lang w:val="en-US" w:eastAsia="zh-CN"/>
                    </w:rPr>
                    <w:t>3类标准要求，不会改变区域声环境功能。</w:t>
                  </w:r>
                </w:p>
              </w:tc>
              <w:tc>
                <w:tcPr>
                  <w:tcW w:w="347" w:type="pct"/>
                  <w:tcBorders>
                    <w:top w:val="single" w:color="000000" w:sz="4" w:space="0"/>
                    <w:left w:val="single" w:color="000000" w:sz="4" w:space="0"/>
                    <w:bottom w:val="single" w:color="000000" w:sz="4" w:space="0"/>
                    <w:right w:val="single" w:color="000000" w:sz="4" w:space="0"/>
                  </w:tcBorders>
                  <w:vAlign w:val="center"/>
                </w:tcPr>
                <w:p w14:paraId="103F027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2A11D877">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3D1A896D">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w:t>
                  </w:r>
                </w:p>
              </w:tc>
              <w:tc>
                <w:tcPr>
                  <w:tcW w:w="3038" w:type="pct"/>
                  <w:tcBorders>
                    <w:top w:val="single" w:color="000000" w:sz="4" w:space="0"/>
                    <w:left w:val="single" w:color="000000" w:sz="4" w:space="0"/>
                    <w:bottom w:val="single" w:color="000000" w:sz="4" w:space="0"/>
                    <w:right w:val="single" w:color="000000" w:sz="4" w:space="0"/>
                  </w:tcBorders>
                  <w:vAlign w:val="center"/>
                </w:tcPr>
                <w:p w14:paraId="2E716F1F">
                  <w:pPr>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固体废物影响评价结论</w:t>
                  </w:r>
                  <w:r>
                    <w:rPr>
                      <w:rFonts w:hint="default" w:ascii="Times New Roman" w:hAnsi="Times New Roman" w:cs="Times New Roman"/>
                      <w:color w:val="auto"/>
                      <w:sz w:val="18"/>
                      <w:szCs w:val="18"/>
                      <w:highlight w:val="none"/>
                      <w:lang w:eastAsia="zh-CN"/>
                    </w:rPr>
                    <w:t>：</w:t>
                  </w:r>
                </w:p>
                <w:p w14:paraId="4F8D7CC5">
                  <w:pPr>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园区产生的生活垃圾全部进行无害化处置;一般工业固体废物全部回收利用或外售综合利用;危险废物委托有资质单位进行处理处置。在落实本评价提出的固体废物处置措施的情况下，园区产生的固体废物可全部综合利用或妥善处置，不会对区域环境产生明显不良影响。</w:t>
                  </w:r>
                </w:p>
              </w:tc>
              <w:tc>
                <w:tcPr>
                  <w:tcW w:w="1377" w:type="pct"/>
                  <w:tcBorders>
                    <w:top w:val="single" w:color="000000" w:sz="4" w:space="0"/>
                    <w:left w:val="single" w:color="000000" w:sz="4" w:space="0"/>
                    <w:bottom w:val="single" w:color="000000" w:sz="4" w:space="0"/>
                    <w:right w:val="single" w:color="000000" w:sz="4" w:space="0"/>
                  </w:tcBorders>
                  <w:vAlign w:val="center"/>
                </w:tcPr>
                <w:p w14:paraId="698BA728">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本项目生活垃圾采用垃圾桶收集后，由环卫部门定期清理统一进行无害化处置；一般工业固体废物全部综合利用；不涉及危险废物。因此，不会对区域环境产生明显不良影响。</w:t>
                  </w:r>
                </w:p>
              </w:tc>
              <w:tc>
                <w:tcPr>
                  <w:tcW w:w="347" w:type="pct"/>
                  <w:tcBorders>
                    <w:top w:val="single" w:color="000000" w:sz="4" w:space="0"/>
                    <w:left w:val="single" w:color="000000" w:sz="4" w:space="0"/>
                    <w:bottom w:val="single" w:color="000000" w:sz="4" w:space="0"/>
                    <w:right w:val="single" w:color="000000" w:sz="4" w:space="0"/>
                  </w:tcBorders>
                  <w:vAlign w:val="center"/>
                </w:tcPr>
                <w:p w14:paraId="475834B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1388E4BF">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64C4A210">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p>
              </w:tc>
              <w:tc>
                <w:tcPr>
                  <w:tcW w:w="3038" w:type="pct"/>
                  <w:tcBorders>
                    <w:top w:val="single" w:color="000000" w:sz="4" w:space="0"/>
                    <w:left w:val="single" w:color="000000" w:sz="4" w:space="0"/>
                    <w:bottom w:val="single" w:color="000000" w:sz="4" w:space="0"/>
                    <w:right w:val="single" w:color="000000" w:sz="4" w:space="0"/>
                  </w:tcBorders>
                  <w:vAlign w:val="center"/>
                </w:tcPr>
                <w:p w14:paraId="7CD8E369">
                  <w:pPr>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土壤环境影响评价结论</w:t>
                  </w:r>
                </w:p>
                <w:p w14:paraId="68A7FA1E">
                  <w:pPr>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根据分析可知，在非正常状况下，园区储罐泄漏、污水处理站泄漏、焦炭吸附池泄漏均会对土壤造成一定影响。因此规划区内企业应严格实行分区防</w:t>
                  </w:r>
                  <w:r>
                    <w:rPr>
                      <w:rFonts w:hint="default" w:ascii="Times New Roman" w:hAnsi="Times New Roman" w:cs="Times New Roman"/>
                      <w:color w:val="auto"/>
                      <w:sz w:val="18"/>
                      <w:szCs w:val="18"/>
                      <w:highlight w:val="none"/>
                      <w:lang w:eastAsia="zh-CN"/>
                    </w:rPr>
                    <w:t>渗</w:t>
                  </w:r>
                  <w:r>
                    <w:rPr>
                      <w:rFonts w:hint="default" w:ascii="Times New Roman" w:hAnsi="Times New Roman" w:cs="Times New Roman"/>
                      <w:color w:val="auto"/>
                      <w:sz w:val="18"/>
                      <w:szCs w:val="18"/>
                      <w:highlight w:val="none"/>
                    </w:rPr>
                    <w:t>的要求，对各类储罐做好检漏工作，发生事故后及时清理污染土壤。各企业在严格落实分区防渗和应急处置等措施的前提下，土壤环境影响可接受。</w:t>
                  </w:r>
                </w:p>
              </w:tc>
              <w:tc>
                <w:tcPr>
                  <w:tcW w:w="1377" w:type="pct"/>
                  <w:tcBorders>
                    <w:top w:val="single" w:color="000000" w:sz="4" w:space="0"/>
                    <w:left w:val="single" w:color="000000" w:sz="4" w:space="0"/>
                    <w:bottom w:val="single" w:color="000000" w:sz="4" w:space="0"/>
                    <w:right w:val="single" w:color="000000" w:sz="4" w:space="0"/>
                  </w:tcBorders>
                  <w:vAlign w:val="center"/>
                </w:tcPr>
                <w:p w14:paraId="1748F633">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本项目不涉及储罐、污水处理站等设施，项目范围采取分区防渗措施，土壤环境影响可接受。</w:t>
                  </w:r>
                </w:p>
              </w:tc>
              <w:tc>
                <w:tcPr>
                  <w:tcW w:w="347" w:type="pct"/>
                  <w:tcBorders>
                    <w:top w:val="single" w:color="000000" w:sz="4" w:space="0"/>
                    <w:left w:val="single" w:color="000000" w:sz="4" w:space="0"/>
                    <w:bottom w:val="single" w:color="000000" w:sz="4" w:space="0"/>
                    <w:right w:val="single" w:color="000000" w:sz="4" w:space="0"/>
                  </w:tcBorders>
                  <w:vAlign w:val="center"/>
                </w:tcPr>
                <w:p w14:paraId="2833363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16811133">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6CAA3AF4">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w:t>
                  </w:r>
                </w:p>
              </w:tc>
              <w:tc>
                <w:tcPr>
                  <w:tcW w:w="3038" w:type="pct"/>
                  <w:tcBorders>
                    <w:top w:val="single" w:color="000000" w:sz="4" w:space="0"/>
                    <w:left w:val="single" w:color="000000" w:sz="4" w:space="0"/>
                    <w:bottom w:val="single" w:color="000000" w:sz="4" w:space="0"/>
                    <w:right w:val="single" w:color="000000" w:sz="4" w:space="0"/>
                  </w:tcBorders>
                  <w:vAlign w:val="center"/>
                </w:tcPr>
                <w:p w14:paraId="5B953719">
                  <w:pPr>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生态环境影响评价结论：规划实施后，对工业园区内土地利用类型有一定影响，园区内耕地被完全破坏转换为工业用地，园区内城镇生态系统面积有所增加，园区的建设虽会导致园区土地利用类型发生变化，但不影响评价区范围内主导土地利用类型，不会导致评价区范围内生态功能改变，对区域生态系统影响可接受。</w:t>
                  </w:r>
                </w:p>
              </w:tc>
              <w:tc>
                <w:tcPr>
                  <w:tcW w:w="1377" w:type="pct"/>
                  <w:tcBorders>
                    <w:top w:val="single" w:color="000000" w:sz="4" w:space="0"/>
                    <w:left w:val="single" w:color="000000" w:sz="4" w:space="0"/>
                    <w:bottom w:val="single" w:color="000000" w:sz="4" w:space="0"/>
                    <w:right w:val="single" w:color="000000" w:sz="4" w:space="0"/>
                  </w:tcBorders>
                  <w:vAlign w:val="center"/>
                </w:tcPr>
                <w:p w14:paraId="26623982">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本项目占地属于开发区规划的工业用地，对区域生态系统影响可接受。</w:t>
                  </w:r>
                </w:p>
              </w:tc>
              <w:tc>
                <w:tcPr>
                  <w:tcW w:w="347" w:type="pct"/>
                  <w:tcBorders>
                    <w:top w:val="single" w:color="000000" w:sz="4" w:space="0"/>
                    <w:left w:val="single" w:color="000000" w:sz="4" w:space="0"/>
                    <w:bottom w:val="single" w:color="000000" w:sz="4" w:space="0"/>
                    <w:right w:val="single" w:color="000000" w:sz="4" w:space="0"/>
                  </w:tcBorders>
                  <w:vAlign w:val="center"/>
                </w:tcPr>
                <w:p w14:paraId="5567272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07C28E1A">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3A3C07D3">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w:t>
                  </w:r>
                </w:p>
              </w:tc>
              <w:tc>
                <w:tcPr>
                  <w:tcW w:w="3038" w:type="pct"/>
                  <w:tcBorders>
                    <w:top w:val="single" w:color="000000" w:sz="4" w:space="0"/>
                    <w:left w:val="single" w:color="000000" w:sz="4" w:space="0"/>
                    <w:bottom w:val="single" w:color="000000" w:sz="4" w:space="0"/>
                    <w:right w:val="single" w:color="000000" w:sz="4" w:space="0"/>
                  </w:tcBorders>
                  <w:vAlign w:val="center"/>
                </w:tcPr>
                <w:p w14:paraId="7DD801EA">
                  <w:pPr>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环境风险评价结论</w:t>
                  </w:r>
                  <w:r>
                    <w:rPr>
                      <w:rFonts w:hint="default" w:ascii="Times New Roman" w:hAnsi="Times New Roman" w:cs="Times New Roman"/>
                      <w:color w:val="auto"/>
                      <w:sz w:val="18"/>
                      <w:szCs w:val="18"/>
                      <w:highlight w:val="none"/>
                      <w:lang w:eastAsia="zh-CN"/>
                    </w:rPr>
                    <w:t>：</w:t>
                  </w:r>
                </w:p>
                <w:p w14:paraId="549CAC59">
                  <w:pPr>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规划入区企业通过合理优化园区风险源布局、健全园区环境风险预警体系建设、加强危险化学品仓储运输管理、健全园区风险三级防控体系以及加强区域环境风险联防联控施等风险防范措施的情况下，环境风险可防控控制。同时，园区通过采取项目准入控制措施、工程措施、管理措施、监控措施、修复治理措施多项措施，可避免规划实施后对区域环境产生污染影响。</w:t>
                  </w:r>
                </w:p>
              </w:tc>
              <w:tc>
                <w:tcPr>
                  <w:tcW w:w="1377" w:type="pct"/>
                  <w:tcBorders>
                    <w:top w:val="single" w:color="000000" w:sz="4" w:space="0"/>
                    <w:left w:val="single" w:color="000000" w:sz="4" w:space="0"/>
                    <w:bottom w:val="single" w:color="000000" w:sz="4" w:space="0"/>
                    <w:right w:val="single" w:color="000000" w:sz="4" w:space="0"/>
                  </w:tcBorders>
                  <w:vAlign w:val="center"/>
                </w:tcPr>
                <w:p w14:paraId="533515D1">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本项目不涉及危险化学品仓储运输等，不会对区域环境产生污染影响。</w:t>
                  </w:r>
                </w:p>
              </w:tc>
              <w:tc>
                <w:tcPr>
                  <w:tcW w:w="347" w:type="pct"/>
                  <w:tcBorders>
                    <w:top w:val="single" w:color="000000" w:sz="4" w:space="0"/>
                    <w:left w:val="single" w:color="000000" w:sz="4" w:space="0"/>
                    <w:bottom w:val="single" w:color="000000" w:sz="4" w:space="0"/>
                    <w:right w:val="single" w:color="000000" w:sz="4" w:space="0"/>
                  </w:tcBorders>
                  <w:vAlign w:val="center"/>
                </w:tcPr>
                <w:p w14:paraId="31050DC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164A2197">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3E1D5B28">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9</w:t>
                  </w:r>
                </w:p>
              </w:tc>
              <w:tc>
                <w:tcPr>
                  <w:tcW w:w="3038" w:type="pct"/>
                  <w:tcBorders>
                    <w:top w:val="single" w:color="000000" w:sz="4" w:space="0"/>
                    <w:left w:val="single" w:color="000000" w:sz="4" w:space="0"/>
                    <w:bottom w:val="single" w:color="000000" w:sz="4" w:space="0"/>
                    <w:right w:val="single" w:color="000000" w:sz="4" w:space="0"/>
                  </w:tcBorders>
                  <w:vAlign w:val="center"/>
                </w:tcPr>
                <w:p w14:paraId="005CDBCE">
                  <w:pPr>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总体评价结论：在落实区域削减源以及本评价提出的预防和治理措施的情况下，规划的实施对周围环境影响可接受，不会改变区域环境功能，可满足环境质量底线要求;在充分利用再生水以及加强环保管理的前提下,区域资源环境可以承载规划的实施,不突破水资源、土地资源利用上线;规划范围内不涉及生态保护红线;规划产业空间布局和能源结构相对合理，可以达到相应的环境目标。</w:t>
                  </w:r>
                </w:p>
                <w:p w14:paraId="4A8EFE9B">
                  <w:pPr>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规划应加强环境保护预防和治理措施，根据本评价提出的分区管控要求、环境影响减缓措施与协同降碳建议，加强园区空间管控，严格控制污染物排放总量，并采纳评价提出的调整建议和相关要求对规划进行优化调整后，河北石家庄矿区工业园区总体发展规划(2022-2030年)的实施具有环境合理性和可行性。</w:t>
                  </w:r>
                </w:p>
              </w:tc>
              <w:tc>
                <w:tcPr>
                  <w:tcW w:w="1377" w:type="pct"/>
                  <w:tcBorders>
                    <w:top w:val="single" w:color="000000" w:sz="4" w:space="0"/>
                    <w:left w:val="single" w:color="000000" w:sz="4" w:space="0"/>
                    <w:bottom w:val="single" w:color="000000" w:sz="4" w:space="0"/>
                    <w:right w:val="single" w:color="000000" w:sz="4" w:space="0"/>
                  </w:tcBorders>
                  <w:vAlign w:val="center"/>
                </w:tcPr>
                <w:p w14:paraId="1611B807">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本项目在落实规划环评和本评价提出的环境保护预防和治理措施的前提下，符合规划环评总体结论要求。</w:t>
                  </w:r>
                </w:p>
              </w:tc>
              <w:tc>
                <w:tcPr>
                  <w:tcW w:w="347" w:type="pct"/>
                  <w:tcBorders>
                    <w:top w:val="single" w:color="000000" w:sz="4" w:space="0"/>
                    <w:left w:val="single" w:color="000000" w:sz="4" w:space="0"/>
                    <w:bottom w:val="single" w:color="000000" w:sz="4" w:space="0"/>
                    <w:right w:val="single" w:color="000000" w:sz="4" w:space="0"/>
                  </w:tcBorders>
                  <w:vAlign w:val="center"/>
                </w:tcPr>
                <w:p w14:paraId="546E6CC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bl>
          <w:p w14:paraId="5EB46F1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rPr>
              <w:t>综上所述，本项目符合《</w:t>
            </w:r>
            <w:r>
              <w:rPr>
                <w:rFonts w:hint="default" w:ascii="Times New Roman" w:hAnsi="Times New Roman" w:eastAsia="宋体" w:cs="Times New Roman"/>
                <w:color w:val="auto"/>
                <w:kern w:val="2"/>
                <w:sz w:val="24"/>
                <w:szCs w:val="20"/>
                <w:highlight w:val="none"/>
                <w:lang w:val="en-US" w:eastAsia="zh-CN"/>
              </w:rPr>
              <w:t>河北石家庄矿区工业园区总体发展规划（2022-2030）</w:t>
            </w:r>
            <w:r>
              <w:rPr>
                <w:rFonts w:hint="default" w:ascii="Times New Roman" w:hAnsi="Times New Roman" w:cs="Times New Roman"/>
                <w:color w:val="auto"/>
                <w:kern w:val="0"/>
                <w:sz w:val="24"/>
                <w:highlight w:val="none"/>
              </w:rPr>
              <w:t>环境影响报告书》中</w:t>
            </w:r>
            <w:r>
              <w:rPr>
                <w:rFonts w:hint="default" w:ascii="Times New Roman" w:hAnsi="Times New Roman" w:cs="Times New Roman"/>
                <w:color w:val="auto"/>
                <w:kern w:val="0"/>
                <w:sz w:val="24"/>
                <w:highlight w:val="none"/>
                <w:lang w:eastAsia="zh-CN"/>
              </w:rPr>
              <w:t>规划</w:t>
            </w:r>
            <w:r>
              <w:rPr>
                <w:rFonts w:hint="default" w:ascii="Times New Roman" w:hAnsi="Times New Roman" w:cs="Times New Roman"/>
                <w:color w:val="auto"/>
                <w:kern w:val="0"/>
                <w:sz w:val="24"/>
                <w:highlight w:val="none"/>
              </w:rPr>
              <w:t>环境影响评价结论</w:t>
            </w:r>
            <w:r>
              <w:rPr>
                <w:rFonts w:hint="default" w:ascii="Times New Roman" w:hAnsi="Times New Roman" w:cs="Times New Roman"/>
                <w:color w:val="auto"/>
                <w:kern w:val="0"/>
                <w:sz w:val="24"/>
                <w:highlight w:val="none"/>
                <w:lang w:eastAsia="zh-CN"/>
              </w:rPr>
              <w:t>。</w:t>
            </w:r>
          </w:p>
          <w:p w14:paraId="3D4DE4AB">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0" w:firstLineChars="0"/>
              <w:jc w:val="left"/>
              <w:textAlignment w:val="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eastAsia="zh-CN"/>
              </w:rPr>
              <w:t>三</w:t>
            </w:r>
            <w:r>
              <w:rPr>
                <w:rFonts w:hint="default" w:ascii="Times New Roman" w:hAnsi="Times New Roman" w:cs="Times New Roman"/>
                <w:b/>
                <w:bCs/>
                <w:color w:val="auto"/>
                <w:kern w:val="0"/>
                <w:sz w:val="24"/>
                <w:highlight w:val="none"/>
              </w:rPr>
              <w:t>、与规划审查意见的符合性分析</w:t>
            </w:r>
          </w:p>
          <w:p w14:paraId="6141F25B">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对照《</w:t>
            </w:r>
            <w:r>
              <w:rPr>
                <w:rFonts w:hint="default" w:ascii="Times New Roman" w:hAnsi="Times New Roman" w:eastAsia="宋体" w:cs="Times New Roman"/>
                <w:color w:val="auto"/>
                <w:kern w:val="2"/>
                <w:sz w:val="24"/>
                <w:szCs w:val="20"/>
                <w:highlight w:val="none"/>
                <w:lang w:val="en-US" w:eastAsia="zh-CN"/>
              </w:rPr>
              <w:t>河北石家庄矿区工业园区总体发展规划（2022-2030）</w:t>
            </w:r>
            <w:r>
              <w:rPr>
                <w:rFonts w:hint="default" w:ascii="Times New Roman" w:hAnsi="Times New Roman" w:cs="Times New Roman"/>
                <w:color w:val="auto"/>
                <w:kern w:val="0"/>
                <w:sz w:val="24"/>
                <w:highlight w:val="none"/>
              </w:rPr>
              <w:t>环境影响报告书》的审查意见，本项目与其符合性分析见下表。</w:t>
            </w:r>
          </w:p>
          <w:p w14:paraId="7834ACC3">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0" w:firstLineChars="0"/>
              <w:jc w:val="center"/>
              <w:textAlignment w:val="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表</w:t>
            </w:r>
            <w:r>
              <w:rPr>
                <w:rFonts w:hint="default" w:ascii="Times New Roman" w:hAnsi="Times New Roman" w:cs="Times New Roman"/>
                <w:b/>
                <w:bCs/>
                <w:color w:val="auto"/>
                <w:kern w:val="0"/>
                <w:sz w:val="24"/>
                <w:highlight w:val="none"/>
                <w:lang w:val="en-US" w:eastAsia="zh-CN"/>
              </w:rPr>
              <w:t>1-5</w:t>
            </w:r>
            <w:r>
              <w:rPr>
                <w:rFonts w:hint="default" w:ascii="Times New Roman" w:hAnsi="Times New Roman" w:cs="Times New Roman"/>
                <w:b/>
                <w:bCs/>
                <w:color w:val="auto"/>
                <w:kern w:val="0"/>
                <w:sz w:val="24"/>
                <w:highlight w:val="none"/>
              </w:rPr>
              <w:t xml:space="preserve"> </w:t>
            </w:r>
            <w:r>
              <w:rPr>
                <w:rFonts w:hint="default" w:ascii="Times New Roman" w:hAnsi="Times New Roman" w:cs="Times New Roman"/>
                <w:b/>
                <w:bCs/>
                <w:color w:val="auto"/>
                <w:kern w:val="0"/>
                <w:sz w:val="24"/>
                <w:highlight w:val="none"/>
                <w:lang w:val="en-US" w:eastAsia="zh-CN"/>
              </w:rPr>
              <w:t xml:space="preserve"> </w:t>
            </w:r>
            <w:r>
              <w:rPr>
                <w:rFonts w:hint="default" w:ascii="Times New Roman" w:hAnsi="Times New Roman" w:cs="Times New Roman"/>
                <w:b/>
                <w:bCs/>
                <w:color w:val="auto"/>
                <w:kern w:val="0"/>
                <w:sz w:val="24"/>
                <w:highlight w:val="none"/>
              </w:rPr>
              <w:t>本项目与规划环评审查意见符合性分析</w:t>
            </w:r>
          </w:p>
          <w:tbl>
            <w:tblPr>
              <w:tblStyle w:val="40"/>
              <w:tblW w:w="8041" w:type="dxa"/>
              <w:tblInd w:w="0" w:type="dxa"/>
              <w:tblLayout w:type="fixed"/>
              <w:tblCellMar>
                <w:top w:w="0" w:type="dxa"/>
                <w:left w:w="0" w:type="dxa"/>
                <w:bottom w:w="0" w:type="dxa"/>
                <w:right w:w="0" w:type="dxa"/>
              </w:tblCellMar>
            </w:tblPr>
            <w:tblGrid>
              <w:gridCol w:w="441"/>
              <w:gridCol w:w="4594"/>
              <w:gridCol w:w="2480"/>
              <w:gridCol w:w="526"/>
            </w:tblGrid>
            <w:tr w14:paraId="7FF1AB3A">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2406A92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2856" w:type="pct"/>
                  <w:tcBorders>
                    <w:top w:val="single" w:color="000000" w:sz="4" w:space="0"/>
                    <w:left w:val="single" w:color="000000" w:sz="4" w:space="0"/>
                    <w:bottom w:val="single" w:color="000000" w:sz="4" w:space="0"/>
                    <w:right w:val="single" w:color="000000" w:sz="4" w:space="0"/>
                  </w:tcBorders>
                  <w:vAlign w:val="center"/>
                </w:tcPr>
                <w:p w14:paraId="635DBA3E">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审查意见</w:t>
                  </w:r>
                </w:p>
              </w:tc>
              <w:tc>
                <w:tcPr>
                  <w:tcW w:w="1542" w:type="pct"/>
                  <w:tcBorders>
                    <w:top w:val="single" w:color="000000" w:sz="4" w:space="0"/>
                    <w:left w:val="single" w:color="000000" w:sz="4" w:space="0"/>
                    <w:bottom w:val="single" w:color="000000" w:sz="4" w:space="0"/>
                    <w:right w:val="single" w:color="000000" w:sz="4" w:space="0"/>
                  </w:tcBorders>
                  <w:vAlign w:val="center"/>
                </w:tcPr>
                <w:p w14:paraId="0B066C5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本项目情况</w:t>
                  </w:r>
                </w:p>
              </w:tc>
              <w:tc>
                <w:tcPr>
                  <w:tcW w:w="327" w:type="pct"/>
                  <w:tcBorders>
                    <w:top w:val="single" w:color="000000" w:sz="4" w:space="0"/>
                    <w:left w:val="single" w:color="000000" w:sz="4" w:space="0"/>
                    <w:bottom w:val="single" w:color="000000" w:sz="4" w:space="0"/>
                    <w:right w:val="single" w:color="000000" w:sz="4" w:space="0"/>
                  </w:tcBorders>
                  <w:vAlign w:val="center"/>
                </w:tcPr>
                <w:p w14:paraId="0DDDB2A8">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符合性</w:t>
                  </w:r>
                </w:p>
              </w:tc>
            </w:tr>
            <w:tr w14:paraId="3F053B9E">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20D7C905">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6851F">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落实国家及区域发展战略，坚持生态优先、提质增效，以生态环境质量改善为核心，做好与各级国土空间规划和生态环境分区管控体系的协调衔接，进一步优化《规划》布局、产业定位和发展规模。</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70DB1">
                  <w:pPr>
                    <w:keepNext w:val="0"/>
                    <w:keepLines w:val="0"/>
                    <w:suppressLineNumbers w:val="0"/>
                    <w:spacing w:before="0" w:beforeAutospacing="0" w:after="0" w:afterAutospacing="0" w:line="0" w:lineRule="atLeast"/>
                    <w:ind w:left="0" w:right="0"/>
                    <w:jc w:val="left"/>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eastAsia="zh-CN"/>
                    </w:rPr>
                    <w:t>本项目位于河北</w:t>
                  </w:r>
                  <w:r>
                    <w:rPr>
                      <w:rFonts w:hint="default" w:ascii="Times New Roman" w:hAnsi="Times New Roman" w:cs="Times New Roman"/>
                      <w:color w:val="auto"/>
                      <w:sz w:val="18"/>
                      <w:szCs w:val="18"/>
                      <w:highlight w:val="none"/>
                      <w:lang w:eastAsia="zh-CN"/>
                    </w:rPr>
                    <w:t>石家庄矿区工业园区丰达片区</w:t>
                  </w:r>
                  <w:r>
                    <w:rPr>
                      <w:rFonts w:hint="default" w:ascii="Times New Roman" w:hAnsi="Times New Roman" w:eastAsia="宋体" w:cs="Times New Roman"/>
                      <w:color w:val="auto"/>
                      <w:sz w:val="18"/>
                      <w:szCs w:val="18"/>
                      <w:highlight w:val="none"/>
                      <w:lang w:eastAsia="zh-CN"/>
                    </w:rPr>
                    <w:t>，建设符合《产业结构调整指导目录（2024年本）》、《市场准入负面清单（2025年版）》等文件规定要求，</w:t>
                  </w:r>
                  <w:r>
                    <w:rPr>
                      <w:rFonts w:hint="default" w:ascii="Times New Roman" w:hAnsi="Times New Roman" w:cs="Times New Roman"/>
                      <w:color w:val="auto"/>
                      <w:sz w:val="18"/>
                      <w:szCs w:val="18"/>
                      <w:highlight w:val="none"/>
                      <w:lang w:eastAsia="zh-CN"/>
                    </w:rPr>
                    <w:t>符合园区用地规划和产业规划相关要求，</w:t>
                  </w:r>
                  <w:r>
                    <w:rPr>
                      <w:rFonts w:hint="default" w:ascii="Times New Roman" w:hAnsi="Times New Roman" w:eastAsia="宋体" w:cs="Times New Roman"/>
                      <w:color w:val="auto"/>
                      <w:sz w:val="18"/>
                      <w:szCs w:val="18"/>
                      <w:highlight w:val="none"/>
                      <w:lang w:eastAsia="zh-CN"/>
                    </w:rPr>
                    <w:t>且不在负面清单范围内。</w:t>
                  </w:r>
                </w:p>
              </w:tc>
              <w:tc>
                <w:tcPr>
                  <w:tcW w:w="327" w:type="pct"/>
                  <w:tcBorders>
                    <w:top w:val="single" w:color="000000" w:sz="4" w:space="0"/>
                    <w:left w:val="single" w:color="000000" w:sz="4" w:space="0"/>
                    <w:bottom w:val="single" w:color="000000" w:sz="4" w:space="0"/>
                    <w:right w:val="single" w:color="000000" w:sz="4" w:space="0"/>
                  </w:tcBorders>
                  <w:vAlign w:val="center"/>
                </w:tcPr>
                <w:p w14:paraId="03EDCD9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407E15AB">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7BB311D6">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C7721">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推进</w:t>
                  </w:r>
                  <w:r>
                    <w:rPr>
                      <w:rFonts w:hint="default" w:ascii="Times New Roman" w:hAnsi="Times New Roman" w:cs="Times New Roman"/>
                      <w:color w:val="auto"/>
                      <w:sz w:val="18"/>
                      <w:szCs w:val="18"/>
                      <w:highlight w:val="none"/>
                      <w:lang w:eastAsia="zh-CN"/>
                    </w:rPr>
                    <w:t>园区</w:t>
                  </w:r>
                  <w:r>
                    <w:rPr>
                      <w:rFonts w:hint="default" w:ascii="Times New Roman" w:hAnsi="Times New Roman" w:cs="Times New Roman"/>
                      <w:color w:val="auto"/>
                      <w:sz w:val="18"/>
                      <w:szCs w:val="18"/>
                      <w:highlight w:val="none"/>
                    </w:rPr>
                    <w:t>绿色低碳转型发展，实现减污降碳协同增效目标。根据国家、地方碳减排和碳达峰行动方案及路径要求，进一步优化</w:t>
                  </w:r>
                  <w:r>
                    <w:rPr>
                      <w:rFonts w:hint="default" w:ascii="Times New Roman" w:hAnsi="Times New Roman" w:cs="Times New Roman"/>
                      <w:color w:val="auto"/>
                      <w:sz w:val="18"/>
                      <w:szCs w:val="18"/>
                      <w:highlight w:val="none"/>
                      <w:lang w:eastAsia="zh-CN"/>
                    </w:rPr>
                    <w:t>园区</w:t>
                  </w:r>
                  <w:r>
                    <w:rPr>
                      <w:rFonts w:hint="default" w:ascii="Times New Roman" w:hAnsi="Times New Roman" w:cs="Times New Roman"/>
                      <w:color w:val="auto"/>
                      <w:sz w:val="18"/>
                      <w:szCs w:val="18"/>
                      <w:highlight w:val="none"/>
                    </w:rPr>
                    <w:t>能源</w:t>
                  </w:r>
                  <w:r>
                    <w:rPr>
                      <w:rFonts w:hint="default" w:ascii="Times New Roman" w:hAnsi="Times New Roman" w:cs="Times New Roman"/>
                      <w:color w:val="auto"/>
                      <w:sz w:val="18"/>
                      <w:szCs w:val="18"/>
                      <w:highlight w:val="none"/>
                      <w:lang w:eastAsia="zh-CN"/>
                    </w:rPr>
                    <w:t>结构、交通运输方式</w:t>
                  </w:r>
                  <w:r>
                    <w:rPr>
                      <w:rFonts w:hint="default" w:ascii="Times New Roman" w:hAnsi="Times New Roman" w:cs="Times New Roman"/>
                      <w:color w:val="auto"/>
                      <w:sz w:val="18"/>
                      <w:szCs w:val="18"/>
                      <w:highlight w:val="none"/>
                    </w:rPr>
                    <w:t>等《规划》内容。</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D71A3">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本项目</w:t>
                  </w:r>
                  <w:r>
                    <w:rPr>
                      <w:rFonts w:hint="default" w:ascii="Times New Roman" w:hAnsi="Times New Roman" w:cs="Times New Roman"/>
                      <w:color w:val="auto"/>
                      <w:sz w:val="18"/>
                      <w:szCs w:val="18"/>
                      <w:highlight w:val="none"/>
                      <w:lang w:val="en-US" w:eastAsia="zh-CN"/>
                    </w:rPr>
                    <w:t>符合相关要求。</w:t>
                  </w:r>
                </w:p>
              </w:tc>
              <w:tc>
                <w:tcPr>
                  <w:tcW w:w="327" w:type="pct"/>
                  <w:tcBorders>
                    <w:top w:val="single" w:color="000000" w:sz="4" w:space="0"/>
                    <w:left w:val="single" w:color="000000" w:sz="4" w:space="0"/>
                    <w:bottom w:val="single" w:color="000000" w:sz="4" w:space="0"/>
                    <w:right w:val="single" w:color="000000" w:sz="4" w:space="0"/>
                  </w:tcBorders>
                  <w:vAlign w:val="center"/>
                </w:tcPr>
                <w:p w14:paraId="15FC5E6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5F1D3205">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11D00AFD">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39AFB">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严格空间管控要求，</w:t>
                  </w:r>
                  <w:r>
                    <w:rPr>
                      <w:rFonts w:hint="default" w:ascii="Times New Roman" w:hAnsi="Times New Roman" w:cs="Times New Roman"/>
                      <w:color w:val="auto"/>
                      <w:sz w:val="18"/>
                      <w:szCs w:val="18"/>
                      <w:highlight w:val="none"/>
                      <w:lang w:eastAsia="zh-CN"/>
                    </w:rPr>
                    <w:t>进一步</w:t>
                  </w:r>
                  <w:r>
                    <w:rPr>
                      <w:rFonts w:hint="default" w:ascii="Times New Roman" w:hAnsi="Times New Roman" w:cs="Times New Roman"/>
                      <w:color w:val="auto"/>
                      <w:sz w:val="18"/>
                      <w:szCs w:val="18"/>
                      <w:highlight w:val="none"/>
                    </w:rPr>
                    <w:t>优化</w:t>
                  </w:r>
                  <w:r>
                    <w:rPr>
                      <w:rFonts w:hint="default" w:ascii="Times New Roman" w:hAnsi="Times New Roman" w:cs="Times New Roman"/>
                      <w:color w:val="auto"/>
                      <w:sz w:val="18"/>
                      <w:szCs w:val="18"/>
                      <w:highlight w:val="none"/>
                      <w:lang w:eastAsia="zh-CN"/>
                    </w:rPr>
                    <w:t>园区</w:t>
                  </w:r>
                  <w:r>
                    <w:rPr>
                      <w:rFonts w:hint="default" w:ascii="Times New Roman" w:hAnsi="Times New Roman" w:cs="Times New Roman"/>
                      <w:color w:val="auto"/>
                      <w:sz w:val="18"/>
                      <w:szCs w:val="18"/>
                      <w:highlight w:val="none"/>
                    </w:rPr>
                    <w:t>功能</w:t>
                  </w:r>
                  <w:r>
                    <w:rPr>
                      <w:rFonts w:hint="default" w:ascii="Times New Roman" w:hAnsi="Times New Roman" w:cs="Times New Roman"/>
                      <w:color w:val="auto"/>
                      <w:sz w:val="18"/>
                      <w:szCs w:val="18"/>
                      <w:highlight w:val="none"/>
                      <w:lang w:eastAsia="zh-CN"/>
                    </w:rPr>
                    <w:t>、空间</w:t>
                  </w:r>
                  <w:r>
                    <w:rPr>
                      <w:rFonts w:hint="default" w:ascii="Times New Roman" w:hAnsi="Times New Roman" w:cs="Times New Roman"/>
                      <w:color w:val="auto"/>
                      <w:sz w:val="18"/>
                      <w:szCs w:val="18"/>
                      <w:highlight w:val="none"/>
                    </w:rPr>
                    <w:t>布局。</w:t>
                  </w:r>
                  <w:r>
                    <w:rPr>
                      <w:rFonts w:hint="default" w:ascii="Times New Roman" w:hAnsi="Times New Roman" w:cs="Times New Roman"/>
                      <w:color w:val="auto"/>
                      <w:sz w:val="18"/>
                      <w:szCs w:val="18"/>
                      <w:highlight w:val="none"/>
                      <w:lang w:eastAsia="zh-CN"/>
                    </w:rPr>
                    <w:t>城镇开发边界外区域，在规划期内维持现状不变。教育文化科研区、绿地禁止开展其他无关建设活动，园区规划实施过程中应严格遵守《中华人民共和国文物保护法》相关要求。</w:t>
                  </w:r>
                  <w:r>
                    <w:rPr>
                      <w:rFonts w:hint="default" w:ascii="Times New Roman" w:hAnsi="Times New Roman" w:cs="Times New Roman"/>
                      <w:color w:val="auto"/>
                      <w:sz w:val="18"/>
                      <w:szCs w:val="18"/>
                      <w:highlight w:val="none"/>
                    </w:rPr>
                    <w:t>落实《报告书》提出的空间布局引导和管控要求，优化工业、居住等各类用地的空间分布和产业梯级布局，严格涉风险源企业管理，确保人居环境安全。</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A0E0D">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本项目</w:t>
                  </w:r>
                  <w:r>
                    <w:rPr>
                      <w:rFonts w:hint="default" w:ascii="Times New Roman" w:hAnsi="Times New Roman" w:cs="Times New Roman"/>
                      <w:color w:val="auto"/>
                      <w:sz w:val="18"/>
                      <w:szCs w:val="18"/>
                      <w:highlight w:val="none"/>
                      <w:lang w:eastAsia="zh-CN"/>
                    </w:rPr>
                    <w:t>用地属于园区规划的工业用地，符合空间布局管控要求</w:t>
                  </w:r>
                  <w:r>
                    <w:rPr>
                      <w:rFonts w:hint="default" w:ascii="Times New Roman" w:hAnsi="Times New Roman" w:cs="Times New Roman"/>
                      <w:color w:val="auto"/>
                      <w:sz w:val="18"/>
                      <w:szCs w:val="18"/>
                      <w:highlight w:val="none"/>
                    </w:rPr>
                    <w:t>。</w:t>
                  </w:r>
                </w:p>
              </w:tc>
              <w:tc>
                <w:tcPr>
                  <w:tcW w:w="327" w:type="pct"/>
                  <w:tcBorders>
                    <w:top w:val="single" w:color="000000" w:sz="4" w:space="0"/>
                    <w:left w:val="single" w:color="000000" w:sz="4" w:space="0"/>
                    <w:bottom w:val="single" w:color="000000" w:sz="4" w:space="0"/>
                    <w:right w:val="single" w:color="000000" w:sz="4" w:space="0"/>
                  </w:tcBorders>
                  <w:vAlign w:val="center"/>
                </w:tcPr>
                <w:p w14:paraId="53C22C8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6EC29D9F">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6C97FF03">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39FD2">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严守环境质量底线，强化污染物排放总量管控。强化现有及入区企业污染治理设施及环境管理水平，严格落实《报告书》提出的污染物减排方案及总量管控要求，确保区域环境质量持续改善。强化涉重废水污染治理，电镀工序废水经车间处理达标后全部回用，不外排。严格落实《关于加强重点行业建设项目区域削减措施监督管理的通知》相关要求。</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C0B53">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eastAsia="zh-CN"/>
                    </w:rPr>
                    <w:t>本项目符合环境质量底线要求。采取合理可行的污染治理设施，提升环境管理水平。项目不涉及涉重废水，不涉及电镀。不属于需要区域削减的重点行业。</w:t>
                  </w:r>
                </w:p>
              </w:tc>
              <w:tc>
                <w:tcPr>
                  <w:tcW w:w="327" w:type="pct"/>
                  <w:tcBorders>
                    <w:top w:val="single" w:color="000000" w:sz="4" w:space="0"/>
                    <w:left w:val="single" w:color="000000" w:sz="4" w:space="0"/>
                    <w:bottom w:val="single" w:color="000000" w:sz="4" w:space="0"/>
                    <w:right w:val="single" w:color="000000" w:sz="4" w:space="0"/>
                  </w:tcBorders>
                  <w:vAlign w:val="center"/>
                </w:tcPr>
                <w:p w14:paraId="414D166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585E0C28">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3C83F932">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E2AB8">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严格入区项目生态环境准入，推动绿色低碳高质量发展。严格落实《报告书》提出的园区生态环境准入要求及现有企业环境管理要求。园区严禁新增“两高”项目、危险废物集中贮存处置项目及电镀、酸洗、碱洗、磷化等专门从事表面处理的项目入驻，现有钢铁和水泥规模不得增加。不断提高现有及在建企业清洁生产水平，促进园区产业转型升级与生态环境保护、人居环境安全相协调。</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EA706">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本项目符合园区生态环境准入要求，不属于严禁新增的产业，符合园区产业规划。</w:t>
                  </w:r>
                </w:p>
              </w:tc>
              <w:tc>
                <w:tcPr>
                  <w:tcW w:w="327" w:type="pct"/>
                  <w:tcBorders>
                    <w:top w:val="single" w:color="000000" w:sz="4" w:space="0"/>
                    <w:left w:val="single" w:color="000000" w:sz="4" w:space="0"/>
                    <w:bottom w:val="single" w:color="000000" w:sz="4" w:space="0"/>
                    <w:right w:val="single" w:color="000000" w:sz="4" w:space="0"/>
                  </w:tcBorders>
                  <w:vAlign w:val="center"/>
                </w:tcPr>
                <w:p w14:paraId="08D7CFC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5F516D89">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205E2FE4">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F80E7">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统筹基础设施建设，严格落实《报告书》提出的建设内容及时限。加快南寨地表水厂建设进度，逐步替代企业自备水井。根据开发利用情况逐步完善再生水管网布局，扩大再生水管网覆盖范围，充分利用再生水资源。园区企业根据行业特点充分利用生产余热为主力热源，天然气、电能等清洁能源为补充，禁止企业自建燃煤供热锅炉</w:t>
                  </w:r>
                  <w:r>
                    <w:rPr>
                      <w:rFonts w:hint="default" w:ascii="Times New Roman" w:hAnsi="Times New Roman" w:cs="Times New Roman"/>
                      <w:color w:val="auto"/>
                      <w:sz w:val="18"/>
                      <w:szCs w:val="18"/>
                      <w:highlight w:val="none"/>
                      <w:lang w:eastAsia="zh-CN"/>
                    </w:rPr>
                    <w:t>。</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A4EC8">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本项目依托现有基础设施，可满足生产需求。生产不需用热和天然气，办公采暖用电，不涉及燃煤供热锅炉。</w:t>
                  </w:r>
                </w:p>
              </w:tc>
              <w:tc>
                <w:tcPr>
                  <w:tcW w:w="327" w:type="pct"/>
                  <w:tcBorders>
                    <w:top w:val="single" w:color="000000" w:sz="4" w:space="0"/>
                    <w:left w:val="single" w:color="000000" w:sz="4" w:space="0"/>
                    <w:bottom w:val="single" w:color="000000" w:sz="4" w:space="0"/>
                    <w:right w:val="single" w:color="000000" w:sz="4" w:space="0"/>
                  </w:tcBorders>
                  <w:vAlign w:val="center"/>
                </w:tcPr>
                <w:p w14:paraId="7B7A875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4F6E32BC">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5B5EB8BD">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1259B">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优化运输方式，落实应急运输响应方案。园区应进一步提高铁路运输及清洁能源汽车比例，减轻运输产生的不利环境影响。结合秋冬行业错峰生产和重污染天气应急响应要求，在黄色及以上重污染天气预警期间，重点用车企业实施应急运输响应</w:t>
                  </w:r>
                  <w:r>
                    <w:rPr>
                      <w:rFonts w:hint="default" w:ascii="Times New Roman" w:hAnsi="Times New Roman" w:cs="Times New Roman"/>
                      <w:color w:val="auto"/>
                      <w:sz w:val="18"/>
                      <w:szCs w:val="18"/>
                      <w:highlight w:val="none"/>
                      <w:lang w:eastAsia="zh-CN"/>
                    </w:rPr>
                    <w:t>。</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16BBA">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本项目运营期优化运输方式，落实应急运输响应方案，落实秋冬行业错峰生产和重污染天气应急响应等相关要求。</w:t>
                  </w:r>
                </w:p>
              </w:tc>
              <w:tc>
                <w:tcPr>
                  <w:tcW w:w="327" w:type="pct"/>
                  <w:tcBorders>
                    <w:top w:val="single" w:color="000000" w:sz="4" w:space="0"/>
                    <w:left w:val="single" w:color="000000" w:sz="4" w:space="0"/>
                    <w:bottom w:val="single" w:color="000000" w:sz="4" w:space="0"/>
                    <w:right w:val="single" w:color="000000" w:sz="4" w:space="0"/>
                  </w:tcBorders>
                  <w:vAlign w:val="center"/>
                </w:tcPr>
                <w:p w14:paraId="31ED68E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6570D742">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6F73E877">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D7696">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健全完善环境监测体系，强化环境风险防范。健全完善包括环境空气、地表水、地下水、土壤等环境要素的监控体系</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强化园区风险防控体系的建立，健全应急响应联动机制。严格落实《报告书》提出的各项环境风险防控措施，加强园区与周边敏感区环境风险防范设施建设，提升环境风险防控和应急响应能力，保障区域环境安全。</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D2952">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本项目建立自行监测计划并严格落实，落实园区环境风险防范相关要求。</w:t>
                  </w:r>
                </w:p>
              </w:tc>
              <w:tc>
                <w:tcPr>
                  <w:tcW w:w="327" w:type="pct"/>
                  <w:tcBorders>
                    <w:top w:val="single" w:color="000000" w:sz="4" w:space="0"/>
                    <w:left w:val="single" w:color="000000" w:sz="4" w:space="0"/>
                    <w:bottom w:val="single" w:color="000000" w:sz="4" w:space="0"/>
                    <w:right w:val="single" w:color="000000" w:sz="4" w:space="0"/>
                  </w:tcBorders>
                  <w:vAlign w:val="center"/>
                </w:tcPr>
                <w:p w14:paraId="1DFB838D">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201660AA">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60F2951D">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9</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4894D">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拟入区建设项目应加强与规划环评联动，结合规划环评相关要求，做好建设项目环境影响评价工作。加强与规划环评的联动，严格项目生态环境准入条件，重点开展工程分析、污染物允许排放量测算和环保措施的可行性论证等工作，强化生态环境保护相关措施的落实。规划环评中协调性分析、环境现状、污染源调查等符合要求的资料可供建设项目环评共享，建设项目环评相应评价内容可结合实际情况予以适当简化。</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1340C">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本项目环评符合与规划环评联动的相关规定。</w:t>
                  </w:r>
                </w:p>
              </w:tc>
              <w:tc>
                <w:tcPr>
                  <w:tcW w:w="327" w:type="pct"/>
                  <w:tcBorders>
                    <w:top w:val="single" w:color="000000" w:sz="4" w:space="0"/>
                    <w:left w:val="single" w:color="000000" w:sz="4" w:space="0"/>
                    <w:bottom w:val="single" w:color="000000" w:sz="4" w:space="0"/>
                    <w:right w:val="single" w:color="000000" w:sz="4" w:space="0"/>
                  </w:tcBorders>
                  <w:vAlign w:val="center"/>
                </w:tcPr>
                <w:p w14:paraId="77ADDED5">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bl>
          <w:p w14:paraId="0BA56009">
            <w:pPr>
              <w:pStyle w:val="14"/>
              <w:rPr>
                <w:rFonts w:hint="default" w:ascii="Times New Roman" w:hAnsi="Times New Roman" w:cs="Times New Roman"/>
                <w:color w:val="auto"/>
                <w:highlight w:val="none"/>
              </w:rPr>
            </w:pPr>
          </w:p>
        </w:tc>
      </w:tr>
      <w:tr w14:paraId="05AE4D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3" w:type="dxa"/>
            <w:vAlign w:val="center"/>
          </w:tcPr>
          <w:p w14:paraId="79765FCB">
            <w:pPr>
              <w:autoSpaceDE w:val="0"/>
              <w:autoSpaceDN w:val="0"/>
              <w:adjustRightInd w:val="0"/>
              <w:snapToGrid w:val="0"/>
              <w:jc w:val="center"/>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其他符合性分析</w:t>
            </w:r>
          </w:p>
        </w:tc>
        <w:tc>
          <w:tcPr>
            <w:tcW w:w="8263" w:type="dxa"/>
            <w:gridSpan w:val="4"/>
            <w:vAlign w:val="center"/>
          </w:tcPr>
          <w:p w14:paraId="1AE50526">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2" w:firstLineChars="200"/>
              <w:textAlignment w:val="baseline"/>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一、</w:t>
            </w:r>
            <w:r>
              <w:rPr>
                <w:rFonts w:hint="default" w:ascii="Times New Roman" w:hAnsi="Times New Roman" w:cs="Times New Roman"/>
                <w:b/>
                <w:bCs/>
                <w:color w:val="auto"/>
                <w:sz w:val="24"/>
                <w:highlight w:val="none"/>
              </w:rPr>
              <w:t>产业政策符合性分析</w:t>
            </w:r>
          </w:p>
          <w:p w14:paraId="69B714D0">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本项目属于</w:t>
            </w:r>
            <w:r>
              <w:rPr>
                <w:rFonts w:hint="default" w:ascii="Times New Roman" w:hAnsi="Times New Roman" w:cs="Times New Roman"/>
                <w:color w:val="auto"/>
                <w:sz w:val="24"/>
                <w:highlight w:val="none"/>
                <w:lang w:val="en-US" w:eastAsia="zh-CN"/>
              </w:rPr>
              <w:t>非金属矿物制品</w:t>
            </w:r>
            <w:r>
              <w:rPr>
                <w:rFonts w:hint="default" w:ascii="Times New Roman" w:hAnsi="Times New Roman" w:cs="Times New Roman"/>
                <w:color w:val="auto"/>
                <w:sz w:val="24"/>
                <w:highlight w:val="none"/>
              </w:rPr>
              <w:t>业，对照</w:t>
            </w:r>
            <w:r>
              <w:rPr>
                <w:rFonts w:hint="default" w:ascii="Times New Roman" w:hAnsi="Times New Roman" w:eastAsia="宋体" w:cs="Times New Roman"/>
                <w:color w:val="auto"/>
                <w:sz w:val="24"/>
                <w:highlight w:val="none"/>
                <w:lang w:val="en-US" w:eastAsia="zh-CN"/>
              </w:rPr>
              <w:t>《产业结构调整指导目录（20</w:t>
            </w:r>
            <w:r>
              <w:rPr>
                <w:rFonts w:hint="default" w:ascii="Times New Roman" w:hAnsi="Times New Roman" w:cs="Times New Roman"/>
                <w:color w:val="auto"/>
                <w:sz w:val="24"/>
                <w:highlight w:val="none"/>
                <w:lang w:val="en-US" w:eastAsia="zh-CN"/>
              </w:rPr>
              <w:t>24</w:t>
            </w:r>
            <w:r>
              <w:rPr>
                <w:rFonts w:hint="default" w:ascii="Times New Roman" w:hAnsi="Times New Roman" w:eastAsia="宋体" w:cs="Times New Roman"/>
                <w:color w:val="auto"/>
                <w:sz w:val="24"/>
                <w:highlight w:val="none"/>
                <w:lang w:val="en-US" w:eastAsia="zh-CN"/>
              </w:rPr>
              <w:t>年本）》</w:t>
            </w:r>
            <w:r>
              <w:rPr>
                <w:rFonts w:hint="default" w:ascii="Times New Roman" w:hAnsi="Times New Roman" w:cs="Times New Roman"/>
                <w:color w:val="auto"/>
                <w:sz w:val="24"/>
                <w:highlight w:val="none"/>
              </w:rPr>
              <w:t>，不属于限制、淘汰类项目，为允许类</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不属于《市场准入负面清单（2025年版）》中的禁止准入类事项。</w:t>
            </w:r>
          </w:p>
          <w:p w14:paraId="08525ED6">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项目已于2024年11月22日在石家庄市井陉矿区数据和政务服务局备案，备案编号：矿行审投资备字（2024）83号。</w:t>
            </w:r>
          </w:p>
          <w:p w14:paraId="04DC9491">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项目建设符合国家</w:t>
            </w:r>
            <w:r>
              <w:rPr>
                <w:rFonts w:hint="default" w:ascii="Times New Roman" w:hAnsi="Times New Roman" w:cs="Times New Roman"/>
                <w:color w:val="auto"/>
                <w:sz w:val="24"/>
                <w:highlight w:val="none"/>
                <w:lang w:val="en-US" w:eastAsia="zh-CN"/>
              </w:rPr>
              <w:t>和地方相关</w:t>
            </w:r>
            <w:r>
              <w:rPr>
                <w:rFonts w:hint="default" w:ascii="Times New Roman" w:hAnsi="Times New Roman" w:cs="Times New Roman"/>
                <w:color w:val="auto"/>
                <w:sz w:val="24"/>
                <w:highlight w:val="none"/>
              </w:rPr>
              <w:t>产业政策</w:t>
            </w:r>
            <w:r>
              <w:rPr>
                <w:rFonts w:hint="default" w:ascii="Times New Roman" w:hAnsi="Times New Roman" w:cs="Times New Roman"/>
                <w:color w:val="auto"/>
                <w:sz w:val="24"/>
                <w:highlight w:val="none"/>
                <w:lang w:val="en-US" w:eastAsia="zh-CN"/>
              </w:rPr>
              <w:t>的要求</w:t>
            </w:r>
            <w:r>
              <w:rPr>
                <w:rFonts w:hint="default" w:ascii="Times New Roman" w:hAnsi="Times New Roman" w:cs="Times New Roman"/>
                <w:color w:val="auto"/>
                <w:sz w:val="24"/>
                <w:highlight w:val="none"/>
              </w:rPr>
              <w:t>。</w:t>
            </w:r>
          </w:p>
          <w:p w14:paraId="2C67F0E2">
            <w:pPr>
              <w:keepNext w:val="0"/>
              <w:keepLines w:val="0"/>
              <w:pageBreakBefore w:val="0"/>
              <w:widowControl/>
              <w:kinsoku/>
              <w:wordWrap/>
              <w:overflowPunct/>
              <w:topLinePunct w:val="0"/>
              <w:autoSpaceDE/>
              <w:autoSpaceDN/>
              <w:bidi w:val="0"/>
              <w:adjustRightInd/>
              <w:snapToGrid/>
              <w:spacing w:line="480" w:lineRule="exact"/>
              <w:ind w:left="0" w:leftChars="0" w:firstLine="482" w:firstLineChars="200"/>
              <w:textAlignment w:val="baseline"/>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eastAsia="zh-CN"/>
              </w:rPr>
              <w:t>二</w:t>
            </w:r>
            <w:r>
              <w:rPr>
                <w:rFonts w:hint="default" w:ascii="Times New Roman" w:hAnsi="Times New Roman" w:cs="Times New Roman"/>
                <w:b/>
                <w:bCs/>
                <w:color w:val="auto"/>
                <w:sz w:val="24"/>
                <w:highlight w:val="none"/>
              </w:rPr>
              <w:t>、选址</w:t>
            </w:r>
            <w:r>
              <w:rPr>
                <w:rFonts w:hint="default" w:ascii="Times New Roman" w:hAnsi="Times New Roman" w:cs="Times New Roman"/>
                <w:b/>
                <w:bCs/>
                <w:color w:val="auto"/>
                <w:sz w:val="24"/>
                <w:highlight w:val="none"/>
                <w:lang w:eastAsia="zh-CN"/>
              </w:rPr>
              <w:t>合理</w:t>
            </w:r>
            <w:r>
              <w:rPr>
                <w:rFonts w:hint="default" w:ascii="Times New Roman" w:hAnsi="Times New Roman" w:cs="Times New Roman"/>
                <w:b/>
                <w:bCs/>
                <w:color w:val="auto"/>
                <w:sz w:val="24"/>
                <w:highlight w:val="none"/>
              </w:rPr>
              <w:t>性分析</w:t>
            </w:r>
          </w:p>
          <w:p w14:paraId="45EA1A59">
            <w:pPr>
              <w:pStyle w:val="14"/>
              <w:keepNext w:val="0"/>
              <w:keepLines w:val="0"/>
              <w:pageBreakBefore w:val="0"/>
              <w:kinsoku/>
              <w:wordWrap/>
              <w:overflowPunct/>
              <w:topLinePunct w:val="0"/>
              <w:autoSpaceDE/>
              <w:autoSpaceDN/>
              <w:bidi w:val="0"/>
              <w:adjustRightInd/>
              <w:snapToGrid/>
              <w:spacing w:line="480" w:lineRule="exact"/>
              <w:ind w:left="0" w:leftChars="0"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eastAsia="zh-CN"/>
              </w:rPr>
              <w:t>本项目</w:t>
            </w:r>
            <w:r>
              <w:rPr>
                <w:rFonts w:hint="default" w:ascii="Times New Roman" w:hAnsi="Times New Roman" w:cs="Times New Roman"/>
                <w:color w:val="auto"/>
                <w:sz w:val="24"/>
                <w:highlight w:val="none"/>
                <w:lang w:val="en-US" w:eastAsia="zh-CN"/>
              </w:rPr>
              <w:t>位于</w:t>
            </w:r>
            <w:r>
              <w:rPr>
                <w:rFonts w:hint="default" w:ascii="Times New Roman" w:hAnsi="Times New Roman" w:cs="Times New Roman"/>
                <w:color w:val="auto"/>
                <w:sz w:val="24"/>
                <w:highlight w:val="none"/>
                <w:lang w:eastAsia="zh-CN"/>
              </w:rPr>
              <w:t>河北省石家庄市井陉矿区丰达产业园东区7号，厂址中心地理坐标为东经 114°</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40.056</w:t>
            </w:r>
            <w:r>
              <w:rPr>
                <w:rFonts w:hint="default" w:ascii="Times New Roman" w:hAnsi="Times New Roman" w:cs="Times New Roman"/>
                <w:color w:val="auto"/>
                <w:sz w:val="24"/>
                <w:highlight w:val="none"/>
                <w:lang w:eastAsia="zh-CN"/>
              </w:rPr>
              <w:t>″，北纬 38°4′</w:t>
            </w:r>
            <w:r>
              <w:rPr>
                <w:rFonts w:hint="default" w:ascii="Times New Roman" w:hAnsi="Times New Roman" w:cs="Times New Roman"/>
                <w:color w:val="auto"/>
                <w:sz w:val="24"/>
                <w:highlight w:val="none"/>
                <w:lang w:val="en-US" w:eastAsia="zh-CN"/>
              </w:rPr>
              <w:t>25.827</w:t>
            </w:r>
            <w:r>
              <w:rPr>
                <w:rFonts w:hint="default" w:ascii="Times New Roman" w:hAnsi="Times New Roman" w:cs="Times New Roman"/>
                <w:color w:val="auto"/>
                <w:sz w:val="24"/>
                <w:highlight w:val="none"/>
                <w:lang w:eastAsia="zh-CN"/>
              </w:rPr>
              <w:t>″，属于河北石家庄矿区工业园区丰达片区范围。项目厂址北侧为</w:t>
            </w:r>
            <w:r>
              <w:rPr>
                <w:rFonts w:hint="default" w:ascii="Times New Roman" w:hAnsi="Times New Roman" w:cs="Times New Roman"/>
                <w:color w:val="auto"/>
                <w:sz w:val="24"/>
                <w:highlight w:val="none"/>
                <w:lang w:val="en-US" w:eastAsia="zh-CN"/>
              </w:rPr>
              <w:t>闲置厂房</w:t>
            </w:r>
            <w:r>
              <w:rPr>
                <w:rFonts w:hint="default" w:ascii="Times New Roman" w:hAnsi="Times New Roman" w:cs="Times New Roman"/>
                <w:color w:val="auto"/>
                <w:sz w:val="24"/>
                <w:highlight w:val="none"/>
                <w:lang w:eastAsia="zh-CN"/>
              </w:rPr>
              <w:t>，东侧为</w:t>
            </w:r>
            <w:r>
              <w:rPr>
                <w:rFonts w:hint="default" w:ascii="Times New Roman" w:hAnsi="Times New Roman" w:cs="Times New Roman"/>
                <w:color w:val="auto"/>
                <w:sz w:val="24"/>
                <w:highlight w:val="none"/>
                <w:lang w:val="en-US" w:eastAsia="zh-CN"/>
              </w:rPr>
              <w:t>空地</w:t>
            </w:r>
            <w:r>
              <w:rPr>
                <w:rFonts w:hint="default" w:ascii="Times New Roman" w:hAnsi="Times New Roman" w:cs="Times New Roman"/>
                <w:color w:val="auto"/>
                <w:sz w:val="24"/>
                <w:highlight w:val="none"/>
                <w:lang w:eastAsia="zh-CN"/>
              </w:rPr>
              <w:t>，西侧为</w:t>
            </w:r>
            <w:r>
              <w:rPr>
                <w:rFonts w:hint="default" w:ascii="Times New Roman" w:hAnsi="Times New Roman" w:cs="Times New Roman"/>
                <w:color w:val="auto"/>
                <w:sz w:val="24"/>
                <w:highlight w:val="none"/>
                <w:lang w:val="en-US" w:eastAsia="zh-CN"/>
              </w:rPr>
              <w:t>空地</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南侧为道路，隔路为空厂房</w:t>
            </w:r>
            <w:r>
              <w:rPr>
                <w:rFonts w:hint="default" w:ascii="Times New Roman" w:hAnsi="Times New Roman" w:eastAsia="宋体" w:cs="Times New Roman"/>
                <w:color w:val="auto"/>
                <w:sz w:val="24"/>
                <w:highlight w:val="none"/>
                <w:lang w:val="en-US" w:eastAsia="zh-CN"/>
              </w:rPr>
              <w:t>。</w:t>
            </w:r>
            <w:r>
              <w:rPr>
                <w:rFonts w:hint="default" w:ascii="Times New Roman" w:hAnsi="Times New Roman" w:cs="Times New Roman"/>
                <w:color w:val="auto"/>
                <w:kern w:val="0"/>
                <w:sz w:val="24"/>
                <w:highlight w:val="none"/>
              </w:rPr>
              <w:t>该项目</w:t>
            </w:r>
            <w:r>
              <w:rPr>
                <w:rFonts w:hint="default" w:ascii="Times New Roman" w:hAnsi="Times New Roman" w:cs="Times New Roman"/>
                <w:color w:val="auto"/>
                <w:kern w:val="0"/>
                <w:sz w:val="24"/>
                <w:highlight w:val="none"/>
                <w:lang w:eastAsia="zh-CN"/>
              </w:rPr>
              <w:t>周边</w:t>
            </w:r>
            <w:r>
              <w:rPr>
                <w:rFonts w:hint="default" w:ascii="Times New Roman" w:hAnsi="Times New Roman" w:cs="Times New Roman"/>
                <w:color w:val="auto"/>
                <w:kern w:val="0"/>
                <w:sz w:val="24"/>
                <w:highlight w:val="none"/>
              </w:rPr>
              <w:t>无</w:t>
            </w:r>
            <w:r>
              <w:rPr>
                <w:rFonts w:hint="default" w:ascii="Times New Roman" w:hAnsi="Times New Roman" w:cs="Times New Roman"/>
                <w:color w:val="auto"/>
                <w:kern w:val="0"/>
                <w:sz w:val="24"/>
                <w:highlight w:val="none"/>
                <w:lang w:eastAsia="zh-CN"/>
              </w:rPr>
              <w:t>居住区、</w:t>
            </w:r>
            <w:r>
              <w:rPr>
                <w:rFonts w:hint="default" w:ascii="Times New Roman" w:hAnsi="Times New Roman" w:cs="Times New Roman"/>
                <w:color w:val="auto"/>
                <w:kern w:val="0"/>
                <w:sz w:val="24"/>
                <w:highlight w:val="none"/>
              </w:rPr>
              <w:t>文物、景观和自然保护区等环境保护目标</w:t>
            </w:r>
            <w:r>
              <w:rPr>
                <w:rFonts w:hint="default" w:ascii="Times New Roman" w:hAnsi="Times New Roman" w:cs="Times New Roman"/>
                <w:color w:val="auto"/>
                <w:kern w:val="0"/>
                <w:sz w:val="24"/>
                <w:highlight w:val="none"/>
                <w:lang w:eastAsia="zh-CN"/>
              </w:rPr>
              <w:t>。</w:t>
            </w:r>
          </w:p>
          <w:p w14:paraId="464848C4">
            <w:pPr>
              <w:pStyle w:val="14"/>
              <w:keepNext w:val="0"/>
              <w:keepLines w:val="0"/>
              <w:pageBreakBefore w:val="0"/>
              <w:kinsoku/>
              <w:wordWrap/>
              <w:overflowPunct/>
              <w:topLinePunct w:val="0"/>
              <w:autoSpaceDE/>
              <w:autoSpaceDN/>
              <w:bidi w:val="0"/>
              <w:adjustRightInd/>
              <w:snapToGrid/>
              <w:spacing w:line="480" w:lineRule="exact"/>
              <w:ind w:left="0" w:leftChars="0"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建设单位已与石家庄市矿区工业园区开发建设有限公司签订《合作协议》，根据《不动产权证书》（冀（2024）石家庄市井陉矿区不动产权第0000141号、第0000150号），</w:t>
            </w:r>
            <w:r>
              <w:rPr>
                <w:rFonts w:hint="default" w:ascii="Times New Roman" w:hAnsi="Times New Roman" w:eastAsia="宋体" w:cs="Times New Roman"/>
                <w:color w:val="auto"/>
                <w:sz w:val="24"/>
                <w:highlight w:val="none"/>
                <w:lang w:val="en-US" w:eastAsia="zh-CN"/>
              </w:rPr>
              <w:t>项目占地</w:t>
            </w:r>
            <w:r>
              <w:rPr>
                <w:rFonts w:hint="default" w:ascii="Times New Roman" w:hAnsi="Times New Roman" w:cs="Times New Roman"/>
                <w:color w:val="auto"/>
                <w:sz w:val="24"/>
                <w:highlight w:val="none"/>
                <w:lang w:val="en-US" w:eastAsia="zh-CN"/>
              </w:rPr>
              <w:t>性质</w:t>
            </w:r>
            <w:r>
              <w:rPr>
                <w:rFonts w:hint="default" w:ascii="Times New Roman" w:hAnsi="Times New Roman" w:eastAsia="宋体" w:cs="Times New Roman"/>
                <w:color w:val="auto"/>
                <w:sz w:val="24"/>
                <w:highlight w:val="none"/>
                <w:lang w:val="en-US" w:eastAsia="zh-CN"/>
              </w:rPr>
              <w:t>属于</w:t>
            </w:r>
            <w:r>
              <w:rPr>
                <w:rFonts w:hint="default" w:ascii="Times New Roman" w:hAnsi="Times New Roman" w:cs="Times New Roman"/>
                <w:color w:val="auto"/>
                <w:sz w:val="24"/>
                <w:highlight w:val="none"/>
                <w:lang w:val="en-US" w:eastAsia="zh-CN"/>
              </w:rPr>
              <w:t>工业用地。对照河北石家庄矿区工业园区土地利用规划图，属于规划的工业用地区域。</w:t>
            </w:r>
            <w:r>
              <w:rPr>
                <w:rFonts w:hint="default" w:ascii="Times New Roman" w:hAnsi="Times New Roman" w:cs="Times New Roman"/>
                <w:color w:val="auto"/>
                <w:kern w:val="0"/>
                <w:sz w:val="24"/>
                <w:highlight w:val="none"/>
                <w:lang w:eastAsia="zh-CN"/>
              </w:rPr>
              <w:t>根据</w:t>
            </w:r>
            <w:r>
              <w:rPr>
                <w:rFonts w:hint="default" w:ascii="Times New Roman" w:hAnsi="Times New Roman" w:eastAsia="宋体" w:cs="Times New Roman"/>
                <w:color w:val="auto"/>
                <w:kern w:val="2"/>
                <w:sz w:val="24"/>
                <w:szCs w:val="20"/>
                <w:highlight w:val="none"/>
                <w:lang w:val="en-US" w:eastAsia="zh-CN"/>
              </w:rPr>
              <w:t>《河北石家庄矿区工业园区总体发展规划（2022-2030）环境影响报告书》及其审批意见</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cs="Times New Roman"/>
                <w:color w:val="auto"/>
                <w:sz w:val="24"/>
                <w:highlight w:val="none"/>
                <w:lang w:val="en-US" w:eastAsia="zh-CN"/>
              </w:rPr>
              <w:t>该项目用地性质为工业用地，符合开发区总体规划。</w:t>
            </w:r>
          </w:p>
          <w:p w14:paraId="53A4436B">
            <w:pPr>
              <w:pStyle w:val="14"/>
              <w:keepNext w:val="0"/>
              <w:keepLines w:val="0"/>
              <w:pageBreakBefore w:val="0"/>
              <w:kinsoku/>
              <w:wordWrap/>
              <w:overflowPunct/>
              <w:topLinePunct w:val="0"/>
              <w:autoSpaceDE/>
              <w:autoSpaceDN/>
              <w:bidi w:val="0"/>
              <w:adjustRightInd/>
              <w:snapToGrid/>
              <w:spacing w:line="480" w:lineRule="exact"/>
              <w:ind w:left="0" w:leftChars="0"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lang w:val="en-US" w:eastAsia="zh-CN"/>
              </w:rPr>
              <w:t>综上所述，</w:t>
            </w:r>
            <w:r>
              <w:rPr>
                <w:rFonts w:hint="default" w:ascii="Times New Roman" w:hAnsi="Times New Roman" w:cs="Times New Roman"/>
                <w:color w:val="auto"/>
                <w:kern w:val="0"/>
                <w:sz w:val="24"/>
                <w:highlight w:val="none"/>
              </w:rPr>
              <w:t>从环境保护角度分析，本项目选址可行。项目地理位置图见附图1</w:t>
            </w:r>
            <w:r>
              <w:rPr>
                <w:rFonts w:hint="default" w:ascii="Times New Roman" w:hAnsi="Times New Roman" w:cs="Times New Roman"/>
                <w:color w:val="auto"/>
                <w:kern w:val="0"/>
                <w:sz w:val="24"/>
                <w:highlight w:val="none"/>
                <w:lang w:eastAsia="zh-CN"/>
              </w:rPr>
              <w:t>，周边关系及环境保护目标图见附图</w:t>
            </w:r>
            <w:r>
              <w:rPr>
                <w:rFonts w:hint="default" w:ascii="Times New Roman" w:hAnsi="Times New Roman" w:cs="Times New Roman"/>
                <w:color w:val="auto"/>
                <w:kern w:val="0"/>
                <w:sz w:val="24"/>
                <w:highlight w:val="none"/>
                <w:lang w:val="en-US" w:eastAsia="zh-CN"/>
              </w:rPr>
              <w:t>2</w:t>
            </w:r>
            <w:r>
              <w:rPr>
                <w:rFonts w:hint="default" w:ascii="Times New Roman" w:hAnsi="Times New Roman" w:cs="Times New Roman"/>
                <w:color w:val="auto"/>
                <w:kern w:val="0"/>
                <w:sz w:val="24"/>
                <w:highlight w:val="none"/>
              </w:rPr>
              <w:t>。</w:t>
            </w:r>
          </w:p>
          <w:p w14:paraId="282B0152">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spacing w:before="0" w:beforeAutospacing="0" w:after="0" w:afterAutospacing="0" w:line="480" w:lineRule="exact"/>
              <w:ind w:left="0" w:leftChars="0" w:right="0" w:rightChars="0" w:firstLine="482" w:firstLineChars="200"/>
              <w:jc w:val="left"/>
              <w:textAlignment w:val="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val="en-US" w:eastAsia="zh-CN"/>
              </w:rPr>
              <w:t>三</w:t>
            </w:r>
            <w:r>
              <w:rPr>
                <w:rFonts w:hint="default" w:ascii="Times New Roman" w:hAnsi="Times New Roman" w:eastAsia="宋体" w:cs="Times New Roman"/>
                <w:b/>
                <w:bCs/>
                <w:color w:val="auto"/>
                <w:kern w:val="0"/>
                <w:sz w:val="24"/>
                <w:highlight w:val="none"/>
                <w:lang w:val="en-US" w:eastAsia="zh-CN"/>
              </w:rPr>
              <w:t>、</w:t>
            </w:r>
            <w:r>
              <w:rPr>
                <w:rFonts w:hint="default" w:ascii="Times New Roman" w:hAnsi="Times New Roman" w:cs="Times New Roman"/>
                <w:b/>
                <w:bCs/>
                <w:color w:val="auto"/>
                <w:kern w:val="0"/>
                <w:sz w:val="24"/>
                <w:highlight w:val="none"/>
              </w:rPr>
              <w:t>“三线一单”符合性分析</w:t>
            </w:r>
          </w:p>
          <w:p w14:paraId="50347EB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val="en-US" w:eastAsia="zh-CN"/>
              </w:rPr>
              <w:t>1、</w:t>
            </w:r>
            <w:r>
              <w:rPr>
                <w:rFonts w:hint="default" w:ascii="Times New Roman" w:hAnsi="Times New Roman" w:eastAsia="宋体" w:cs="Times New Roman"/>
                <w:color w:val="auto"/>
                <w:kern w:val="0"/>
                <w:sz w:val="24"/>
                <w:highlight w:val="none"/>
                <w:lang w:eastAsia="zh-CN"/>
              </w:rPr>
              <w:t>与</w:t>
            </w:r>
            <w:r>
              <w:rPr>
                <w:rFonts w:hint="default" w:ascii="Times New Roman" w:hAnsi="Times New Roman" w:cs="Times New Roman"/>
                <w:color w:val="auto"/>
                <w:kern w:val="0"/>
                <w:sz w:val="24"/>
                <w:highlight w:val="none"/>
              </w:rPr>
              <w:t>《关于以改善环境质量为核心加强环境影响评价管理的通知》（环环评〔2016〕150号）</w:t>
            </w:r>
            <w:r>
              <w:rPr>
                <w:rFonts w:hint="default" w:ascii="Times New Roman" w:hAnsi="Times New Roman" w:eastAsia="宋体" w:cs="Times New Roman"/>
                <w:color w:val="auto"/>
                <w:kern w:val="0"/>
                <w:sz w:val="24"/>
                <w:highlight w:val="none"/>
                <w:lang w:eastAsia="zh-CN"/>
              </w:rPr>
              <w:t>符合性分析</w:t>
            </w:r>
          </w:p>
          <w:p w14:paraId="12ABAA2E">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根据《关于以改善环境质量为核心加强环境影响评价管理的通知》（环环评〔2016〕150号）</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cs="Times New Roman"/>
                <w:color w:val="auto"/>
                <w:kern w:val="0"/>
                <w:sz w:val="24"/>
                <w:highlight w:val="none"/>
              </w:rPr>
              <w:t>分析本项目与其符合性</w:t>
            </w:r>
            <w:r>
              <w:rPr>
                <w:rFonts w:hint="default" w:ascii="Times New Roman" w:hAnsi="Times New Roman" w:eastAsia="宋体" w:cs="Times New Roman"/>
                <w:color w:val="auto"/>
                <w:kern w:val="0"/>
                <w:sz w:val="24"/>
                <w:highlight w:val="none"/>
                <w:lang w:eastAsia="zh-CN"/>
              </w:rPr>
              <w:t>见下表</w:t>
            </w:r>
            <w:r>
              <w:rPr>
                <w:rFonts w:hint="default" w:ascii="Times New Roman" w:hAnsi="Times New Roman" w:cs="Times New Roman"/>
                <w:color w:val="auto"/>
                <w:kern w:val="0"/>
                <w:sz w:val="24"/>
                <w:highlight w:val="none"/>
              </w:rPr>
              <w:t>。</w:t>
            </w:r>
          </w:p>
          <w:p w14:paraId="5D2BC25E">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0" w:firstLineChars="0"/>
              <w:jc w:val="center"/>
              <w:textAlignment w:val="auto"/>
              <w:rPr>
                <w:rFonts w:hint="default" w:ascii="Times New Roman" w:hAnsi="Times New Roman" w:cs="Times New Roman"/>
                <w:b/>
                <w:bCs/>
                <w:color w:val="auto"/>
                <w:kern w:val="0"/>
                <w:sz w:val="24"/>
                <w:highlight w:val="none"/>
                <w:lang w:eastAsia="zh-CN"/>
              </w:rPr>
            </w:pPr>
            <w:r>
              <w:rPr>
                <w:rFonts w:hint="default" w:ascii="Times New Roman" w:hAnsi="Times New Roman" w:cs="Times New Roman"/>
                <w:b/>
                <w:bCs/>
                <w:color w:val="auto"/>
                <w:kern w:val="0"/>
                <w:sz w:val="24"/>
                <w:highlight w:val="none"/>
                <w:lang w:eastAsia="zh-CN"/>
              </w:rPr>
              <w:t>表</w:t>
            </w:r>
            <w:r>
              <w:rPr>
                <w:rFonts w:hint="default" w:ascii="Times New Roman" w:hAnsi="Times New Roman" w:cs="Times New Roman"/>
                <w:b/>
                <w:bCs/>
                <w:color w:val="auto"/>
                <w:kern w:val="0"/>
                <w:sz w:val="24"/>
                <w:highlight w:val="none"/>
                <w:lang w:eastAsia="zh-CN"/>
              </w:rPr>
              <w:fldChar w:fldCharType="begin"/>
            </w:r>
            <w:r>
              <w:rPr>
                <w:rFonts w:hint="default" w:ascii="Times New Roman" w:hAnsi="Times New Roman" w:cs="Times New Roman"/>
                <w:b/>
                <w:bCs/>
                <w:color w:val="auto"/>
                <w:kern w:val="0"/>
                <w:sz w:val="24"/>
                <w:highlight w:val="none"/>
                <w:lang w:eastAsia="zh-CN"/>
              </w:rPr>
              <w:instrText xml:space="preserve"> SEQ 表 \* ARABIC </w:instrText>
            </w:r>
            <w:r>
              <w:rPr>
                <w:rFonts w:hint="default" w:ascii="Times New Roman" w:hAnsi="Times New Roman" w:cs="Times New Roman"/>
                <w:b/>
                <w:bCs/>
                <w:color w:val="auto"/>
                <w:kern w:val="0"/>
                <w:sz w:val="24"/>
                <w:highlight w:val="none"/>
                <w:lang w:eastAsia="zh-CN"/>
              </w:rPr>
              <w:fldChar w:fldCharType="separate"/>
            </w:r>
            <w:r>
              <w:rPr>
                <w:rFonts w:hint="default" w:ascii="Times New Roman" w:hAnsi="Times New Roman" w:cs="Times New Roman"/>
                <w:b/>
                <w:bCs/>
                <w:color w:val="auto"/>
                <w:kern w:val="0"/>
                <w:sz w:val="24"/>
                <w:highlight w:val="none"/>
                <w:lang w:eastAsia="zh-CN"/>
              </w:rPr>
              <w:t>1</w:t>
            </w:r>
            <w:r>
              <w:rPr>
                <w:rFonts w:hint="default" w:ascii="Times New Roman" w:hAnsi="Times New Roman" w:cs="Times New Roman"/>
                <w:b/>
                <w:bCs/>
                <w:color w:val="auto"/>
                <w:kern w:val="0"/>
                <w:sz w:val="24"/>
                <w:highlight w:val="none"/>
                <w:lang w:eastAsia="zh-CN"/>
              </w:rPr>
              <w:fldChar w:fldCharType="end"/>
            </w:r>
            <w:r>
              <w:rPr>
                <w:rFonts w:hint="default" w:ascii="Times New Roman" w:hAnsi="Times New Roman" w:cs="Times New Roman"/>
                <w:b/>
                <w:bCs/>
                <w:color w:val="auto"/>
                <w:kern w:val="0"/>
                <w:sz w:val="24"/>
                <w:highlight w:val="none"/>
                <w:lang w:val="en-US" w:eastAsia="zh-CN"/>
              </w:rPr>
              <w:t>-6</w:t>
            </w:r>
            <w:r>
              <w:rPr>
                <w:rFonts w:hint="default" w:ascii="Times New Roman" w:hAnsi="Times New Roman" w:cs="Times New Roman"/>
                <w:b/>
                <w:bCs/>
                <w:color w:val="auto"/>
                <w:kern w:val="0"/>
                <w:sz w:val="24"/>
                <w:highlight w:val="none"/>
                <w:lang w:eastAsia="zh-CN"/>
              </w:rPr>
              <w:t xml:space="preserve">  项目“三线一单”符合性分析</w:t>
            </w:r>
          </w:p>
          <w:tbl>
            <w:tblPr>
              <w:tblStyle w:val="40"/>
              <w:tblW w:w="4998" w:type="pct"/>
              <w:tblInd w:w="0" w:type="dxa"/>
              <w:tblLayout w:type="fixed"/>
              <w:tblCellMar>
                <w:top w:w="0" w:type="dxa"/>
                <w:left w:w="0" w:type="dxa"/>
                <w:bottom w:w="0" w:type="dxa"/>
                <w:right w:w="0" w:type="dxa"/>
              </w:tblCellMar>
            </w:tblPr>
            <w:tblGrid>
              <w:gridCol w:w="443"/>
              <w:gridCol w:w="4224"/>
              <w:gridCol w:w="2875"/>
              <w:gridCol w:w="502"/>
            </w:tblGrid>
            <w:tr w14:paraId="7052DBAF">
              <w:tblPrEx>
                <w:tblCellMar>
                  <w:top w:w="0" w:type="dxa"/>
                  <w:left w:w="0" w:type="dxa"/>
                  <w:bottom w:w="0" w:type="dxa"/>
                  <w:right w:w="0" w:type="dxa"/>
                </w:tblCellMar>
              </w:tblPrEx>
              <w:trPr>
                <w:trHeight w:val="284" w:hRule="atLeast"/>
                <w:tblHeader/>
              </w:trPr>
              <w:tc>
                <w:tcPr>
                  <w:tcW w:w="276" w:type="pct"/>
                  <w:tcBorders>
                    <w:top w:val="single" w:color="000000" w:sz="4" w:space="0"/>
                    <w:left w:val="single" w:color="000000" w:sz="4" w:space="0"/>
                    <w:bottom w:val="single" w:color="000000" w:sz="4" w:space="0"/>
                    <w:right w:val="single" w:color="000000" w:sz="4" w:space="0"/>
                  </w:tcBorders>
                  <w:vAlign w:val="center"/>
                </w:tcPr>
                <w:p w14:paraId="7EEC4456">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2624" w:type="pct"/>
                  <w:tcBorders>
                    <w:top w:val="single" w:color="000000" w:sz="4" w:space="0"/>
                    <w:left w:val="single" w:color="000000" w:sz="4" w:space="0"/>
                    <w:bottom w:val="single" w:color="000000" w:sz="4" w:space="0"/>
                    <w:right w:val="single" w:color="000000" w:sz="4" w:space="0"/>
                  </w:tcBorders>
                  <w:vAlign w:val="center"/>
                </w:tcPr>
                <w:p w14:paraId="1A359B9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分析内容</w:t>
                  </w:r>
                </w:p>
              </w:tc>
              <w:tc>
                <w:tcPr>
                  <w:tcW w:w="1786" w:type="pct"/>
                  <w:tcBorders>
                    <w:top w:val="single" w:color="000000" w:sz="4" w:space="0"/>
                    <w:left w:val="single" w:color="000000" w:sz="4" w:space="0"/>
                    <w:bottom w:val="single" w:color="000000" w:sz="4" w:space="0"/>
                    <w:right w:val="single" w:color="000000" w:sz="4" w:space="0"/>
                  </w:tcBorders>
                  <w:vAlign w:val="center"/>
                </w:tcPr>
                <w:p w14:paraId="74BEA29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本项目情况</w:t>
                  </w:r>
                </w:p>
              </w:tc>
              <w:tc>
                <w:tcPr>
                  <w:tcW w:w="312" w:type="pct"/>
                  <w:tcBorders>
                    <w:top w:val="single" w:color="000000" w:sz="4" w:space="0"/>
                    <w:left w:val="single" w:color="000000" w:sz="4" w:space="0"/>
                    <w:bottom w:val="single" w:color="000000" w:sz="4" w:space="0"/>
                    <w:right w:val="single" w:color="000000" w:sz="4" w:space="0"/>
                  </w:tcBorders>
                  <w:vAlign w:val="center"/>
                </w:tcPr>
                <w:p w14:paraId="2E23FBB1">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符合性</w:t>
                  </w:r>
                </w:p>
              </w:tc>
            </w:tr>
            <w:tr w14:paraId="2E1B2ADC">
              <w:tblPrEx>
                <w:tblCellMar>
                  <w:top w:w="0" w:type="dxa"/>
                  <w:left w:w="0" w:type="dxa"/>
                  <w:bottom w:w="0" w:type="dxa"/>
                  <w:right w:w="0" w:type="dxa"/>
                </w:tblCellMar>
              </w:tblPrEx>
              <w:trPr>
                <w:trHeight w:val="284" w:hRule="atLeast"/>
              </w:trPr>
              <w:tc>
                <w:tcPr>
                  <w:tcW w:w="276" w:type="pct"/>
                  <w:tcBorders>
                    <w:top w:val="single" w:color="000000" w:sz="4" w:space="0"/>
                    <w:left w:val="single" w:color="000000" w:sz="4" w:space="0"/>
                    <w:bottom w:val="single" w:color="000000" w:sz="4" w:space="0"/>
                    <w:right w:val="single" w:color="000000" w:sz="4" w:space="0"/>
                  </w:tcBorders>
                  <w:vAlign w:val="center"/>
                </w:tcPr>
                <w:p w14:paraId="571676F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2624" w:type="pct"/>
                  <w:tcBorders>
                    <w:top w:val="single" w:color="000000" w:sz="4" w:space="0"/>
                    <w:left w:val="single" w:color="000000" w:sz="4" w:space="0"/>
                    <w:bottom w:val="single" w:color="000000" w:sz="4" w:space="0"/>
                    <w:right w:val="single" w:color="000000" w:sz="4" w:space="0"/>
                  </w:tcBorders>
                  <w:vAlign w:val="center"/>
                </w:tcPr>
                <w:p w14:paraId="68DFC284">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生态保护红线是生态空间范围内具有特殊重要生态功能必须实行强制性严格保护的区域。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p>
              </w:tc>
              <w:tc>
                <w:tcPr>
                  <w:tcW w:w="1786" w:type="pct"/>
                  <w:tcBorders>
                    <w:top w:val="single" w:color="000000" w:sz="4" w:space="0"/>
                    <w:left w:val="single" w:color="000000" w:sz="4" w:space="0"/>
                    <w:bottom w:val="single" w:color="000000" w:sz="4" w:space="0"/>
                    <w:right w:val="single" w:color="000000" w:sz="4" w:space="0"/>
                  </w:tcBorders>
                  <w:vAlign w:val="center"/>
                </w:tcPr>
                <w:p w14:paraId="655531CF">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rPr>
                    <w:t>根据《</w:t>
                  </w:r>
                  <w:r>
                    <w:rPr>
                      <w:rFonts w:hint="default" w:ascii="Times New Roman" w:hAnsi="Times New Roman" w:cs="Times New Roman"/>
                      <w:color w:val="auto"/>
                      <w:sz w:val="18"/>
                      <w:szCs w:val="18"/>
                      <w:highlight w:val="none"/>
                      <w:lang w:eastAsia="zh-CN"/>
                    </w:rPr>
                    <w:t>井陉矿区</w:t>
                  </w:r>
                  <w:r>
                    <w:rPr>
                      <w:rFonts w:hint="default" w:ascii="Times New Roman" w:hAnsi="Times New Roman" w:cs="Times New Roman"/>
                      <w:color w:val="auto"/>
                      <w:sz w:val="18"/>
                      <w:szCs w:val="18"/>
                      <w:highlight w:val="none"/>
                    </w:rPr>
                    <w:t>国土空间总体规划（2021—2035年）》，</w:t>
                  </w:r>
                  <w:r>
                    <w:rPr>
                      <w:rFonts w:hint="default" w:ascii="Times New Roman" w:hAnsi="Times New Roman" w:cs="Times New Roman"/>
                      <w:color w:val="auto"/>
                      <w:sz w:val="18"/>
                      <w:szCs w:val="18"/>
                      <w:highlight w:val="none"/>
                      <w:lang w:eastAsia="zh-CN"/>
                    </w:rPr>
                    <w:t>全区划定生态保护红线面积</w:t>
                  </w:r>
                  <w:r>
                    <w:rPr>
                      <w:rFonts w:hint="default" w:ascii="Times New Roman" w:hAnsi="Times New Roman" w:cs="Times New Roman"/>
                      <w:color w:val="auto"/>
                      <w:sz w:val="18"/>
                      <w:szCs w:val="18"/>
                      <w:highlight w:val="none"/>
                      <w:lang w:val="en-US" w:eastAsia="zh-CN"/>
                    </w:rPr>
                    <w:t>8.5平方千米。生态保护红线内，自然保护地核心保护区原则上禁止人为活动。生态保护红线内自然保护区核心保护区外，禁止开发性、生产性建设活动，在符合法律法规的前提下，仅允许对生态功能不造成破坏的有限人为活动。生态保护红线内清凉山风景名胜区、饮用水水源保护区等区域，依照相应法律法规执行。</w:t>
                  </w:r>
                </w:p>
                <w:p w14:paraId="61B014A8">
                  <w:pPr>
                    <w:keepNext w:val="0"/>
                    <w:keepLines w:val="0"/>
                    <w:suppressLineNumbers w:val="0"/>
                    <w:spacing w:before="0" w:beforeAutospacing="0" w:after="0" w:afterAutospacing="0" w:line="0" w:lineRule="atLeast"/>
                    <w:ind w:left="0" w:right="0"/>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项目位于</w:t>
                  </w:r>
                  <w:r>
                    <w:rPr>
                      <w:rFonts w:hint="default" w:ascii="Times New Roman" w:hAnsi="Times New Roman" w:cs="Times New Roman"/>
                      <w:color w:val="auto"/>
                      <w:sz w:val="18"/>
                      <w:szCs w:val="18"/>
                      <w:highlight w:val="none"/>
                      <w:lang w:eastAsia="zh-CN"/>
                    </w:rPr>
                    <w:t>井陉矿区丰达产业园东区</w:t>
                  </w:r>
                  <w:r>
                    <w:rPr>
                      <w:rFonts w:hint="default" w:ascii="Times New Roman" w:hAnsi="Times New Roman" w:cs="Times New Roman"/>
                      <w:color w:val="auto"/>
                      <w:sz w:val="18"/>
                      <w:szCs w:val="18"/>
                      <w:highlight w:val="none"/>
                      <w:lang w:val="en-US" w:eastAsia="zh-CN"/>
                    </w:rPr>
                    <w:t>7号，属于石家庄市黄壁庄地表水饮用水水源准保护区，</w:t>
                  </w:r>
                  <w:r>
                    <w:rPr>
                      <w:rFonts w:hint="default" w:ascii="Times New Roman" w:hAnsi="Times New Roman" w:cs="Times New Roman"/>
                      <w:color w:val="auto"/>
                      <w:sz w:val="18"/>
                      <w:szCs w:val="18"/>
                      <w:highlight w:val="none"/>
                      <w:lang w:eastAsia="zh-CN"/>
                    </w:rPr>
                    <w:t>距离最近生态保护红线</w:t>
                  </w:r>
                  <w:r>
                    <w:rPr>
                      <w:rFonts w:hint="default" w:ascii="Times New Roman" w:hAnsi="Times New Roman" w:cs="Times New Roman"/>
                      <w:color w:val="auto"/>
                      <w:sz w:val="18"/>
                      <w:szCs w:val="18"/>
                      <w:highlight w:val="none"/>
                      <w:lang w:val="en-US" w:eastAsia="zh-CN"/>
                    </w:rPr>
                    <w:t>40m，</w:t>
                  </w:r>
                  <w:r>
                    <w:rPr>
                      <w:rFonts w:hint="default" w:ascii="Times New Roman" w:hAnsi="Times New Roman" w:cs="Times New Roman"/>
                      <w:color w:val="auto"/>
                      <w:sz w:val="18"/>
                      <w:szCs w:val="18"/>
                      <w:highlight w:val="none"/>
                    </w:rPr>
                    <w:t>不在生态保护红线之内，符合生态保护红线要求</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cs="Times New Roman"/>
                      <w:color w:val="auto"/>
                      <w:sz w:val="18"/>
                      <w:szCs w:val="18"/>
                      <w:highlight w:val="none"/>
                      <w:lang w:eastAsia="zh-CN"/>
                    </w:rPr>
                    <w:t>见附图</w:t>
                  </w:r>
                  <w:r>
                    <w:rPr>
                      <w:rFonts w:hint="default" w:ascii="Times New Roman" w:hAnsi="Times New Roman" w:cs="Times New Roman"/>
                      <w:color w:val="auto"/>
                      <w:sz w:val="18"/>
                      <w:szCs w:val="18"/>
                      <w:highlight w:val="none"/>
                      <w:lang w:val="en-US" w:eastAsia="zh-CN"/>
                    </w:rPr>
                    <w:t>10。</w:t>
                  </w:r>
                </w:p>
              </w:tc>
              <w:tc>
                <w:tcPr>
                  <w:tcW w:w="312" w:type="pct"/>
                  <w:tcBorders>
                    <w:top w:val="single" w:color="000000" w:sz="4" w:space="0"/>
                    <w:left w:val="single" w:color="000000" w:sz="4" w:space="0"/>
                    <w:bottom w:val="single" w:color="000000" w:sz="4" w:space="0"/>
                    <w:right w:val="single" w:color="000000" w:sz="4" w:space="0"/>
                  </w:tcBorders>
                  <w:vAlign w:val="center"/>
                </w:tcPr>
                <w:p w14:paraId="1DA9EC8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符合</w:t>
                  </w:r>
                </w:p>
              </w:tc>
            </w:tr>
            <w:tr w14:paraId="3ED74398">
              <w:tblPrEx>
                <w:tblCellMar>
                  <w:top w:w="0" w:type="dxa"/>
                  <w:left w:w="0" w:type="dxa"/>
                  <w:bottom w:w="0" w:type="dxa"/>
                  <w:right w:w="0" w:type="dxa"/>
                </w:tblCellMar>
              </w:tblPrEx>
              <w:trPr>
                <w:trHeight w:val="284" w:hRule="atLeast"/>
              </w:trPr>
              <w:tc>
                <w:tcPr>
                  <w:tcW w:w="276" w:type="pct"/>
                  <w:tcBorders>
                    <w:top w:val="single" w:color="000000" w:sz="4" w:space="0"/>
                    <w:left w:val="single" w:color="000000" w:sz="4" w:space="0"/>
                    <w:bottom w:val="single" w:color="000000" w:sz="4" w:space="0"/>
                    <w:right w:val="single" w:color="000000" w:sz="4" w:space="0"/>
                  </w:tcBorders>
                  <w:vAlign w:val="center"/>
                </w:tcPr>
                <w:p w14:paraId="3C81E79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2624" w:type="pct"/>
                  <w:tcBorders>
                    <w:top w:val="single" w:color="000000" w:sz="4" w:space="0"/>
                    <w:left w:val="single" w:color="000000" w:sz="4" w:space="0"/>
                    <w:bottom w:val="single" w:color="000000" w:sz="4" w:space="0"/>
                    <w:right w:val="single" w:color="000000" w:sz="4" w:space="0"/>
                  </w:tcBorders>
                  <w:vAlign w:val="center"/>
                </w:tcPr>
                <w:p w14:paraId="67ADAD75">
                  <w:pPr>
                    <w:keepNext w:val="0"/>
                    <w:keepLines w:val="0"/>
                    <w:suppressLineNumbers w:val="0"/>
                    <w:spacing w:before="0" w:beforeAutospacing="0" w:after="0" w:afterAutospacing="0" w:line="0" w:lineRule="atLeast"/>
                    <w:ind w:left="0" w:right="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环境质量底线是国家和地方设置的大气、水和土壤环境质量目标，也是改善环境质量的基准线。有关规划环评应落实区域环境质量目标管理要求，提出区域或者行业污染物排放总量管控建议以及优化区域或行业发展布局、结构和规模的对策措施。项目环评应对照区域环境质量目标，深入分析预测项目建设对环境质量的影响，强化污染防治措施和污染物排放控制要求</w:t>
                  </w:r>
                  <w:r>
                    <w:rPr>
                      <w:rFonts w:hint="default" w:ascii="Times New Roman" w:hAnsi="Times New Roman" w:eastAsia="宋体" w:cs="Times New Roman"/>
                      <w:color w:val="auto"/>
                      <w:sz w:val="18"/>
                      <w:szCs w:val="18"/>
                      <w:highlight w:val="none"/>
                      <w:lang w:eastAsia="zh-CN"/>
                    </w:rPr>
                    <w:t>。</w:t>
                  </w:r>
                </w:p>
              </w:tc>
              <w:tc>
                <w:tcPr>
                  <w:tcW w:w="1786" w:type="pct"/>
                  <w:tcBorders>
                    <w:top w:val="single" w:color="000000" w:sz="4" w:space="0"/>
                    <w:left w:val="single" w:color="000000" w:sz="4" w:space="0"/>
                    <w:bottom w:val="single" w:color="000000" w:sz="4" w:space="0"/>
                    <w:right w:val="single" w:color="000000" w:sz="4" w:space="0"/>
                  </w:tcBorders>
                  <w:vAlign w:val="center"/>
                </w:tcPr>
                <w:p w14:paraId="65B4D8C5">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本项目</w:t>
                  </w:r>
                  <w:r>
                    <w:rPr>
                      <w:rFonts w:hint="default" w:ascii="Times New Roman" w:hAnsi="Times New Roman" w:eastAsia="宋体" w:cs="Times New Roman"/>
                      <w:color w:val="auto"/>
                      <w:sz w:val="18"/>
                      <w:szCs w:val="18"/>
                      <w:highlight w:val="none"/>
                      <w:lang w:val="en-US" w:eastAsia="zh-CN"/>
                    </w:rPr>
                    <w:t>废气经</w:t>
                  </w:r>
                  <w:r>
                    <w:rPr>
                      <w:rFonts w:hint="default" w:ascii="Times New Roman" w:hAnsi="Times New Roman" w:cs="Times New Roman"/>
                      <w:color w:val="auto"/>
                      <w:sz w:val="18"/>
                      <w:szCs w:val="18"/>
                      <w:highlight w:val="none"/>
                      <w:lang w:val="en-US" w:eastAsia="zh-CN"/>
                    </w:rPr>
                    <w:t>布袋除尘器</w:t>
                  </w:r>
                  <w:r>
                    <w:rPr>
                      <w:rFonts w:hint="default" w:ascii="Times New Roman" w:hAnsi="Times New Roman" w:eastAsia="宋体" w:cs="Times New Roman"/>
                      <w:color w:val="auto"/>
                      <w:sz w:val="18"/>
                      <w:szCs w:val="18"/>
                      <w:highlight w:val="none"/>
                      <w:lang w:val="en-US" w:eastAsia="zh-CN"/>
                    </w:rPr>
                    <w:t>装置处理后</w:t>
                  </w:r>
                  <w:r>
                    <w:rPr>
                      <w:rFonts w:hint="default" w:ascii="Times New Roman" w:hAnsi="Times New Roman" w:cs="Times New Roman"/>
                      <w:color w:val="auto"/>
                      <w:sz w:val="18"/>
                      <w:szCs w:val="18"/>
                      <w:highlight w:val="none"/>
                    </w:rPr>
                    <w:t>，经排气筒排放，废气污染物可达标排放；本项目</w:t>
                  </w:r>
                  <w:r>
                    <w:rPr>
                      <w:rFonts w:hint="default" w:ascii="Times New Roman" w:hAnsi="Times New Roman" w:cs="Times New Roman"/>
                      <w:color w:val="auto"/>
                      <w:sz w:val="18"/>
                      <w:szCs w:val="18"/>
                      <w:highlight w:val="none"/>
                      <w:lang w:val="en-US" w:eastAsia="zh-CN"/>
                    </w:rPr>
                    <w:t>废水全部回用不外排</w:t>
                  </w:r>
                  <w:r>
                    <w:rPr>
                      <w:rFonts w:hint="default" w:ascii="Times New Roman" w:hAnsi="Times New Roman" w:cs="Times New Roman"/>
                      <w:color w:val="auto"/>
                      <w:sz w:val="18"/>
                      <w:szCs w:val="18"/>
                      <w:highlight w:val="none"/>
                    </w:rPr>
                    <w:t>；固体废物均合理处置，不会产生二次污染；采取基础减振、厂房隔声等防治措施降低噪声对周边声环境的影响。本项目产生的污染物采取相应措施后均达标排放，不会触及环境质量底线。</w:t>
                  </w:r>
                </w:p>
              </w:tc>
              <w:tc>
                <w:tcPr>
                  <w:tcW w:w="312" w:type="pct"/>
                  <w:tcBorders>
                    <w:top w:val="single" w:color="000000" w:sz="4" w:space="0"/>
                    <w:left w:val="single" w:color="000000" w:sz="4" w:space="0"/>
                    <w:bottom w:val="single" w:color="000000" w:sz="4" w:space="0"/>
                    <w:right w:val="single" w:color="000000" w:sz="4" w:space="0"/>
                  </w:tcBorders>
                  <w:vAlign w:val="center"/>
                </w:tcPr>
                <w:p w14:paraId="1034B3E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符合</w:t>
                  </w:r>
                </w:p>
              </w:tc>
            </w:tr>
            <w:tr w14:paraId="7C133DCE">
              <w:tblPrEx>
                <w:tblCellMar>
                  <w:top w:w="0" w:type="dxa"/>
                  <w:left w:w="0" w:type="dxa"/>
                  <w:bottom w:w="0" w:type="dxa"/>
                  <w:right w:w="0" w:type="dxa"/>
                </w:tblCellMar>
              </w:tblPrEx>
              <w:trPr>
                <w:trHeight w:val="284" w:hRule="atLeast"/>
              </w:trPr>
              <w:tc>
                <w:tcPr>
                  <w:tcW w:w="276" w:type="pct"/>
                  <w:tcBorders>
                    <w:top w:val="single" w:color="000000" w:sz="4" w:space="0"/>
                    <w:left w:val="single" w:color="000000" w:sz="4" w:space="0"/>
                    <w:bottom w:val="single" w:color="000000" w:sz="4" w:space="0"/>
                    <w:right w:val="single" w:color="000000" w:sz="4" w:space="0"/>
                  </w:tcBorders>
                  <w:vAlign w:val="center"/>
                </w:tcPr>
                <w:p w14:paraId="489AA61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2624" w:type="pct"/>
                  <w:tcBorders>
                    <w:top w:val="single" w:color="000000" w:sz="4" w:space="0"/>
                    <w:left w:val="single" w:color="000000" w:sz="4" w:space="0"/>
                    <w:bottom w:val="single" w:color="000000" w:sz="4" w:space="0"/>
                    <w:right w:val="single" w:color="000000" w:sz="4" w:space="0"/>
                  </w:tcBorders>
                  <w:vAlign w:val="center"/>
                </w:tcPr>
                <w:p w14:paraId="0CF865F1">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源是环境的载体，资源利用上线是各地区能源、水、土地等资源消耗不得突破的“天花板”。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tc>
              <w:tc>
                <w:tcPr>
                  <w:tcW w:w="1786" w:type="pct"/>
                  <w:tcBorders>
                    <w:top w:val="single" w:color="000000" w:sz="4" w:space="0"/>
                    <w:left w:val="single" w:color="000000" w:sz="4" w:space="0"/>
                    <w:bottom w:val="single" w:color="000000" w:sz="4" w:space="0"/>
                    <w:right w:val="single" w:color="000000" w:sz="4" w:space="0"/>
                  </w:tcBorders>
                  <w:vAlign w:val="center"/>
                </w:tcPr>
                <w:p w14:paraId="0E48163B">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r>
                    <w:rPr>
                      <w:rFonts w:hint="default" w:ascii="Times New Roman" w:hAnsi="Times New Roman" w:cs="Times New Roman"/>
                      <w:color w:val="auto"/>
                      <w:sz w:val="18"/>
                      <w:szCs w:val="18"/>
                      <w:highlight w:val="none"/>
                      <w:lang w:eastAsia="zh-CN"/>
                    </w:rPr>
                    <w:t>占地属于工业用地</w:t>
                  </w:r>
                  <w:r>
                    <w:rPr>
                      <w:rFonts w:hint="default" w:ascii="Times New Roman" w:hAnsi="Times New Roman" w:eastAsia="宋体" w:cs="Times New Roman"/>
                      <w:color w:val="auto"/>
                      <w:sz w:val="18"/>
                      <w:szCs w:val="18"/>
                      <w:highlight w:val="none"/>
                      <w:lang w:eastAsia="zh-CN"/>
                    </w:rPr>
                    <w:t>，用水、用电等依托</w:t>
                  </w:r>
                  <w:r>
                    <w:rPr>
                      <w:rFonts w:hint="default" w:ascii="Times New Roman" w:hAnsi="Times New Roman" w:cs="Times New Roman"/>
                      <w:color w:val="auto"/>
                      <w:sz w:val="18"/>
                      <w:szCs w:val="18"/>
                      <w:highlight w:val="none"/>
                      <w:lang w:eastAsia="zh-CN"/>
                    </w:rPr>
                    <w:t>园区</w:t>
                  </w:r>
                  <w:r>
                    <w:rPr>
                      <w:rFonts w:hint="default" w:ascii="Times New Roman" w:hAnsi="Times New Roman" w:eastAsia="宋体" w:cs="Times New Roman"/>
                      <w:color w:val="auto"/>
                      <w:sz w:val="18"/>
                      <w:szCs w:val="18"/>
                      <w:highlight w:val="none"/>
                      <w:lang w:eastAsia="zh-CN"/>
                    </w:rPr>
                    <w:t>基础设施可行。</w:t>
                  </w:r>
                  <w:r>
                    <w:rPr>
                      <w:rFonts w:hint="default" w:ascii="Times New Roman" w:hAnsi="Times New Roman" w:cs="Times New Roman"/>
                      <w:color w:val="auto"/>
                      <w:sz w:val="18"/>
                      <w:szCs w:val="18"/>
                      <w:highlight w:val="none"/>
                    </w:rPr>
                    <w:t>本项目能源利用均在区域供水、供电负荷范围内，能源消耗均未超出区域资源负荷量，符合资源利用上线要求。</w:t>
                  </w:r>
                </w:p>
              </w:tc>
              <w:tc>
                <w:tcPr>
                  <w:tcW w:w="312" w:type="pct"/>
                  <w:tcBorders>
                    <w:top w:val="single" w:color="000000" w:sz="4" w:space="0"/>
                    <w:left w:val="single" w:color="000000" w:sz="4" w:space="0"/>
                    <w:bottom w:val="single" w:color="000000" w:sz="4" w:space="0"/>
                    <w:right w:val="single" w:color="000000" w:sz="4" w:space="0"/>
                  </w:tcBorders>
                  <w:vAlign w:val="center"/>
                </w:tcPr>
                <w:p w14:paraId="393EB287">
                  <w:pPr>
                    <w:keepNext w:val="0"/>
                    <w:keepLines w:val="0"/>
                    <w:suppressLineNumbers w:val="0"/>
                    <w:kinsoku w:val="0"/>
                    <w:overflowPunct w:val="0"/>
                    <w:autoSpaceDE w:val="0"/>
                    <w:autoSpaceDN w:val="0"/>
                    <w:adjustRightInd w:val="0"/>
                    <w:spacing w:before="0" w:beforeAutospacing="0" w:after="0" w:afterAutospacing="0"/>
                    <w:ind w:left="0" w:right="0"/>
                    <w:jc w:val="left"/>
                    <w:rPr>
                      <w:rFonts w:hint="default" w:ascii="Times New Roman" w:hAnsi="Times New Roman" w:cs="Times New Roman"/>
                      <w:color w:val="auto"/>
                      <w:sz w:val="18"/>
                      <w:szCs w:val="18"/>
                      <w:highlight w:val="none"/>
                    </w:rPr>
                  </w:pPr>
                </w:p>
                <w:p w14:paraId="7E6D6351">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符合</w:t>
                  </w:r>
                </w:p>
              </w:tc>
            </w:tr>
            <w:tr w14:paraId="2EC221F6">
              <w:tblPrEx>
                <w:tblCellMar>
                  <w:top w:w="0" w:type="dxa"/>
                  <w:left w:w="0" w:type="dxa"/>
                  <w:bottom w:w="0" w:type="dxa"/>
                  <w:right w:w="0" w:type="dxa"/>
                </w:tblCellMar>
              </w:tblPrEx>
              <w:trPr>
                <w:trHeight w:val="284" w:hRule="atLeast"/>
              </w:trPr>
              <w:tc>
                <w:tcPr>
                  <w:tcW w:w="276" w:type="pct"/>
                  <w:tcBorders>
                    <w:top w:val="single" w:color="000000" w:sz="4" w:space="0"/>
                    <w:left w:val="single" w:color="000000" w:sz="4" w:space="0"/>
                    <w:bottom w:val="single" w:color="000000" w:sz="4" w:space="0"/>
                    <w:right w:val="single" w:color="000000" w:sz="4" w:space="0"/>
                  </w:tcBorders>
                  <w:vAlign w:val="center"/>
                </w:tcPr>
                <w:p w14:paraId="5743A9B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2624" w:type="pct"/>
                  <w:tcBorders>
                    <w:top w:val="single" w:color="000000" w:sz="4" w:space="0"/>
                    <w:left w:val="single" w:color="000000" w:sz="4" w:space="0"/>
                    <w:bottom w:val="single" w:color="000000" w:sz="4" w:space="0"/>
                    <w:right w:val="single" w:color="000000" w:sz="4" w:space="0"/>
                  </w:tcBorders>
                  <w:vAlign w:val="center"/>
                </w:tcPr>
                <w:p w14:paraId="1F69A1A4">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tc>
              <w:tc>
                <w:tcPr>
                  <w:tcW w:w="1786" w:type="pct"/>
                  <w:tcBorders>
                    <w:top w:val="single" w:color="000000" w:sz="4" w:space="0"/>
                    <w:left w:val="single" w:color="000000" w:sz="4" w:space="0"/>
                    <w:bottom w:val="single" w:color="000000" w:sz="4" w:space="0"/>
                    <w:right w:val="single" w:color="000000" w:sz="4" w:space="0"/>
                  </w:tcBorders>
                  <w:vAlign w:val="center"/>
                </w:tcPr>
                <w:p w14:paraId="68BF27B8">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项目不属于《产业结构调整指导目录（20</w:t>
                  </w:r>
                  <w:r>
                    <w:rPr>
                      <w:rFonts w:hint="default" w:ascii="Times New Roman" w:hAnsi="Times New Roman" w:eastAsia="宋体" w:cs="Times New Roman"/>
                      <w:color w:val="auto"/>
                      <w:sz w:val="18"/>
                      <w:szCs w:val="18"/>
                      <w:highlight w:val="none"/>
                      <w:lang w:val="en-US" w:eastAsia="zh-CN"/>
                    </w:rPr>
                    <w:t>24</w:t>
                  </w:r>
                  <w:r>
                    <w:rPr>
                      <w:rFonts w:hint="default" w:ascii="Times New Roman" w:hAnsi="Times New Roman" w:cs="Times New Roman"/>
                      <w:color w:val="auto"/>
                      <w:sz w:val="18"/>
                      <w:szCs w:val="18"/>
                      <w:highlight w:val="none"/>
                    </w:rPr>
                    <w:t>年本）》中规定的鼓励类、限制类和淘汰类项目，属于允许类项目；项目不属于《市场准入负面清单(202</w:t>
                  </w:r>
                  <w:r>
                    <w:rPr>
                      <w:rFonts w:hint="default" w:ascii="Times New Roman" w:hAnsi="Times New Roman" w:eastAsia="宋体" w:cs="Times New Roman"/>
                      <w:color w:val="auto"/>
                      <w:sz w:val="18"/>
                      <w:szCs w:val="18"/>
                      <w:highlight w:val="none"/>
                      <w:lang w:val="en-US" w:eastAsia="zh-CN"/>
                    </w:rPr>
                    <w:t>5</w:t>
                  </w:r>
                  <w:r>
                    <w:rPr>
                      <w:rFonts w:hint="default" w:ascii="Times New Roman" w:hAnsi="Times New Roman" w:cs="Times New Roman"/>
                      <w:color w:val="auto"/>
                      <w:sz w:val="18"/>
                      <w:szCs w:val="18"/>
                      <w:highlight w:val="none"/>
                    </w:rPr>
                    <w:t>年版)》禁止准入类，</w:t>
                  </w:r>
                  <w:r>
                    <w:rPr>
                      <w:rFonts w:hint="default" w:ascii="Times New Roman" w:hAnsi="Times New Roman" w:eastAsia="宋体" w:cs="Times New Roman"/>
                      <w:color w:val="auto"/>
                      <w:sz w:val="18"/>
                      <w:szCs w:val="18"/>
                      <w:highlight w:val="none"/>
                      <w:lang w:eastAsia="zh-CN"/>
                    </w:rPr>
                    <w:t>符合河北</w:t>
                  </w:r>
                  <w:r>
                    <w:rPr>
                      <w:rFonts w:hint="default" w:ascii="Times New Roman" w:hAnsi="Times New Roman" w:cs="Times New Roman"/>
                      <w:color w:val="auto"/>
                      <w:sz w:val="18"/>
                      <w:szCs w:val="18"/>
                      <w:highlight w:val="none"/>
                      <w:lang w:eastAsia="zh-CN"/>
                    </w:rPr>
                    <w:t>石家庄矿区工业园区丰达片区</w:t>
                  </w:r>
                  <w:r>
                    <w:rPr>
                      <w:rFonts w:hint="default" w:ascii="Times New Roman" w:hAnsi="Times New Roman" w:eastAsia="宋体" w:cs="Times New Roman"/>
                      <w:color w:val="auto"/>
                      <w:sz w:val="18"/>
                      <w:szCs w:val="18"/>
                      <w:highlight w:val="none"/>
                      <w:lang w:eastAsia="zh-CN"/>
                    </w:rPr>
                    <w:t>生态环境准入清单要求。</w:t>
                  </w:r>
                  <w:r>
                    <w:rPr>
                      <w:rFonts w:hint="default" w:ascii="Times New Roman" w:hAnsi="Times New Roman" w:cs="Times New Roman"/>
                      <w:color w:val="auto"/>
                      <w:sz w:val="18"/>
                      <w:szCs w:val="18"/>
                      <w:highlight w:val="none"/>
                    </w:rPr>
                    <w:t>因此项目建设符合国家和地方相关产业政策的要求。</w:t>
                  </w:r>
                </w:p>
              </w:tc>
              <w:tc>
                <w:tcPr>
                  <w:tcW w:w="312" w:type="pct"/>
                  <w:tcBorders>
                    <w:top w:val="single" w:color="000000" w:sz="4" w:space="0"/>
                    <w:left w:val="single" w:color="000000" w:sz="4" w:space="0"/>
                    <w:bottom w:val="single" w:color="000000" w:sz="4" w:space="0"/>
                    <w:right w:val="single" w:color="000000" w:sz="4" w:space="0"/>
                  </w:tcBorders>
                  <w:vAlign w:val="center"/>
                </w:tcPr>
                <w:p w14:paraId="2177899F">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符合</w:t>
                  </w:r>
                </w:p>
              </w:tc>
            </w:tr>
          </w:tbl>
          <w:p w14:paraId="065588B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rPr>
              <w:t>由上表可知，本项目符合《关于以改善环境质量为核心加强环境影响评价管理的通知》（环评[2016]150 号）的环境管理要求。</w:t>
            </w:r>
          </w:p>
          <w:p w14:paraId="6ECD56FF">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2、与《石家庄市生态环境准入清单（2023年版）》符合性分析</w:t>
            </w:r>
          </w:p>
          <w:p w14:paraId="7F599A7E">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本项目与《石家庄市生态环境准入清单（2023年版）》（2024.4.28）符合性分析如下。</w:t>
            </w:r>
          </w:p>
          <w:p w14:paraId="4CEF90F8">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（1）与石家庄市生态环境总体管控要求符合性分析</w:t>
            </w:r>
          </w:p>
          <w:p w14:paraId="7B536C98">
            <w:pPr>
              <w:keepNext w:val="0"/>
              <w:keepLines w:val="0"/>
              <w:widowControl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表 1-7  项目与石家庄市生态环境准入清单符合性分析</w:t>
            </w:r>
          </w:p>
          <w:tbl>
            <w:tblPr>
              <w:tblStyle w:val="4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304"/>
              <w:gridCol w:w="283"/>
              <w:gridCol w:w="450"/>
              <w:gridCol w:w="4503"/>
              <w:gridCol w:w="2043"/>
              <w:gridCol w:w="448"/>
            </w:tblGrid>
            <w:tr w14:paraId="0FD4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686023F2">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序号</w:t>
                  </w:r>
                </w:p>
              </w:tc>
              <w:tc>
                <w:tcPr>
                  <w:tcW w:w="3259" w:type="pct"/>
                  <w:gridSpan w:val="3"/>
                  <w:tcBorders>
                    <w:top w:val="single" w:color="auto" w:sz="4" w:space="0"/>
                    <w:left w:val="single" w:color="auto" w:sz="4" w:space="0"/>
                    <w:bottom w:val="single" w:color="auto" w:sz="4" w:space="0"/>
                    <w:right w:val="single" w:color="auto" w:sz="4" w:space="0"/>
                  </w:tcBorders>
                  <w:noWrap w:val="0"/>
                  <w:vAlign w:val="center"/>
                </w:tcPr>
                <w:p w14:paraId="17BD43F0">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石家庄生态环境准入总体要求</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1E99FFF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项目建设情况</w:t>
                  </w:r>
                </w:p>
              </w:tc>
              <w:tc>
                <w:tcPr>
                  <w:tcW w:w="278" w:type="pct"/>
                  <w:tcBorders>
                    <w:top w:val="single" w:color="auto" w:sz="4" w:space="0"/>
                    <w:left w:val="single" w:color="auto" w:sz="4" w:space="0"/>
                    <w:bottom w:val="single" w:color="auto" w:sz="4" w:space="0"/>
                    <w:right w:val="single" w:color="auto" w:sz="4" w:space="0"/>
                  </w:tcBorders>
                  <w:noWrap w:val="0"/>
                  <w:vAlign w:val="center"/>
                </w:tcPr>
                <w:p w14:paraId="31DFC97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是否符合</w:t>
                  </w:r>
                </w:p>
              </w:tc>
            </w:tr>
            <w:tr w14:paraId="47AA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26B9702E">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pacing w:val="-6"/>
                      <w:sz w:val="18"/>
                      <w:szCs w:val="18"/>
                      <w:highlight w:val="none"/>
                    </w:rPr>
                  </w:pPr>
                  <w:r>
                    <w:rPr>
                      <w:rFonts w:hint="default" w:ascii="Times New Roman" w:hAnsi="Times New Roman" w:eastAsia="宋体" w:cs="Times New Roman"/>
                      <w:color w:val="auto"/>
                      <w:sz w:val="18"/>
                      <w:szCs w:val="18"/>
                      <w:highlight w:val="none"/>
                    </w:rPr>
                    <w:t>1</w:t>
                  </w:r>
                </w:p>
              </w:tc>
              <w:tc>
                <w:tcPr>
                  <w:tcW w:w="4810" w:type="pct"/>
                  <w:gridSpan w:val="5"/>
                  <w:tcBorders>
                    <w:top w:val="single" w:color="auto" w:sz="4" w:space="0"/>
                    <w:left w:val="single" w:color="auto" w:sz="4" w:space="0"/>
                    <w:bottom w:val="single" w:color="auto" w:sz="4" w:space="0"/>
                    <w:right w:val="single" w:color="auto" w:sz="4" w:space="0"/>
                  </w:tcBorders>
                  <w:noWrap w:val="0"/>
                  <w:vAlign w:val="center"/>
                </w:tcPr>
                <w:p w14:paraId="06405E9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全市生态环境准入综合管控要求</w:t>
                  </w:r>
                </w:p>
              </w:tc>
            </w:tr>
            <w:tr w14:paraId="02491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1F3E2D9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pacing w:val="-6"/>
                      <w:sz w:val="18"/>
                      <w:szCs w:val="18"/>
                      <w:highlight w:val="none"/>
                    </w:rPr>
                  </w:pPr>
                  <w:r>
                    <w:rPr>
                      <w:rFonts w:hint="default" w:ascii="Times New Roman" w:hAnsi="Times New Roman" w:eastAsia="宋体" w:cs="Times New Roman"/>
                      <w:color w:val="auto"/>
                      <w:sz w:val="18"/>
                      <w:szCs w:val="18"/>
                      <w:highlight w:val="none"/>
                    </w:rPr>
                    <w:t>1.1</w:t>
                  </w:r>
                </w:p>
              </w:tc>
              <w:tc>
                <w:tcPr>
                  <w:tcW w:w="456" w:type="pct"/>
                  <w:gridSpan w:val="2"/>
                  <w:tcBorders>
                    <w:top w:val="single" w:color="auto" w:sz="4" w:space="0"/>
                    <w:left w:val="single" w:color="auto" w:sz="4" w:space="0"/>
                    <w:bottom w:val="single" w:color="auto" w:sz="4" w:space="0"/>
                    <w:right w:val="single" w:color="auto" w:sz="4" w:space="0"/>
                  </w:tcBorders>
                  <w:noWrap w:val="0"/>
                  <w:vAlign w:val="center"/>
                </w:tcPr>
                <w:p w14:paraId="25522A22">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pacing w:val="-6"/>
                      <w:sz w:val="18"/>
                      <w:szCs w:val="18"/>
                      <w:highlight w:val="none"/>
                    </w:rPr>
                  </w:pPr>
                  <w:r>
                    <w:rPr>
                      <w:rFonts w:hint="default" w:ascii="Times New Roman" w:hAnsi="Times New Roman" w:eastAsia="宋体" w:cs="Times New Roman"/>
                      <w:color w:val="auto"/>
                      <w:sz w:val="18"/>
                      <w:szCs w:val="18"/>
                      <w:highlight w:val="none"/>
                    </w:rPr>
                    <w:t>全市域</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2A753D5E">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1、优化产业结构。落实国家、省、市产业政策，严格“两高”项目环评审批，落实区域削减要求，推进减污降碳协同控制。</w:t>
                  </w:r>
                </w:p>
                <w:p w14:paraId="0E6B0A7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pacing w:val="-6"/>
                      <w:sz w:val="18"/>
                      <w:szCs w:val="18"/>
                      <w:highlight w:val="none"/>
                    </w:rPr>
                  </w:pPr>
                  <w:r>
                    <w:rPr>
                      <w:rFonts w:hint="default" w:ascii="Times New Roman" w:hAnsi="Times New Roman" w:eastAsia="宋体" w:cs="Times New Roman"/>
                      <w:color w:val="auto"/>
                      <w:sz w:val="18"/>
                      <w:szCs w:val="18"/>
                      <w:highlight w:val="none"/>
                    </w:rPr>
                    <w:t>2、强化产业入园。优化园区布局，提升园区规划、环评实效性，提升园区资源利用效率和绿色低碳水平，加强新建项目入园，严格现有分散企业污染管控。</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1EB7305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rPr>
                    <w:t>项目不属于《产业结构调整指导目录</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val="en-US" w:eastAsia="zh-CN"/>
                    </w:rPr>
                    <w:t>2024年本</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》中</w:t>
                  </w:r>
                  <w:r>
                    <w:rPr>
                      <w:rFonts w:hint="default" w:ascii="Times New Roman" w:hAnsi="Times New Roman" w:eastAsia="宋体" w:cs="Times New Roman"/>
                      <w:color w:val="auto"/>
                      <w:sz w:val="18"/>
                      <w:szCs w:val="18"/>
                      <w:highlight w:val="none"/>
                      <w:lang w:eastAsia="zh-CN"/>
                    </w:rPr>
                    <w:t>的</w:t>
                  </w:r>
                  <w:r>
                    <w:rPr>
                      <w:rFonts w:hint="default" w:ascii="Times New Roman" w:hAnsi="Times New Roman" w:eastAsia="宋体" w:cs="Times New Roman"/>
                      <w:color w:val="auto"/>
                      <w:sz w:val="18"/>
                      <w:szCs w:val="18"/>
                      <w:highlight w:val="none"/>
                    </w:rPr>
                    <w:t>限制类和淘汰类项目</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不属于《市场准入负面清单(202</w:t>
                  </w:r>
                  <w:r>
                    <w:rPr>
                      <w:rFonts w:hint="default" w:ascii="Times New Roman" w:hAnsi="Times New Roman" w:cs="Times New Roman"/>
                      <w:color w:val="auto"/>
                      <w:sz w:val="18"/>
                      <w:szCs w:val="18"/>
                      <w:highlight w:val="none"/>
                      <w:lang w:val="en-US" w:eastAsia="zh-CN"/>
                    </w:rPr>
                    <w:t>5</w:t>
                  </w:r>
                  <w:r>
                    <w:rPr>
                      <w:rFonts w:hint="default" w:ascii="Times New Roman" w:hAnsi="Times New Roman" w:eastAsia="宋体" w:cs="Times New Roman"/>
                      <w:color w:val="auto"/>
                      <w:sz w:val="18"/>
                      <w:szCs w:val="18"/>
                      <w:highlight w:val="none"/>
                    </w:rPr>
                    <w:t>年版)》禁止准入类</w:t>
                  </w:r>
                  <w:r>
                    <w:rPr>
                      <w:rFonts w:hint="default" w:ascii="Times New Roman" w:hAnsi="Times New Roman" w:cs="Times New Roman"/>
                      <w:color w:val="auto"/>
                      <w:sz w:val="18"/>
                      <w:szCs w:val="18"/>
                      <w:highlight w:val="none"/>
                      <w:lang w:eastAsia="zh-CN"/>
                    </w:rPr>
                    <w:t>，不属于“两高”项目。项目位于</w:t>
                  </w:r>
                  <w:r>
                    <w:rPr>
                      <w:rFonts w:hint="default" w:ascii="Times New Roman" w:hAnsi="Times New Roman" w:cs="Times New Roman"/>
                      <w:color w:val="auto"/>
                      <w:kern w:val="2"/>
                      <w:sz w:val="18"/>
                      <w:szCs w:val="18"/>
                      <w:highlight w:val="none"/>
                      <w:lang w:eastAsia="zh-CN"/>
                    </w:rPr>
                    <w:t>河北石家庄矿区工业园区丰达片区，符合园区规划。</w:t>
                  </w:r>
                </w:p>
              </w:tc>
              <w:tc>
                <w:tcPr>
                  <w:tcW w:w="278" w:type="pct"/>
                  <w:tcBorders>
                    <w:top w:val="single" w:color="auto" w:sz="4" w:space="0"/>
                    <w:left w:val="single" w:color="auto" w:sz="4" w:space="0"/>
                    <w:bottom w:val="single" w:color="auto" w:sz="4" w:space="0"/>
                    <w:right w:val="single" w:color="auto" w:sz="4" w:space="0"/>
                  </w:tcBorders>
                  <w:noWrap w:val="0"/>
                  <w:vAlign w:val="center"/>
                </w:tcPr>
                <w:p w14:paraId="22824FD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1E26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vMerge w:val="restart"/>
                  <w:tcBorders>
                    <w:top w:val="single" w:color="auto" w:sz="4" w:space="0"/>
                    <w:left w:val="single" w:color="auto" w:sz="4" w:space="0"/>
                    <w:right w:val="single" w:color="auto" w:sz="4" w:space="0"/>
                  </w:tcBorders>
                  <w:noWrap w:val="0"/>
                  <w:vAlign w:val="center"/>
                </w:tcPr>
                <w:p w14:paraId="68238FD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rPr>
                    <w:t>1.</w:t>
                  </w:r>
                  <w:r>
                    <w:rPr>
                      <w:rFonts w:hint="default" w:ascii="Times New Roman" w:hAnsi="Times New Roman" w:eastAsia="宋体" w:cs="Times New Roman"/>
                      <w:color w:val="auto"/>
                      <w:sz w:val="18"/>
                      <w:szCs w:val="18"/>
                      <w:highlight w:val="none"/>
                      <w:lang w:val="en-US" w:eastAsia="zh-CN"/>
                    </w:rPr>
                    <w:t>2</w:t>
                  </w:r>
                </w:p>
              </w:tc>
              <w:tc>
                <w:tcPr>
                  <w:tcW w:w="456" w:type="pct"/>
                  <w:gridSpan w:val="2"/>
                  <w:tcBorders>
                    <w:top w:val="single" w:color="auto" w:sz="4" w:space="0"/>
                    <w:left w:val="single" w:color="auto" w:sz="4" w:space="0"/>
                    <w:bottom w:val="single" w:color="auto" w:sz="4" w:space="0"/>
                    <w:right w:val="single" w:color="auto" w:sz="4" w:space="0"/>
                  </w:tcBorders>
                  <w:noWrap w:val="0"/>
                  <w:vAlign w:val="center"/>
                </w:tcPr>
                <w:p w14:paraId="4E5F15A9">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石家庄市划定的</w:t>
                  </w:r>
                  <w:r>
                    <w:rPr>
                      <w:rFonts w:hint="default" w:ascii="Times New Roman" w:hAnsi="Times New Roman" w:cs="Times New Roman"/>
                      <w:color w:val="auto"/>
                      <w:sz w:val="18"/>
                      <w:szCs w:val="18"/>
                      <w:highlight w:val="none"/>
                      <w:lang w:eastAsia="zh-CN"/>
                    </w:rPr>
                    <w:t>高污染燃料</w:t>
                  </w:r>
                  <w:r>
                    <w:rPr>
                      <w:rFonts w:hint="default" w:ascii="Times New Roman" w:hAnsi="Times New Roman" w:eastAsia="宋体" w:cs="Times New Roman"/>
                      <w:color w:val="auto"/>
                      <w:sz w:val="18"/>
                      <w:szCs w:val="18"/>
                      <w:highlight w:val="none"/>
                    </w:rPr>
                    <w:t>禁燃区</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460AC051">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1、禁燃区内不得新建、扩建燃烧煤炭、重油、渣油等高污染燃料的设施</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现有燃烧高污染燃料的设施，应当限期改用清洁能源</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未改用清洁能源替代的高污染燃料设施，应当配套建设先进工艺的脱硫、脱硝、除尘装置或者采取其他措施，控制二氧化硫、氨氧化物和烟尘等排放</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仍未达到大气污染物排放标准的，应当停止使用。</w:t>
                  </w:r>
                </w:p>
                <w:p w14:paraId="0EB16AD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2、禁燃区内禁止销售、使用高污染燃料。</w:t>
                  </w:r>
                </w:p>
                <w:p w14:paraId="5FA74AE8">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3</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禁燃区内禁止原煤散烧。</w:t>
                  </w:r>
                </w:p>
                <w:p w14:paraId="40B8435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4、</w:t>
                  </w:r>
                  <w:r>
                    <w:rPr>
                      <w:rFonts w:hint="default" w:ascii="Times New Roman" w:hAnsi="Times New Roman" w:eastAsia="宋体" w:cs="Times New Roman"/>
                      <w:color w:val="auto"/>
                      <w:sz w:val="18"/>
                      <w:szCs w:val="18"/>
                      <w:highlight w:val="none"/>
                    </w:rPr>
                    <w:t>其他平原县和山区县执行县级政府确定的禁燃区范围和管理要求</w:t>
                  </w:r>
                  <w:r>
                    <w:rPr>
                      <w:rFonts w:hint="default" w:ascii="Times New Roman" w:hAnsi="Times New Roman" w:cs="Times New Roman"/>
                      <w:color w:val="auto"/>
                      <w:sz w:val="18"/>
                      <w:szCs w:val="18"/>
                      <w:highlight w:val="none"/>
                      <w:lang w:eastAsia="zh-CN"/>
                    </w:rPr>
                    <w:t>。</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272CA77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kern w:val="0"/>
                      <w:sz w:val="18"/>
                      <w:szCs w:val="18"/>
                      <w:highlight w:val="none"/>
                      <w:lang w:eastAsia="zh-CN"/>
                    </w:rPr>
                    <w:t>项目生产不用，办公采暖采用空调，不涉及燃料使用。</w:t>
                  </w:r>
                </w:p>
              </w:tc>
              <w:tc>
                <w:tcPr>
                  <w:tcW w:w="278" w:type="pct"/>
                  <w:tcBorders>
                    <w:top w:val="single" w:color="auto" w:sz="4" w:space="0"/>
                    <w:left w:val="single" w:color="auto" w:sz="4" w:space="0"/>
                    <w:right w:val="single" w:color="auto" w:sz="4" w:space="0"/>
                  </w:tcBorders>
                  <w:noWrap w:val="0"/>
                  <w:vAlign w:val="center"/>
                </w:tcPr>
                <w:p w14:paraId="3619886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656B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vMerge w:val="continue"/>
                  <w:tcBorders>
                    <w:left w:val="single" w:color="auto" w:sz="4" w:space="0"/>
                    <w:bottom w:val="single" w:color="auto" w:sz="4" w:space="0"/>
                    <w:right w:val="single" w:color="auto" w:sz="4" w:space="0"/>
                  </w:tcBorders>
                  <w:noWrap w:val="0"/>
                  <w:vAlign w:val="center"/>
                </w:tcPr>
                <w:p w14:paraId="3045A41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p>
              </w:tc>
              <w:tc>
                <w:tcPr>
                  <w:tcW w:w="456" w:type="pct"/>
                  <w:gridSpan w:val="2"/>
                  <w:tcBorders>
                    <w:top w:val="single" w:color="auto" w:sz="4" w:space="0"/>
                    <w:left w:val="single" w:color="auto" w:sz="4" w:space="0"/>
                    <w:bottom w:val="single" w:color="auto" w:sz="4" w:space="0"/>
                    <w:right w:val="single" w:color="auto" w:sz="4" w:space="0"/>
                  </w:tcBorders>
                  <w:noWrap w:val="0"/>
                  <w:vAlign w:val="center"/>
                </w:tcPr>
                <w:p w14:paraId="569B27C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地下水重点管控区</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22C13C40">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落实最严格水资源管理制度，强化用水监管，优化用水结构，推动城镇农村生活、工业、农业节水，发掘多源供水，缓解地下水超采压力，加强地下水开采重点管控区和生态用水补给区的管控。</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2B2F33AD">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w:t>
                  </w:r>
                  <w:r>
                    <w:rPr>
                      <w:rFonts w:hint="default" w:ascii="Times New Roman" w:hAnsi="Times New Roman" w:eastAsia="宋体" w:cs="Times New Roman"/>
                      <w:color w:val="auto"/>
                      <w:sz w:val="18"/>
                      <w:szCs w:val="18"/>
                      <w:highlight w:val="none"/>
                    </w:rPr>
                    <w:t>项目</w:t>
                  </w:r>
                  <w:r>
                    <w:rPr>
                      <w:rFonts w:hint="default" w:ascii="Times New Roman" w:hAnsi="Times New Roman" w:cs="Times New Roman"/>
                      <w:color w:val="auto"/>
                      <w:sz w:val="18"/>
                      <w:szCs w:val="18"/>
                      <w:highlight w:val="none"/>
                      <w:lang w:eastAsia="zh-CN"/>
                    </w:rPr>
                    <w:t>用水依托市政供水设施，</w:t>
                  </w:r>
                  <w:r>
                    <w:rPr>
                      <w:rFonts w:hint="default" w:ascii="Times New Roman" w:hAnsi="Times New Roman" w:eastAsia="宋体" w:cs="Times New Roman"/>
                      <w:color w:val="auto"/>
                      <w:sz w:val="18"/>
                      <w:szCs w:val="18"/>
                      <w:highlight w:val="none"/>
                      <w:lang w:eastAsia="zh-CN"/>
                    </w:rPr>
                    <w:t>不取用地下水</w:t>
                  </w:r>
                  <w:r>
                    <w:rPr>
                      <w:rFonts w:hint="default" w:ascii="Times New Roman" w:hAnsi="Times New Roman" w:cs="Times New Roman"/>
                      <w:color w:val="auto"/>
                      <w:sz w:val="18"/>
                      <w:szCs w:val="18"/>
                      <w:highlight w:val="none"/>
                      <w:lang w:eastAsia="zh-CN"/>
                    </w:rPr>
                    <w:t>。</w:t>
                  </w:r>
                </w:p>
              </w:tc>
              <w:tc>
                <w:tcPr>
                  <w:tcW w:w="278" w:type="pct"/>
                  <w:tcBorders>
                    <w:left w:val="single" w:color="auto" w:sz="4" w:space="0"/>
                    <w:bottom w:val="single" w:color="auto" w:sz="4" w:space="0"/>
                    <w:right w:val="single" w:color="auto" w:sz="4" w:space="0"/>
                  </w:tcBorders>
                  <w:noWrap w:val="0"/>
                  <w:vAlign w:val="center"/>
                </w:tcPr>
                <w:p w14:paraId="19CF8877">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13D0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418BF060">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w:t>
                  </w:r>
                </w:p>
              </w:tc>
              <w:tc>
                <w:tcPr>
                  <w:tcW w:w="4810" w:type="pct"/>
                  <w:gridSpan w:val="5"/>
                  <w:tcBorders>
                    <w:top w:val="single" w:color="auto" w:sz="4" w:space="0"/>
                    <w:left w:val="single" w:color="auto" w:sz="4" w:space="0"/>
                    <w:bottom w:val="single" w:color="auto" w:sz="4" w:space="0"/>
                    <w:right w:val="single" w:color="auto" w:sz="4" w:space="0"/>
                  </w:tcBorders>
                  <w:noWrap w:val="0"/>
                  <w:vAlign w:val="center"/>
                </w:tcPr>
                <w:p w14:paraId="7E17316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eastAsia="zh-CN"/>
                    </w:rPr>
                    <w:t>全市</w:t>
                  </w:r>
                  <w:r>
                    <w:rPr>
                      <w:rFonts w:hint="default" w:ascii="Times New Roman" w:hAnsi="Times New Roman" w:eastAsia="宋体" w:cs="Times New Roman"/>
                      <w:color w:val="auto"/>
                      <w:sz w:val="18"/>
                      <w:szCs w:val="18"/>
                      <w:highlight w:val="none"/>
                    </w:rPr>
                    <w:t>生态空间总体管控要求</w:t>
                  </w:r>
                </w:p>
              </w:tc>
            </w:tr>
            <w:tr w14:paraId="060C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vMerge w:val="restart"/>
                  <w:tcBorders>
                    <w:top w:val="nil"/>
                    <w:left w:val="single" w:color="auto" w:sz="4" w:space="0"/>
                    <w:bottom w:val="single" w:color="auto" w:sz="4" w:space="0"/>
                    <w:right w:val="single" w:color="auto" w:sz="4" w:space="0"/>
                  </w:tcBorders>
                  <w:noWrap w:val="0"/>
                  <w:vAlign w:val="center"/>
                </w:tcPr>
                <w:p w14:paraId="04C277E8">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2.1</w:t>
                  </w:r>
                </w:p>
              </w:tc>
              <w:tc>
                <w:tcPr>
                  <w:tcW w:w="176" w:type="pct"/>
                  <w:tcBorders>
                    <w:top w:val="nil"/>
                    <w:left w:val="single" w:color="auto" w:sz="4" w:space="0"/>
                    <w:bottom w:val="single" w:color="auto" w:sz="4" w:space="0"/>
                    <w:right w:val="single" w:color="auto" w:sz="4" w:space="0"/>
                  </w:tcBorders>
                  <w:noWrap w:val="0"/>
                  <w:vAlign w:val="center"/>
                </w:tcPr>
                <w:p w14:paraId="627914D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生态保护红线</w:t>
                  </w:r>
                </w:p>
              </w:tc>
              <w:tc>
                <w:tcPr>
                  <w:tcW w:w="280" w:type="pct"/>
                  <w:tcBorders>
                    <w:top w:val="single" w:color="auto" w:sz="4" w:space="0"/>
                    <w:left w:val="single" w:color="auto" w:sz="4" w:space="0"/>
                    <w:bottom w:val="single" w:color="auto" w:sz="4" w:space="0"/>
                    <w:right w:val="single" w:color="auto" w:sz="4" w:space="0"/>
                  </w:tcBorders>
                  <w:noWrap w:val="0"/>
                  <w:vAlign w:val="center"/>
                </w:tcPr>
                <w:p w14:paraId="5C1E957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禁止开发建设活动的要求</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3CC1608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1、生态保护红线原则上按禁止开发区域的要求进行管理。严禁不符合主体功能定位的各类开发活动，严禁任意改变用途。</w:t>
                  </w:r>
                </w:p>
                <w:p w14:paraId="0A04031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自然保护地核心保护区原则上禁止人为活动，其他区域严格禁止开发性、生产性建设活动，法律法规另有规定的，从其规定。生态保护红线内自然保护区、风景名胜区、饮用水水源保护区等区域，依照相关法律法规执行。</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7A0B38ED">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rPr>
                    <w:t>项目位于</w:t>
                  </w:r>
                  <w:r>
                    <w:rPr>
                      <w:rFonts w:hint="default" w:ascii="Times New Roman" w:hAnsi="Times New Roman" w:cs="Times New Roman"/>
                      <w:color w:val="auto"/>
                      <w:sz w:val="18"/>
                      <w:szCs w:val="18"/>
                      <w:highlight w:val="none"/>
                      <w:lang w:eastAsia="zh-CN"/>
                    </w:rPr>
                    <w:t>井陉矿区丰达产业园东区</w:t>
                  </w:r>
                  <w:r>
                    <w:rPr>
                      <w:rFonts w:hint="default" w:ascii="Times New Roman" w:hAnsi="Times New Roman" w:cs="Times New Roman"/>
                      <w:color w:val="auto"/>
                      <w:sz w:val="18"/>
                      <w:szCs w:val="18"/>
                      <w:highlight w:val="none"/>
                      <w:lang w:val="en-US" w:eastAsia="zh-CN"/>
                    </w:rPr>
                    <w:t>7号，属于石家庄市黄壁庄地表水饮用水水源准保护区，</w:t>
                  </w:r>
                  <w:r>
                    <w:rPr>
                      <w:rFonts w:hint="default" w:ascii="Times New Roman" w:hAnsi="Times New Roman" w:cs="Times New Roman"/>
                      <w:color w:val="auto"/>
                      <w:sz w:val="18"/>
                      <w:szCs w:val="18"/>
                      <w:highlight w:val="none"/>
                      <w:lang w:eastAsia="zh-CN"/>
                    </w:rPr>
                    <w:t>距离最近生态保护红线</w:t>
                  </w:r>
                  <w:r>
                    <w:rPr>
                      <w:rFonts w:hint="default" w:ascii="Times New Roman" w:hAnsi="Times New Roman" w:cs="Times New Roman"/>
                      <w:color w:val="auto"/>
                      <w:sz w:val="18"/>
                      <w:szCs w:val="18"/>
                      <w:highlight w:val="none"/>
                      <w:lang w:val="en-US" w:eastAsia="zh-CN"/>
                    </w:rPr>
                    <w:t>40m，</w:t>
                  </w:r>
                  <w:r>
                    <w:rPr>
                      <w:rFonts w:hint="default" w:ascii="Times New Roman" w:hAnsi="Times New Roman" w:cs="Times New Roman"/>
                      <w:color w:val="auto"/>
                      <w:sz w:val="18"/>
                      <w:szCs w:val="18"/>
                      <w:highlight w:val="none"/>
                    </w:rPr>
                    <w:t>不在生态保护红线之内，符合生态保护红线要求</w:t>
                  </w:r>
                  <w:r>
                    <w:rPr>
                      <w:rFonts w:hint="default" w:ascii="Times New Roman" w:hAnsi="Times New Roman" w:eastAsia="宋体" w:cs="Times New Roman"/>
                      <w:color w:val="auto"/>
                      <w:sz w:val="18"/>
                      <w:szCs w:val="18"/>
                      <w:highlight w:val="none"/>
                      <w:lang w:eastAsia="zh-CN"/>
                    </w:rPr>
                    <w:t>。</w:t>
                  </w:r>
                </w:p>
              </w:tc>
              <w:tc>
                <w:tcPr>
                  <w:tcW w:w="278" w:type="pct"/>
                  <w:tcBorders>
                    <w:top w:val="single" w:color="auto" w:sz="4" w:space="0"/>
                    <w:left w:val="single" w:color="auto" w:sz="4" w:space="0"/>
                    <w:bottom w:val="single" w:color="auto" w:sz="4" w:space="0"/>
                    <w:right w:val="single" w:color="auto" w:sz="4" w:space="0"/>
                  </w:tcBorders>
                  <w:noWrap w:val="0"/>
                  <w:vAlign w:val="center"/>
                </w:tcPr>
                <w:p w14:paraId="66326B19">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1F8E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vMerge w:val="continue"/>
                  <w:tcBorders>
                    <w:top w:val="nil"/>
                    <w:left w:val="single" w:color="auto" w:sz="4" w:space="0"/>
                    <w:bottom w:val="single" w:color="auto" w:sz="4" w:space="0"/>
                    <w:right w:val="single" w:color="auto" w:sz="4" w:space="0"/>
                  </w:tcBorders>
                  <w:noWrap w:val="0"/>
                  <w:vAlign w:val="center"/>
                </w:tcPr>
                <w:p w14:paraId="0977B8D2">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rPr>
                  </w:pPr>
                </w:p>
              </w:tc>
              <w:tc>
                <w:tcPr>
                  <w:tcW w:w="176" w:type="pct"/>
                  <w:vMerge w:val="restart"/>
                  <w:tcBorders>
                    <w:top w:val="nil"/>
                    <w:left w:val="single" w:color="auto" w:sz="4" w:space="0"/>
                    <w:right w:val="single" w:color="auto" w:sz="4" w:space="0"/>
                  </w:tcBorders>
                  <w:noWrap w:val="0"/>
                  <w:vAlign w:val="center"/>
                </w:tcPr>
                <w:p w14:paraId="67C47BE6">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pacing w:val="-6"/>
                      <w:sz w:val="18"/>
                      <w:szCs w:val="18"/>
                      <w:highlight w:val="none"/>
                    </w:rPr>
                  </w:pPr>
                  <w:r>
                    <w:rPr>
                      <w:rFonts w:hint="default" w:ascii="Times New Roman" w:hAnsi="Times New Roman" w:eastAsia="宋体" w:cs="Times New Roman"/>
                      <w:color w:val="auto"/>
                      <w:sz w:val="18"/>
                      <w:szCs w:val="18"/>
                      <w:highlight w:val="none"/>
                    </w:rPr>
                    <w:t>一般生态空间</w:t>
                  </w:r>
                </w:p>
              </w:tc>
              <w:tc>
                <w:tcPr>
                  <w:tcW w:w="280" w:type="pct"/>
                  <w:tcBorders>
                    <w:top w:val="single" w:color="auto" w:sz="4" w:space="0"/>
                    <w:left w:val="single" w:color="auto" w:sz="4" w:space="0"/>
                    <w:bottom w:val="single" w:color="auto" w:sz="4" w:space="0"/>
                    <w:right w:val="single" w:color="auto" w:sz="4" w:space="0"/>
                  </w:tcBorders>
                  <w:noWrap w:val="0"/>
                  <w:vAlign w:val="center"/>
                </w:tcPr>
                <w:p w14:paraId="059A78A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pacing w:val="-6"/>
                      <w:kern w:val="2"/>
                      <w:sz w:val="18"/>
                      <w:szCs w:val="18"/>
                      <w:highlight w:val="none"/>
                      <w:lang w:val="en-US" w:eastAsia="zh-CN" w:bidi="ar-SA"/>
                    </w:rPr>
                  </w:pPr>
                  <w:r>
                    <w:rPr>
                      <w:rFonts w:hint="default" w:ascii="Times New Roman" w:hAnsi="Times New Roman" w:cs="Times New Roman"/>
                      <w:color w:val="auto"/>
                      <w:spacing w:val="-6"/>
                      <w:kern w:val="2"/>
                      <w:sz w:val="18"/>
                      <w:szCs w:val="18"/>
                      <w:highlight w:val="none"/>
                      <w:lang w:val="en-US" w:eastAsia="zh-CN" w:bidi="ar-SA"/>
                    </w:rPr>
                    <w:t>总体要求</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3994852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pacing w:val="0"/>
                      <w:kern w:val="2"/>
                      <w:sz w:val="18"/>
                      <w:szCs w:val="18"/>
                      <w:highlight w:val="none"/>
                      <w:lang w:val="en-US" w:eastAsia="zh-CN" w:bidi="ar-SA"/>
                    </w:rPr>
                  </w:pPr>
                  <w:r>
                    <w:rPr>
                      <w:rFonts w:hint="default" w:ascii="Times New Roman" w:hAnsi="Times New Roman" w:eastAsia="宋体" w:cs="Times New Roman"/>
                      <w:color w:val="auto"/>
                      <w:spacing w:val="0"/>
                      <w:kern w:val="2"/>
                      <w:sz w:val="18"/>
                      <w:szCs w:val="18"/>
                      <w:highlight w:val="none"/>
                      <w:lang w:val="en-US" w:eastAsia="zh-CN" w:bidi="ar-SA"/>
                    </w:rPr>
                    <w:t>①严格矿产资源开发与管控，矿产开发管控依照《河北省加强矿产资源开发管控十条措施》、《河北省人民代表大会常务委员会关于加强矿产开发管控保护生态环境的决定》等相关文件要求执行。</w:t>
                  </w:r>
                </w:p>
                <w:p w14:paraId="2F967827">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pacing w:val="0"/>
                      <w:kern w:val="2"/>
                      <w:sz w:val="18"/>
                      <w:szCs w:val="18"/>
                      <w:highlight w:val="none"/>
                      <w:lang w:val="en-US" w:eastAsia="zh-CN" w:bidi="ar-SA"/>
                    </w:rPr>
                  </w:pPr>
                  <w:r>
                    <w:rPr>
                      <w:rFonts w:hint="default" w:ascii="Times New Roman" w:hAnsi="Times New Roman" w:eastAsia="宋体" w:cs="Times New Roman"/>
                      <w:color w:val="auto"/>
                      <w:spacing w:val="0"/>
                      <w:kern w:val="2"/>
                      <w:sz w:val="18"/>
                      <w:szCs w:val="18"/>
                      <w:highlight w:val="none"/>
                      <w:lang w:val="en-US" w:eastAsia="zh-CN" w:bidi="ar-SA"/>
                    </w:rPr>
                    <w:t>②涉及饮用水水源地保护区的</w:t>
                  </w:r>
                  <w:r>
                    <w:rPr>
                      <w:rFonts w:hint="default" w:ascii="Times New Roman" w:hAnsi="Times New Roman" w:cs="Times New Roman"/>
                      <w:color w:val="auto"/>
                      <w:spacing w:val="0"/>
                      <w:kern w:val="2"/>
                      <w:sz w:val="18"/>
                      <w:szCs w:val="18"/>
                      <w:highlight w:val="none"/>
                      <w:lang w:val="en-US" w:eastAsia="zh-CN" w:bidi="ar-SA"/>
                    </w:rPr>
                    <w:t>，</w:t>
                  </w:r>
                  <w:r>
                    <w:rPr>
                      <w:rFonts w:hint="default" w:ascii="Times New Roman" w:hAnsi="Times New Roman" w:eastAsia="宋体" w:cs="Times New Roman"/>
                      <w:color w:val="auto"/>
                      <w:spacing w:val="0"/>
                      <w:kern w:val="2"/>
                      <w:sz w:val="18"/>
                      <w:szCs w:val="18"/>
                      <w:highlight w:val="none"/>
                      <w:lang w:val="en-US" w:eastAsia="zh-CN" w:bidi="ar-SA"/>
                    </w:rPr>
                    <w:t>水环境总体管控要求中饮用水水源地保护区相关要求进行管控。</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412E4034">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pacing w:val="0"/>
                      <w:sz w:val="18"/>
                      <w:szCs w:val="18"/>
                      <w:highlight w:val="none"/>
                      <w:lang w:val="en-US" w:eastAsia="zh-CN"/>
                    </w:rPr>
                  </w:pPr>
                  <w:r>
                    <w:rPr>
                      <w:rFonts w:hint="default" w:ascii="Times New Roman" w:hAnsi="Times New Roman" w:eastAsia="宋体" w:cs="Times New Roman"/>
                      <w:color w:val="auto"/>
                      <w:spacing w:val="0"/>
                      <w:sz w:val="18"/>
                      <w:szCs w:val="18"/>
                      <w:highlight w:val="none"/>
                      <w:lang w:val="en-US" w:eastAsia="zh-CN"/>
                    </w:rPr>
                    <w:t>本项目不涉及矿产资源开发，</w:t>
                  </w:r>
                  <w:r>
                    <w:rPr>
                      <w:rFonts w:hint="default" w:ascii="Times New Roman" w:hAnsi="Times New Roman" w:cs="Times New Roman"/>
                      <w:color w:val="auto"/>
                      <w:spacing w:val="0"/>
                      <w:sz w:val="18"/>
                      <w:szCs w:val="18"/>
                      <w:highlight w:val="none"/>
                      <w:lang w:val="en-US" w:eastAsia="zh-CN"/>
                    </w:rPr>
                    <w:t>位于石家庄黄壁庄地表水</w:t>
                  </w:r>
                  <w:r>
                    <w:rPr>
                      <w:rFonts w:hint="default" w:ascii="Times New Roman" w:hAnsi="Times New Roman" w:eastAsia="宋体" w:cs="Times New Roman"/>
                      <w:color w:val="auto"/>
                      <w:spacing w:val="0"/>
                      <w:sz w:val="18"/>
                      <w:szCs w:val="18"/>
                      <w:highlight w:val="none"/>
                      <w:lang w:val="en-US" w:eastAsia="zh-CN"/>
                    </w:rPr>
                    <w:t>饮用水水源</w:t>
                  </w:r>
                  <w:r>
                    <w:rPr>
                      <w:rFonts w:hint="default" w:ascii="Times New Roman" w:hAnsi="Times New Roman" w:cs="Times New Roman"/>
                      <w:color w:val="auto"/>
                      <w:spacing w:val="0"/>
                      <w:sz w:val="18"/>
                      <w:szCs w:val="18"/>
                      <w:highlight w:val="none"/>
                      <w:lang w:val="en-US" w:eastAsia="zh-CN"/>
                    </w:rPr>
                    <w:t>准</w:t>
                  </w:r>
                  <w:r>
                    <w:rPr>
                      <w:rFonts w:hint="default" w:ascii="Times New Roman" w:hAnsi="Times New Roman" w:eastAsia="宋体" w:cs="Times New Roman"/>
                      <w:color w:val="auto"/>
                      <w:spacing w:val="0"/>
                      <w:sz w:val="18"/>
                      <w:szCs w:val="18"/>
                      <w:highlight w:val="none"/>
                      <w:lang w:val="en-US" w:eastAsia="zh-CN"/>
                    </w:rPr>
                    <w:t>保护区</w:t>
                  </w:r>
                  <w:r>
                    <w:rPr>
                      <w:rFonts w:hint="default" w:ascii="Times New Roman" w:hAnsi="Times New Roman" w:cs="Times New Roman"/>
                      <w:color w:val="auto"/>
                      <w:spacing w:val="0"/>
                      <w:sz w:val="18"/>
                      <w:szCs w:val="18"/>
                      <w:highlight w:val="none"/>
                      <w:lang w:val="en-US" w:eastAsia="zh-CN"/>
                    </w:rPr>
                    <w:t>，不涉及废水排放，满足相关管控要求</w:t>
                  </w:r>
                  <w:r>
                    <w:rPr>
                      <w:rFonts w:hint="default" w:ascii="Times New Roman" w:hAnsi="Times New Roman" w:eastAsia="宋体" w:cs="Times New Roman"/>
                      <w:color w:val="auto"/>
                      <w:spacing w:val="0"/>
                      <w:sz w:val="18"/>
                      <w:szCs w:val="18"/>
                      <w:highlight w:val="none"/>
                      <w:lang w:val="en-US" w:eastAsia="zh-CN"/>
                    </w:rPr>
                    <w:t>。</w:t>
                  </w:r>
                </w:p>
              </w:tc>
              <w:tc>
                <w:tcPr>
                  <w:tcW w:w="278" w:type="pct"/>
                  <w:tcBorders>
                    <w:top w:val="single" w:color="auto" w:sz="4" w:space="0"/>
                    <w:left w:val="single" w:color="auto" w:sz="4" w:space="0"/>
                    <w:bottom w:val="single" w:color="auto" w:sz="4" w:space="0"/>
                    <w:right w:val="single" w:color="auto" w:sz="4" w:space="0"/>
                  </w:tcBorders>
                  <w:noWrap w:val="0"/>
                  <w:vAlign w:val="center"/>
                </w:tcPr>
                <w:p w14:paraId="666BB364">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6FFD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vMerge w:val="continue"/>
                  <w:tcBorders>
                    <w:left w:val="single" w:color="auto" w:sz="4" w:space="0"/>
                    <w:bottom w:val="single" w:color="auto" w:sz="4" w:space="0"/>
                    <w:right w:val="single" w:color="auto" w:sz="4" w:space="0"/>
                  </w:tcBorders>
                  <w:noWrap w:val="0"/>
                  <w:vAlign w:val="center"/>
                </w:tcPr>
                <w:p w14:paraId="3B55F20C">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rPr>
                  </w:pPr>
                </w:p>
              </w:tc>
              <w:tc>
                <w:tcPr>
                  <w:tcW w:w="176" w:type="pct"/>
                  <w:vMerge w:val="continue"/>
                  <w:tcBorders>
                    <w:left w:val="single" w:color="auto" w:sz="4" w:space="0"/>
                    <w:bottom w:val="single" w:color="auto" w:sz="4" w:space="0"/>
                    <w:right w:val="single" w:color="auto" w:sz="4" w:space="0"/>
                  </w:tcBorders>
                  <w:noWrap w:val="0"/>
                  <w:vAlign w:val="center"/>
                </w:tcPr>
                <w:p w14:paraId="00B61FF6">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p>
              </w:tc>
              <w:tc>
                <w:tcPr>
                  <w:tcW w:w="28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C139F96">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pacing w:val="-6"/>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水源涵养</w:t>
                  </w:r>
                </w:p>
              </w:tc>
              <w:tc>
                <w:tcPr>
                  <w:tcW w:w="280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59C62E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1、加强自然资源开发监管，严格控制和合理规划开山采石，控制矿产资源开发对生态的影响和破坏。</w:t>
                  </w:r>
                </w:p>
                <w:p w14:paraId="2DDE91B8">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pacing w:val="-6"/>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2、坚持自然恢复为主，严格限制在水源涵养区大规模人工造林。</w:t>
                  </w:r>
                </w:p>
              </w:tc>
              <w:tc>
                <w:tcPr>
                  <w:tcW w:w="127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B1AEEDE">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本项目不涉及矿产资源开发及水源涵养区。</w:t>
                  </w:r>
                </w:p>
              </w:tc>
              <w:tc>
                <w:tcPr>
                  <w:tcW w:w="278" w:type="pct"/>
                  <w:tcBorders>
                    <w:left w:val="single" w:color="auto" w:sz="4" w:space="0"/>
                    <w:bottom w:val="single" w:color="auto" w:sz="4" w:space="0"/>
                    <w:right w:val="single" w:color="auto" w:sz="4" w:space="0"/>
                  </w:tcBorders>
                  <w:noWrap w:val="0"/>
                  <w:vAlign w:val="center"/>
                </w:tcPr>
                <w:p w14:paraId="640A64D5">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4B00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left w:val="single" w:color="auto" w:sz="4" w:space="0"/>
                    <w:bottom w:val="single" w:color="auto" w:sz="4" w:space="0"/>
                    <w:right w:val="single" w:color="auto" w:sz="4" w:space="0"/>
                  </w:tcBorders>
                  <w:shd w:val="clear" w:color="auto" w:fill="auto"/>
                  <w:noWrap w:val="0"/>
                  <w:vAlign w:val="center"/>
                </w:tcPr>
                <w:p w14:paraId="1E3C9A7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3</w:t>
                  </w:r>
                </w:p>
              </w:tc>
              <w:tc>
                <w:tcPr>
                  <w:tcW w:w="4810" w:type="pct"/>
                  <w:gridSpan w:val="5"/>
                  <w:tcBorders>
                    <w:left w:val="single" w:color="auto" w:sz="4" w:space="0"/>
                    <w:bottom w:val="single" w:color="auto" w:sz="4" w:space="0"/>
                    <w:right w:val="single" w:color="auto" w:sz="4" w:space="0"/>
                  </w:tcBorders>
                  <w:shd w:val="clear" w:color="auto" w:fill="auto"/>
                  <w:noWrap w:val="0"/>
                  <w:vAlign w:val="center"/>
                </w:tcPr>
                <w:p w14:paraId="59B82E93">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eastAsia="zh-CN"/>
                    </w:rPr>
                    <w:t>全市</w:t>
                  </w:r>
                  <w:r>
                    <w:rPr>
                      <w:rFonts w:hint="default" w:ascii="Times New Roman" w:hAnsi="Times New Roman" w:eastAsia="宋体" w:cs="Times New Roman"/>
                      <w:color w:val="auto"/>
                      <w:sz w:val="18"/>
                      <w:szCs w:val="18"/>
                      <w:highlight w:val="none"/>
                    </w:rPr>
                    <w:t>水环境总体管控要求</w:t>
                  </w:r>
                </w:p>
              </w:tc>
            </w:tr>
            <w:tr w14:paraId="0583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vMerge w:val="restart"/>
                  <w:tcBorders>
                    <w:left w:val="single" w:color="auto" w:sz="4" w:space="0"/>
                    <w:right w:val="single" w:color="auto" w:sz="4" w:space="0"/>
                  </w:tcBorders>
                  <w:noWrap w:val="0"/>
                  <w:vAlign w:val="center"/>
                </w:tcPr>
                <w:p w14:paraId="194CFA44">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3.1</w:t>
                  </w:r>
                </w:p>
              </w:tc>
              <w:tc>
                <w:tcPr>
                  <w:tcW w:w="176" w:type="pct"/>
                  <w:vMerge w:val="restart"/>
                  <w:tcBorders>
                    <w:left w:val="single" w:color="auto" w:sz="4" w:space="0"/>
                    <w:right w:val="single" w:color="auto" w:sz="4" w:space="0"/>
                  </w:tcBorders>
                  <w:shd w:val="clear" w:color="auto" w:fill="auto"/>
                  <w:noWrap w:val="0"/>
                  <w:vAlign w:val="center"/>
                </w:tcPr>
                <w:p w14:paraId="42601428">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eastAsia="en-US"/>
                    </w:rPr>
                  </w:pPr>
                  <w:r>
                    <w:rPr>
                      <w:rFonts w:hint="default" w:ascii="Times New Roman" w:hAnsi="Times New Roman" w:eastAsia="宋体" w:cs="Times New Roman"/>
                      <w:color w:val="auto"/>
                      <w:sz w:val="18"/>
                      <w:szCs w:val="18"/>
                      <w:highlight w:val="none"/>
                      <w:lang w:val="en-US" w:eastAsia="zh-CN"/>
                    </w:rPr>
                    <w:t>水环境工业污染重点管控区</w:t>
                  </w:r>
                </w:p>
              </w:tc>
              <w:tc>
                <w:tcPr>
                  <w:tcW w:w="28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4D495F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污染物排 </w:t>
                  </w:r>
                </w:p>
                <w:p w14:paraId="7BD93D3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放管控</w:t>
                  </w:r>
                </w:p>
              </w:tc>
              <w:tc>
                <w:tcPr>
                  <w:tcW w:w="280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B2BED36">
                  <w:pPr>
                    <w:keepNext w:val="0"/>
                    <w:keepLines w:val="0"/>
                    <w:pageBreakBefore w:val="0"/>
                    <w:numPr>
                      <w:ilvl w:val="0"/>
                      <w:numId w:val="4"/>
                    </w:numPr>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严格控制高污染、高耗水行业新增产能。产能过剩产业实行新增产能等量替代、涉水主要污染物排放同行业倍量替代。对造纸、焦化、氮肥、石油化工、印染、农副食品加工、原料药制造、制革、农药、电镀等重点行业，新建、改建、扩建项目实行新增主要污染物排放倍量替代。</w:t>
                  </w:r>
                </w:p>
                <w:p w14:paraId="025C151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eastAsia="宋体" w:cs="Times New Roman"/>
                      <w:color w:val="auto"/>
                      <w:sz w:val="18"/>
                      <w:szCs w:val="18"/>
                      <w:highlight w:val="none"/>
                      <w:lang w:val="en-US" w:eastAsia="zh-CN"/>
                    </w:rPr>
                    <w:t>、排放工业废水的企业应当采取有效措施，收集和处理产生的全部废水，防止污染环境。含有毒有害水污染物的工业废水应当分类收集和处理，不得稀释排放。</w:t>
                  </w:r>
                </w:p>
                <w:p w14:paraId="4F481C5B">
                  <w:pPr>
                    <w:keepNext w:val="0"/>
                    <w:keepLines w:val="0"/>
                    <w:pageBreakBefore w:val="0"/>
                    <w:widowControl w:val="0"/>
                    <w:suppressLineNumbers w:val="0"/>
                    <w:kinsoku/>
                    <w:wordWrap/>
                    <w:overflowPunct/>
                    <w:topLinePunct w:val="0"/>
                    <w:autoSpaceDE/>
                    <w:autoSpaceDN/>
                    <w:bidi w:val="0"/>
                    <w:spacing w:before="0" w:beforeAutospacing="0" w:after="0" w:afterAutospacing="0" w:line="260" w:lineRule="exact"/>
                    <w:ind w:left="0" w:leftChars="0" w:right="0" w:firstLine="0" w:firstLineChars="0"/>
                    <w:jc w:val="both"/>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3、企业、学校、科研院所、医疗机构、检验检疫机构等单位的实验室、检验室、化验室等产生的酸液、做液及其他有毒有害废液，应当按照国家和省有关规定进行处理后达标排放或者单独收集、安全处置。</w:t>
                  </w:r>
                </w:p>
              </w:tc>
              <w:tc>
                <w:tcPr>
                  <w:tcW w:w="127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57548D4">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b w:val="0"/>
                      <w:bCs w:val="0"/>
                      <w:color w:val="auto"/>
                      <w:kern w:val="0"/>
                      <w:sz w:val="18"/>
                      <w:szCs w:val="18"/>
                      <w:highlight w:val="none"/>
                      <w:lang w:val="en-US" w:eastAsia="zh-CN"/>
                    </w:rPr>
                  </w:pPr>
                  <w:r>
                    <w:rPr>
                      <w:rFonts w:hint="default" w:ascii="Times New Roman" w:hAnsi="Times New Roman" w:eastAsia="宋体" w:cs="Times New Roman"/>
                      <w:b w:val="0"/>
                      <w:bCs w:val="0"/>
                      <w:color w:val="auto"/>
                      <w:kern w:val="0"/>
                      <w:sz w:val="18"/>
                      <w:szCs w:val="18"/>
                      <w:highlight w:val="none"/>
                      <w:lang w:val="en-US" w:eastAsia="zh-CN"/>
                    </w:rPr>
                    <w:t>1、本项目不属于高污染、高耗水行业，不属于造纸、焦化、氮肥、石油化工、印染、农副食品加工、原料药制造、制革、农药、电镀等重点行业。</w:t>
                  </w:r>
                </w:p>
                <w:p w14:paraId="6255AA4A">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2、本项目废水不外排。</w:t>
                  </w:r>
                </w:p>
                <w:p w14:paraId="66EFB90A">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60" w:lineRule="exact"/>
                    <w:ind w:right="0"/>
                    <w:jc w:val="both"/>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3、不涉及。</w:t>
                  </w:r>
                </w:p>
              </w:tc>
              <w:tc>
                <w:tcPr>
                  <w:tcW w:w="278" w:type="pct"/>
                  <w:tcBorders>
                    <w:left w:val="single" w:color="auto" w:sz="4" w:space="0"/>
                    <w:right w:val="single" w:color="auto" w:sz="4" w:space="0"/>
                  </w:tcBorders>
                  <w:noWrap w:val="0"/>
                  <w:vAlign w:val="center"/>
                </w:tcPr>
                <w:p w14:paraId="3F7BF30D">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2943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vMerge w:val="continue"/>
                  <w:tcBorders>
                    <w:left w:val="single" w:color="auto" w:sz="4" w:space="0"/>
                    <w:right w:val="single" w:color="auto" w:sz="4" w:space="0"/>
                  </w:tcBorders>
                  <w:noWrap w:val="0"/>
                  <w:vAlign w:val="center"/>
                </w:tcPr>
                <w:p w14:paraId="44BEAFE6">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rPr>
                  </w:pPr>
                </w:p>
              </w:tc>
              <w:tc>
                <w:tcPr>
                  <w:tcW w:w="176" w:type="pct"/>
                  <w:vMerge w:val="continue"/>
                  <w:tcBorders>
                    <w:left w:val="single" w:color="auto" w:sz="4" w:space="0"/>
                    <w:right w:val="single" w:color="auto" w:sz="4" w:space="0"/>
                  </w:tcBorders>
                  <w:shd w:val="clear" w:color="auto" w:fill="auto"/>
                  <w:noWrap w:val="0"/>
                  <w:vAlign w:val="center"/>
                </w:tcPr>
                <w:p w14:paraId="7CD04C9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p>
              </w:tc>
              <w:tc>
                <w:tcPr>
                  <w:tcW w:w="28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56951D8">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环境风险防控</w:t>
                  </w:r>
                </w:p>
              </w:tc>
              <w:tc>
                <w:tcPr>
                  <w:tcW w:w="280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5747E5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1、化学品生产、存储、运输、销售企业以及工业园区(工业集聚区)、矿山开采区、尾矿库、危险废物处置场、垃圾填埋场等运营、管理单位，应当采取防渗等措施，防止地下水污染。</w:t>
                  </w:r>
                </w:p>
                <w:p w14:paraId="0451804E">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2、加油站、储油库等的地下油罐应当使用双层罐或者采取建造防渗池等其他有效措施，并进行防渗漏监测防止污染地下水。</w:t>
                  </w:r>
                </w:p>
                <w:p w14:paraId="1912FF6D">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3、工业固体废弃物集中贮存、处置的设施、场所和生活垃圾填埋场应当采取防扬散、防流失、防渗漏或者其他符合水污染防治要求的措施，防止污染水环境。</w:t>
                  </w:r>
                </w:p>
                <w:p w14:paraId="51E9837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4、可能发生水污染事故的企业事业单位，应当按照有关规定制定有关水污染事故的应急方案，做好应急准备定期进行预防演练。</w:t>
                  </w:r>
                </w:p>
              </w:tc>
              <w:tc>
                <w:tcPr>
                  <w:tcW w:w="127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7323970">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cs="Times New Roman"/>
                      <w:b w:val="0"/>
                      <w:bCs w:val="0"/>
                      <w:color w:val="auto"/>
                      <w:kern w:val="0"/>
                      <w:sz w:val="18"/>
                      <w:szCs w:val="18"/>
                      <w:highlight w:val="none"/>
                      <w:lang w:val="en-US" w:eastAsia="zh-CN"/>
                    </w:rPr>
                  </w:pPr>
                  <w:r>
                    <w:rPr>
                      <w:rFonts w:hint="default" w:ascii="Times New Roman" w:hAnsi="Times New Roman" w:cs="Times New Roman"/>
                      <w:b w:val="0"/>
                      <w:bCs w:val="0"/>
                      <w:color w:val="auto"/>
                      <w:kern w:val="0"/>
                      <w:sz w:val="18"/>
                      <w:szCs w:val="18"/>
                      <w:highlight w:val="none"/>
                      <w:lang w:val="en-US" w:eastAsia="zh-CN"/>
                    </w:rPr>
                    <w:t>1、不涉及；</w:t>
                  </w:r>
                </w:p>
                <w:p w14:paraId="0E2CAC94">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cs="Times New Roman"/>
                      <w:b w:val="0"/>
                      <w:bCs w:val="0"/>
                      <w:color w:val="auto"/>
                      <w:kern w:val="0"/>
                      <w:sz w:val="18"/>
                      <w:szCs w:val="18"/>
                      <w:highlight w:val="none"/>
                      <w:lang w:val="en-US" w:eastAsia="zh-CN"/>
                    </w:rPr>
                  </w:pPr>
                  <w:r>
                    <w:rPr>
                      <w:rFonts w:hint="default" w:ascii="Times New Roman" w:hAnsi="Times New Roman" w:cs="Times New Roman"/>
                      <w:b w:val="0"/>
                      <w:bCs w:val="0"/>
                      <w:color w:val="auto"/>
                      <w:kern w:val="0"/>
                      <w:sz w:val="18"/>
                      <w:szCs w:val="18"/>
                      <w:highlight w:val="none"/>
                      <w:lang w:val="en-US" w:eastAsia="zh-CN"/>
                    </w:rPr>
                    <w:t>2、不涉及；</w:t>
                  </w:r>
                </w:p>
                <w:p w14:paraId="295A3CA8">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cs="Times New Roman"/>
                      <w:b w:val="0"/>
                      <w:bCs w:val="0"/>
                      <w:color w:val="auto"/>
                      <w:kern w:val="0"/>
                      <w:sz w:val="18"/>
                      <w:szCs w:val="18"/>
                      <w:highlight w:val="none"/>
                      <w:lang w:val="en-US" w:eastAsia="zh-CN"/>
                    </w:rPr>
                  </w:pPr>
                  <w:r>
                    <w:rPr>
                      <w:rFonts w:hint="default" w:ascii="Times New Roman" w:hAnsi="Times New Roman" w:cs="Times New Roman"/>
                      <w:b w:val="0"/>
                      <w:bCs w:val="0"/>
                      <w:color w:val="auto"/>
                      <w:kern w:val="0"/>
                      <w:sz w:val="18"/>
                      <w:szCs w:val="18"/>
                      <w:highlight w:val="none"/>
                      <w:lang w:val="en-US" w:eastAsia="zh-CN"/>
                    </w:rPr>
                    <w:t>3、不涉及；</w:t>
                  </w:r>
                </w:p>
                <w:p w14:paraId="65462A38">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4、</w:t>
                  </w:r>
                  <w:r>
                    <w:rPr>
                      <w:rFonts w:hint="default" w:ascii="Times New Roman" w:hAnsi="Times New Roman" w:cs="Times New Roman"/>
                      <w:color w:val="auto"/>
                      <w:sz w:val="18"/>
                      <w:szCs w:val="18"/>
                      <w:highlight w:val="none"/>
                      <w:lang w:val="en-US" w:eastAsia="zh-CN"/>
                    </w:rPr>
                    <w:t>本项目废水全部回用于生产，不外排，设废水收集池，事故状态下废水不外排。</w:t>
                  </w:r>
                  <w:r>
                    <w:rPr>
                      <w:rFonts w:hint="default" w:ascii="Times New Roman" w:hAnsi="Times New Roman" w:eastAsia="宋体" w:cs="Times New Roman"/>
                      <w:color w:val="auto"/>
                      <w:sz w:val="18"/>
                      <w:szCs w:val="18"/>
                      <w:highlight w:val="none"/>
                      <w:lang w:val="en-US" w:eastAsia="zh-CN"/>
                    </w:rPr>
                    <w:t>。</w:t>
                  </w:r>
                </w:p>
              </w:tc>
              <w:tc>
                <w:tcPr>
                  <w:tcW w:w="278" w:type="pct"/>
                  <w:tcBorders>
                    <w:left w:val="single" w:color="auto" w:sz="4" w:space="0"/>
                    <w:right w:val="single" w:color="auto" w:sz="4" w:space="0"/>
                  </w:tcBorders>
                  <w:noWrap w:val="0"/>
                  <w:vAlign w:val="center"/>
                </w:tcPr>
                <w:p w14:paraId="1CD19A52">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4ACF1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56C9D5E5">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4</w:t>
                  </w:r>
                </w:p>
              </w:tc>
              <w:tc>
                <w:tcPr>
                  <w:tcW w:w="4810" w:type="pct"/>
                  <w:gridSpan w:val="5"/>
                  <w:tcBorders>
                    <w:top w:val="single" w:color="auto" w:sz="4" w:space="0"/>
                    <w:left w:val="single" w:color="auto" w:sz="4" w:space="0"/>
                    <w:bottom w:val="single" w:color="auto" w:sz="4" w:space="0"/>
                    <w:right w:val="single" w:color="auto" w:sz="4" w:space="0"/>
                  </w:tcBorders>
                  <w:noWrap w:val="0"/>
                  <w:vAlign w:val="center"/>
                </w:tcPr>
                <w:p w14:paraId="43A5DE4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大气环境总体</w:t>
                  </w:r>
                  <w:r>
                    <w:rPr>
                      <w:rFonts w:hint="default" w:ascii="Times New Roman" w:hAnsi="Times New Roman" w:cs="Times New Roman"/>
                      <w:color w:val="auto"/>
                      <w:sz w:val="18"/>
                      <w:szCs w:val="18"/>
                      <w:highlight w:val="none"/>
                      <w:lang w:eastAsia="zh-CN"/>
                    </w:rPr>
                    <w:t>准入要求</w:t>
                  </w:r>
                </w:p>
              </w:tc>
            </w:tr>
            <w:tr w14:paraId="2530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096CB03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4</w:t>
                  </w:r>
                  <w:r>
                    <w:rPr>
                      <w:rFonts w:hint="default" w:ascii="Times New Roman" w:hAnsi="Times New Roman" w:eastAsia="宋体" w:cs="Times New Roman"/>
                      <w:color w:val="auto"/>
                      <w:sz w:val="18"/>
                      <w:szCs w:val="18"/>
                      <w:highlight w:val="none"/>
                    </w:rPr>
                    <w:t>.1</w:t>
                  </w:r>
                </w:p>
              </w:tc>
              <w:tc>
                <w:tcPr>
                  <w:tcW w:w="456" w:type="pct"/>
                  <w:gridSpan w:val="2"/>
                  <w:tcBorders>
                    <w:top w:val="single" w:color="auto" w:sz="4" w:space="0"/>
                    <w:left w:val="single" w:color="auto" w:sz="4" w:space="0"/>
                    <w:bottom w:val="single" w:color="auto" w:sz="4" w:space="0"/>
                    <w:right w:val="single" w:color="auto" w:sz="4" w:space="0"/>
                  </w:tcBorders>
                  <w:noWrap w:val="0"/>
                  <w:vAlign w:val="center"/>
                </w:tcPr>
                <w:p w14:paraId="7A73646D">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空间布局约束</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526AAA81">
                  <w:pPr>
                    <w:numPr>
                      <w:ilvl w:val="0"/>
                      <w:numId w:val="0"/>
                    </w:numPr>
                    <w:spacing w:line="240" w:lineRule="atLeast"/>
                    <w:jc w:val="left"/>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eastAsia="宋体" w:cs="Times New Roman"/>
                      <w:color w:val="auto"/>
                      <w:sz w:val="18"/>
                      <w:szCs w:val="18"/>
                      <w:highlight w:val="none"/>
                      <w:lang w:val="en-US" w:eastAsia="zh-CN"/>
                    </w:rPr>
                    <w:t>加大钢铁、焦化等行业结构调整力度，推进化工、石化企业治理改造，优先发展战略</w:t>
                  </w:r>
                  <w:r>
                    <w:rPr>
                      <w:rFonts w:hint="default" w:ascii="Times New Roman" w:hAnsi="Times New Roman" w:cs="Times New Roman"/>
                      <w:color w:val="auto"/>
                      <w:sz w:val="18"/>
                      <w:szCs w:val="18"/>
                      <w:highlight w:val="none"/>
                      <w:lang w:val="en-US" w:eastAsia="zh-CN"/>
                    </w:rPr>
                    <w:t>性</w:t>
                  </w:r>
                  <w:r>
                    <w:rPr>
                      <w:rFonts w:hint="default" w:ascii="Times New Roman" w:hAnsi="Times New Roman" w:eastAsia="宋体" w:cs="Times New Roman"/>
                      <w:color w:val="auto"/>
                      <w:sz w:val="18"/>
                      <w:szCs w:val="18"/>
                      <w:highlight w:val="none"/>
                      <w:lang w:val="en-US" w:eastAsia="zh-CN"/>
                    </w:rPr>
                    <w:t>新兴产业和先进制造业，坚决遏制高耗能高排放低水平项目盲目发展。2、引导重点行业向环境容量充足、扩散条件较好区域布局。3、大气环境受体敏感重点管控区、大气环境布局敏感重点管控区、大气环境弱扩散重点管控区严格控制高耗能、高排放项目建设。严禁新增钢铁、焦化、水泥、平板玻璃、电解铝等产能。4、大气环境受体敏感重点管控区中重点涉气行业企业，除必须依托城市或直接服务于城市的企业外，均应规划退城搬迁。</w:t>
                  </w:r>
                </w:p>
                <w:p w14:paraId="08CF3471">
                  <w:pPr>
                    <w:numPr>
                      <w:ilvl w:val="0"/>
                      <w:numId w:val="0"/>
                    </w:numPr>
                    <w:spacing w:line="240" w:lineRule="atLeast"/>
                    <w:jc w:val="left"/>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5、大气环境弱扩散重点管控区内严格控制新建、扩建燃煤火电、钢铁，以及除国家、省、市规划外的石化等高污染高排放项目。</w:t>
                  </w:r>
                </w:p>
                <w:p w14:paraId="7C1E226C">
                  <w:pPr>
                    <w:numPr>
                      <w:ilvl w:val="0"/>
                      <w:numId w:val="0"/>
                    </w:numPr>
                    <w:spacing w:line="240" w:lineRule="atLeast"/>
                    <w:ind w:left="0" w:leftChars="0" w:firstLineChars="0"/>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6、对热效率低下、敞开未封闭，装备简易落后、自动化程度低，布局分散、规模小、无组织排放突出，以及无治理设施或治理设施工艺落后的工业炉窑，依法责令停业关闭。</w:t>
                  </w:r>
                </w:p>
                <w:p w14:paraId="3E589E9D">
                  <w:pPr>
                    <w:numPr>
                      <w:ilvl w:val="0"/>
                      <w:numId w:val="0"/>
                    </w:numPr>
                    <w:spacing w:line="240" w:lineRule="atLeast"/>
                    <w:ind w:left="0" w:leftChars="0" w:firstLineChars="0"/>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7、全市禁止新建 35蒸吨/小时及以下燃煤锅炉，35蒸吨/小时以上燃煤锅炉要达到超低排放标准。城市主城区和县城禁止新建 35蒸吨/小时及以下生物质和燃油(醇基燃料)锅炉，35蒸吨/小时以上的燃油和生物质锅炉要达到超低排放标准。</w:t>
                  </w:r>
                </w:p>
                <w:p w14:paraId="333F0C62">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leftChars="0" w:right="0" w:firstLineChars="0"/>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禁燃区内不得新建、扩建燃烧煤炭、重油、渣油等高污染燃料的设施；现有未改用清洁能源替代的高污染燃料设施，应当配套建设先进工艺的脱硫、脱硝、除尘装置或者采取其他措施，控制二氧化硫、氮氧化物和烟尘等排放:仍未达到大气污染物排放标准的，应当停止使用。禁燃区内禁止原煤散烧。禁止销售、使用高污染燃料。</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71644879">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1、不属于</w:t>
                  </w:r>
                  <w:r>
                    <w:rPr>
                      <w:rFonts w:hint="default" w:ascii="Times New Roman" w:hAnsi="Times New Roman" w:eastAsia="宋体" w:cs="Times New Roman"/>
                      <w:color w:val="auto"/>
                      <w:sz w:val="18"/>
                      <w:szCs w:val="18"/>
                      <w:highlight w:val="none"/>
                      <w:lang w:val="en-US" w:eastAsia="zh-CN"/>
                    </w:rPr>
                    <w:t>。</w:t>
                  </w:r>
                </w:p>
                <w:p w14:paraId="5F6029F0">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w:t>
                  </w:r>
                  <w:r>
                    <w:rPr>
                      <w:rFonts w:hint="default" w:ascii="Times New Roman" w:hAnsi="Times New Roman" w:cs="Times New Roman"/>
                      <w:color w:val="auto"/>
                      <w:sz w:val="18"/>
                      <w:szCs w:val="18"/>
                      <w:highlight w:val="none"/>
                      <w:lang w:val="en-US" w:eastAsia="zh-CN"/>
                    </w:rPr>
                    <w:t>不属于</w:t>
                  </w:r>
                  <w:r>
                    <w:rPr>
                      <w:rFonts w:hint="default" w:ascii="Times New Roman" w:hAnsi="Times New Roman" w:eastAsia="宋体" w:cs="Times New Roman"/>
                      <w:color w:val="auto"/>
                      <w:sz w:val="18"/>
                      <w:szCs w:val="18"/>
                      <w:highlight w:val="none"/>
                      <w:lang w:val="en-US" w:eastAsia="zh-CN"/>
                    </w:rPr>
                    <w:t>。</w:t>
                  </w:r>
                </w:p>
                <w:p w14:paraId="4712AA11">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3、本项目不属于高耗能、高排放项目，不属于钢铁、焦化、水泥、平板玻璃、电解铝等项目。</w:t>
                  </w:r>
                </w:p>
                <w:p w14:paraId="30CCC86A">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4、本项目</w:t>
                  </w:r>
                  <w:r>
                    <w:rPr>
                      <w:rFonts w:hint="default" w:ascii="Times New Roman" w:hAnsi="Times New Roman" w:cs="Times New Roman"/>
                      <w:color w:val="auto"/>
                      <w:sz w:val="18"/>
                      <w:szCs w:val="18"/>
                      <w:highlight w:val="none"/>
                      <w:lang w:val="en-US" w:eastAsia="zh-CN"/>
                    </w:rPr>
                    <w:t>不属于重点涉气行业</w:t>
                  </w:r>
                  <w:r>
                    <w:rPr>
                      <w:rFonts w:hint="default" w:ascii="Times New Roman" w:hAnsi="Times New Roman" w:eastAsia="宋体" w:cs="Times New Roman"/>
                      <w:color w:val="auto"/>
                      <w:sz w:val="18"/>
                      <w:szCs w:val="18"/>
                      <w:highlight w:val="none"/>
                      <w:lang w:val="en-US" w:eastAsia="zh-CN"/>
                    </w:rPr>
                    <w:t>。</w:t>
                  </w:r>
                </w:p>
                <w:p w14:paraId="76FDD1A8">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5、</w:t>
                  </w:r>
                  <w:r>
                    <w:rPr>
                      <w:rFonts w:hint="default" w:ascii="Times New Roman" w:hAnsi="Times New Roman" w:cs="Times New Roman"/>
                      <w:color w:val="auto"/>
                      <w:sz w:val="18"/>
                      <w:szCs w:val="18"/>
                      <w:highlight w:val="none"/>
                      <w:lang w:val="en-US" w:eastAsia="zh-CN"/>
                    </w:rPr>
                    <w:t>不涉及</w:t>
                  </w:r>
                  <w:r>
                    <w:rPr>
                      <w:rFonts w:hint="default" w:ascii="Times New Roman" w:hAnsi="Times New Roman" w:eastAsia="宋体" w:cs="Times New Roman"/>
                      <w:color w:val="auto"/>
                      <w:sz w:val="18"/>
                      <w:szCs w:val="18"/>
                      <w:highlight w:val="none"/>
                      <w:lang w:val="en-US" w:eastAsia="zh-CN"/>
                    </w:rPr>
                    <w:t>。</w:t>
                  </w:r>
                </w:p>
                <w:p w14:paraId="32DB2005">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6、不涉及</w:t>
                  </w:r>
                </w:p>
                <w:p w14:paraId="36169CC7">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w:t>
                  </w:r>
                  <w:r>
                    <w:rPr>
                      <w:rFonts w:hint="default" w:ascii="Times New Roman" w:hAnsi="Times New Roman" w:eastAsia="宋体" w:cs="Times New Roman"/>
                      <w:color w:val="auto"/>
                      <w:sz w:val="18"/>
                      <w:szCs w:val="18"/>
                      <w:highlight w:val="none"/>
                      <w:lang w:val="en-US" w:eastAsia="zh-CN"/>
                    </w:rPr>
                    <w:t>本项目</w:t>
                  </w:r>
                  <w:r>
                    <w:rPr>
                      <w:rFonts w:hint="default" w:ascii="Times New Roman" w:hAnsi="Times New Roman" w:cs="Times New Roman"/>
                      <w:color w:val="auto"/>
                      <w:sz w:val="18"/>
                      <w:szCs w:val="18"/>
                      <w:highlight w:val="none"/>
                      <w:lang w:val="en-US" w:eastAsia="zh-CN"/>
                    </w:rPr>
                    <w:t>生产不用热，办公采暖采用空调，不涉及锅炉</w:t>
                  </w:r>
                  <w:r>
                    <w:rPr>
                      <w:rFonts w:hint="default" w:ascii="Times New Roman" w:hAnsi="Times New Roman" w:eastAsia="宋体" w:cs="Times New Roman"/>
                      <w:color w:val="auto"/>
                      <w:sz w:val="18"/>
                      <w:szCs w:val="18"/>
                      <w:highlight w:val="none"/>
                      <w:lang w:val="en-US" w:eastAsia="zh-CN"/>
                    </w:rPr>
                    <w:t>。</w:t>
                  </w:r>
                </w:p>
                <w:p w14:paraId="0AB3FEAE">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8、不涉及。</w:t>
                  </w:r>
                </w:p>
                <w:p w14:paraId="65E3D1F5">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eastAsia="宋体" w:cs="Times New Roman"/>
                      <w:color w:val="auto"/>
                      <w:sz w:val="18"/>
                      <w:szCs w:val="18"/>
                      <w:highlight w:val="none"/>
                      <w:lang w:val="en-US" w:eastAsia="zh-CN"/>
                    </w:rPr>
                  </w:pPr>
                </w:p>
              </w:tc>
              <w:tc>
                <w:tcPr>
                  <w:tcW w:w="278" w:type="pct"/>
                  <w:tcBorders>
                    <w:top w:val="single" w:color="auto" w:sz="4" w:space="0"/>
                    <w:left w:val="single" w:color="auto" w:sz="4" w:space="0"/>
                    <w:bottom w:val="single" w:color="auto" w:sz="4" w:space="0"/>
                    <w:right w:val="single" w:color="auto" w:sz="4" w:space="0"/>
                  </w:tcBorders>
                  <w:noWrap w:val="0"/>
                  <w:vAlign w:val="center"/>
                </w:tcPr>
                <w:p w14:paraId="62FB139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5D14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right w:val="single" w:color="auto" w:sz="4" w:space="0"/>
                  </w:tcBorders>
                  <w:noWrap w:val="0"/>
                  <w:vAlign w:val="center"/>
                </w:tcPr>
                <w:p w14:paraId="2321DB61">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4</w:t>
                  </w:r>
                  <w:r>
                    <w:rPr>
                      <w:rFonts w:hint="default" w:ascii="Times New Roman" w:hAnsi="Times New Roman" w:eastAsia="宋体" w:cs="Times New Roman"/>
                      <w:color w:val="auto"/>
                      <w:kern w:val="2"/>
                      <w:sz w:val="18"/>
                      <w:szCs w:val="18"/>
                      <w:highlight w:val="none"/>
                      <w:lang w:val="en-US" w:eastAsia="zh-CN" w:bidi="ar-SA"/>
                    </w:rPr>
                    <w:t>.2</w:t>
                  </w:r>
                </w:p>
              </w:tc>
              <w:tc>
                <w:tcPr>
                  <w:tcW w:w="456" w:type="pct"/>
                  <w:gridSpan w:val="2"/>
                  <w:tcBorders>
                    <w:top w:val="single" w:color="auto" w:sz="4" w:space="0"/>
                    <w:left w:val="single" w:color="auto" w:sz="4" w:space="0"/>
                    <w:bottom w:val="single" w:color="auto" w:sz="4" w:space="0"/>
                    <w:right w:val="single" w:color="auto" w:sz="4" w:space="0"/>
                  </w:tcBorders>
                  <w:noWrap w:val="0"/>
                  <w:vAlign w:val="center"/>
                </w:tcPr>
                <w:p w14:paraId="77AF5D9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eastAsia="zh-CN"/>
                    </w:rPr>
                    <w:t>污染物排放管控</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1776A98B">
                  <w:pPr>
                    <w:numPr>
                      <w:ilvl w:val="-1"/>
                      <w:numId w:val="0"/>
                    </w:numPr>
                    <w:spacing w:line="240" w:lineRule="atLeast"/>
                    <w:jc w:val="both"/>
                    <w:textAlignment w:val="baseline"/>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1、</w:t>
                  </w:r>
                  <w:r>
                    <w:rPr>
                      <w:rFonts w:hint="default" w:ascii="Times New Roman" w:hAnsi="Times New Roman" w:eastAsia="宋体" w:cs="Times New Roman"/>
                      <w:color w:val="auto"/>
                      <w:kern w:val="0"/>
                      <w:sz w:val="18"/>
                      <w:szCs w:val="18"/>
                      <w:highlight w:val="none"/>
                      <w:lang w:val="en-US" w:eastAsia="zh-CN"/>
                    </w:rPr>
                    <w:t>严格区域削减要求。严格执行《生态环境部办公厅关于加强重点行业建设项目区域削减措施监督管理的通知》(环办环评</w:t>
                  </w:r>
                  <w:r>
                    <w:rPr>
                      <w:rFonts w:hint="default" w:ascii="Times New Roman" w:hAnsi="Times New Roman" w:cs="Times New Roman"/>
                      <w:color w:val="auto"/>
                      <w:kern w:val="0"/>
                      <w:sz w:val="18"/>
                      <w:szCs w:val="18"/>
                      <w:highlight w:val="none"/>
                      <w:lang w:val="en-US" w:eastAsia="zh-CN"/>
                    </w:rPr>
                    <w:t>[</w:t>
                  </w:r>
                  <w:r>
                    <w:rPr>
                      <w:rFonts w:hint="default" w:ascii="Times New Roman" w:hAnsi="Times New Roman" w:eastAsia="宋体" w:cs="Times New Roman"/>
                      <w:color w:val="auto"/>
                      <w:kern w:val="0"/>
                      <w:sz w:val="18"/>
                      <w:szCs w:val="18"/>
                      <w:highlight w:val="none"/>
                      <w:lang w:val="en-US" w:eastAsia="zh-CN"/>
                    </w:rPr>
                    <w:t>2020</w:t>
                  </w:r>
                  <w:r>
                    <w:rPr>
                      <w:rFonts w:hint="default" w:ascii="Times New Roman" w:hAnsi="Times New Roman" w:cs="Times New Roman"/>
                      <w:color w:val="auto"/>
                      <w:kern w:val="0"/>
                      <w:sz w:val="18"/>
                      <w:szCs w:val="18"/>
                      <w:highlight w:val="none"/>
                      <w:lang w:val="en-US" w:eastAsia="zh-CN"/>
                    </w:rPr>
                    <w:t>]</w:t>
                  </w:r>
                  <w:r>
                    <w:rPr>
                      <w:rFonts w:hint="default" w:ascii="Times New Roman" w:hAnsi="Times New Roman" w:eastAsia="宋体" w:cs="Times New Roman"/>
                      <w:color w:val="auto"/>
                      <w:kern w:val="0"/>
                      <w:sz w:val="18"/>
                      <w:szCs w:val="18"/>
                      <w:highlight w:val="none"/>
                      <w:lang w:val="en-US" w:eastAsia="zh-CN"/>
                    </w:rPr>
                    <w:t>36 号)相关要求。</w:t>
                  </w:r>
                </w:p>
                <w:p w14:paraId="6CE15F79">
                  <w:pPr>
                    <w:numPr>
                      <w:ilvl w:val="-1"/>
                      <w:numId w:val="0"/>
                    </w:numPr>
                    <w:spacing w:line="240" w:lineRule="atLeast"/>
                    <w:jc w:val="both"/>
                    <w:textAlignment w:val="baseline"/>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2、对保留的工业炉窑开展环保提标改造，配套建设高效脱硫脱硝除尘设施，确保稳定达标排放，按照《河北省工业炉窑综合治理实施方案》执行。</w:t>
                  </w:r>
                </w:p>
                <w:p w14:paraId="4D6588E5">
                  <w:pPr>
                    <w:numPr>
                      <w:ilvl w:val="-1"/>
                      <w:numId w:val="0"/>
                    </w:numPr>
                    <w:spacing w:line="240" w:lineRule="atLeast"/>
                    <w:jc w:val="both"/>
                    <w:textAlignment w:val="baseline"/>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3、</w:t>
                  </w:r>
                  <w:r>
                    <w:rPr>
                      <w:rFonts w:hint="default" w:ascii="Times New Roman" w:hAnsi="Times New Roman" w:eastAsia="宋体" w:cs="Times New Roman"/>
                      <w:color w:val="auto"/>
                      <w:kern w:val="0"/>
                      <w:sz w:val="18"/>
                      <w:szCs w:val="18"/>
                      <w:highlight w:val="none"/>
                      <w:lang w:val="en-US" w:eastAsia="zh-CN"/>
                    </w:rPr>
                    <w:t>按照《低挥发性有机化合物含量涂料产品技术要求》(GB/T 38597-2020)，开展低挥发性有机物含量涂料推广替代试点工作,加快推进党政机关单位定点印刷企业率先使用水性油墨、大豆油墨等低挥发性有机物含量油墨和胶粘剂。</w:t>
                  </w:r>
                </w:p>
                <w:p w14:paraId="400A31A7">
                  <w:pPr>
                    <w:numPr>
                      <w:ilvl w:val="-1"/>
                      <w:numId w:val="0"/>
                    </w:numPr>
                    <w:spacing w:line="240" w:lineRule="atLeast"/>
                    <w:jc w:val="both"/>
                    <w:textAlignment w:val="baseline"/>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4、加强无组织排放治理，开展钢铁、水泥、燃煤电厂、焦化平板玻璃、陶瓷等行业重点行业无组织排放检查工作，物料存储运输等全部采用密闭或封闭形式。</w:t>
                  </w:r>
                </w:p>
                <w:p w14:paraId="65524B90">
                  <w:pPr>
                    <w:numPr>
                      <w:ilvl w:val="-1"/>
                      <w:numId w:val="0"/>
                    </w:numPr>
                    <w:spacing w:line="240" w:lineRule="atLeast"/>
                    <w:jc w:val="both"/>
                    <w:textAlignment w:val="baseline"/>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5、加快推进铁路专用线建设，大宗货物及产品年货运量150万吨以上的企业原则上全部修建铁路专用线，达不到的采用清洁能源汽车或国六排放标准汽车代替。</w:t>
                  </w:r>
                </w:p>
                <w:p w14:paraId="65BDA889">
                  <w:pPr>
                    <w:numPr>
                      <w:ilvl w:val="-1"/>
                      <w:numId w:val="0"/>
                    </w:numPr>
                    <w:spacing w:line="240" w:lineRule="atLeast"/>
                    <w:jc w:val="both"/>
                    <w:textAlignment w:val="baseline"/>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6</w:t>
                  </w:r>
                  <w:r>
                    <w:rPr>
                      <w:rFonts w:hint="default" w:ascii="Times New Roman" w:hAnsi="Times New Roman" w:eastAsia="宋体" w:cs="Times New Roman"/>
                      <w:color w:val="auto"/>
                      <w:kern w:val="0"/>
                      <w:sz w:val="18"/>
                      <w:szCs w:val="18"/>
                      <w:highlight w:val="none"/>
                      <w:lang w:val="en-US" w:eastAsia="zh-CN"/>
                    </w:rPr>
                    <w:t>、深化建筑施工扬尘专项整治，严格执行《石家庄市建设工程围挡设置和扬尘管理标准》加强道路扬尘综合整治。全市工业企业料堆场全部实现规范管理</w:t>
                  </w:r>
                  <w:r>
                    <w:rPr>
                      <w:rFonts w:hint="default" w:ascii="Times New Roman" w:hAnsi="Times New Roman" w:cs="Times New Roman"/>
                      <w:color w:val="auto"/>
                      <w:kern w:val="0"/>
                      <w:sz w:val="18"/>
                      <w:szCs w:val="18"/>
                      <w:highlight w:val="none"/>
                      <w:lang w:val="en-US" w:eastAsia="zh-CN"/>
                    </w:rPr>
                    <w:t>；</w:t>
                  </w:r>
                  <w:r>
                    <w:rPr>
                      <w:rFonts w:hint="default" w:ascii="Times New Roman" w:hAnsi="Times New Roman" w:eastAsia="宋体" w:cs="Times New Roman"/>
                      <w:color w:val="auto"/>
                      <w:kern w:val="0"/>
                      <w:sz w:val="18"/>
                      <w:szCs w:val="18"/>
                      <w:highlight w:val="none"/>
                      <w:lang w:val="en-US" w:eastAsia="zh-CN"/>
                    </w:rPr>
                    <w:t>对环境敏感区的煤场、料场、渣场实现在线监控和视频监控全覆盖。</w:t>
                  </w:r>
                </w:p>
                <w:p w14:paraId="58D6159E">
                  <w:pPr>
                    <w:pStyle w:val="2"/>
                    <w:ind w:left="0" w:leftChars="0" w:firstLine="0" w:firstLineChars="0"/>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7、严禁秸秆、垃圾露天焚烧，实施农村地区的散煤替代及清洁开发利用工程。</w:t>
                  </w:r>
                </w:p>
                <w:p w14:paraId="11242B3E">
                  <w:pPr>
                    <w:pStyle w:val="2"/>
                    <w:ind w:left="0" w:leftChars="0" w:firstLine="0" w:firstLineChars="0"/>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8、巩固钢铁、焦化、煤电、水泥、平板玻璃、陶瓷等行业超低排放成效，实施工艺全流程深度治理全面加强无组织排放管控。</w:t>
                  </w:r>
                </w:p>
                <w:p w14:paraId="22617167">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9、对以煤、石油焦、重油等为燃料的工业炉窑，加快使用清洁低碳能源以及利用工厂余热、电厂热力等进行替代，全市禁止掺烧高硫石油焦(硫含量大于 3%)。玻璃行业全面禁止掺烧高硫石油焦。</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2824729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1、本项目</w:t>
                  </w:r>
                  <w:r>
                    <w:rPr>
                      <w:rFonts w:hint="default" w:ascii="Times New Roman" w:hAnsi="Times New Roman" w:cs="Times New Roman"/>
                      <w:color w:val="auto"/>
                      <w:kern w:val="0"/>
                      <w:sz w:val="18"/>
                      <w:szCs w:val="18"/>
                      <w:highlight w:val="none"/>
                      <w:lang w:val="en-US" w:eastAsia="zh-CN"/>
                    </w:rPr>
                    <w:t>不属于需要采取区域削减措施的重点行业</w:t>
                  </w:r>
                  <w:r>
                    <w:rPr>
                      <w:rFonts w:hint="default" w:ascii="Times New Roman" w:hAnsi="Times New Roman" w:eastAsia="宋体" w:cs="Times New Roman"/>
                      <w:color w:val="auto"/>
                      <w:kern w:val="0"/>
                      <w:sz w:val="18"/>
                      <w:szCs w:val="18"/>
                      <w:highlight w:val="none"/>
                    </w:rPr>
                    <w:t>。</w:t>
                  </w:r>
                </w:p>
                <w:p w14:paraId="1E9264C9">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2、不涉及。</w:t>
                  </w:r>
                </w:p>
                <w:p w14:paraId="6A9908C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3</w:t>
                  </w:r>
                  <w:r>
                    <w:rPr>
                      <w:rFonts w:hint="default" w:ascii="Times New Roman" w:hAnsi="Times New Roman" w:eastAsia="宋体" w:cs="Times New Roman"/>
                      <w:color w:val="auto"/>
                      <w:kern w:val="0"/>
                      <w:sz w:val="18"/>
                      <w:szCs w:val="18"/>
                      <w:highlight w:val="none"/>
                    </w:rPr>
                    <w:t>、</w:t>
                  </w:r>
                  <w:r>
                    <w:rPr>
                      <w:rFonts w:hint="default" w:ascii="Times New Roman" w:hAnsi="Times New Roman" w:cs="Times New Roman"/>
                      <w:color w:val="auto"/>
                      <w:kern w:val="0"/>
                      <w:sz w:val="18"/>
                      <w:szCs w:val="18"/>
                      <w:highlight w:val="none"/>
                      <w:lang w:eastAsia="zh-CN"/>
                    </w:rPr>
                    <w:t>本项目不涉及涂料及油墨使用</w:t>
                  </w:r>
                  <w:r>
                    <w:rPr>
                      <w:rFonts w:hint="default" w:ascii="Times New Roman" w:hAnsi="Times New Roman" w:eastAsia="宋体" w:cs="Times New Roman"/>
                      <w:color w:val="auto"/>
                      <w:kern w:val="0"/>
                      <w:sz w:val="18"/>
                      <w:szCs w:val="18"/>
                      <w:highlight w:val="none"/>
                    </w:rPr>
                    <w:t>。</w:t>
                  </w:r>
                </w:p>
                <w:p w14:paraId="03A0977B">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4、不涉及。</w:t>
                  </w:r>
                </w:p>
                <w:p w14:paraId="459414EA">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5、不涉及。</w:t>
                  </w:r>
                </w:p>
                <w:p w14:paraId="453F4919">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cs="Times New Roman"/>
                      <w:color w:val="auto"/>
                      <w:kern w:val="0"/>
                      <w:sz w:val="18"/>
                      <w:szCs w:val="18"/>
                      <w:highlight w:val="none"/>
                      <w:lang w:eastAsia="zh-CN"/>
                    </w:rPr>
                  </w:pPr>
                  <w:r>
                    <w:rPr>
                      <w:rFonts w:hint="default" w:ascii="Times New Roman" w:hAnsi="Times New Roman" w:cs="Times New Roman"/>
                      <w:color w:val="auto"/>
                      <w:kern w:val="0"/>
                      <w:sz w:val="18"/>
                      <w:szCs w:val="18"/>
                      <w:highlight w:val="none"/>
                      <w:lang w:val="en-US" w:eastAsia="zh-CN"/>
                    </w:rPr>
                    <w:t>6</w:t>
                  </w:r>
                  <w:r>
                    <w:rPr>
                      <w:rFonts w:hint="default" w:ascii="Times New Roman" w:hAnsi="Times New Roman" w:eastAsia="宋体" w:cs="Times New Roman"/>
                      <w:color w:val="auto"/>
                      <w:kern w:val="0"/>
                      <w:sz w:val="18"/>
                      <w:szCs w:val="18"/>
                      <w:highlight w:val="none"/>
                    </w:rPr>
                    <w:t>、本项目</w:t>
                  </w:r>
                  <w:r>
                    <w:rPr>
                      <w:rFonts w:hint="default" w:ascii="Times New Roman" w:hAnsi="Times New Roman" w:cs="Times New Roman"/>
                      <w:color w:val="auto"/>
                      <w:kern w:val="0"/>
                      <w:sz w:val="18"/>
                      <w:szCs w:val="18"/>
                      <w:highlight w:val="none"/>
                      <w:lang w:eastAsia="zh-CN"/>
                    </w:rPr>
                    <w:t>施工期严格执行相关标准要求，加强扬尘综合治理。</w:t>
                  </w:r>
                </w:p>
                <w:p w14:paraId="79411DB9">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7、不涉及。</w:t>
                  </w:r>
                </w:p>
                <w:p w14:paraId="6BE5D562">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8、不涉及。</w:t>
                  </w:r>
                </w:p>
                <w:p w14:paraId="548500FF">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9、不涉及。</w:t>
                  </w:r>
                </w:p>
                <w:p w14:paraId="6D00A8C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cs="Times New Roman"/>
                      <w:color w:val="auto"/>
                      <w:kern w:val="0"/>
                      <w:sz w:val="18"/>
                      <w:szCs w:val="18"/>
                      <w:highlight w:val="none"/>
                      <w:lang w:eastAsia="zh-CN"/>
                    </w:rPr>
                  </w:pPr>
                </w:p>
              </w:tc>
              <w:tc>
                <w:tcPr>
                  <w:tcW w:w="278" w:type="pct"/>
                  <w:tcBorders>
                    <w:top w:val="single" w:color="auto" w:sz="4" w:space="0"/>
                    <w:left w:val="single" w:color="auto" w:sz="4" w:space="0"/>
                    <w:right w:val="single" w:color="auto" w:sz="4" w:space="0"/>
                  </w:tcBorders>
                  <w:noWrap w:val="0"/>
                  <w:vAlign w:val="center"/>
                </w:tcPr>
                <w:p w14:paraId="4CB0A626">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符合</w:t>
                  </w:r>
                </w:p>
              </w:tc>
            </w:tr>
            <w:tr w14:paraId="1512E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left w:val="single" w:color="auto" w:sz="4" w:space="0"/>
                    <w:bottom w:val="single" w:color="auto" w:sz="4" w:space="0"/>
                    <w:right w:val="single" w:color="auto" w:sz="4" w:space="0"/>
                  </w:tcBorders>
                  <w:noWrap w:val="0"/>
                  <w:vAlign w:val="center"/>
                </w:tcPr>
                <w:p w14:paraId="1228542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4.3</w:t>
                  </w:r>
                </w:p>
              </w:tc>
              <w:tc>
                <w:tcPr>
                  <w:tcW w:w="456" w:type="pct"/>
                  <w:gridSpan w:val="2"/>
                  <w:tcBorders>
                    <w:top w:val="single" w:color="auto" w:sz="4" w:space="0"/>
                    <w:left w:val="single" w:color="auto" w:sz="4" w:space="0"/>
                    <w:bottom w:val="single" w:color="auto" w:sz="4" w:space="0"/>
                    <w:right w:val="single" w:color="auto" w:sz="4" w:space="0"/>
                  </w:tcBorders>
                  <w:noWrap w:val="0"/>
                  <w:vAlign w:val="center"/>
                </w:tcPr>
                <w:p w14:paraId="032C7C18">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bCs/>
                      <w:color w:val="auto"/>
                      <w:sz w:val="18"/>
                      <w:szCs w:val="18"/>
                      <w:highlight w:val="none"/>
                      <w:lang w:eastAsia="zh-CN"/>
                    </w:rPr>
                  </w:pPr>
                  <w:r>
                    <w:rPr>
                      <w:rFonts w:hint="default" w:ascii="Times New Roman" w:hAnsi="Times New Roman" w:cs="Times New Roman"/>
                      <w:bCs/>
                      <w:color w:val="auto"/>
                      <w:sz w:val="18"/>
                      <w:szCs w:val="18"/>
                      <w:highlight w:val="none"/>
                      <w:lang w:eastAsia="zh-CN"/>
                    </w:rPr>
                    <w:t>环境风险防控</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5FB71430">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强化源头准入，落实国家重点管控新污染物清单及其禁止、限制、限排措施。对使用有毒有害化学物质或在生产过程中排放新污染物的企业，依法实施强制性清洁生产审核。强化石油化工、涂料、纺织印染、橡胶、农药、医药等行业新污染物环境风险管控。</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6391CEF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本</w:t>
                  </w:r>
                  <w:r>
                    <w:rPr>
                      <w:rFonts w:hint="default" w:ascii="Times New Roman" w:hAnsi="Times New Roman" w:cs="Times New Roman"/>
                      <w:color w:val="auto"/>
                      <w:kern w:val="0"/>
                      <w:sz w:val="18"/>
                      <w:szCs w:val="18"/>
                      <w:highlight w:val="none"/>
                      <w:lang w:val="en-US" w:eastAsia="zh-CN"/>
                    </w:rPr>
                    <w:t>项目不涉及新污染物产生和排放。</w:t>
                  </w:r>
                </w:p>
              </w:tc>
              <w:tc>
                <w:tcPr>
                  <w:tcW w:w="278" w:type="pct"/>
                  <w:tcBorders>
                    <w:left w:val="single" w:color="auto" w:sz="4" w:space="0"/>
                    <w:bottom w:val="single" w:color="auto" w:sz="4" w:space="0"/>
                    <w:right w:val="single" w:color="auto" w:sz="4" w:space="0"/>
                  </w:tcBorders>
                  <w:noWrap w:val="0"/>
                  <w:vAlign w:val="center"/>
                </w:tcPr>
                <w:p w14:paraId="3B964580">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070B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294B6939">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val="en-US" w:eastAsia="zh-CN"/>
                    </w:rPr>
                    <w:t>5</w:t>
                  </w:r>
                </w:p>
              </w:tc>
              <w:tc>
                <w:tcPr>
                  <w:tcW w:w="4810" w:type="pct"/>
                  <w:gridSpan w:val="5"/>
                  <w:tcBorders>
                    <w:top w:val="single" w:color="auto" w:sz="4" w:space="0"/>
                    <w:left w:val="single" w:color="auto" w:sz="4" w:space="0"/>
                    <w:bottom w:val="single" w:color="auto" w:sz="4" w:space="0"/>
                    <w:right w:val="single" w:color="auto" w:sz="4" w:space="0"/>
                  </w:tcBorders>
                  <w:noWrap w:val="0"/>
                  <w:vAlign w:val="center"/>
                </w:tcPr>
                <w:p w14:paraId="4E47A5A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eastAsia="zh-CN"/>
                    </w:rPr>
                    <w:t>全市自然</w:t>
                  </w:r>
                  <w:r>
                    <w:rPr>
                      <w:rFonts w:hint="default" w:ascii="Times New Roman" w:hAnsi="Times New Roman" w:eastAsia="宋体" w:cs="Times New Roman"/>
                      <w:color w:val="auto"/>
                      <w:sz w:val="18"/>
                      <w:szCs w:val="18"/>
                      <w:highlight w:val="none"/>
                    </w:rPr>
                    <w:t>资源总体管控要求</w:t>
                  </w:r>
                </w:p>
              </w:tc>
            </w:tr>
            <w:tr w14:paraId="0D9F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3ED8E331">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5</w:t>
                  </w:r>
                  <w:r>
                    <w:rPr>
                      <w:rFonts w:hint="default" w:ascii="Times New Roman" w:hAnsi="Times New Roman" w:eastAsia="宋体" w:cs="Times New Roman"/>
                      <w:color w:val="auto"/>
                      <w:sz w:val="18"/>
                      <w:szCs w:val="18"/>
                      <w:highlight w:val="none"/>
                    </w:rPr>
                    <w:t>.1</w:t>
                  </w:r>
                </w:p>
              </w:tc>
              <w:tc>
                <w:tcPr>
                  <w:tcW w:w="176" w:type="pct"/>
                  <w:tcBorders>
                    <w:top w:val="single" w:color="auto" w:sz="4" w:space="0"/>
                    <w:left w:val="single" w:color="auto" w:sz="4" w:space="0"/>
                    <w:bottom w:val="single" w:color="auto" w:sz="4" w:space="0"/>
                    <w:right w:val="single" w:color="auto" w:sz="4" w:space="0"/>
                  </w:tcBorders>
                  <w:noWrap w:val="0"/>
                  <w:vAlign w:val="center"/>
                </w:tcPr>
                <w:p w14:paraId="73D8DFD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水资源</w:t>
                  </w:r>
                </w:p>
              </w:tc>
              <w:tc>
                <w:tcPr>
                  <w:tcW w:w="280" w:type="pct"/>
                  <w:tcBorders>
                    <w:top w:val="single" w:color="auto" w:sz="4" w:space="0"/>
                    <w:left w:val="single" w:color="auto" w:sz="4" w:space="0"/>
                    <w:bottom w:val="single" w:color="auto" w:sz="4" w:space="0"/>
                    <w:right w:val="single" w:color="auto" w:sz="4" w:space="0"/>
                  </w:tcBorders>
                  <w:noWrap w:val="0"/>
                  <w:vAlign w:val="center"/>
                </w:tcPr>
                <w:p w14:paraId="6D3386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rPr>
                      <w:rFonts w:hint="default" w:ascii="Times New Roman" w:hAnsi="Times New Roman" w:eastAsia="宋体" w:cs="Times New Roman"/>
                      <w:color w:val="auto"/>
                      <w:spacing w:val="-6"/>
                      <w:sz w:val="18"/>
                      <w:szCs w:val="18"/>
                      <w:highlight w:val="none"/>
                    </w:rPr>
                  </w:pPr>
                  <w:r>
                    <w:rPr>
                      <w:rFonts w:hint="default" w:ascii="Times New Roman" w:hAnsi="Times New Roman" w:eastAsia="宋体" w:cs="Times New Roman"/>
                      <w:color w:val="auto"/>
                      <w:sz w:val="18"/>
                      <w:szCs w:val="18"/>
                      <w:highlight w:val="none"/>
                    </w:rPr>
                    <w:t>一般管控区</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7D1EE9E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1、严格执行“最严格水资源管理制度”确定的用水总量控制指标，加强水资源取水论证，严格水资源总量考核管理，同时全面推进节水型社会建设，提高用水效率。</w:t>
                  </w:r>
                </w:p>
                <w:p w14:paraId="5BFCD18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left"/>
                    <w:rPr>
                      <w:rFonts w:hint="default" w:ascii="Times New Roman" w:hAnsi="Times New Roman" w:eastAsia="宋体" w:cs="Times New Roman"/>
                      <w:color w:val="auto"/>
                      <w:spacing w:val="-6"/>
                      <w:sz w:val="18"/>
                      <w:szCs w:val="18"/>
                      <w:highlight w:val="none"/>
                    </w:rPr>
                  </w:pPr>
                  <w:r>
                    <w:rPr>
                      <w:rFonts w:hint="default" w:ascii="Times New Roman" w:hAnsi="Times New Roman" w:eastAsia="宋体" w:cs="Times New Roman"/>
                      <w:color w:val="auto"/>
                      <w:sz w:val="18"/>
                      <w:szCs w:val="18"/>
                      <w:highlight w:val="none"/>
                    </w:rPr>
                    <w:t>2、地下水开采重点管控区外的地下水超采区按照《华北地区地下水超采综合治理行动方案》、《河北省人民政府关于公布地下水超采区和禁止开采区、限制开采区范围的通知》及《关于地下水超采综合治理实施意见》进行管控。</w:t>
                  </w:r>
                </w:p>
              </w:tc>
              <w:tc>
                <w:tcPr>
                  <w:tcW w:w="127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0AE49E5">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eastAsia="zh-CN"/>
                    </w:rPr>
                    <w:t>本</w:t>
                  </w:r>
                  <w:r>
                    <w:rPr>
                      <w:rFonts w:hint="default" w:ascii="Times New Roman" w:hAnsi="Times New Roman" w:eastAsia="宋体" w:cs="Times New Roman"/>
                      <w:color w:val="auto"/>
                      <w:sz w:val="18"/>
                      <w:szCs w:val="18"/>
                      <w:highlight w:val="none"/>
                    </w:rPr>
                    <w:t>项目</w:t>
                  </w:r>
                  <w:r>
                    <w:rPr>
                      <w:rFonts w:hint="default" w:ascii="Times New Roman" w:hAnsi="Times New Roman" w:cs="Times New Roman"/>
                      <w:color w:val="auto"/>
                      <w:sz w:val="18"/>
                      <w:szCs w:val="18"/>
                      <w:highlight w:val="none"/>
                      <w:lang w:eastAsia="zh-CN"/>
                    </w:rPr>
                    <w:t>用水依托市政供水设施，</w:t>
                  </w:r>
                  <w:r>
                    <w:rPr>
                      <w:rFonts w:hint="default" w:ascii="Times New Roman" w:hAnsi="Times New Roman" w:eastAsia="宋体" w:cs="Times New Roman"/>
                      <w:color w:val="auto"/>
                      <w:sz w:val="18"/>
                      <w:szCs w:val="18"/>
                      <w:highlight w:val="none"/>
                      <w:lang w:eastAsia="zh-CN"/>
                    </w:rPr>
                    <w:t>不取用地下水</w:t>
                  </w:r>
                  <w:r>
                    <w:rPr>
                      <w:rFonts w:hint="default" w:ascii="Times New Roman" w:hAnsi="Times New Roman" w:cs="Times New Roman"/>
                      <w:color w:val="auto"/>
                      <w:sz w:val="18"/>
                      <w:szCs w:val="18"/>
                      <w:highlight w:val="none"/>
                      <w:lang w:eastAsia="zh-CN"/>
                    </w:rPr>
                    <w:t>。</w:t>
                  </w:r>
                </w:p>
              </w:tc>
              <w:tc>
                <w:tcPr>
                  <w:tcW w:w="278" w:type="pct"/>
                  <w:tcBorders>
                    <w:top w:val="single" w:color="auto" w:sz="4" w:space="0"/>
                    <w:left w:val="single" w:color="auto" w:sz="4" w:space="0"/>
                    <w:bottom w:val="single" w:color="auto" w:sz="4" w:space="0"/>
                    <w:right w:val="single" w:color="auto" w:sz="4" w:space="0"/>
                  </w:tcBorders>
                  <w:noWrap w:val="0"/>
                  <w:vAlign w:val="center"/>
                </w:tcPr>
                <w:p w14:paraId="44043B0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2FFA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09183A5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5</w:t>
                  </w:r>
                  <w:r>
                    <w:rPr>
                      <w:rFonts w:hint="default" w:ascii="Times New Roman" w:hAnsi="Times New Roman" w:eastAsia="宋体" w:cs="Times New Roman"/>
                      <w:color w:val="auto"/>
                      <w:sz w:val="18"/>
                      <w:szCs w:val="18"/>
                      <w:highlight w:val="none"/>
                    </w:rPr>
                    <w:t>.2</w:t>
                  </w:r>
                </w:p>
              </w:tc>
              <w:tc>
                <w:tcPr>
                  <w:tcW w:w="176" w:type="pct"/>
                  <w:tcBorders>
                    <w:top w:val="single" w:color="auto" w:sz="4" w:space="0"/>
                    <w:left w:val="single" w:color="auto" w:sz="4" w:space="0"/>
                    <w:bottom w:val="single" w:color="auto" w:sz="4" w:space="0"/>
                    <w:right w:val="single" w:color="auto" w:sz="4" w:space="0"/>
                  </w:tcBorders>
                  <w:noWrap w:val="0"/>
                  <w:vAlign w:val="center"/>
                </w:tcPr>
                <w:p w14:paraId="0AB5B746">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能源</w:t>
                  </w:r>
                </w:p>
              </w:tc>
              <w:tc>
                <w:tcPr>
                  <w:tcW w:w="280" w:type="pct"/>
                  <w:tcBorders>
                    <w:top w:val="single" w:color="auto" w:sz="4" w:space="0"/>
                    <w:left w:val="single" w:color="auto" w:sz="4" w:space="0"/>
                    <w:bottom w:val="single" w:color="auto" w:sz="4" w:space="0"/>
                    <w:right w:val="single" w:color="auto" w:sz="4" w:space="0"/>
                  </w:tcBorders>
                  <w:noWrap w:val="0"/>
                  <w:vAlign w:val="center"/>
                </w:tcPr>
                <w:p w14:paraId="150FF1F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rPr>
                      <w:rFonts w:hint="default" w:ascii="Times New Roman" w:hAnsi="Times New Roman" w:eastAsia="宋体" w:cs="Times New Roman"/>
                      <w:color w:val="auto"/>
                      <w:spacing w:val="-6"/>
                      <w:sz w:val="18"/>
                      <w:szCs w:val="18"/>
                      <w:highlight w:val="none"/>
                      <w:lang w:eastAsia="zh-CN"/>
                    </w:rPr>
                  </w:pPr>
                  <w:r>
                    <w:rPr>
                      <w:rFonts w:hint="default" w:ascii="Times New Roman" w:hAnsi="Times New Roman" w:cs="Times New Roman"/>
                      <w:color w:val="auto"/>
                      <w:sz w:val="18"/>
                      <w:szCs w:val="18"/>
                      <w:highlight w:val="none"/>
                      <w:lang w:eastAsia="zh-CN"/>
                    </w:rPr>
                    <w:t>高污染燃料禁燃区</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18DE2EB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禁燃区内不得新建、改建、扩建燃烧煤炭、重油、渣油等高污染燃料的设施;现有燃烧高污染燃料的设施，应当限期改用清洁能源;未改用清洁能源替代的高污染燃料设施，应当配套建设先进工艺的脱硫、脱硝、除尘装置或者采取其他措施，控制二氧化硫、氮氧化物和烟尘等排放;仍未达到大气污染物排放标准的，应当停止使用。</w:t>
                  </w:r>
                </w:p>
                <w:p w14:paraId="2F8EF66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2、禁燃区内禁止销售、使用高污染燃料。</w:t>
                  </w:r>
                </w:p>
                <w:p w14:paraId="0866782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3、禁燃区内禁止原煤散烧。</w:t>
                  </w:r>
                </w:p>
                <w:p w14:paraId="2ED499C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left"/>
                    <w:rPr>
                      <w:rFonts w:hint="default" w:ascii="Times New Roman" w:hAnsi="Times New Roman" w:eastAsia="宋体" w:cs="Times New Roman"/>
                      <w:color w:val="auto"/>
                      <w:spacing w:val="-6"/>
                      <w:sz w:val="18"/>
                      <w:szCs w:val="18"/>
                      <w:highlight w:val="none"/>
                    </w:rPr>
                  </w:pPr>
                  <w:r>
                    <w:rPr>
                      <w:rFonts w:hint="default" w:ascii="Times New Roman" w:hAnsi="Times New Roman" w:eastAsia="宋体" w:cs="Times New Roman"/>
                      <w:color w:val="auto"/>
                      <w:sz w:val="18"/>
                      <w:szCs w:val="18"/>
                      <w:highlight w:val="none"/>
                    </w:rPr>
                    <w:t>4、其他平原县和山区县执行县级政府确定的禁燃区范围和管理要求。</w:t>
                  </w:r>
                </w:p>
              </w:tc>
              <w:tc>
                <w:tcPr>
                  <w:tcW w:w="127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0BC20A3">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0"/>
                      <w:sz w:val="18"/>
                      <w:szCs w:val="18"/>
                      <w:highlight w:val="none"/>
                      <w:lang w:eastAsia="zh-CN"/>
                    </w:rPr>
                    <w:t>项目生产不用热，办公采暖采用空调，不涉及燃料使用。</w:t>
                  </w:r>
                </w:p>
              </w:tc>
              <w:tc>
                <w:tcPr>
                  <w:tcW w:w="278" w:type="pct"/>
                  <w:tcBorders>
                    <w:top w:val="single" w:color="auto" w:sz="4" w:space="0"/>
                    <w:left w:val="single" w:color="auto" w:sz="4" w:space="0"/>
                    <w:bottom w:val="single" w:color="auto" w:sz="4" w:space="0"/>
                    <w:right w:val="single" w:color="auto" w:sz="4" w:space="0"/>
                  </w:tcBorders>
                  <w:noWrap w:val="0"/>
                  <w:vAlign w:val="center"/>
                </w:tcPr>
                <w:p w14:paraId="183B16B3">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00DC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1CD3E125">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val="en-US" w:eastAsia="zh-CN"/>
                    </w:rPr>
                    <w:t>6</w:t>
                  </w:r>
                </w:p>
              </w:tc>
              <w:tc>
                <w:tcPr>
                  <w:tcW w:w="4810" w:type="pct"/>
                  <w:gridSpan w:val="5"/>
                  <w:tcBorders>
                    <w:top w:val="single" w:color="auto" w:sz="4" w:space="0"/>
                    <w:left w:val="single" w:color="auto" w:sz="4" w:space="0"/>
                    <w:bottom w:val="single" w:color="auto" w:sz="4" w:space="0"/>
                    <w:right w:val="single" w:color="auto" w:sz="4" w:space="0"/>
                  </w:tcBorders>
                  <w:noWrap w:val="0"/>
                  <w:vAlign w:val="center"/>
                </w:tcPr>
                <w:p w14:paraId="4427CF29">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产业布局总体管控要求</w:t>
                  </w:r>
                </w:p>
              </w:tc>
            </w:tr>
            <w:tr w14:paraId="1CEDA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3E8F288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6</w:t>
                  </w:r>
                  <w:r>
                    <w:rPr>
                      <w:rFonts w:hint="default" w:ascii="Times New Roman" w:hAnsi="Times New Roman" w:eastAsia="宋体" w:cs="Times New Roman"/>
                      <w:color w:val="auto"/>
                      <w:sz w:val="18"/>
                      <w:szCs w:val="18"/>
                      <w:highlight w:val="none"/>
                    </w:rPr>
                    <w:t>.1</w:t>
                  </w:r>
                </w:p>
              </w:tc>
              <w:tc>
                <w:tcPr>
                  <w:tcW w:w="456" w:type="pct"/>
                  <w:gridSpan w:val="2"/>
                  <w:tcBorders>
                    <w:top w:val="single" w:color="auto" w:sz="4" w:space="0"/>
                    <w:left w:val="single" w:color="auto" w:sz="4" w:space="0"/>
                    <w:bottom w:val="single" w:color="auto" w:sz="4" w:space="0"/>
                    <w:right w:val="single" w:color="auto" w:sz="4" w:space="0"/>
                  </w:tcBorders>
                  <w:noWrap w:val="0"/>
                  <w:vAlign w:val="center"/>
                </w:tcPr>
                <w:p w14:paraId="7DCDF869">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总体</w:t>
                  </w:r>
                </w:p>
                <w:p w14:paraId="0AF01366">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要求</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7F32F22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eastAsia="宋体" w:cs="Times New Roman"/>
                      <w:color w:val="auto"/>
                      <w:sz w:val="18"/>
                      <w:szCs w:val="18"/>
                      <w:highlight w:val="none"/>
                    </w:rPr>
                    <w:t>严格建设项目环境准入，新、改、扩建项目的环境影响评价应满足区域、规划环评要求。</w:t>
                  </w:r>
                </w:p>
                <w:p w14:paraId="59E3FFA1">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eastAsia="宋体" w:cs="Times New Roman"/>
                      <w:color w:val="auto"/>
                      <w:sz w:val="18"/>
                      <w:szCs w:val="18"/>
                      <w:highlight w:val="none"/>
                    </w:rPr>
                    <w:t>严格执行国家《产业结构调整指导目录》、《市场准入负面清单》以及《河北省禁止投资的产业目录》中准入要求。</w:t>
                  </w:r>
                </w:p>
                <w:p w14:paraId="3606D54D">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3、</w:t>
                  </w:r>
                  <w:r>
                    <w:rPr>
                      <w:rFonts w:hint="default" w:ascii="Times New Roman" w:hAnsi="Times New Roman" w:eastAsia="宋体" w:cs="Times New Roman"/>
                      <w:color w:val="auto"/>
                      <w:sz w:val="18"/>
                      <w:szCs w:val="18"/>
                      <w:highlight w:val="none"/>
                    </w:rPr>
                    <w:t>严格控制《环境保护综合名录》中“高污染、高环境风险”产品加工项目，城市工业企业退城搬迁改造及产能置换项目除外。</w:t>
                  </w:r>
                </w:p>
                <w:p w14:paraId="41FD8EFE">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4</w:t>
                  </w:r>
                  <w:r>
                    <w:rPr>
                      <w:rFonts w:hint="default" w:ascii="Times New Roman" w:hAnsi="Times New Roman" w:eastAsia="宋体" w:cs="Times New Roman"/>
                      <w:color w:val="auto"/>
                      <w:sz w:val="18"/>
                      <w:szCs w:val="18"/>
                      <w:highlight w:val="none"/>
                    </w:rPr>
                    <w:t>、新建项目一律不得违规占用河库管理范围。</w:t>
                  </w:r>
                </w:p>
                <w:p w14:paraId="5773B11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5</w:t>
                  </w:r>
                  <w:r>
                    <w:rPr>
                      <w:rFonts w:hint="default" w:ascii="Times New Roman" w:hAnsi="Times New Roman" w:eastAsia="宋体" w:cs="Times New Roman"/>
                      <w:color w:val="auto"/>
                      <w:sz w:val="18"/>
                      <w:szCs w:val="18"/>
                      <w:highlight w:val="none"/>
                    </w:rPr>
                    <w:t>、以石化、化工、涂装、医药、包装印刷、油品储运销等行业领域为重点，安全高效推进挥发性有机物(</w:t>
                  </w:r>
                  <w:r>
                    <w:rPr>
                      <w:rFonts w:hint="default" w:ascii="Times New Roman" w:hAnsi="Times New Roman" w:cs="Times New Roman"/>
                      <w:color w:val="auto"/>
                      <w:sz w:val="18"/>
                      <w:szCs w:val="18"/>
                      <w:highlight w:val="none"/>
                      <w:lang w:val="en-US" w:eastAsia="zh-CN"/>
                    </w:rPr>
                    <w:t>VO</w:t>
                  </w:r>
                  <w:r>
                    <w:rPr>
                      <w:rFonts w:hint="default" w:ascii="Times New Roman" w:hAnsi="Times New Roman" w:eastAsia="宋体" w:cs="Times New Roman"/>
                      <w:color w:val="auto"/>
                      <w:sz w:val="18"/>
                      <w:szCs w:val="18"/>
                      <w:highlight w:val="none"/>
                    </w:rPr>
                    <w:t>Cs)综合治理，实施原辅材料和产品源头替代。</w:t>
                  </w:r>
                </w:p>
                <w:p w14:paraId="2702676E">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6</w:t>
                  </w:r>
                  <w:r>
                    <w:rPr>
                      <w:rFonts w:hint="default" w:ascii="Times New Roman" w:hAnsi="Times New Roman" w:eastAsia="宋体" w:cs="Times New Roman"/>
                      <w:color w:val="auto"/>
                      <w:sz w:val="18"/>
                      <w:szCs w:val="18"/>
                      <w:highlight w:val="none"/>
                    </w:rPr>
                    <w:t>、锅炉大气污染物排放控制要求、污染物监测要求、达标判定要求按照河北省地标《锅炉大气污染物排放标准》(</w:t>
                  </w:r>
                  <w:r>
                    <w:rPr>
                      <w:rFonts w:hint="default" w:ascii="Times New Roman" w:hAnsi="Times New Roman" w:cs="Times New Roman"/>
                      <w:color w:val="auto"/>
                      <w:sz w:val="18"/>
                      <w:szCs w:val="18"/>
                      <w:highlight w:val="none"/>
                      <w:lang w:val="en-US" w:eastAsia="zh-CN"/>
                    </w:rPr>
                    <w:t>G</w:t>
                  </w:r>
                  <w:r>
                    <w:rPr>
                      <w:rFonts w:hint="default" w:ascii="Times New Roman" w:hAnsi="Times New Roman" w:eastAsia="宋体" w:cs="Times New Roman"/>
                      <w:color w:val="auto"/>
                      <w:sz w:val="18"/>
                      <w:szCs w:val="18"/>
                      <w:highlight w:val="none"/>
                    </w:rPr>
                    <w:t>B13/5161-2020)执行。</w:t>
                  </w:r>
                </w:p>
                <w:p w14:paraId="638B6782">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7</w:t>
                  </w:r>
                  <w:r>
                    <w:rPr>
                      <w:rFonts w:hint="default" w:ascii="Times New Roman" w:hAnsi="Times New Roman" w:eastAsia="宋体" w:cs="Times New Roman"/>
                      <w:color w:val="auto"/>
                      <w:sz w:val="18"/>
                      <w:szCs w:val="18"/>
                      <w:highlight w:val="none"/>
                    </w:rPr>
                    <w:t>、在地下水超采区控制高耗水产业发展。</w:t>
                  </w:r>
                </w:p>
                <w:p w14:paraId="364E3A6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8</w:t>
                  </w:r>
                  <w:r>
                    <w:rPr>
                      <w:rFonts w:hint="default" w:ascii="Times New Roman" w:hAnsi="Times New Roman" w:eastAsia="宋体" w:cs="Times New Roman"/>
                      <w:color w:val="auto"/>
                      <w:sz w:val="18"/>
                      <w:szCs w:val="18"/>
                      <w:highlight w:val="none"/>
                    </w:rPr>
                    <w:t>、涉重金属重点行业企业“十四五”期间依法依规至少开展一轮强制性清洁生产审核，到2025 年底，涉重金属重点行业企业基本达到国内清洁生产先进水平。</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4DD5C878">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eastAsia="宋体" w:cs="Times New Roman"/>
                      <w:color w:val="auto"/>
                      <w:kern w:val="0"/>
                      <w:sz w:val="18"/>
                      <w:szCs w:val="18"/>
                      <w:highlight w:val="none"/>
                      <w:lang w:val="en-US" w:eastAsia="zh-CN" w:bidi="ar"/>
                    </w:rPr>
                    <w:t>本项目的建设符合环境准入及规划环评要求。</w:t>
                  </w:r>
                </w:p>
                <w:p w14:paraId="6F30D269">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eastAsia="宋体" w:cs="Times New Roman"/>
                      <w:color w:val="auto"/>
                      <w:sz w:val="18"/>
                      <w:szCs w:val="18"/>
                      <w:highlight w:val="none"/>
                      <w:lang w:eastAsia="zh-CN"/>
                    </w:rPr>
                    <w:t>项目不属于</w:t>
                  </w:r>
                  <w:r>
                    <w:rPr>
                      <w:rFonts w:hint="default" w:ascii="Times New Roman" w:hAnsi="Times New Roman" w:eastAsia="宋体" w:cs="Times New Roman"/>
                      <w:color w:val="auto"/>
                      <w:sz w:val="18"/>
                      <w:szCs w:val="18"/>
                      <w:highlight w:val="none"/>
                    </w:rPr>
                    <w:t>《产业结构调整指</w:t>
                  </w:r>
                  <w:r>
                    <w:rPr>
                      <w:rFonts w:hint="default" w:ascii="Times New Roman" w:hAnsi="Times New Roman" w:eastAsia="宋体" w:cs="Times New Roman"/>
                      <w:color w:val="auto"/>
                      <w:sz w:val="18"/>
                      <w:szCs w:val="18"/>
                      <w:highlight w:val="none"/>
                      <w:lang w:eastAsia="zh-CN"/>
                    </w:rPr>
                    <w:t>导目录（</w:t>
                  </w:r>
                  <w:r>
                    <w:rPr>
                      <w:rFonts w:hint="default" w:ascii="Times New Roman" w:hAnsi="Times New Roman" w:cs="Times New Roman"/>
                      <w:color w:val="auto"/>
                      <w:sz w:val="18"/>
                      <w:szCs w:val="18"/>
                      <w:highlight w:val="none"/>
                      <w:lang w:eastAsia="zh-CN"/>
                    </w:rPr>
                    <w:t>2024年本</w:t>
                  </w:r>
                  <w:r>
                    <w:rPr>
                      <w:rFonts w:hint="default" w:ascii="Times New Roman" w:hAnsi="Times New Roman" w:eastAsia="宋体" w:cs="Times New Roman"/>
                      <w:color w:val="auto"/>
                      <w:sz w:val="18"/>
                      <w:szCs w:val="18"/>
                      <w:highlight w:val="none"/>
                      <w:lang w:eastAsia="zh-CN"/>
                    </w:rPr>
                    <w:t>）》中</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eastAsia="zh-CN"/>
                    </w:rPr>
                    <w:t>限制类</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eastAsia="zh-CN"/>
                    </w:rPr>
                    <w:t>和</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eastAsia="zh-CN"/>
                    </w:rPr>
                    <w:t>淘汰类</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eastAsia="zh-CN"/>
                    </w:rPr>
                    <w:t>，不属于《市场准入负面清单(202</w:t>
                  </w:r>
                  <w:r>
                    <w:rPr>
                      <w:rFonts w:hint="default" w:ascii="Times New Roman" w:hAnsi="Times New Roman" w:cs="Times New Roman"/>
                      <w:color w:val="auto"/>
                      <w:sz w:val="18"/>
                      <w:szCs w:val="18"/>
                      <w:highlight w:val="none"/>
                      <w:lang w:val="en-US" w:eastAsia="zh-CN"/>
                    </w:rPr>
                    <w:t>5</w:t>
                  </w:r>
                  <w:r>
                    <w:rPr>
                      <w:rFonts w:hint="default" w:ascii="Times New Roman" w:hAnsi="Times New Roman" w:eastAsia="宋体" w:cs="Times New Roman"/>
                      <w:color w:val="auto"/>
                      <w:sz w:val="18"/>
                      <w:szCs w:val="18"/>
                      <w:highlight w:val="none"/>
                      <w:lang w:eastAsia="zh-CN"/>
                    </w:rPr>
                    <w:t>年版)》禁止准入类。</w:t>
                  </w:r>
                </w:p>
                <w:p w14:paraId="5166802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3、本项目不属于</w:t>
                  </w:r>
                  <w:r>
                    <w:rPr>
                      <w:rFonts w:hint="default" w:ascii="Times New Roman" w:hAnsi="Times New Roman" w:eastAsia="宋体" w:cs="Times New Roman"/>
                      <w:color w:val="auto"/>
                      <w:sz w:val="18"/>
                      <w:szCs w:val="18"/>
                      <w:highlight w:val="none"/>
                      <w:lang w:val="en-US" w:eastAsia="zh-CN"/>
                    </w:rPr>
                    <w:t>《环境保护综合名录》中“高污染、高风险”产品加工项目</w:t>
                  </w:r>
                  <w:r>
                    <w:rPr>
                      <w:rFonts w:hint="default" w:ascii="Times New Roman" w:hAnsi="Times New Roman" w:cs="Times New Roman"/>
                      <w:color w:val="auto"/>
                      <w:sz w:val="18"/>
                      <w:szCs w:val="18"/>
                      <w:highlight w:val="none"/>
                      <w:lang w:val="en-US" w:eastAsia="zh-CN"/>
                    </w:rPr>
                    <w:t>。</w:t>
                  </w:r>
                </w:p>
                <w:p w14:paraId="4740DC54">
                  <w:pPr>
                    <w:keepNext w:val="0"/>
                    <w:keepLines w:val="0"/>
                    <w:pageBreakBefore w:val="0"/>
                    <w:widowControl w:val="0"/>
                    <w:suppressLineNumbers w:val="0"/>
                    <w:kinsoku/>
                    <w:wordWrap/>
                    <w:overflowPunct/>
                    <w:topLinePunct w:val="0"/>
                    <w:autoSpaceDE/>
                    <w:autoSpaceDN/>
                    <w:bidi w:val="0"/>
                    <w:spacing w:before="0" w:beforeAutospacing="0" w:after="0" w:afterAutospacing="0" w:line="260" w:lineRule="exact"/>
                    <w:ind w:left="0" w:right="0" w:firstLine="0"/>
                    <w:jc w:val="both"/>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4、本项目占地为工业用地，不涉及河库管理范围。</w:t>
                  </w:r>
                </w:p>
                <w:p w14:paraId="4959C215">
                  <w:pPr>
                    <w:keepNext w:val="0"/>
                    <w:keepLines w:val="0"/>
                    <w:pageBreakBefore w:val="0"/>
                    <w:widowControl w:val="0"/>
                    <w:suppressLineNumbers w:val="0"/>
                    <w:kinsoku/>
                    <w:wordWrap/>
                    <w:overflowPunct/>
                    <w:topLinePunct w:val="0"/>
                    <w:autoSpaceDE/>
                    <w:autoSpaceDN/>
                    <w:bidi w:val="0"/>
                    <w:spacing w:before="0" w:beforeAutospacing="0" w:after="0" w:afterAutospacing="0" w:line="260" w:lineRule="exact"/>
                    <w:ind w:left="0" w:right="0" w:firstLine="0"/>
                    <w:jc w:val="both"/>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5、本项目不属于涉VOCs重点行业，不涉及VOCs排放。</w:t>
                  </w:r>
                </w:p>
                <w:p w14:paraId="42742218">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6、本项目不涉及</w:t>
                  </w:r>
                  <w:r>
                    <w:rPr>
                      <w:rFonts w:hint="default" w:ascii="Times New Roman" w:hAnsi="Times New Roman" w:eastAsia="宋体" w:cs="Times New Roman"/>
                      <w:color w:val="auto"/>
                      <w:sz w:val="18"/>
                      <w:szCs w:val="18"/>
                      <w:highlight w:val="none"/>
                      <w:lang w:val="en-US" w:eastAsia="zh-CN"/>
                    </w:rPr>
                    <w:t>。</w:t>
                  </w:r>
                </w:p>
                <w:p w14:paraId="58B3E7CB">
                  <w:pPr>
                    <w:keepNext w:val="0"/>
                    <w:keepLines w:val="0"/>
                    <w:pageBreakBefore w:val="0"/>
                    <w:numPr>
                      <w:ilvl w:val="0"/>
                      <w:numId w:val="5"/>
                    </w:numPr>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本项目不属于高耗水项目，依托市政供水设施，不开采地下水。</w:t>
                  </w:r>
                </w:p>
                <w:p w14:paraId="15B0F2BC">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60" w:lineRule="exact"/>
                    <w:ind w:right="0"/>
                    <w:jc w:val="both"/>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8、本项目不涉及重金属。</w:t>
                  </w:r>
                </w:p>
              </w:tc>
              <w:tc>
                <w:tcPr>
                  <w:tcW w:w="278" w:type="pct"/>
                  <w:tcBorders>
                    <w:top w:val="single" w:color="auto" w:sz="4" w:space="0"/>
                    <w:left w:val="single" w:color="auto" w:sz="4" w:space="0"/>
                    <w:bottom w:val="single" w:color="auto" w:sz="4" w:space="0"/>
                    <w:right w:val="single" w:color="auto" w:sz="4" w:space="0"/>
                  </w:tcBorders>
                  <w:noWrap w:val="0"/>
                  <w:vAlign w:val="center"/>
                </w:tcPr>
                <w:p w14:paraId="1D56AF9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bl>
          <w:p w14:paraId="23CA149E">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color w:val="auto"/>
                <w:kern w:val="0"/>
                <w:sz w:val="24"/>
                <w:highlight w:val="none"/>
              </w:rPr>
            </w:pPr>
            <w:r>
              <w:rPr>
                <w:rFonts w:hint="default" w:ascii="Times New Roman" w:hAnsi="Times New Roman" w:cs="Times New Roman"/>
                <w:color w:val="auto"/>
                <w:kern w:val="0"/>
                <w:sz w:val="24"/>
                <w:highlight w:val="none"/>
                <w:lang w:val="en-US" w:eastAsia="zh-CN"/>
              </w:rPr>
              <w:t>（2）</w:t>
            </w:r>
            <w:r>
              <w:rPr>
                <w:rFonts w:hint="default" w:ascii="Times New Roman" w:hAnsi="Times New Roman" w:eastAsia="宋体" w:cs="Times New Roman"/>
                <w:color w:val="auto"/>
                <w:kern w:val="0"/>
                <w:sz w:val="24"/>
                <w:highlight w:val="none"/>
              </w:rPr>
              <w:t>项目与</w:t>
            </w:r>
            <w:r>
              <w:rPr>
                <w:rFonts w:hint="default" w:ascii="Times New Roman" w:hAnsi="Times New Roman" w:cs="Times New Roman"/>
                <w:color w:val="auto"/>
                <w:kern w:val="0"/>
                <w:sz w:val="24"/>
                <w:highlight w:val="none"/>
                <w:lang w:eastAsia="zh-CN"/>
              </w:rPr>
              <w:t>井陉矿区</w:t>
            </w:r>
            <w:r>
              <w:rPr>
                <w:rFonts w:hint="default" w:ascii="Times New Roman" w:hAnsi="Times New Roman" w:eastAsia="宋体" w:cs="Times New Roman"/>
                <w:color w:val="auto"/>
                <w:kern w:val="0"/>
                <w:sz w:val="24"/>
                <w:highlight w:val="none"/>
              </w:rPr>
              <w:t>生态环境管控要求符合性分析</w:t>
            </w:r>
          </w:p>
          <w:p w14:paraId="6B79A8D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本项目</w:t>
            </w:r>
            <w:r>
              <w:rPr>
                <w:rFonts w:hint="default" w:ascii="Times New Roman" w:hAnsi="Times New Roman" w:cs="Times New Roman"/>
                <w:color w:val="auto"/>
                <w:kern w:val="0"/>
                <w:sz w:val="24"/>
                <w:highlight w:val="none"/>
                <w:lang w:eastAsia="zh-CN"/>
              </w:rPr>
              <w:t>位于河北石家庄矿区工业园区丰达片区，</w:t>
            </w:r>
            <w:r>
              <w:rPr>
                <w:rFonts w:hint="default" w:ascii="Times New Roman" w:hAnsi="Times New Roman" w:eastAsia="宋体" w:cs="Times New Roman"/>
                <w:color w:val="auto"/>
                <w:kern w:val="0"/>
                <w:sz w:val="24"/>
                <w:highlight w:val="none"/>
              </w:rPr>
              <w:t>属于</w:t>
            </w:r>
            <w:r>
              <w:rPr>
                <w:rFonts w:hint="default" w:ascii="Times New Roman" w:hAnsi="Times New Roman" w:cs="Times New Roman"/>
                <w:color w:val="auto"/>
                <w:kern w:val="0"/>
                <w:sz w:val="24"/>
                <w:highlight w:val="none"/>
                <w:lang w:eastAsia="zh-CN"/>
              </w:rPr>
              <w:t>井陉矿区</w:t>
            </w:r>
            <w:r>
              <w:rPr>
                <w:rFonts w:hint="default" w:ascii="Times New Roman" w:hAnsi="Times New Roman" w:eastAsia="宋体" w:cs="Times New Roman"/>
                <w:color w:val="auto"/>
                <w:kern w:val="0"/>
                <w:sz w:val="24"/>
                <w:highlight w:val="none"/>
              </w:rPr>
              <w:t>重点管控单元</w:t>
            </w:r>
            <w:r>
              <w:rPr>
                <w:rFonts w:hint="default" w:ascii="Times New Roman" w:hAnsi="Times New Roman" w:cs="Times New Roman"/>
                <w:color w:val="auto"/>
                <w:kern w:val="0"/>
                <w:sz w:val="24"/>
                <w:highlight w:val="none"/>
                <w:lang w:val="en-US" w:eastAsia="zh-CN"/>
              </w:rPr>
              <w:t>1</w:t>
            </w:r>
            <w:r>
              <w:rPr>
                <w:rFonts w:hint="default" w:ascii="Times New Roman" w:hAnsi="Times New Roman" w:eastAsia="宋体" w:cs="Times New Roman"/>
                <w:color w:val="auto"/>
                <w:kern w:val="0"/>
                <w:sz w:val="24"/>
                <w:highlight w:val="none"/>
              </w:rPr>
              <w:t>，与重点管控单元符合性分析见下表。</w:t>
            </w:r>
          </w:p>
          <w:p w14:paraId="49E8C8F0">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jc w:val="center"/>
              <w:textAlignment w:val="auto"/>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表</w:t>
            </w:r>
            <w:r>
              <w:rPr>
                <w:rFonts w:hint="default" w:ascii="Times New Roman" w:hAnsi="Times New Roman" w:eastAsia="宋体" w:cs="Times New Roman"/>
                <w:b/>
                <w:bCs/>
                <w:color w:val="auto"/>
                <w:kern w:val="0"/>
                <w:sz w:val="24"/>
                <w:highlight w:val="none"/>
                <w:lang w:val="en-US" w:eastAsia="zh-CN"/>
              </w:rPr>
              <w:t>1-</w:t>
            </w:r>
            <w:r>
              <w:rPr>
                <w:rFonts w:hint="default" w:ascii="Times New Roman" w:hAnsi="Times New Roman" w:cs="Times New Roman"/>
                <w:b/>
                <w:bCs/>
                <w:color w:val="auto"/>
                <w:kern w:val="0"/>
                <w:sz w:val="24"/>
                <w:highlight w:val="none"/>
                <w:lang w:val="en-US" w:eastAsia="zh-CN"/>
              </w:rPr>
              <w:t xml:space="preserve">8  </w:t>
            </w:r>
            <w:r>
              <w:rPr>
                <w:rFonts w:hint="default" w:ascii="Times New Roman" w:hAnsi="Times New Roman" w:eastAsia="宋体" w:cs="Times New Roman"/>
                <w:b/>
                <w:bCs/>
                <w:color w:val="auto"/>
                <w:kern w:val="0"/>
                <w:sz w:val="24"/>
                <w:highlight w:val="none"/>
              </w:rPr>
              <w:t>本项目与</w:t>
            </w:r>
            <w:r>
              <w:rPr>
                <w:rFonts w:hint="default" w:ascii="Times New Roman" w:hAnsi="Times New Roman" w:cs="Times New Roman"/>
                <w:b/>
                <w:bCs/>
                <w:color w:val="auto"/>
                <w:kern w:val="0"/>
                <w:sz w:val="24"/>
                <w:highlight w:val="none"/>
                <w:lang w:eastAsia="zh-CN"/>
              </w:rPr>
              <w:t>井陉矿区</w:t>
            </w:r>
            <w:r>
              <w:rPr>
                <w:rFonts w:hint="default" w:ascii="Times New Roman" w:hAnsi="Times New Roman" w:eastAsia="宋体" w:cs="Times New Roman"/>
                <w:b/>
                <w:bCs/>
                <w:color w:val="auto"/>
                <w:kern w:val="0"/>
                <w:sz w:val="24"/>
                <w:highlight w:val="none"/>
              </w:rPr>
              <w:t>重点管控单元</w:t>
            </w:r>
            <w:r>
              <w:rPr>
                <w:rFonts w:hint="default" w:ascii="Times New Roman" w:hAnsi="Times New Roman" w:cs="Times New Roman"/>
                <w:b/>
                <w:bCs/>
                <w:color w:val="auto"/>
                <w:kern w:val="0"/>
                <w:sz w:val="24"/>
                <w:highlight w:val="none"/>
                <w:lang w:eastAsia="zh-CN"/>
              </w:rPr>
              <w:t>要求</w:t>
            </w:r>
            <w:r>
              <w:rPr>
                <w:rFonts w:hint="default" w:ascii="Times New Roman" w:hAnsi="Times New Roman" w:eastAsia="宋体" w:cs="Times New Roman"/>
                <w:b/>
                <w:bCs/>
                <w:color w:val="auto"/>
                <w:kern w:val="0"/>
                <w:sz w:val="24"/>
                <w:highlight w:val="none"/>
              </w:rPr>
              <w:t>符合性分析</w:t>
            </w:r>
          </w:p>
          <w:tbl>
            <w:tblPr>
              <w:tblStyle w:val="41"/>
              <w:tblW w:w="4995" w:type="pct"/>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4"/>
              <w:gridCol w:w="652"/>
              <w:gridCol w:w="514"/>
              <w:gridCol w:w="3223"/>
              <w:gridCol w:w="2708"/>
              <w:gridCol w:w="448"/>
            </w:tblGrid>
            <w:tr w14:paraId="4302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1" w:type="pct"/>
                  <w:vAlign w:val="center"/>
                </w:tcPr>
                <w:p w14:paraId="16C19C91">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单元类别</w:t>
                  </w:r>
                </w:p>
              </w:tc>
              <w:tc>
                <w:tcPr>
                  <w:tcW w:w="406" w:type="pct"/>
                  <w:vAlign w:val="center"/>
                </w:tcPr>
                <w:p w14:paraId="565B3623">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环境要素类别</w:t>
                  </w:r>
                </w:p>
              </w:tc>
              <w:tc>
                <w:tcPr>
                  <w:tcW w:w="320" w:type="pct"/>
                  <w:vAlign w:val="center"/>
                </w:tcPr>
                <w:p w14:paraId="1E4F8508">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维度</w:t>
                  </w:r>
                </w:p>
              </w:tc>
              <w:tc>
                <w:tcPr>
                  <w:tcW w:w="2007" w:type="pct"/>
                  <w:vAlign w:val="center"/>
                </w:tcPr>
                <w:p w14:paraId="7C032A08">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管控措施</w:t>
                  </w:r>
                </w:p>
              </w:tc>
              <w:tc>
                <w:tcPr>
                  <w:tcW w:w="1686" w:type="pct"/>
                  <w:vAlign w:val="center"/>
                </w:tcPr>
                <w:p w14:paraId="4DEBC7D9">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本项目</w:t>
                  </w:r>
                </w:p>
              </w:tc>
              <w:tc>
                <w:tcPr>
                  <w:tcW w:w="278" w:type="pct"/>
                  <w:vAlign w:val="center"/>
                </w:tcPr>
                <w:p w14:paraId="796DEA25">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符合性</w:t>
                  </w:r>
                </w:p>
              </w:tc>
            </w:tr>
            <w:tr w14:paraId="1192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1" w:type="pct"/>
                  <w:vMerge w:val="restart"/>
                  <w:vAlign w:val="center"/>
                </w:tcPr>
                <w:p w14:paraId="0910549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exact"/>
                    <w:ind w:left="0" w:right="0" w:firstLine="0" w:firstLineChars="0"/>
                    <w:jc w:val="left"/>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重点管控单元</w:t>
                  </w:r>
                  <w:r>
                    <w:rPr>
                      <w:rFonts w:hint="default" w:ascii="Times New Roman" w:hAnsi="Times New Roman" w:cs="Times New Roman"/>
                      <w:color w:val="auto"/>
                      <w:kern w:val="0"/>
                      <w:sz w:val="18"/>
                      <w:szCs w:val="18"/>
                      <w:highlight w:val="none"/>
                      <w:lang w:val="en-US" w:eastAsia="zh-CN"/>
                    </w:rPr>
                    <w:t>1</w:t>
                  </w:r>
                </w:p>
              </w:tc>
              <w:tc>
                <w:tcPr>
                  <w:tcW w:w="406" w:type="pct"/>
                  <w:vMerge w:val="restart"/>
                  <w:vAlign w:val="center"/>
                </w:tcPr>
                <w:p w14:paraId="1A50F573">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exact"/>
                    <w:ind w:left="0" w:right="0" w:firstLine="0" w:firstLineChars="0"/>
                    <w:jc w:val="left"/>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bidi="ar"/>
                    </w:rPr>
                    <w:t>水环境工业污染重点管控区、大气环境高排放重点</w:t>
                  </w:r>
                  <w:r>
                    <w:rPr>
                      <w:rFonts w:hint="default" w:ascii="Times New Roman" w:hAnsi="Times New Roman" w:cs="Times New Roman"/>
                      <w:color w:val="auto"/>
                      <w:kern w:val="0"/>
                      <w:sz w:val="18"/>
                      <w:szCs w:val="18"/>
                      <w:highlight w:val="none"/>
                      <w:lang w:val="en-US" w:eastAsia="zh-CN" w:bidi="ar"/>
                    </w:rPr>
                    <w:t>管控区</w:t>
                  </w:r>
                  <w:r>
                    <w:rPr>
                      <w:rFonts w:hint="default" w:ascii="Times New Roman" w:hAnsi="Times New Roman" w:eastAsia="宋体" w:cs="Times New Roman"/>
                      <w:color w:val="auto"/>
                      <w:kern w:val="0"/>
                      <w:sz w:val="18"/>
                      <w:szCs w:val="18"/>
                      <w:highlight w:val="none"/>
                      <w:lang w:val="en-US" w:eastAsia="zh-CN" w:bidi="ar"/>
                    </w:rPr>
                    <w:t>、</w:t>
                  </w:r>
                  <w:r>
                    <w:rPr>
                      <w:rFonts w:hint="default" w:ascii="Times New Roman" w:hAnsi="Times New Roman" w:cs="Times New Roman"/>
                      <w:color w:val="auto"/>
                      <w:kern w:val="0"/>
                      <w:sz w:val="18"/>
                      <w:szCs w:val="18"/>
                      <w:highlight w:val="none"/>
                      <w:lang w:val="en-US" w:eastAsia="zh-CN" w:bidi="ar"/>
                    </w:rPr>
                    <w:t>河北石家庄矿区工业园区（东区）</w:t>
                  </w:r>
                </w:p>
              </w:tc>
              <w:tc>
                <w:tcPr>
                  <w:tcW w:w="320" w:type="pct"/>
                  <w:vAlign w:val="center"/>
                </w:tcPr>
                <w:p w14:paraId="62709433">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eastAsia="zh-CN"/>
                    </w:rPr>
                    <w:t>空间</w:t>
                  </w:r>
                  <w:r>
                    <w:rPr>
                      <w:rFonts w:hint="default" w:ascii="Times New Roman" w:hAnsi="Times New Roman" w:eastAsia="宋体" w:cs="Times New Roman"/>
                      <w:color w:val="auto"/>
                      <w:sz w:val="18"/>
                      <w:szCs w:val="18"/>
                      <w:highlight w:val="none"/>
                    </w:rPr>
                    <w:t>布局约束</w:t>
                  </w:r>
                </w:p>
              </w:tc>
              <w:tc>
                <w:tcPr>
                  <w:tcW w:w="2007" w:type="pct"/>
                  <w:vAlign w:val="top"/>
                </w:tcPr>
                <w:p w14:paraId="1E62DFC4">
                  <w:pPr>
                    <w:keepNext w:val="0"/>
                    <w:keepLines w:val="0"/>
                    <w:pageBreakBefore w:val="0"/>
                    <w:widowControl/>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1、严格落实国家、河北省以及石家庄市最新产业目录准入要求。</w:t>
                  </w:r>
                </w:p>
                <w:p w14:paraId="6756EE73">
                  <w:pPr>
                    <w:keepNext w:val="0"/>
                    <w:keepLines w:val="0"/>
                    <w:pageBreakBefore w:val="0"/>
                    <w:widowControl/>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bidi="ar"/>
                    </w:rPr>
                    <w:t>2、严格落实最新规划环评及其</w:t>
                  </w:r>
                  <w:r>
                    <w:rPr>
                      <w:rFonts w:hint="default" w:ascii="Times New Roman" w:hAnsi="Times New Roman" w:cs="Times New Roman"/>
                      <w:color w:val="auto"/>
                      <w:kern w:val="0"/>
                      <w:sz w:val="18"/>
                      <w:szCs w:val="18"/>
                      <w:highlight w:val="none"/>
                      <w:lang w:val="en-US" w:eastAsia="zh-CN" w:bidi="ar"/>
                    </w:rPr>
                    <w:t>审查意见</w:t>
                  </w:r>
                  <w:r>
                    <w:rPr>
                      <w:rFonts w:hint="default" w:ascii="Times New Roman" w:hAnsi="Times New Roman" w:eastAsia="宋体" w:cs="Times New Roman"/>
                      <w:color w:val="auto"/>
                      <w:kern w:val="0"/>
                      <w:sz w:val="18"/>
                      <w:szCs w:val="18"/>
                      <w:highlight w:val="none"/>
                      <w:lang w:val="en-US" w:eastAsia="zh-CN" w:bidi="ar"/>
                    </w:rPr>
                    <w:t>制定的环境准入要求。</w:t>
                  </w:r>
                </w:p>
              </w:tc>
              <w:tc>
                <w:tcPr>
                  <w:tcW w:w="1686" w:type="pct"/>
                  <w:vAlign w:val="center"/>
                </w:tcPr>
                <w:p w14:paraId="1992A697">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left"/>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1、本项目不属于《产业结构调整指导目录(2024年本)》中限制类、淘汰类项目</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eastAsia="zh-CN"/>
                    </w:rPr>
                    <w:t>对照《市场准入负面清单(202</w:t>
                  </w:r>
                  <w:r>
                    <w:rPr>
                      <w:rFonts w:hint="default" w:ascii="Times New Roman" w:hAnsi="Times New Roman" w:cs="Times New Roman"/>
                      <w:color w:val="auto"/>
                      <w:sz w:val="18"/>
                      <w:szCs w:val="18"/>
                      <w:highlight w:val="none"/>
                      <w:lang w:val="en-US" w:eastAsia="zh-CN"/>
                    </w:rPr>
                    <w:t>5</w:t>
                  </w:r>
                  <w:r>
                    <w:rPr>
                      <w:rFonts w:hint="default" w:ascii="Times New Roman" w:hAnsi="Times New Roman" w:eastAsia="宋体" w:cs="Times New Roman"/>
                      <w:color w:val="auto"/>
                      <w:sz w:val="18"/>
                      <w:szCs w:val="18"/>
                      <w:highlight w:val="none"/>
                      <w:lang w:eastAsia="zh-CN"/>
                    </w:rPr>
                    <w:t>年版)》，本项目不属于其中禁止准入类。</w:t>
                  </w:r>
                </w:p>
                <w:p w14:paraId="20F04499">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left"/>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2、本项目符合</w:t>
                  </w:r>
                  <w:r>
                    <w:rPr>
                      <w:rFonts w:hint="default" w:ascii="Times New Roman" w:hAnsi="Times New Roman" w:eastAsia="宋体" w:cs="Times New Roman"/>
                      <w:color w:val="auto"/>
                      <w:kern w:val="0"/>
                      <w:sz w:val="18"/>
                      <w:szCs w:val="18"/>
                      <w:highlight w:val="none"/>
                      <w:lang w:val="en-US" w:eastAsia="zh-CN" w:bidi="ar"/>
                    </w:rPr>
                    <w:t>河北</w:t>
                  </w:r>
                  <w:r>
                    <w:rPr>
                      <w:rFonts w:hint="default" w:ascii="Times New Roman" w:hAnsi="Times New Roman" w:cs="Times New Roman"/>
                      <w:color w:val="auto"/>
                      <w:kern w:val="0"/>
                      <w:sz w:val="18"/>
                      <w:szCs w:val="18"/>
                      <w:highlight w:val="none"/>
                      <w:lang w:val="en-US" w:eastAsia="zh-CN" w:bidi="ar"/>
                    </w:rPr>
                    <w:t>石家庄矿区工业园区最新</w:t>
                  </w:r>
                  <w:r>
                    <w:rPr>
                      <w:rFonts w:hint="default" w:ascii="Times New Roman" w:hAnsi="Times New Roman" w:eastAsia="宋体" w:cs="Times New Roman"/>
                      <w:color w:val="auto"/>
                      <w:sz w:val="18"/>
                      <w:szCs w:val="18"/>
                      <w:highlight w:val="none"/>
                      <w:lang w:eastAsia="zh-CN"/>
                    </w:rPr>
                    <w:t>规划环评及其审查意见制定的环境准入要求。</w:t>
                  </w:r>
                </w:p>
              </w:tc>
              <w:tc>
                <w:tcPr>
                  <w:tcW w:w="278" w:type="pct"/>
                  <w:vAlign w:val="center"/>
                </w:tcPr>
                <w:p w14:paraId="4D8755D4">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5000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1" w:type="pct"/>
                  <w:vMerge w:val="continue"/>
                  <w:vAlign w:val="center"/>
                </w:tcPr>
                <w:p w14:paraId="2FB11AB1">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p>
              </w:tc>
              <w:tc>
                <w:tcPr>
                  <w:tcW w:w="406" w:type="pct"/>
                  <w:vMerge w:val="continue"/>
                  <w:vAlign w:val="center"/>
                </w:tcPr>
                <w:p w14:paraId="511477E2">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p>
              </w:tc>
              <w:tc>
                <w:tcPr>
                  <w:tcW w:w="320" w:type="pct"/>
                  <w:vAlign w:val="center"/>
                </w:tcPr>
                <w:p w14:paraId="37192F80">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污染物排放管控</w:t>
                  </w:r>
                </w:p>
              </w:tc>
              <w:tc>
                <w:tcPr>
                  <w:tcW w:w="2007" w:type="pct"/>
                  <w:shd w:val="clear" w:color="auto" w:fill="auto"/>
                  <w:vAlign w:val="center"/>
                </w:tcPr>
                <w:p w14:paraId="2BDE7B53">
                  <w:pPr>
                    <w:keepNext w:val="0"/>
                    <w:keepLines w:val="0"/>
                    <w:pageBreakBefore w:val="0"/>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val="en-US" w:eastAsia="zh-CN"/>
                    </w:rPr>
                    <w:t>涉挥发性有机物企业排放标准执行《工业企业挥发性有机物排放控制标准》（DB12/2322-2016）、《挥发性有机物无组织排放控制标准》（GB37822-2019）等相关标准要求</w:t>
                  </w:r>
                  <w:r>
                    <w:rPr>
                      <w:rFonts w:hint="default" w:ascii="Times New Roman" w:hAnsi="Times New Roman" w:eastAsia="宋体" w:cs="Times New Roman"/>
                      <w:color w:val="auto"/>
                      <w:sz w:val="18"/>
                      <w:szCs w:val="18"/>
                      <w:highlight w:val="none"/>
                      <w:lang w:val="en-US" w:eastAsia="zh-CN"/>
                    </w:rPr>
                    <w:t>。</w:t>
                  </w:r>
                </w:p>
                <w:p w14:paraId="09DD9966">
                  <w:pPr>
                    <w:keepNext w:val="0"/>
                    <w:keepLines w:val="0"/>
                    <w:pageBreakBefore w:val="0"/>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eastAsia="宋体" w:cs="Times New Roman"/>
                      <w:color w:val="auto"/>
                      <w:sz w:val="18"/>
                      <w:szCs w:val="18"/>
                      <w:highlight w:val="none"/>
                      <w:lang w:val="en-US" w:eastAsia="zh-CN"/>
                    </w:rPr>
                    <w:t>.新（改、扩）建向环境水体直接排放污水的排污单位执行《子牙河流域水污染物排放标准》（DB13/2796-2018）排放限值。完善污水收集处理设施建设，确保区域水环境质量不降低。</w:t>
                  </w:r>
                </w:p>
              </w:tc>
              <w:tc>
                <w:tcPr>
                  <w:tcW w:w="1686" w:type="pct"/>
                  <w:shd w:val="clear" w:color="auto" w:fill="auto"/>
                  <w:vAlign w:val="center"/>
                </w:tcPr>
                <w:p w14:paraId="3E1CEB20">
                  <w:pPr>
                    <w:keepNext w:val="0"/>
                    <w:keepLines w:val="0"/>
                    <w:pageBreakBefore w:val="0"/>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本项目不</w:t>
                  </w:r>
                  <w:r>
                    <w:rPr>
                      <w:rFonts w:hint="default" w:ascii="Times New Roman" w:hAnsi="Times New Roman" w:cs="Times New Roman"/>
                      <w:color w:val="auto"/>
                      <w:sz w:val="18"/>
                      <w:szCs w:val="18"/>
                      <w:highlight w:val="none"/>
                      <w:lang w:val="en-US" w:eastAsia="zh-CN"/>
                    </w:rPr>
                    <w:t>涉及挥发性有机物</w:t>
                  </w:r>
                  <w:r>
                    <w:rPr>
                      <w:rFonts w:hint="default" w:ascii="Times New Roman" w:hAnsi="Times New Roman" w:eastAsia="宋体" w:cs="Times New Roman"/>
                      <w:color w:val="auto"/>
                      <w:sz w:val="18"/>
                      <w:szCs w:val="18"/>
                      <w:highlight w:val="none"/>
                      <w:lang w:val="en-US" w:eastAsia="zh-CN"/>
                    </w:rPr>
                    <w:t>；</w:t>
                  </w:r>
                </w:p>
                <w:p w14:paraId="259C314A">
                  <w:pPr>
                    <w:keepNext w:val="0"/>
                    <w:keepLines w:val="0"/>
                    <w:pageBreakBefore w:val="0"/>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2、</w:t>
                  </w:r>
                  <w:r>
                    <w:rPr>
                      <w:rFonts w:hint="default" w:ascii="Times New Roman" w:hAnsi="Times New Roman" w:cs="Times New Roman"/>
                      <w:color w:val="auto"/>
                      <w:sz w:val="18"/>
                      <w:szCs w:val="18"/>
                      <w:highlight w:val="none"/>
                      <w:lang w:val="en-US" w:eastAsia="zh-CN"/>
                    </w:rPr>
                    <w:t>本项目废水不外排</w:t>
                  </w:r>
                  <w:r>
                    <w:rPr>
                      <w:rFonts w:hint="default" w:ascii="Times New Roman" w:hAnsi="Times New Roman" w:eastAsia="宋体" w:cs="Times New Roman"/>
                      <w:color w:val="auto"/>
                      <w:sz w:val="18"/>
                      <w:szCs w:val="18"/>
                      <w:highlight w:val="none"/>
                      <w:lang w:val="en-US" w:eastAsia="zh-CN"/>
                    </w:rPr>
                    <w:t>。</w:t>
                  </w:r>
                </w:p>
              </w:tc>
              <w:tc>
                <w:tcPr>
                  <w:tcW w:w="278" w:type="pct"/>
                  <w:vAlign w:val="center"/>
                </w:tcPr>
                <w:p w14:paraId="457DC7AC">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3E6D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1" w:type="pct"/>
                  <w:vMerge w:val="continue"/>
                  <w:vAlign w:val="center"/>
                </w:tcPr>
                <w:p w14:paraId="47F96C03">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p>
              </w:tc>
              <w:tc>
                <w:tcPr>
                  <w:tcW w:w="406" w:type="pct"/>
                  <w:vMerge w:val="continue"/>
                  <w:vAlign w:val="center"/>
                </w:tcPr>
                <w:p w14:paraId="0BEAB21B">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p>
              </w:tc>
              <w:tc>
                <w:tcPr>
                  <w:tcW w:w="320" w:type="pct"/>
                  <w:vAlign w:val="center"/>
                </w:tcPr>
                <w:p w14:paraId="36904712">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环境风险防控</w:t>
                  </w:r>
                </w:p>
              </w:tc>
              <w:tc>
                <w:tcPr>
                  <w:tcW w:w="2007" w:type="pct"/>
                  <w:shd w:val="clear" w:color="auto" w:fill="auto"/>
                  <w:vAlign w:val="center"/>
                </w:tcPr>
                <w:p w14:paraId="0D4809FD">
                  <w:pPr>
                    <w:keepNext w:val="0"/>
                    <w:keepLines w:val="0"/>
                    <w:pageBreakBefore w:val="0"/>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1、园区按照相关要求，建立完善环境风险管理有关制度和有效的事故风险防范体系。</w:t>
                  </w:r>
                </w:p>
              </w:tc>
              <w:tc>
                <w:tcPr>
                  <w:tcW w:w="1686" w:type="pct"/>
                  <w:shd w:val="clear" w:color="auto" w:fill="auto"/>
                  <w:vAlign w:val="center"/>
                </w:tcPr>
                <w:p w14:paraId="5A714543">
                  <w:pPr>
                    <w:keepNext w:val="0"/>
                    <w:keepLines w:val="0"/>
                    <w:pageBreakBefore w:val="0"/>
                    <w:suppressLineNumbers w:val="0"/>
                    <w:kinsoku/>
                    <w:wordWrap/>
                    <w:overflowPunct/>
                    <w:topLinePunct w:val="0"/>
                    <w:bidi w:val="0"/>
                    <w:snapToGrid/>
                    <w:spacing w:before="0" w:beforeAutospacing="0" w:after="0" w:afterAutospacing="0" w:line="240" w:lineRule="exact"/>
                    <w:ind w:left="0" w:leftChars="0" w:right="0" w:rightChars="0"/>
                    <w:jc w:val="left"/>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1、项目</w:t>
                  </w:r>
                  <w:r>
                    <w:rPr>
                      <w:rFonts w:hint="default" w:ascii="Times New Roman" w:hAnsi="Times New Roman" w:cs="Times New Roman"/>
                      <w:color w:val="auto"/>
                      <w:sz w:val="18"/>
                      <w:szCs w:val="18"/>
                      <w:highlight w:val="none"/>
                    </w:rPr>
                    <w:t>加强风险防范管理，</w:t>
                  </w:r>
                  <w:r>
                    <w:rPr>
                      <w:rFonts w:hint="default" w:ascii="Times New Roman" w:hAnsi="Times New Roman" w:cs="Times New Roman"/>
                      <w:color w:val="auto"/>
                      <w:sz w:val="18"/>
                      <w:szCs w:val="18"/>
                      <w:highlight w:val="none"/>
                      <w:lang w:eastAsia="zh-CN"/>
                    </w:rPr>
                    <w:t>落实园区环境风险防范相关要求</w:t>
                  </w:r>
                  <w:r>
                    <w:rPr>
                      <w:rFonts w:hint="default" w:ascii="Times New Roman" w:hAnsi="Times New Roman" w:cs="Times New Roman"/>
                      <w:color w:val="auto"/>
                      <w:sz w:val="18"/>
                      <w:szCs w:val="18"/>
                      <w:highlight w:val="none"/>
                    </w:rPr>
                    <w:t>。</w:t>
                  </w:r>
                </w:p>
              </w:tc>
              <w:tc>
                <w:tcPr>
                  <w:tcW w:w="278" w:type="pct"/>
                  <w:vAlign w:val="center"/>
                </w:tcPr>
                <w:p w14:paraId="36E91E45">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25CC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1" w:type="pct"/>
                  <w:vMerge w:val="continue"/>
                  <w:vAlign w:val="center"/>
                </w:tcPr>
                <w:p w14:paraId="26391F03">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p>
              </w:tc>
              <w:tc>
                <w:tcPr>
                  <w:tcW w:w="406" w:type="pct"/>
                  <w:vMerge w:val="continue"/>
                  <w:vAlign w:val="center"/>
                </w:tcPr>
                <w:p w14:paraId="257FAA29">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p>
              </w:tc>
              <w:tc>
                <w:tcPr>
                  <w:tcW w:w="320" w:type="pct"/>
                  <w:vAlign w:val="center"/>
                </w:tcPr>
                <w:p w14:paraId="306DEC62">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资游利用效率</w:t>
                  </w:r>
                </w:p>
              </w:tc>
              <w:tc>
                <w:tcPr>
                  <w:tcW w:w="2007" w:type="pct"/>
                  <w:shd w:val="clear" w:color="auto" w:fill="auto"/>
                  <w:vAlign w:val="center"/>
                </w:tcPr>
                <w:p w14:paraId="7D236FA5">
                  <w:pPr>
                    <w:keepNext w:val="0"/>
                    <w:keepLines w:val="0"/>
                    <w:pageBreakBefore w:val="0"/>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1、提高</w:t>
                  </w:r>
                  <w:r>
                    <w:rPr>
                      <w:rFonts w:hint="default" w:ascii="Times New Roman" w:hAnsi="Times New Roman" w:cs="Times New Roman"/>
                      <w:color w:val="auto"/>
                      <w:sz w:val="18"/>
                      <w:szCs w:val="18"/>
                      <w:highlight w:val="none"/>
                      <w:lang w:val="en-US" w:eastAsia="zh-CN"/>
                    </w:rPr>
                    <w:t>区域</w:t>
                  </w:r>
                  <w:r>
                    <w:rPr>
                      <w:rFonts w:hint="default" w:ascii="Times New Roman" w:hAnsi="Times New Roman" w:eastAsia="宋体" w:cs="Times New Roman"/>
                      <w:color w:val="auto"/>
                      <w:sz w:val="18"/>
                      <w:szCs w:val="18"/>
                      <w:highlight w:val="none"/>
                      <w:lang w:val="en-US" w:eastAsia="zh-CN"/>
                    </w:rPr>
                    <w:t>中水</w:t>
                  </w:r>
                  <w:r>
                    <w:rPr>
                      <w:rFonts w:hint="default" w:ascii="Times New Roman" w:hAnsi="Times New Roman" w:cs="Times New Roman"/>
                      <w:color w:val="auto"/>
                      <w:sz w:val="18"/>
                      <w:szCs w:val="18"/>
                      <w:highlight w:val="none"/>
                      <w:lang w:val="en-US" w:eastAsia="zh-CN"/>
                    </w:rPr>
                    <w:t>使用比例</w:t>
                  </w:r>
                  <w:r>
                    <w:rPr>
                      <w:rFonts w:hint="default" w:ascii="Times New Roman" w:hAnsi="Times New Roman" w:eastAsia="宋体" w:cs="Times New Roman"/>
                      <w:color w:val="auto"/>
                      <w:sz w:val="18"/>
                      <w:szCs w:val="18"/>
                      <w:highlight w:val="none"/>
                      <w:lang w:val="en-US" w:eastAsia="zh-CN"/>
                    </w:rPr>
                    <w:t>。</w:t>
                  </w:r>
                </w:p>
                <w:p w14:paraId="0B7E2487">
                  <w:pPr>
                    <w:keepNext w:val="0"/>
                    <w:keepLines w:val="0"/>
                    <w:pageBreakBefore w:val="0"/>
                    <w:suppressLineNumbers w:val="0"/>
                    <w:kinsoku/>
                    <w:wordWrap/>
                    <w:overflowPunct/>
                    <w:topLinePunct w:val="0"/>
                    <w:bidi w:val="0"/>
                    <w:snapToGrid/>
                    <w:spacing w:before="0" w:beforeAutospacing="0" w:after="0" w:afterAutospacing="0" w:line="240" w:lineRule="exact"/>
                    <w:ind w:left="0" w:leftChars="0" w:right="0" w:rightChars="0"/>
                    <w:jc w:val="left"/>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3、</w:t>
                  </w:r>
                  <w:r>
                    <w:rPr>
                      <w:rFonts w:hint="default" w:ascii="Times New Roman" w:hAnsi="Times New Roman" w:cs="Times New Roman"/>
                      <w:color w:val="auto"/>
                      <w:sz w:val="18"/>
                      <w:szCs w:val="18"/>
                      <w:highlight w:val="none"/>
                      <w:lang w:val="en-US" w:eastAsia="zh-CN"/>
                    </w:rPr>
                    <w:t>鼓励开展余热利用，提高能源利用效率</w:t>
                  </w:r>
                  <w:r>
                    <w:rPr>
                      <w:rFonts w:hint="default" w:ascii="Times New Roman" w:hAnsi="Times New Roman" w:eastAsia="宋体" w:cs="Times New Roman"/>
                      <w:color w:val="auto"/>
                      <w:sz w:val="18"/>
                      <w:szCs w:val="18"/>
                      <w:highlight w:val="none"/>
                      <w:lang w:val="en-US" w:eastAsia="zh-CN"/>
                    </w:rPr>
                    <w:t>。</w:t>
                  </w:r>
                </w:p>
              </w:tc>
              <w:tc>
                <w:tcPr>
                  <w:tcW w:w="1686" w:type="pct"/>
                  <w:shd w:val="clear" w:color="auto" w:fill="auto"/>
                  <w:vAlign w:val="center"/>
                </w:tcPr>
                <w:p w14:paraId="32EC8A05">
                  <w:pPr>
                    <w:keepNext w:val="0"/>
                    <w:keepLines w:val="0"/>
                    <w:pageBreakBefore w:val="0"/>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1、不涉及。</w:t>
                  </w:r>
                </w:p>
                <w:p w14:paraId="00EACE39">
                  <w:pPr>
                    <w:keepNext w:val="0"/>
                    <w:keepLines w:val="0"/>
                    <w:pageBreakBefore w:val="0"/>
                    <w:suppressLineNumbers w:val="0"/>
                    <w:kinsoku/>
                    <w:wordWrap/>
                    <w:overflowPunct/>
                    <w:topLinePunct w:val="0"/>
                    <w:bidi w:val="0"/>
                    <w:snapToGrid/>
                    <w:spacing w:before="0" w:beforeAutospacing="0" w:after="0" w:afterAutospacing="0" w:line="240" w:lineRule="exact"/>
                    <w:ind w:left="0" w:leftChars="0" w:right="0" w:rightChars="0"/>
                    <w:jc w:val="left"/>
                    <w:textAlignment w:val="auto"/>
                    <w:rPr>
                      <w:rFonts w:hint="default" w:ascii="Times New Roman" w:hAnsi="Times New Roman" w:eastAsia="宋体" w:cs="Times New Roman"/>
                      <w:color w:val="auto"/>
                      <w:kern w:val="2"/>
                      <w:sz w:val="18"/>
                      <w:szCs w:val="18"/>
                      <w:highlight w:val="none"/>
                      <w:lang w:val="zh-CN" w:eastAsia="zh-CN" w:bidi="ar-SA"/>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eastAsia="宋体" w:cs="Times New Roman"/>
                      <w:color w:val="auto"/>
                      <w:sz w:val="18"/>
                      <w:szCs w:val="18"/>
                      <w:highlight w:val="none"/>
                      <w:lang w:val="en-US" w:eastAsia="zh-CN"/>
                    </w:rPr>
                    <w:t>、本项目</w:t>
                  </w:r>
                  <w:r>
                    <w:rPr>
                      <w:rFonts w:hint="default" w:ascii="Times New Roman" w:hAnsi="Times New Roman" w:cs="Times New Roman"/>
                      <w:color w:val="auto"/>
                      <w:sz w:val="18"/>
                      <w:szCs w:val="18"/>
                      <w:highlight w:val="none"/>
                      <w:lang w:val="en-US" w:eastAsia="zh-CN"/>
                    </w:rPr>
                    <w:t>生产不用热，办公采暖采用空调，不涉及余热使用</w:t>
                  </w:r>
                  <w:r>
                    <w:rPr>
                      <w:rFonts w:hint="default" w:ascii="Times New Roman" w:hAnsi="Times New Roman" w:eastAsia="宋体" w:cs="Times New Roman"/>
                      <w:color w:val="auto"/>
                      <w:sz w:val="18"/>
                      <w:szCs w:val="18"/>
                      <w:highlight w:val="none"/>
                      <w:lang w:val="en-US" w:eastAsia="zh-CN"/>
                    </w:rPr>
                    <w:t>。</w:t>
                  </w:r>
                </w:p>
              </w:tc>
              <w:tc>
                <w:tcPr>
                  <w:tcW w:w="278" w:type="pct"/>
                  <w:vAlign w:val="center"/>
                </w:tcPr>
                <w:p w14:paraId="060BA5D8">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lang w:val="zh-CN"/>
                    </w:rPr>
                  </w:pPr>
                  <w:r>
                    <w:rPr>
                      <w:rFonts w:hint="default" w:ascii="Times New Roman" w:hAnsi="Times New Roman" w:eastAsia="宋体" w:cs="Times New Roman"/>
                      <w:color w:val="auto"/>
                      <w:sz w:val="18"/>
                      <w:szCs w:val="18"/>
                      <w:highlight w:val="none"/>
                      <w:lang w:val="zh-CN"/>
                    </w:rPr>
                    <w:t>符合</w:t>
                  </w:r>
                </w:p>
              </w:tc>
            </w:tr>
          </w:tbl>
          <w:p w14:paraId="7606106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因此，本项目符合</w:t>
            </w:r>
            <w:r>
              <w:rPr>
                <w:rFonts w:hint="default" w:ascii="Times New Roman" w:hAnsi="Times New Roman" w:eastAsia="宋体" w:cs="Times New Roman"/>
                <w:b w:val="0"/>
                <w:bCs w:val="0"/>
                <w:color w:val="auto"/>
                <w:kern w:val="0"/>
                <w:sz w:val="24"/>
                <w:szCs w:val="24"/>
                <w:highlight w:val="none"/>
                <w:lang w:val="en-US" w:eastAsia="zh-CN"/>
              </w:rPr>
              <w:t>《石家庄市生态环境准入清单 （2023年版）》</w:t>
            </w:r>
            <w:r>
              <w:rPr>
                <w:rFonts w:hint="default" w:ascii="Times New Roman" w:hAnsi="Times New Roman" w:eastAsia="宋体" w:cs="Times New Roman"/>
                <w:color w:val="auto"/>
                <w:kern w:val="0"/>
                <w:sz w:val="24"/>
                <w:highlight w:val="none"/>
                <w:lang w:val="en-US" w:eastAsia="zh-CN"/>
              </w:rPr>
              <w:t>相关要求。</w:t>
            </w:r>
            <w:r>
              <w:rPr>
                <w:rFonts w:hint="default" w:ascii="Times New Roman" w:hAnsi="Times New Roman" w:eastAsia="宋体" w:cs="Times New Roman"/>
                <w:color w:val="auto"/>
                <w:sz w:val="24"/>
                <w:highlight w:val="none"/>
                <w:lang w:val="en-US" w:eastAsia="zh-CN"/>
              </w:rPr>
              <w:t>园区（丰达片区）分区管控图见附图7，石家庄市“三线一单”见附图8。</w:t>
            </w:r>
          </w:p>
          <w:p w14:paraId="046EF91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cs="Times New Roman"/>
                <w:b/>
                <w:bCs/>
                <w:color w:val="auto"/>
                <w:kern w:val="0"/>
                <w:sz w:val="24"/>
                <w:highlight w:val="none"/>
                <w:lang w:val="en-US" w:eastAsia="zh-CN"/>
              </w:rPr>
              <w:t>四、</w:t>
            </w:r>
            <w:r>
              <w:rPr>
                <w:rFonts w:hint="default" w:ascii="Times New Roman" w:hAnsi="Times New Roman" w:eastAsia="宋体" w:cs="Times New Roman"/>
                <w:b/>
                <w:bCs/>
                <w:color w:val="auto"/>
                <w:sz w:val="24"/>
                <w:highlight w:val="none"/>
                <w:lang w:val="en-US" w:eastAsia="zh-CN"/>
              </w:rPr>
              <w:t>与水源保护区相关</w:t>
            </w:r>
            <w:r>
              <w:rPr>
                <w:rFonts w:hint="default" w:ascii="Times New Roman" w:hAnsi="Times New Roman" w:cs="Times New Roman"/>
                <w:b/>
                <w:bCs/>
                <w:color w:val="auto"/>
                <w:sz w:val="24"/>
                <w:highlight w:val="none"/>
                <w:lang w:val="en-US" w:eastAsia="zh-CN"/>
              </w:rPr>
              <w:t>要求</w:t>
            </w:r>
            <w:r>
              <w:rPr>
                <w:rFonts w:hint="default" w:ascii="Times New Roman" w:hAnsi="Times New Roman" w:eastAsia="宋体" w:cs="Times New Roman"/>
                <w:b/>
                <w:bCs/>
                <w:color w:val="auto"/>
                <w:sz w:val="24"/>
                <w:highlight w:val="none"/>
                <w:lang w:val="en-US" w:eastAsia="zh-CN"/>
              </w:rPr>
              <w:t>符合性分析</w:t>
            </w:r>
          </w:p>
          <w:p w14:paraId="32781701">
            <w:pPr>
              <w:autoSpaceDE w:val="0"/>
              <w:autoSpaceDN w:val="0"/>
              <w:spacing w:line="4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本项目东侧距离冶</w:t>
            </w:r>
            <w:r>
              <w:rPr>
                <w:rFonts w:hint="default" w:ascii="Times New Roman" w:hAnsi="Times New Roman" w:eastAsia="宋体" w:cs="Times New Roman"/>
                <w:color w:val="auto"/>
                <w:sz w:val="24"/>
                <w:highlight w:val="none"/>
                <w:lang w:eastAsia="zh-CN"/>
              </w:rPr>
              <w:t>河约</w:t>
            </w:r>
            <w:r>
              <w:rPr>
                <w:rFonts w:hint="default" w:ascii="Times New Roman" w:hAnsi="Times New Roman" w:eastAsia="宋体" w:cs="Times New Roman"/>
                <w:color w:val="auto"/>
                <w:sz w:val="24"/>
                <w:highlight w:val="none"/>
                <w:lang w:val="en-US" w:eastAsia="zh-CN"/>
              </w:rPr>
              <w:t>3.7km，</w:t>
            </w:r>
            <w:r>
              <w:rPr>
                <w:rFonts w:hint="default" w:ascii="Times New Roman" w:hAnsi="Times New Roman" w:cs="Times New Roman"/>
                <w:color w:val="auto"/>
                <w:sz w:val="24"/>
                <w:highlight w:val="none"/>
              </w:rPr>
              <w:t>根据石家庄市饮用水水源保护区划，本项目位于石家庄市饮用水水源保护区地表水准保护区内，本项目与水源保护区位置关系图详见附图</w:t>
            </w:r>
            <w:r>
              <w:rPr>
                <w:rFonts w:hint="default" w:ascii="Times New Roman" w:hAnsi="Times New Roman" w:cs="Times New Roman"/>
                <w:color w:val="auto"/>
                <w:sz w:val="24"/>
                <w:highlight w:val="none"/>
                <w:lang w:val="en-US" w:eastAsia="zh-CN"/>
              </w:rPr>
              <w:t>9</w:t>
            </w:r>
            <w:r>
              <w:rPr>
                <w:rFonts w:hint="default" w:ascii="Times New Roman" w:hAnsi="Times New Roman" w:cs="Times New Roman"/>
                <w:color w:val="auto"/>
                <w:sz w:val="24"/>
                <w:highlight w:val="none"/>
              </w:rPr>
              <w:t>。</w:t>
            </w:r>
          </w:p>
          <w:p w14:paraId="4B807230">
            <w:pPr>
              <w:keepNext w:val="0"/>
              <w:keepLines w:val="0"/>
              <w:pageBreakBefore w:val="0"/>
              <w:widowControl/>
              <w:kinsoku/>
              <w:wordWrap/>
              <w:overflowPunct/>
              <w:topLinePunct w:val="0"/>
              <w:autoSpaceDE/>
              <w:autoSpaceDN/>
              <w:bidi w:val="0"/>
              <w:adjustRightInd w:val="0"/>
              <w:snapToGrid/>
              <w:spacing w:line="46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①与《中华人民共和国水污染防治法》符合性分析</w:t>
            </w:r>
          </w:p>
          <w:p w14:paraId="06B61E24">
            <w:pPr>
              <w:keepNext w:val="0"/>
              <w:keepLines w:val="0"/>
              <w:pageBreakBefore w:val="0"/>
              <w:widowControl/>
              <w:kinsoku/>
              <w:wordWrap/>
              <w:overflowPunct/>
              <w:topLinePunct w:val="0"/>
              <w:autoSpaceDE/>
              <w:autoSpaceDN/>
              <w:bidi w:val="0"/>
              <w:adjustRightInd w:val="0"/>
              <w:snapToGrid/>
              <w:spacing w:line="46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根据《中华人民共和国水污染防治法》（2017年6月27日修正）：</w:t>
            </w:r>
          </w:p>
          <w:p w14:paraId="0B7256C8">
            <w:pPr>
              <w:keepNext w:val="0"/>
              <w:keepLines w:val="0"/>
              <w:pageBreakBefore w:val="0"/>
              <w:widowControl/>
              <w:kinsoku/>
              <w:wordWrap/>
              <w:overflowPunct/>
              <w:topLinePunct w:val="0"/>
              <w:autoSpaceDE/>
              <w:autoSpaceDN/>
              <w:bidi w:val="0"/>
              <w:adjustRightInd w:val="0"/>
              <w:snapToGrid/>
              <w:spacing w:line="460" w:lineRule="exact"/>
              <w:ind w:firstLine="480" w:firstLineChars="200"/>
              <w:textAlignment w:val="baseline"/>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第四十二条规定：</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国家禁止新建不符合国家产业政策的小型造纸、制革、印染、染料、炼焦、炼硫、炼砷、炼汞、炼油、电镀、农药、石棉、水泥、玻璃、钢铁、火电以及其他严重污染水环境的生产项目。</w:t>
            </w:r>
            <w:r>
              <w:rPr>
                <w:rFonts w:hint="default" w:ascii="Times New Roman" w:hAnsi="Times New Roman" w:cs="Times New Roman"/>
                <w:color w:val="auto"/>
                <w:sz w:val="24"/>
                <w:highlight w:val="none"/>
                <w:lang w:eastAsia="zh-CN"/>
              </w:rPr>
              <w:t>”</w:t>
            </w:r>
          </w:p>
          <w:p w14:paraId="17B2804F">
            <w:pPr>
              <w:keepNext w:val="0"/>
              <w:keepLines w:val="0"/>
              <w:pageBreakBefore w:val="0"/>
              <w:widowControl/>
              <w:kinsoku/>
              <w:wordWrap/>
              <w:overflowPunct/>
              <w:topLinePunct w:val="0"/>
              <w:autoSpaceDE/>
              <w:autoSpaceDN/>
              <w:bidi w:val="0"/>
              <w:adjustRightInd w:val="0"/>
              <w:snapToGrid/>
              <w:spacing w:line="46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第六十四条规定：“在饮用水水源保护区内，禁止设置排污口”。</w:t>
            </w:r>
          </w:p>
          <w:p w14:paraId="141E18F9">
            <w:pPr>
              <w:keepNext w:val="0"/>
              <w:keepLines w:val="0"/>
              <w:pageBreakBefore w:val="0"/>
              <w:widowControl/>
              <w:kinsoku/>
              <w:wordWrap/>
              <w:overflowPunct/>
              <w:topLinePunct w:val="0"/>
              <w:autoSpaceDE/>
              <w:autoSpaceDN/>
              <w:bidi w:val="0"/>
              <w:adjustRightInd w:val="0"/>
              <w:snapToGrid/>
              <w:spacing w:line="46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第六十七条规定：“禁止在饮用水水源准保护区内新建、扩建对水体污染严重的建设项目；改建建设项目，不得增加排污量。”</w:t>
            </w:r>
          </w:p>
          <w:p w14:paraId="254E9D8F">
            <w:pPr>
              <w:keepNext w:val="0"/>
              <w:keepLines w:val="0"/>
              <w:pageBreakBefore w:val="0"/>
              <w:widowControl/>
              <w:kinsoku/>
              <w:wordWrap/>
              <w:overflowPunct/>
              <w:topLinePunct w:val="0"/>
              <w:autoSpaceDE/>
              <w:autoSpaceDN/>
              <w:bidi w:val="0"/>
              <w:adjustRightInd w:val="0"/>
              <w:snapToGrid/>
              <w:spacing w:line="460" w:lineRule="exact"/>
              <w:ind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本项目为新建项目，属于</w:t>
            </w:r>
            <w:r>
              <w:rPr>
                <w:rFonts w:hint="default" w:ascii="Times New Roman" w:hAnsi="Times New Roman" w:cs="Times New Roman"/>
                <w:color w:val="auto"/>
                <w:sz w:val="24"/>
                <w:szCs w:val="24"/>
                <w:highlight w:val="none"/>
                <w:lang w:eastAsia="zh-CN"/>
              </w:rPr>
              <w:t>非金属矿物制品</w:t>
            </w:r>
            <w:r>
              <w:rPr>
                <w:rFonts w:hint="default" w:ascii="Times New Roman" w:hAnsi="Times New Roman" w:cs="Times New Roman"/>
                <w:color w:val="auto"/>
                <w:sz w:val="24"/>
                <w:highlight w:val="none"/>
              </w:rPr>
              <w:t>业</w:t>
            </w:r>
            <w:r>
              <w:rPr>
                <w:rFonts w:hint="default" w:ascii="Times New Roman" w:hAnsi="Times New Roman" w:cs="Times New Roman"/>
                <w:color w:val="auto"/>
                <w:sz w:val="24"/>
                <w:highlight w:val="none"/>
                <w:lang w:val="en-US" w:eastAsia="zh-CN"/>
              </w:rPr>
              <w:t>，不属于对水体污染严重的建设项目。</w:t>
            </w:r>
            <w:r>
              <w:rPr>
                <w:rFonts w:hint="default" w:ascii="Times New Roman" w:hAnsi="Times New Roman" w:cs="Times New Roman"/>
                <w:color w:val="auto"/>
                <w:sz w:val="24"/>
                <w:szCs w:val="24"/>
                <w:highlight w:val="none"/>
              </w:rPr>
              <w:t>项目</w:t>
            </w:r>
            <w:r>
              <w:rPr>
                <w:rFonts w:hint="default" w:ascii="Times New Roman" w:hAnsi="Times New Roman" w:cs="Times New Roman"/>
                <w:color w:val="auto"/>
                <w:sz w:val="24"/>
                <w:szCs w:val="24"/>
                <w:highlight w:val="none"/>
                <w:lang w:eastAsia="zh-CN"/>
              </w:rPr>
              <w:t>生产废水全部回用，不外排，</w:t>
            </w:r>
            <w:r>
              <w:rPr>
                <w:rFonts w:hint="default" w:ascii="Times New Roman" w:hAnsi="Times New Roman" w:cs="Times New Roman"/>
                <w:color w:val="auto"/>
                <w:sz w:val="24"/>
                <w:szCs w:val="24"/>
                <w:highlight w:val="none"/>
              </w:rPr>
              <w:t>生活污水排入化粪池，清掏处理</w:t>
            </w:r>
            <w:r>
              <w:rPr>
                <w:rFonts w:hint="default" w:ascii="Times New Roman" w:hAnsi="Times New Roman" w:cs="Times New Roman"/>
                <w:color w:val="auto"/>
                <w:sz w:val="24"/>
                <w:highlight w:val="none"/>
                <w:lang w:val="en-US" w:eastAsia="zh-CN"/>
              </w:rPr>
              <w:t>不外排，不向地表水体排放废水，不设置废水排污口，符合《中华人民共和国水污染防治法》的相关要求。</w:t>
            </w:r>
          </w:p>
          <w:p w14:paraId="51AC6E3B">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②与《河北省水污染防治条例》符合性分析</w:t>
            </w:r>
          </w:p>
          <w:p w14:paraId="1A91E21B">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根据《河北省水污染防治条例》（2018年5月31日修订）：</w:t>
            </w:r>
          </w:p>
          <w:p w14:paraId="21894DA4">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第十七条规定：“禁止在饮用水水源准保护区内新建、扩建对水体污染严重的建设项目；改建建设项目，不得增加排污量”，</w:t>
            </w:r>
          </w:p>
          <w:p w14:paraId="6F58F66B">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第十八条规定：“禁止在饮用水水源保护区内设置排污口”。</w:t>
            </w:r>
          </w:p>
          <w:p w14:paraId="65ADB799">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本项目为新建项目，属于</w:t>
            </w:r>
            <w:r>
              <w:rPr>
                <w:rFonts w:hint="default" w:ascii="Times New Roman" w:hAnsi="Times New Roman" w:cs="Times New Roman"/>
                <w:color w:val="auto"/>
                <w:sz w:val="24"/>
                <w:szCs w:val="24"/>
                <w:highlight w:val="none"/>
                <w:lang w:eastAsia="zh-CN"/>
              </w:rPr>
              <w:t>非金属矿物制品</w:t>
            </w:r>
            <w:r>
              <w:rPr>
                <w:rFonts w:hint="default" w:ascii="Times New Roman" w:hAnsi="Times New Roman" w:cs="Times New Roman"/>
                <w:color w:val="auto"/>
                <w:sz w:val="24"/>
                <w:highlight w:val="none"/>
              </w:rPr>
              <w:t>业</w:t>
            </w:r>
            <w:r>
              <w:rPr>
                <w:rFonts w:hint="default" w:ascii="Times New Roman" w:hAnsi="Times New Roman" w:cs="Times New Roman"/>
                <w:color w:val="auto"/>
                <w:sz w:val="24"/>
                <w:highlight w:val="none"/>
                <w:lang w:val="en-US" w:eastAsia="zh-CN"/>
              </w:rPr>
              <w:t>，不属于对水体污染严重的建设项目。</w:t>
            </w:r>
            <w:r>
              <w:rPr>
                <w:rFonts w:hint="default" w:ascii="Times New Roman" w:hAnsi="Times New Roman" w:cs="Times New Roman"/>
                <w:color w:val="auto"/>
                <w:sz w:val="24"/>
                <w:szCs w:val="24"/>
                <w:highlight w:val="none"/>
              </w:rPr>
              <w:t>项目</w:t>
            </w:r>
            <w:r>
              <w:rPr>
                <w:rFonts w:hint="default" w:ascii="Times New Roman" w:hAnsi="Times New Roman" w:cs="Times New Roman"/>
                <w:color w:val="auto"/>
                <w:sz w:val="24"/>
                <w:szCs w:val="24"/>
                <w:highlight w:val="none"/>
                <w:lang w:eastAsia="zh-CN"/>
              </w:rPr>
              <w:t>生产废水全部回用，不外排，</w:t>
            </w:r>
            <w:r>
              <w:rPr>
                <w:rFonts w:hint="default" w:ascii="Times New Roman" w:hAnsi="Times New Roman" w:cs="Times New Roman"/>
                <w:color w:val="auto"/>
                <w:sz w:val="24"/>
                <w:szCs w:val="24"/>
                <w:highlight w:val="none"/>
              </w:rPr>
              <w:t>生活污水排入化粪池，清掏处理</w:t>
            </w:r>
            <w:r>
              <w:rPr>
                <w:rFonts w:hint="default" w:ascii="Times New Roman" w:hAnsi="Times New Roman" w:cs="Times New Roman"/>
                <w:color w:val="auto"/>
                <w:sz w:val="24"/>
                <w:highlight w:val="none"/>
                <w:lang w:val="en-US" w:eastAsia="zh-CN"/>
              </w:rPr>
              <w:t>不外排，不向地表水体排放废水，不设置废水排污口，符合《河北省水污染防治条例》的相关要求。</w:t>
            </w:r>
          </w:p>
          <w:p w14:paraId="70135C30">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③《饮用水水源保护区污染防治管理规定》</w:t>
            </w:r>
          </w:p>
          <w:p w14:paraId="3D1B4AF8">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根据《饮用水水源保护区污染防治管理规定》中第十二条规定：“在准保护区，禁止新建、扩建对水体污染严重的建设项目；改建建设项目，不得增加排污量。”</w:t>
            </w:r>
          </w:p>
          <w:p w14:paraId="06581910">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本项目为新建项目，属于</w:t>
            </w:r>
            <w:r>
              <w:rPr>
                <w:rFonts w:hint="default" w:ascii="Times New Roman" w:hAnsi="Times New Roman" w:cs="Times New Roman"/>
                <w:color w:val="auto"/>
                <w:sz w:val="24"/>
                <w:szCs w:val="24"/>
                <w:highlight w:val="none"/>
                <w:lang w:eastAsia="zh-CN"/>
              </w:rPr>
              <w:t>非金属矿物制品</w:t>
            </w:r>
            <w:r>
              <w:rPr>
                <w:rFonts w:hint="default" w:ascii="Times New Roman" w:hAnsi="Times New Roman" w:cs="Times New Roman"/>
                <w:color w:val="auto"/>
                <w:sz w:val="24"/>
                <w:highlight w:val="none"/>
              </w:rPr>
              <w:t>业</w:t>
            </w:r>
            <w:r>
              <w:rPr>
                <w:rFonts w:hint="default" w:ascii="Times New Roman" w:hAnsi="Times New Roman" w:cs="Times New Roman"/>
                <w:color w:val="auto"/>
                <w:sz w:val="24"/>
                <w:highlight w:val="none"/>
                <w:lang w:val="en-US" w:eastAsia="zh-CN"/>
              </w:rPr>
              <w:t>，不属于对水体污染严重的建设项目。</w:t>
            </w:r>
            <w:r>
              <w:rPr>
                <w:rFonts w:hint="default" w:ascii="Times New Roman" w:hAnsi="Times New Roman" w:cs="Times New Roman"/>
                <w:color w:val="auto"/>
                <w:sz w:val="24"/>
                <w:szCs w:val="24"/>
                <w:highlight w:val="none"/>
              </w:rPr>
              <w:t>项目</w:t>
            </w:r>
            <w:r>
              <w:rPr>
                <w:rFonts w:hint="default" w:ascii="Times New Roman" w:hAnsi="Times New Roman" w:cs="Times New Roman"/>
                <w:color w:val="auto"/>
                <w:sz w:val="24"/>
                <w:szCs w:val="24"/>
                <w:highlight w:val="none"/>
                <w:lang w:eastAsia="zh-CN"/>
              </w:rPr>
              <w:t>生产废水全部回用，不外排，</w:t>
            </w:r>
            <w:r>
              <w:rPr>
                <w:rFonts w:hint="default" w:ascii="Times New Roman" w:hAnsi="Times New Roman" w:cs="Times New Roman"/>
                <w:color w:val="auto"/>
                <w:sz w:val="24"/>
                <w:szCs w:val="24"/>
                <w:highlight w:val="none"/>
              </w:rPr>
              <w:t>生活污水排入化粪池，清掏处理</w:t>
            </w:r>
            <w:r>
              <w:rPr>
                <w:rFonts w:hint="default" w:ascii="Times New Roman" w:hAnsi="Times New Roman" w:cs="Times New Roman"/>
                <w:color w:val="auto"/>
                <w:sz w:val="24"/>
                <w:highlight w:val="none"/>
                <w:lang w:val="en-US" w:eastAsia="zh-CN"/>
              </w:rPr>
              <w:t>不外排，不向地表水体排放废水，不设置废水排污口，符合《饮用水水源保护区污染防治管理规定》的要求。</w:t>
            </w:r>
          </w:p>
          <w:p w14:paraId="69D5B696">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 xml:space="preserve">④与《石家庄市岗南、黄壁庄水库水源污染防治条例》符合性分析 </w:t>
            </w:r>
          </w:p>
          <w:p w14:paraId="13EEFFC5">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根据《石家庄市岗南、黄壁庄水库水源污染防治条例》第十四条“在两库饮用水水源二级保护区和准保护区内建设其它项目，建设单位应当向县级以上人民政府环境保护行政主管部门报送环境影响评价文件，未经批准的，不得兴建。”本项目符合产业政策，不属于禁止建设内容，按照要求报送环境影响评价文件，经批准后，方可兴建。</w:t>
            </w:r>
          </w:p>
          <w:p w14:paraId="0AD2F73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综上所述，</w:t>
            </w:r>
            <w:r>
              <w:rPr>
                <w:rFonts w:hint="default" w:ascii="Times New Roman" w:hAnsi="Times New Roman" w:cs="Times New Roman"/>
                <w:color w:val="auto"/>
                <w:sz w:val="24"/>
                <w:highlight w:val="none"/>
              </w:rPr>
              <w:t>本项目</w:t>
            </w:r>
            <w:r>
              <w:rPr>
                <w:rFonts w:hint="default" w:ascii="Times New Roman" w:hAnsi="Times New Roman" w:cs="Times New Roman"/>
                <w:color w:val="auto"/>
                <w:sz w:val="24"/>
                <w:highlight w:val="none"/>
                <w:lang w:eastAsia="zh-CN"/>
              </w:rPr>
              <w:t>符合</w:t>
            </w:r>
            <w:r>
              <w:rPr>
                <w:rFonts w:hint="default" w:ascii="Times New Roman" w:hAnsi="Times New Roman" w:cs="Times New Roman"/>
                <w:color w:val="auto"/>
                <w:sz w:val="24"/>
                <w:highlight w:val="none"/>
              </w:rPr>
              <w:t>饮用水水源保护区相关要求。</w:t>
            </w:r>
          </w:p>
          <w:p w14:paraId="0815CBC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val="en-US" w:eastAsia="zh-CN"/>
              </w:rPr>
              <w:t>五、其它</w:t>
            </w:r>
            <w:r>
              <w:rPr>
                <w:rFonts w:hint="default" w:ascii="Times New Roman" w:hAnsi="Times New Roman" w:cs="Times New Roman"/>
                <w:b/>
                <w:bCs/>
                <w:color w:val="auto"/>
                <w:kern w:val="0"/>
                <w:sz w:val="24"/>
                <w:highlight w:val="none"/>
              </w:rPr>
              <w:t>环境管理政策的符合性分析</w:t>
            </w:r>
          </w:p>
          <w:p w14:paraId="3B9253C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rPr>
              <w:t>（1）</w:t>
            </w:r>
            <w:r>
              <w:rPr>
                <w:rFonts w:hint="default" w:ascii="Times New Roman" w:hAnsi="Times New Roman" w:cs="Times New Roman"/>
                <w:color w:val="auto"/>
                <w:kern w:val="0"/>
                <w:sz w:val="24"/>
                <w:highlight w:val="none"/>
                <w:lang w:eastAsia="zh-CN"/>
              </w:rPr>
              <w:t>相关环境管理要求符合性分析</w:t>
            </w:r>
          </w:p>
          <w:p w14:paraId="443E33A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本项目与</w:t>
            </w:r>
            <w:r>
              <w:rPr>
                <w:rFonts w:hint="default" w:ascii="Times New Roman" w:hAnsi="Times New Roman" w:cs="Times New Roman"/>
                <w:color w:val="auto"/>
                <w:kern w:val="0"/>
                <w:sz w:val="24"/>
                <w:highlight w:val="none"/>
                <w:lang w:eastAsia="zh-CN"/>
              </w:rPr>
              <w:t>相关环境管理要求</w:t>
            </w:r>
            <w:r>
              <w:rPr>
                <w:rFonts w:hint="default" w:ascii="Times New Roman" w:hAnsi="Times New Roman" w:cs="Times New Roman"/>
                <w:color w:val="auto"/>
                <w:kern w:val="0"/>
                <w:sz w:val="24"/>
                <w:highlight w:val="none"/>
              </w:rPr>
              <w:t>符合性分析见下表。</w:t>
            </w:r>
          </w:p>
          <w:p w14:paraId="75889BA3">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jc w:val="center"/>
              <w:textAlignment w:val="auto"/>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表</w:t>
            </w:r>
            <w:r>
              <w:rPr>
                <w:rFonts w:hint="default" w:ascii="Times New Roman" w:hAnsi="Times New Roman" w:eastAsia="宋体" w:cs="Times New Roman"/>
                <w:b/>
                <w:bCs/>
                <w:color w:val="auto"/>
                <w:kern w:val="0"/>
                <w:sz w:val="24"/>
                <w:highlight w:val="none"/>
                <w:lang w:val="en-US" w:eastAsia="zh-CN"/>
              </w:rPr>
              <w:t>1-</w:t>
            </w:r>
            <w:r>
              <w:rPr>
                <w:rFonts w:hint="default" w:ascii="Times New Roman" w:hAnsi="Times New Roman" w:cs="Times New Roman"/>
                <w:b/>
                <w:bCs/>
                <w:color w:val="auto"/>
                <w:kern w:val="0"/>
                <w:sz w:val="24"/>
                <w:highlight w:val="none"/>
                <w:lang w:val="en-US" w:eastAsia="zh-CN"/>
              </w:rPr>
              <w:t xml:space="preserve">9  </w:t>
            </w:r>
            <w:r>
              <w:rPr>
                <w:rFonts w:hint="default" w:ascii="Times New Roman" w:hAnsi="Times New Roman" w:eastAsia="宋体" w:cs="Times New Roman"/>
                <w:b/>
                <w:bCs/>
                <w:color w:val="auto"/>
                <w:kern w:val="0"/>
                <w:sz w:val="24"/>
                <w:highlight w:val="none"/>
              </w:rPr>
              <w:t>本项目与</w:t>
            </w:r>
            <w:r>
              <w:rPr>
                <w:rFonts w:hint="default" w:ascii="Times New Roman" w:hAnsi="Times New Roman" w:cs="Times New Roman"/>
                <w:b/>
                <w:bCs/>
                <w:color w:val="auto"/>
                <w:kern w:val="0"/>
                <w:sz w:val="24"/>
                <w:highlight w:val="none"/>
                <w:lang w:eastAsia="zh-CN"/>
              </w:rPr>
              <w:t>相关环境管理要求</w:t>
            </w:r>
            <w:r>
              <w:rPr>
                <w:rFonts w:hint="default" w:ascii="Times New Roman" w:hAnsi="Times New Roman" w:eastAsia="宋体" w:cs="Times New Roman"/>
                <w:b/>
                <w:bCs/>
                <w:color w:val="auto"/>
                <w:kern w:val="0"/>
                <w:sz w:val="24"/>
                <w:highlight w:val="none"/>
              </w:rPr>
              <w:t>符合性分析</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5036"/>
              <w:gridCol w:w="1536"/>
              <w:gridCol w:w="476"/>
            </w:tblGrid>
            <w:tr w14:paraId="1914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5" w:type="pct"/>
                  <w:tcBorders>
                    <w:tl2br w:val="nil"/>
                    <w:tr2bl w:val="nil"/>
                  </w:tcBorders>
                  <w:noWrap/>
                  <w:tcMar>
                    <w:left w:w="6" w:type="dxa"/>
                    <w:right w:w="6" w:type="dxa"/>
                  </w:tcMar>
                  <w:vAlign w:val="center"/>
                </w:tcPr>
                <w:p w14:paraId="5E287832">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文件</w:t>
                  </w:r>
                  <w:r>
                    <w:rPr>
                      <w:rFonts w:hint="default" w:ascii="Times New Roman" w:hAnsi="Times New Roman" w:eastAsia="宋体" w:cs="Times New Roman"/>
                      <w:color w:val="auto"/>
                      <w:kern w:val="2"/>
                      <w:sz w:val="18"/>
                      <w:szCs w:val="18"/>
                      <w:highlight w:val="none"/>
                      <w:lang w:val="en-US" w:eastAsia="zh-CN" w:bidi="ar-SA"/>
                    </w:rPr>
                    <w:t>名称</w:t>
                  </w:r>
                </w:p>
              </w:tc>
              <w:tc>
                <w:tcPr>
                  <w:tcW w:w="3132" w:type="pct"/>
                  <w:tcBorders>
                    <w:tl2br w:val="nil"/>
                    <w:tr2bl w:val="nil"/>
                  </w:tcBorders>
                  <w:noWrap/>
                  <w:tcMar>
                    <w:left w:w="6" w:type="dxa"/>
                    <w:right w:w="6" w:type="dxa"/>
                  </w:tcMar>
                  <w:vAlign w:val="center"/>
                </w:tcPr>
                <w:p w14:paraId="70E188D0">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政策要求</w:t>
                  </w:r>
                </w:p>
              </w:tc>
              <w:tc>
                <w:tcPr>
                  <w:tcW w:w="955" w:type="pct"/>
                  <w:tcBorders>
                    <w:tl2br w:val="nil"/>
                    <w:tr2bl w:val="nil"/>
                  </w:tcBorders>
                  <w:noWrap/>
                  <w:tcMar>
                    <w:left w:w="6" w:type="dxa"/>
                    <w:right w:w="6" w:type="dxa"/>
                  </w:tcMar>
                  <w:vAlign w:val="center"/>
                </w:tcPr>
                <w:p w14:paraId="59A873CF">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本项目</w:t>
                  </w:r>
                  <w:r>
                    <w:rPr>
                      <w:rFonts w:hint="default" w:ascii="Times New Roman" w:hAnsi="Times New Roman" w:cs="Times New Roman"/>
                      <w:color w:val="auto"/>
                      <w:kern w:val="2"/>
                      <w:sz w:val="18"/>
                      <w:szCs w:val="18"/>
                      <w:highlight w:val="none"/>
                      <w:lang w:val="en-US" w:eastAsia="zh-CN" w:bidi="ar-SA"/>
                    </w:rPr>
                    <w:t>情况</w:t>
                  </w:r>
                </w:p>
              </w:tc>
              <w:tc>
                <w:tcPr>
                  <w:tcW w:w="296" w:type="pct"/>
                  <w:tcBorders>
                    <w:tl2br w:val="nil"/>
                    <w:tr2bl w:val="nil"/>
                  </w:tcBorders>
                  <w:noWrap/>
                  <w:tcMar>
                    <w:top w:w="0" w:type="dxa"/>
                    <w:left w:w="6" w:type="dxa"/>
                    <w:bottom w:w="0" w:type="dxa"/>
                    <w:right w:w="6" w:type="dxa"/>
                  </w:tcMar>
                  <w:vAlign w:val="center"/>
                </w:tcPr>
                <w:p w14:paraId="12A58CAB">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符合性</w:t>
                  </w:r>
                </w:p>
              </w:tc>
            </w:tr>
            <w:tr w14:paraId="2DC3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615" w:type="pct"/>
                  <w:vMerge w:val="restart"/>
                  <w:tcBorders>
                    <w:tl2br w:val="nil"/>
                    <w:tr2bl w:val="nil"/>
                  </w:tcBorders>
                  <w:noWrap/>
                  <w:tcMar>
                    <w:left w:w="6" w:type="dxa"/>
                    <w:right w:w="6" w:type="dxa"/>
                  </w:tcMar>
                  <w:vAlign w:val="center"/>
                </w:tcPr>
                <w:p w14:paraId="5C159B0B">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《河北省空气质量持续改善行动计划实施方案》冀政发(2024) 4号)</w:t>
                  </w:r>
                </w:p>
              </w:tc>
              <w:tc>
                <w:tcPr>
                  <w:tcW w:w="3132" w:type="pct"/>
                  <w:tcBorders>
                    <w:tl2br w:val="nil"/>
                    <w:tr2bl w:val="nil"/>
                  </w:tcBorders>
                  <w:noWrap/>
                  <w:tcMar>
                    <w:left w:w="6" w:type="dxa"/>
                    <w:right w:w="6" w:type="dxa"/>
                  </w:tcMar>
                  <w:vAlign w:val="center"/>
                </w:tcPr>
                <w:p w14:paraId="2B65BCCE">
                  <w:pPr>
                    <w:pStyle w:val="118"/>
                    <w:keepNext w:val="0"/>
                    <w:keepLines w:val="0"/>
                    <w:pageBreakBefore w:val="0"/>
                    <w:widowControl/>
                    <w:numPr>
                      <w:ilvl w:val="0"/>
                      <w:numId w:val="6"/>
                    </w:numPr>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严格环境准入。坚决遏制高耗能、高排放、低水平项目盲目上马。新改扩建项目严格落实国家和省产业规划、产业政策、生态环境分区管控方案、产能置换、重点污染物总量控制、污染物排放区域削减、碳排放达峰目标等相关要求，原则上采用清洁运输方式。被置换产能项目关停后，新建项目方可投</w:t>
                  </w:r>
                  <w:r>
                    <w:rPr>
                      <w:rFonts w:hint="default" w:ascii="Times New Roman" w:hAnsi="Times New Roman" w:cs="Times New Roman"/>
                      <w:color w:val="auto"/>
                      <w:kern w:val="2"/>
                      <w:sz w:val="18"/>
                      <w:szCs w:val="18"/>
                      <w:highlight w:val="none"/>
                      <w:lang w:val="en-US" w:eastAsia="zh-CN" w:bidi="ar-SA"/>
                    </w:rPr>
                    <w:t>产。</w:t>
                  </w:r>
                </w:p>
              </w:tc>
              <w:tc>
                <w:tcPr>
                  <w:tcW w:w="955" w:type="pct"/>
                  <w:tcBorders>
                    <w:tl2br w:val="nil"/>
                    <w:tr2bl w:val="nil"/>
                  </w:tcBorders>
                  <w:noWrap/>
                  <w:tcMar>
                    <w:left w:w="6" w:type="dxa"/>
                    <w:right w:w="6" w:type="dxa"/>
                  </w:tcMar>
                  <w:vAlign w:val="center"/>
                </w:tcPr>
                <w:p w14:paraId="1158C61D">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本项目不属于高耗能、高排放、低水平项目</w:t>
                  </w:r>
                  <w:r>
                    <w:rPr>
                      <w:rFonts w:hint="default" w:ascii="Times New Roman" w:hAnsi="Times New Roman" w:cs="Times New Roman"/>
                      <w:color w:val="auto"/>
                      <w:kern w:val="2"/>
                      <w:sz w:val="18"/>
                      <w:szCs w:val="18"/>
                      <w:highlight w:val="none"/>
                      <w:lang w:val="en-US" w:eastAsia="zh-CN" w:bidi="ar-SA"/>
                    </w:rPr>
                    <w:t>；</w:t>
                  </w:r>
                  <w:r>
                    <w:rPr>
                      <w:rFonts w:hint="default" w:ascii="Times New Roman" w:hAnsi="Times New Roman" w:eastAsia="宋体" w:cs="Times New Roman"/>
                      <w:color w:val="auto"/>
                      <w:kern w:val="2"/>
                      <w:sz w:val="18"/>
                      <w:szCs w:val="18"/>
                      <w:highlight w:val="none"/>
                      <w:lang w:val="en-US" w:eastAsia="zh-CN" w:bidi="ar-SA"/>
                    </w:rPr>
                    <w:t>本项目的建设符合</w:t>
                  </w:r>
                  <w:r>
                    <w:rPr>
                      <w:rFonts w:hint="default" w:ascii="Times New Roman" w:hAnsi="Times New Roman" w:cs="Times New Roman"/>
                      <w:color w:val="auto"/>
                      <w:kern w:val="2"/>
                      <w:sz w:val="18"/>
                      <w:szCs w:val="18"/>
                      <w:highlight w:val="none"/>
                      <w:lang w:val="en-US" w:eastAsia="zh-CN" w:bidi="ar-SA"/>
                    </w:rPr>
                    <w:t>国家、地方及园区生态环境准入要求</w:t>
                  </w:r>
                  <w:r>
                    <w:rPr>
                      <w:rFonts w:hint="default" w:ascii="Times New Roman" w:hAnsi="Times New Roman" w:eastAsia="宋体" w:cs="Times New Roman"/>
                      <w:color w:val="auto"/>
                      <w:kern w:val="2"/>
                      <w:sz w:val="18"/>
                      <w:szCs w:val="18"/>
                      <w:highlight w:val="none"/>
                      <w:lang w:val="en-US" w:eastAsia="zh-CN" w:bidi="ar-SA"/>
                    </w:rPr>
                    <w:t>。</w:t>
                  </w:r>
                </w:p>
              </w:tc>
              <w:tc>
                <w:tcPr>
                  <w:tcW w:w="296" w:type="pct"/>
                  <w:tcBorders>
                    <w:tl2br w:val="nil"/>
                    <w:tr2bl w:val="nil"/>
                  </w:tcBorders>
                  <w:noWrap/>
                  <w:tcMar>
                    <w:top w:w="0" w:type="dxa"/>
                    <w:left w:w="6" w:type="dxa"/>
                    <w:bottom w:w="0" w:type="dxa"/>
                    <w:right w:w="6" w:type="dxa"/>
                  </w:tcMar>
                  <w:vAlign w:val="center"/>
                </w:tcPr>
                <w:p w14:paraId="54ABA52F">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符合</w:t>
                  </w:r>
                </w:p>
              </w:tc>
            </w:tr>
            <w:tr w14:paraId="5348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15" w:type="pct"/>
                  <w:vMerge w:val="continue"/>
                  <w:tcBorders>
                    <w:tl2br w:val="nil"/>
                    <w:tr2bl w:val="nil"/>
                  </w:tcBorders>
                  <w:noWrap/>
                  <w:tcMar>
                    <w:left w:w="6" w:type="dxa"/>
                    <w:right w:w="6" w:type="dxa"/>
                  </w:tcMar>
                  <w:vAlign w:val="center"/>
                </w:tcPr>
                <w:p w14:paraId="1DBC5B6D">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p>
              </w:tc>
              <w:tc>
                <w:tcPr>
                  <w:tcW w:w="3132" w:type="pct"/>
                  <w:tcBorders>
                    <w:tl2br w:val="nil"/>
                    <w:tr2bl w:val="nil"/>
                  </w:tcBorders>
                  <w:noWrap/>
                  <w:tcMar>
                    <w:left w:w="6" w:type="dxa"/>
                    <w:right w:w="6" w:type="dxa"/>
                  </w:tcMar>
                  <w:vAlign w:val="center"/>
                </w:tcPr>
                <w:p w14:paraId="6A8CA965">
                  <w:pPr>
                    <w:pStyle w:val="118"/>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（五）大力发展新能源和清洁能源。大力推动电能替代工作。持续增加天然气供</w:t>
                  </w:r>
                  <w:r>
                    <w:rPr>
                      <w:rFonts w:hint="default" w:ascii="Times New Roman" w:hAnsi="Times New Roman" w:eastAsia="宋体" w:cs="Times New Roman"/>
                      <w:color w:val="auto"/>
                      <w:kern w:val="2"/>
                      <w:sz w:val="18"/>
                      <w:szCs w:val="18"/>
                      <w:highlight w:val="none"/>
                      <w:lang w:val="en-US" w:eastAsia="zh-CN" w:bidi="ar-SA"/>
                    </w:rPr>
                    <w:br w:type="column"/>
                  </w:r>
                  <w:r>
                    <w:rPr>
                      <w:rFonts w:hint="default" w:ascii="Times New Roman" w:hAnsi="Times New Roman" w:eastAsia="宋体" w:cs="Times New Roman"/>
                      <w:color w:val="auto"/>
                      <w:kern w:val="2"/>
                      <w:sz w:val="18"/>
                      <w:szCs w:val="18"/>
                      <w:highlight w:val="none"/>
                      <w:lang w:val="en-US" w:eastAsia="zh-CN" w:bidi="ar-SA"/>
                    </w:rPr>
                    <w:t>置中心等“绿岛”项目。</w:t>
                  </w:r>
                  <w:r>
                    <w:rPr>
                      <w:rFonts w:hint="default" w:ascii="Times New Roman" w:hAnsi="Times New Roman" w:eastAsia="宋体" w:cs="Times New Roman"/>
                      <w:color w:val="auto"/>
                      <w:kern w:val="2"/>
                      <w:sz w:val="18"/>
                      <w:szCs w:val="18"/>
                      <w:highlight w:val="none"/>
                      <w:lang w:val="en-US" w:eastAsia="zh-CN" w:bidi="ar-SA"/>
                    </w:rPr>
                    <w:br w:type="column"/>
                  </w:r>
                  <w:r>
                    <w:rPr>
                      <w:rFonts w:hint="default" w:ascii="Times New Roman" w:hAnsi="Times New Roman" w:eastAsia="宋体" w:cs="Times New Roman"/>
                      <w:color w:val="auto"/>
                      <w:kern w:val="2"/>
                      <w:sz w:val="18"/>
                      <w:szCs w:val="18"/>
                      <w:highlight w:val="none"/>
                      <w:lang w:val="en-US" w:eastAsia="zh-CN" w:bidi="ar-SA"/>
                    </w:rPr>
                    <w:t>应稳步推进抽水蓄能、海上风电、生物质能和地热能等开发利用。到 2025 年，全省可再生能源总装机达到 1.14 亿千瓦以上、占比达到 60%以上，非化石能源消费比重达到 13%以上，电能占终端能源消费比重达 21%左右。</w:t>
                  </w:r>
                </w:p>
              </w:tc>
              <w:tc>
                <w:tcPr>
                  <w:tcW w:w="955" w:type="pct"/>
                  <w:tcBorders>
                    <w:tl2br w:val="nil"/>
                    <w:tr2bl w:val="nil"/>
                  </w:tcBorders>
                  <w:noWrap/>
                  <w:tcMar>
                    <w:left w:w="6" w:type="dxa"/>
                    <w:right w:w="6" w:type="dxa"/>
                  </w:tcMar>
                  <w:vAlign w:val="center"/>
                </w:tcPr>
                <w:p w14:paraId="4E27F452">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本项目生产</w:t>
                  </w:r>
                  <w:r>
                    <w:rPr>
                      <w:rFonts w:hint="default" w:ascii="Times New Roman" w:hAnsi="Times New Roman" w:cs="Times New Roman"/>
                      <w:color w:val="auto"/>
                      <w:kern w:val="2"/>
                      <w:sz w:val="18"/>
                      <w:szCs w:val="18"/>
                      <w:highlight w:val="none"/>
                      <w:lang w:val="en-US" w:eastAsia="zh-CN" w:bidi="ar-SA"/>
                    </w:rPr>
                    <w:t>不用热，办公采暖采用空调，不涉及燃料使用</w:t>
                  </w:r>
                  <w:r>
                    <w:rPr>
                      <w:rFonts w:hint="default" w:ascii="Times New Roman" w:hAnsi="Times New Roman" w:eastAsia="宋体" w:cs="Times New Roman"/>
                      <w:color w:val="auto"/>
                      <w:kern w:val="2"/>
                      <w:sz w:val="18"/>
                      <w:szCs w:val="18"/>
                      <w:highlight w:val="none"/>
                      <w:lang w:val="en-US" w:eastAsia="zh-CN" w:bidi="ar-SA"/>
                    </w:rPr>
                    <w:t>。</w:t>
                  </w:r>
                </w:p>
              </w:tc>
              <w:tc>
                <w:tcPr>
                  <w:tcW w:w="296" w:type="pct"/>
                  <w:tcBorders>
                    <w:tl2br w:val="nil"/>
                    <w:tr2bl w:val="nil"/>
                  </w:tcBorders>
                  <w:noWrap/>
                  <w:tcMar>
                    <w:top w:w="0" w:type="dxa"/>
                    <w:left w:w="6" w:type="dxa"/>
                    <w:bottom w:w="0" w:type="dxa"/>
                    <w:right w:w="6" w:type="dxa"/>
                  </w:tcMar>
                  <w:vAlign w:val="center"/>
                </w:tcPr>
                <w:p w14:paraId="095A44FD">
                  <w:pPr>
                    <w:pStyle w:val="34"/>
                    <w:keepNext w:val="0"/>
                    <w:keepLines w:val="0"/>
                    <w:pageBreakBefore w:val="0"/>
                    <w:widowControl w:val="0"/>
                    <w:suppressLineNumbers w:val="0"/>
                    <w:tabs>
                      <w:tab w:val="left" w:pos="720"/>
                    </w:tabs>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3F74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615" w:type="pct"/>
                  <w:vMerge w:val="continue"/>
                  <w:tcBorders>
                    <w:tl2br w:val="nil"/>
                    <w:tr2bl w:val="nil"/>
                  </w:tcBorders>
                  <w:noWrap/>
                  <w:tcMar>
                    <w:left w:w="6" w:type="dxa"/>
                    <w:right w:w="6" w:type="dxa"/>
                  </w:tcMar>
                  <w:vAlign w:val="center"/>
                </w:tcPr>
                <w:p w14:paraId="682463D1">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p>
              </w:tc>
              <w:tc>
                <w:tcPr>
                  <w:tcW w:w="3132" w:type="pct"/>
                  <w:tcBorders>
                    <w:tl2br w:val="nil"/>
                    <w:tr2bl w:val="nil"/>
                  </w:tcBorders>
                  <w:noWrap/>
                  <w:tcMar>
                    <w:left w:w="6" w:type="dxa"/>
                    <w:right w:w="6" w:type="dxa"/>
                  </w:tcMar>
                  <w:vAlign w:val="center"/>
                </w:tcPr>
                <w:p w14:paraId="7903CA32">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w:t>
                  </w:r>
                  <w:r>
                    <w:rPr>
                      <w:rFonts w:hint="default" w:ascii="Times New Roman" w:hAnsi="Times New Roman" w:cs="Times New Roman"/>
                      <w:color w:val="auto"/>
                      <w:kern w:val="2"/>
                      <w:sz w:val="18"/>
                      <w:szCs w:val="18"/>
                      <w:highlight w:val="none"/>
                      <w:lang w:val="en-US" w:eastAsia="zh-CN" w:bidi="ar-SA"/>
                    </w:rPr>
                    <w:t>十七</w:t>
                  </w:r>
                  <w:r>
                    <w:rPr>
                      <w:rFonts w:hint="default" w:ascii="Times New Roman" w:hAnsi="Times New Roman" w:eastAsia="宋体" w:cs="Times New Roman"/>
                      <w:color w:val="auto"/>
                      <w:kern w:val="2"/>
                      <w:sz w:val="18"/>
                      <w:szCs w:val="18"/>
                      <w:highlight w:val="none"/>
                      <w:lang w:val="en-US" w:eastAsia="zh-CN" w:bidi="ar-SA"/>
                    </w:rPr>
                    <w:t>)强化VOCs、恶臭异味治理。大力实施涉VOCs原辅材料源头替代。严格控制生产和使用高VOCs含量涂料、油墨、胶粘剂、清洗剂等建设项目，提高低(无)VOCS含量产品比重。在生产、销售、进口、使用等环节严格执行VOCs含量限值标准。推广使用低VOCs含量涂料和胶粘剂。</w:t>
                  </w:r>
                </w:p>
              </w:tc>
              <w:tc>
                <w:tcPr>
                  <w:tcW w:w="955" w:type="pct"/>
                  <w:tcBorders>
                    <w:tl2br w:val="nil"/>
                    <w:tr2bl w:val="nil"/>
                  </w:tcBorders>
                  <w:noWrap/>
                  <w:tcMar>
                    <w:left w:w="6" w:type="dxa"/>
                    <w:right w:w="6" w:type="dxa"/>
                  </w:tcMar>
                  <w:vAlign w:val="center"/>
                </w:tcPr>
                <w:p w14:paraId="2A38BF15">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本</w:t>
                  </w:r>
                  <w:r>
                    <w:rPr>
                      <w:rFonts w:hint="default" w:ascii="Times New Roman" w:hAnsi="Times New Roman" w:cs="Times New Roman"/>
                      <w:color w:val="auto"/>
                      <w:kern w:val="2"/>
                      <w:sz w:val="18"/>
                      <w:szCs w:val="18"/>
                      <w:highlight w:val="none"/>
                      <w:lang w:val="en-US" w:eastAsia="zh-CN" w:bidi="ar-SA"/>
                    </w:rPr>
                    <w:t>项目不涉及</w:t>
                  </w:r>
                  <w:r>
                    <w:rPr>
                      <w:rFonts w:hint="default" w:ascii="Times New Roman" w:hAnsi="Times New Roman" w:eastAsia="宋体" w:cs="Times New Roman"/>
                      <w:color w:val="auto"/>
                      <w:kern w:val="2"/>
                      <w:sz w:val="18"/>
                      <w:szCs w:val="18"/>
                      <w:highlight w:val="none"/>
                      <w:lang w:val="en-US" w:eastAsia="zh-CN" w:bidi="ar-SA"/>
                    </w:rPr>
                    <w:t>高VOCs含量</w:t>
                  </w:r>
                  <w:r>
                    <w:rPr>
                      <w:rFonts w:hint="default" w:ascii="Times New Roman" w:hAnsi="Times New Roman" w:cs="Times New Roman"/>
                      <w:color w:val="auto"/>
                      <w:kern w:val="2"/>
                      <w:sz w:val="18"/>
                      <w:szCs w:val="18"/>
                      <w:highlight w:val="none"/>
                      <w:lang w:val="en-US" w:eastAsia="zh-CN" w:bidi="ar-SA"/>
                    </w:rPr>
                    <w:t>涂料、油墨、胶粘剂、清洗剂，不涉及VOCs和恶臭异味废气排放。</w:t>
                  </w:r>
                </w:p>
              </w:tc>
              <w:tc>
                <w:tcPr>
                  <w:tcW w:w="296" w:type="pct"/>
                  <w:tcBorders>
                    <w:tl2br w:val="nil"/>
                    <w:tr2bl w:val="nil"/>
                  </w:tcBorders>
                  <w:noWrap/>
                  <w:tcMar>
                    <w:top w:w="0" w:type="dxa"/>
                    <w:left w:w="6" w:type="dxa"/>
                    <w:bottom w:w="0" w:type="dxa"/>
                    <w:right w:w="6" w:type="dxa"/>
                  </w:tcMar>
                  <w:vAlign w:val="center"/>
                </w:tcPr>
                <w:p w14:paraId="6AB9F5E0">
                  <w:pPr>
                    <w:pStyle w:val="34"/>
                    <w:keepNext w:val="0"/>
                    <w:keepLines w:val="0"/>
                    <w:pageBreakBefore w:val="0"/>
                    <w:widowControl w:val="0"/>
                    <w:suppressLineNumbers w:val="0"/>
                    <w:tabs>
                      <w:tab w:val="left" w:pos="720"/>
                    </w:tabs>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75CE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615" w:type="pct"/>
                  <w:vMerge w:val="continue"/>
                  <w:tcBorders>
                    <w:tl2br w:val="nil"/>
                    <w:tr2bl w:val="nil"/>
                  </w:tcBorders>
                  <w:noWrap/>
                  <w:tcMar>
                    <w:left w:w="6" w:type="dxa"/>
                    <w:right w:w="6" w:type="dxa"/>
                  </w:tcMar>
                  <w:vAlign w:val="center"/>
                </w:tcPr>
                <w:p w14:paraId="2327B723">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p>
              </w:tc>
              <w:tc>
                <w:tcPr>
                  <w:tcW w:w="3132" w:type="pct"/>
                  <w:tcBorders>
                    <w:tl2br w:val="nil"/>
                    <w:tr2bl w:val="nil"/>
                  </w:tcBorders>
                  <w:noWrap/>
                  <w:tcMar>
                    <w:left w:w="6" w:type="dxa"/>
                    <w:right w:w="6" w:type="dxa"/>
                  </w:tcMar>
                  <w:vAlign w:val="center"/>
                </w:tcPr>
                <w:p w14:paraId="4D7E8126">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（十</w:t>
                  </w:r>
                  <w:r>
                    <w:rPr>
                      <w:rFonts w:hint="default" w:ascii="Times New Roman" w:hAnsi="Times New Roman" w:eastAsia="宋体" w:cs="Times New Roman"/>
                      <w:color w:val="auto"/>
                      <w:kern w:val="2"/>
                      <w:sz w:val="18"/>
                      <w:szCs w:val="18"/>
                      <w:highlight w:val="none"/>
                      <w:lang w:val="en-US" w:eastAsia="zh-CN" w:bidi="ar-SA"/>
                    </w:rPr>
                    <w:t>八）加快重点行业污染深度治理。高质量推进钢铁、水泥、焦化等重点行业及燃煤锅炉超低排放改造，开展垃圾发电企业SCR脱硝设施改造，扎实推进重点行业环保绩效创 A。2024年前完成钢铁行业全面创A；到 2025年，基本完成燃煤锅炉超低排放改造，A 级企业数量稳定增加，重点行业环保绩效水平显著提升。加强钢铁、焦化等行业CO深度治理，减少CO排放。推进玻璃、石灰、矿棉、有色等行业深度治理。开展锅炉和工业炉窑简易低效污染治理设施分类整治。</w:t>
                  </w:r>
                </w:p>
              </w:tc>
              <w:tc>
                <w:tcPr>
                  <w:tcW w:w="955" w:type="pct"/>
                  <w:tcBorders>
                    <w:tl2br w:val="nil"/>
                    <w:tr2bl w:val="nil"/>
                  </w:tcBorders>
                  <w:noWrap/>
                  <w:tcMar>
                    <w:left w:w="6" w:type="dxa"/>
                    <w:right w:w="6" w:type="dxa"/>
                  </w:tcMar>
                  <w:vAlign w:val="center"/>
                </w:tcPr>
                <w:p w14:paraId="66A0BB32">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不涉及。</w:t>
                  </w:r>
                </w:p>
              </w:tc>
              <w:tc>
                <w:tcPr>
                  <w:tcW w:w="296" w:type="pct"/>
                  <w:tcBorders>
                    <w:tl2br w:val="nil"/>
                    <w:tr2bl w:val="nil"/>
                  </w:tcBorders>
                  <w:noWrap/>
                  <w:tcMar>
                    <w:top w:w="0" w:type="dxa"/>
                    <w:left w:w="6" w:type="dxa"/>
                    <w:bottom w:w="0" w:type="dxa"/>
                    <w:right w:w="6" w:type="dxa"/>
                  </w:tcMar>
                  <w:vAlign w:val="center"/>
                </w:tcPr>
                <w:p w14:paraId="31C684A3">
                  <w:pPr>
                    <w:pStyle w:val="34"/>
                    <w:keepNext w:val="0"/>
                    <w:keepLines w:val="0"/>
                    <w:pageBreakBefore w:val="0"/>
                    <w:widowControl w:val="0"/>
                    <w:suppressLineNumbers w:val="0"/>
                    <w:tabs>
                      <w:tab w:val="left" w:pos="720"/>
                    </w:tabs>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5FAF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15" w:type="pct"/>
                  <w:vMerge w:val="restart"/>
                  <w:tcBorders>
                    <w:tl2br w:val="nil"/>
                    <w:tr2bl w:val="nil"/>
                  </w:tcBorders>
                  <w:shd w:val="clear" w:color="auto" w:fill="auto"/>
                  <w:noWrap/>
                  <w:tcMar>
                    <w:left w:w="6" w:type="dxa"/>
                    <w:right w:w="6" w:type="dxa"/>
                  </w:tcMar>
                  <w:vAlign w:val="center"/>
                </w:tcPr>
                <w:p w14:paraId="2A392B6B">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河北省生态环境保护“十四五”规划</w:t>
                  </w:r>
                </w:p>
              </w:tc>
              <w:tc>
                <w:tcPr>
                  <w:tcW w:w="3132" w:type="pct"/>
                  <w:tcBorders>
                    <w:tl2br w:val="nil"/>
                    <w:tr2bl w:val="nil"/>
                  </w:tcBorders>
                  <w:shd w:val="clear" w:color="auto" w:fill="auto"/>
                  <w:noWrap/>
                  <w:tcMar>
                    <w:left w:w="6" w:type="dxa"/>
                    <w:right w:w="6" w:type="dxa"/>
                  </w:tcMar>
                  <w:vAlign w:val="center"/>
                </w:tcPr>
                <w:p w14:paraId="0A7753DA">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控制煤炭消费总量。全面实施煤炭消费总量控制，建设项目严格执行煤炭减量替代。严格控制燃煤发电装机规模，严禁新建自备燃煤机组，推动自备燃煤机组实施清洁能源替代，鼓励自备电厂转为公用电厂。加强农村散煤复燃管控，强化散煤治理监督体系建设。</w:t>
                  </w:r>
                </w:p>
              </w:tc>
              <w:tc>
                <w:tcPr>
                  <w:tcW w:w="955" w:type="pct"/>
                  <w:tcBorders>
                    <w:tl2br w:val="nil"/>
                    <w:tr2bl w:val="nil"/>
                  </w:tcBorders>
                  <w:shd w:val="clear" w:color="auto" w:fill="auto"/>
                  <w:noWrap/>
                  <w:tcMar>
                    <w:left w:w="6" w:type="dxa"/>
                    <w:right w:w="6" w:type="dxa"/>
                  </w:tcMar>
                  <w:vAlign w:val="center"/>
                </w:tcPr>
                <w:p w14:paraId="4755B5F0">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本项目不涉及煤炭的使用。</w:t>
                  </w:r>
                </w:p>
              </w:tc>
              <w:tc>
                <w:tcPr>
                  <w:tcW w:w="296" w:type="pct"/>
                  <w:tcBorders>
                    <w:tl2br w:val="nil"/>
                    <w:tr2bl w:val="nil"/>
                  </w:tcBorders>
                  <w:noWrap/>
                  <w:tcMar>
                    <w:top w:w="0" w:type="dxa"/>
                    <w:left w:w="6" w:type="dxa"/>
                    <w:bottom w:w="0" w:type="dxa"/>
                    <w:right w:w="6" w:type="dxa"/>
                  </w:tcMar>
                  <w:vAlign w:val="center"/>
                </w:tcPr>
                <w:p w14:paraId="06BA5160">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符合</w:t>
                  </w:r>
                </w:p>
              </w:tc>
            </w:tr>
            <w:tr w14:paraId="4E6E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15" w:type="pct"/>
                  <w:vMerge w:val="continue"/>
                  <w:tcBorders>
                    <w:tl2br w:val="nil"/>
                    <w:tr2bl w:val="nil"/>
                  </w:tcBorders>
                  <w:shd w:val="clear" w:color="auto" w:fill="auto"/>
                  <w:noWrap/>
                  <w:tcMar>
                    <w:left w:w="6" w:type="dxa"/>
                    <w:right w:w="6" w:type="dxa"/>
                  </w:tcMar>
                  <w:vAlign w:val="center"/>
                </w:tcPr>
                <w:p w14:paraId="4FFCFED7">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cs="Times New Roman"/>
                      <w:color w:val="auto"/>
                      <w:kern w:val="2"/>
                      <w:sz w:val="18"/>
                      <w:szCs w:val="18"/>
                      <w:highlight w:val="none"/>
                      <w:lang w:val="en-US" w:eastAsia="zh-CN" w:bidi="ar-SA"/>
                    </w:rPr>
                  </w:pPr>
                </w:p>
              </w:tc>
              <w:tc>
                <w:tcPr>
                  <w:tcW w:w="3132" w:type="pct"/>
                  <w:tcBorders>
                    <w:tl2br w:val="nil"/>
                    <w:tr2bl w:val="nil"/>
                  </w:tcBorders>
                  <w:shd w:val="clear" w:color="auto" w:fill="auto"/>
                  <w:noWrap/>
                  <w:tcMar>
                    <w:left w:w="6" w:type="dxa"/>
                    <w:right w:w="6" w:type="dxa"/>
                  </w:tcMar>
                  <w:vAlign w:val="center"/>
                </w:tcPr>
                <w:p w14:paraId="2E0BE8E7">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强化工业污染减排。实施差别化环境准入政策，推进涉水工业企业全面入园进区。新设立和升级的经济技术开发区、高新技术产业开发区等工业园区同步规划建设污水集中处理设施，加快完善工业园区配套管网，推进“清污分流、雨污分流”，实现园区污水全收集、全处理。</w:t>
                  </w:r>
                </w:p>
              </w:tc>
              <w:tc>
                <w:tcPr>
                  <w:tcW w:w="955" w:type="pct"/>
                  <w:tcBorders>
                    <w:tl2br w:val="nil"/>
                    <w:tr2bl w:val="nil"/>
                  </w:tcBorders>
                  <w:shd w:val="clear" w:color="auto" w:fill="auto"/>
                  <w:noWrap/>
                  <w:tcMar>
                    <w:left w:w="6" w:type="dxa"/>
                    <w:right w:w="6" w:type="dxa"/>
                  </w:tcMar>
                  <w:vAlign w:val="center"/>
                </w:tcPr>
                <w:p w14:paraId="759AD709">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本项目生产废水全部回用不外排，生活污水经化粪池处理后定期清掏用作农肥，不排放废水。</w:t>
                  </w:r>
                </w:p>
              </w:tc>
              <w:tc>
                <w:tcPr>
                  <w:tcW w:w="296" w:type="pct"/>
                  <w:tcBorders>
                    <w:tl2br w:val="nil"/>
                    <w:tr2bl w:val="nil"/>
                  </w:tcBorders>
                  <w:noWrap/>
                  <w:tcMar>
                    <w:top w:w="0" w:type="dxa"/>
                    <w:left w:w="6" w:type="dxa"/>
                    <w:bottom w:w="0" w:type="dxa"/>
                    <w:right w:w="6" w:type="dxa"/>
                  </w:tcMar>
                  <w:vAlign w:val="center"/>
                </w:tcPr>
                <w:p w14:paraId="6724C7D3">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符合</w:t>
                  </w:r>
                </w:p>
              </w:tc>
            </w:tr>
            <w:tr w14:paraId="5FF3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15" w:type="pct"/>
                  <w:vMerge w:val="continue"/>
                  <w:tcBorders>
                    <w:tl2br w:val="nil"/>
                    <w:tr2bl w:val="nil"/>
                  </w:tcBorders>
                  <w:shd w:val="clear" w:color="auto" w:fill="auto"/>
                  <w:noWrap/>
                  <w:tcMar>
                    <w:left w:w="6" w:type="dxa"/>
                    <w:right w:w="6" w:type="dxa"/>
                  </w:tcMar>
                  <w:vAlign w:val="center"/>
                </w:tcPr>
                <w:p w14:paraId="2F5328D9">
                  <w:pPr>
                    <w:pStyle w:val="34"/>
                    <w:keepNext w:val="0"/>
                    <w:keepLines w:val="0"/>
                    <w:pageBreakBefore w:val="0"/>
                    <w:widowControl w:val="0"/>
                    <w:suppressLineNumbers w:val="0"/>
                    <w:tabs>
                      <w:tab w:val="left" w:pos="720"/>
                    </w:tabs>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cs="Times New Roman"/>
                      <w:color w:val="auto"/>
                      <w:sz w:val="18"/>
                      <w:szCs w:val="18"/>
                      <w:highlight w:val="none"/>
                    </w:rPr>
                  </w:pPr>
                </w:p>
              </w:tc>
              <w:tc>
                <w:tcPr>
                  <w:tcW w:w="3132" w:type="pct"/>
                  <w:tcBorders>
                    <w:tl2br w:val="nil"/>
                    <w:tr2bl w:val="nil"/>
                  </w:tcBorders>
                  <w:shd w:val="clear" w:color="auto" w:fill="auto"/>
                  <w:noWrap/>
                  <w:tcMar>
                    <w:left w:w="6" w:type="dxa"/>
                    <w:right w:w="6" w:type="dxa"/>
                  </w:tcMar>
                  <w:vAlign w:val="center"/>
                </w:tcPr>
                <w:p w14:paraId="26EABD5D">
                  <w:pPr>
                    <w:pStyle w:val="68"/>
                    <w:keepNext w:val="0"/>
                    <w:keepLines w:val="0"/>
                    <w:pageBreakBefore w:val="0"/>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强化危险废物环境风险防控能力。强化对危险废物收集、贮存、处置单位的监管，严防危险废物超期超量贮存。推进智能化视频监控体系建设。在环境风险可控的前提下鼓励工业企业对产生的危险废物回收再利用处置，开展“点对点”定向利用的危险废物经营许可豁免管理试点。</w:t>
                  </w:r>
                </w:p>
              </w:tc>
              <w:tc>
                <w:tcPr>
                  <w:tcW w:w="955" w:type="pct"/>
                  <w:tcBorders>
                    <w:tl2br w:val="nil"/>
                    <w:tr2bl w:val="nil"/>
                  </w:tcBorders>
                  <w:shd w:val="clear" w:color="auto" w:fill="auto"/>
                  <w:noWrap/>
                  <w:tcMar>
                    <w:left w:w="6" w:type="dxa"/>
                    <w:right w:w="6" w:type="dxa"/>
                  </w:tcMar>
                  <w:vAlign w:val="center"/>
                </w:tcPr>
                <w:p w14:paraId="504CE119">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本项目</w:t>
                  </w:r>
                  <w:r>
                    <w:rPr>
                      <w:rFonts w:hint="default" w:ascii="Times New Roman" w:hAnsi="Times New Roman" w:cs="Times New Roman"/>
                      <w:color w:val="auto"/>
                      <w:sz w:val="18"/>
                      <w:szCs w:val="18"/>
                      <w:highlight w:val="none"/>
                      <w:lang w:eastAsia="zh-CN"/>
                    </w:rPr>
                    <w:t>不涉及危险废物。</w:t>
                  </w:r>
                </w:p>
              </w:tc>
              <w:tc>
                <w:tcPr>
                  <w:tcW w:w="296" w:type="pct"/>
                  <w:tcBorders>
                    <w:tl2br w:val="nil"/>
                    <w:tr2bl w:val="nil"/>
                  </w:tcBorders>
                  <w:noWrap/>
                  <w:tcMar>
                    <w:top w:w="0" w:type="dxa"/>
                    <w:left w:w="6" w:type="dxa"/>
                    <w:bottom w:w="0" w:type="dxa"/>
                    <w:right w:w="6" w:type="dxa"/>
                  </w:tcMar>
                  <w:vAlign w:val="center"/>
                </w:tcPr>
                <w:p w14:paraId="686648A8">
                  <w:pPr>
                    <w:pStyle w:val="34"/>
                    <w:keepNext w:val="0"/>
                    <w:keepLines w:val="0"/>
                    <w:pageBreakBefore w:val="0"/>
                    <w:widowControl w:val="0"/>
                    <w:suppressLineNumbers w:val="0"/>
                    <w:tabs>
                      <w:tab w:val="left" w:pos="720"/>
                    </w:tabs>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5772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15" w:type="pct"/>
                  <w:vMerge w:val="restart"/>
                  <w:tcBorders>
                    <w:tl2br w:val="nil"/>
                    <w:tr2bl w:val="nil"/>
                  </w:tcBorders>
                  <w:shd w:val="clear" w:color="auto" w:fill="auto"/>
                  <w:noWrap/>
                  <w:tcMar>
                    <w:left w:w="6" w:type="dxa"/>
                    <w:right w:w="6" w:type="dxa"/>
                  </w:tcMar>
                  <w:vAlign w:val="center"/>
                </w:tcPr>
                <w:p w14:paraId="4F15393E">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《石家庄市人民政府关于印发石家庄市生态环境保护</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十四五</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规划的通知》</w:t>
                  </w:r>
                </w:p>
              </w:tc>
              <w:tc>
                <w:tcPr>
                  <w:tcW w:w="3132" w:type="pct"/>
                  <w:tcBorders>
                    <w:tl2br w:val="nil"/>
                    <w:tr2bl w:val="nil"/>
                  </w:tcBorders>
                  <w:shd w:val="clear" w:color="auto" w:fill="auto"/>
                  <w:noWrap/>
                  <w:tcMar>
                    <w:left w:w="6" w:type="dxa"/>
                    <w:right w:w="6" w:type="dxa"/>
                  </w:tcMar>
                  <w:vAlign w:val="center"/>
                </w:tcPr>
                <w:p w14:paraId="03ABA655">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严格环境准入门槛，全市禁止钢铁、焦化、水泥、平板玻璃、铸造</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高端或精密铸造项目以及《产业结构调整指导目录</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2019年本</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》第一类鼓励类项目除外</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、有色、炭素、钙镁、煤化工、陶瓷、砖瓦等行业新建、扩建单纯新增产能</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搬迁升级改造项目和产能置换项目除外</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的项目和企业。对搬迁升级改造项目的环境影响评价，应满足规划环评要求，对本地过剩产能重点行业搬迁、改建项目，实行大气污染物排放倍量替代。严格控制新增燃煤项目</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产能置换项目除外</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建设。</w:t>
                  </w:r>
                </w:p>
              </w:tc>
              <w:tc>
                <w:tcPr>
                  <w:tcW w:w="955" w:type="pct"/>
                  <w:tcBorders>
                    <w:tl2br w:val="nil"/>
                    <w:tr2bl w:val="nil"/>
                  </w:tcBorders>
                  <w:shd w:val="clear" w:color="auto" w:fill="auto"/>
                  <w:noWrap/>
                  <w:tcMar>
                    <w:top w:w="0" w:type="dxa"/>
                    <w:left w:w="6" w:type="dxa"/>
                    <w:bottom w:w="0" w:type="dxa"/>
                    <w:right w:w="6" w:type="dxa"/>
                  </w:tcMar>
                  <w:vAlign w:val="center"/>
                </w:tcPr>
                <w:p w14:paraId="00BF4881">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本项目</w:t>
                  </w:r>
                  <w:r>
                    <w:rPr>
                      <w:rFonts w:hint="default" w:ascii="Times New Roman" w:hAnsi="Times New Roman" w:cs="Times New Roman"/>
                      <w:color w:val="auto"/>
                      <w:sz w:val="18"/>
                      <w:szCs w:val="18"/>
                      <w:highlight w:val="none"/>
                      <w:lang w:eastAsia="zh-CN"/>
                    </w:rPr>
                    <w:t>符合国家及地方产业政策要求，符合河北石家庄矿区工业园区生态环境准入要求。</w:t>
                  </w:r>
                </w:p>
              </w:tc>
              <w:tc>
                <w:tcPr>
                  <w:tcW w:w="296" w:type="pct"/>
                  <w:tcBorders>
                    <w:tl2br w:val="nil"/>
                    <w:tr2bl w:val="nil"/>
                  </w:tcBorders>
                  <w:noWrap/>
                  <w:tcMar>
                    <w:left w:w="6" w:type="dxa"/>
                    <w:right w:w="6" w:type="dxa"/>
                  </w:tcMar>
                  <w:vAlign w:val="center"/>
                </w:tcPr>
                <w:p w14:paraId="5774CC6B">
                  <w:pPr>
                    <w:pStyle w:val="1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符合</w:t>
                  </w:r>
                </w:p>
              </w:tc>
            </w:tr>
            <w:tr w14:paraId="7F40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15" w:type="pct"/>
                  <w:vMerge w:val="continue"/>
                  <w:tcBorders>
                    <w:tl2br w:val="nil"/>
                    <w:tr2bl w:val="nil"/>
                  </w:tcBorders>
                  <w:shd w:val="clear" w:color="auto" w:fill="auto"/>
                  <w:noWrap/>
                  <w:tcMar>
                    <w:left w:w="6" w:type="dxa"/>
                    <w:right w:w="6" w:type="dxa"/>
                  </w:tcMar>
                  <w:vAlign w:val="center"/>
                </w:tcPr>
                <w:p w14:paraId="6F8C785B">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sz w:val="18"/>
                      <w:szCs w:val="18"/>
                      <w:highlight w:val="none"/>
                    </w:rPr>
                  </w:pPr>
                </w:p>
              </w:tc>
              <w:tc>
                <w:tcPr>
                  <w:tcW w:w="3132" w:type="pct"/>
                  <w:tcBorders>
                    <w:tl2br w:val="nil"/>
                    <w:tr2bl w:val="nil"/>
                  </w:tcBorders>
                  <w:shd w:val="clear" w:color="auto" w:fill="auto"/>
                  <w:noWrap/>
                  <w:tcMar>
                    <w:left w:w="6" w:type="dxa"/>
                    <w:right w:w="6" w:type="dxa"/>
                  </w:tcMar>
                  <w:vAlign w:val="center"/>
                </w:tcPr>
                <w:p w14:paraId="75ED7439">
                  <w:pPr>
                    <w:pStyle w:val="68"/>
                    <w:keepNext w:val="0"/>
                    <w:keepLines w:val="0"/>
                    <w:pageBreakBefore w:val="0"/>
                    <w:suppressLineNumbers w:val="0"/>
                    <w:kinsoku/>
                    <w:wordWrap/>
                    <w:overflowPunct/>
                    <w:topLinePunct w:val="0"/>
                    <w:autoSpaceDE/>
                    <w:autoSpaceDN/>
                    <w:bidi w:val="0"/>
                    <w:spacing w:before="0" w:beforeAutospacing="0" w:after="0" w:afterAutospacing="0" w:line="280" w:lineRule="exact"/>
                    <w:ind w:left="0" w:right="0"/>
                    <w:textAlignment w:val="auto"/>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rPr>
                    <w:t xml:space="preserve">持续保障集中式饮用水水源水质稳定达标，岗南水库、黄壁庄水库库区主要水质指标达到并稳定保持国家地表水 </w:t>
                  </w:r>
                  <w:r>
                    <w:rPr>
                      <w:rFonts w:hint="default" w:ascii="Times New Roman" w:hAnsi="Times New Roman" w:eastAsia="Times New Roman" w:cs="Times New Roman"/>
                      <w:color w:val="auto"/>
                      <w:sz w:val="18"/>
                      <w:szCs w:val="18"/>
                      <w:highlight w:val="none"/>
                    </w:rPr>
                    <w:t xml:space="preserve">II </w:t>
                  </w:r>
                  <w:r>
                    <w:rPr>
                      <w:rFonts w:hint="default" w:ascii="Times New Roman" w:hAnsi="Times New Roman" w:cs="Times New Roman"/>
                      <w:color w:val="auto"/>
                      <w:sz w:val="18"/>
                      <w:szCs w:val="18"/>
                      <w:highlight w:val="none"/>
                    </w:rPr>
                    <w:t xml:space="preserve">类水质标准，地下饮用水水源水质 </w:t>
                  </w:r>
                  <w:r>
                    <w:rPr>
                      <w:rFonts w:hint="default" w:ascii="Times New Roman" w:hAnsi="Times New Roman" w:eastAsia="Times New Roman" w:cs="Times New Roman"/>
                      <w:color w:val="auto"/>
                      <w:sz w:val="18"/>
                      <w:szCs w:val="18"/>
                      <w:highlight w:val="none"/>
                    </w:rPr>
                    <w:t>100%</w:t>
                  </w:r>
                  <w:r>
                    <w:rPr>
                      <w:rFonts w:hint="default" w:ascii="Times New Roman" w:hAnsi="Times New Roman" w:cs="Times New Roman"/>
                      <w:color w:val="auto"/>
                      <w:sz w:val="18"/>
                      <w:szCs w:val="18"/>
                      <w:highlight w:val="none"/>
                    </w:rPr>
                    <w:t>达标。</w:t>
                  </w:r>
                </w:p>
              </w:tc>
              <w:tc>
                <w:tcPr>
                  <w:tcW w:w="955" w:type="pct"/>
                  <w:tcBorders>
                    <w:tl2br w:val="nil"/>
                    <w:tr2bl w:val="nil"/>
                  </w:tcBorders>
                  <w:shd w:val="clear" w:color="auto" w:fill="auto"/>
                  <w:noWrap/>
                  <w:tcMar>
                    <w:top w:w="0" w:type="dxa"/>
                    <w:left w:w="6" w:type="dxa"/>
                    <w:bottom w:w="0" w:type="dxa"/>
                    <w:right w:w="6" w:type="dxa"/>
                  </w:tcMar>
                  <w:vAlign w:val="center"/>
                </w:tcPr>
                <w:p w14:paraId="6587EF55">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rPr>
                    <w:t>本项目</w:t>
                  </w:r>
                  <w:r>
                    <w:rPr>
                      <w:rFonts w:hint="default" w:ascii="Times New Roman" w:hAnsi="Times New Roman" w:cs="Times New Roman"/>
                      <w:color w:val="auto"/>
                      <w:sz w:val="18"/>
                      <w:szCs w:val="18"/>
                      <w:highlight w:val="none"/>
                      <w:lang w:eastAsia="zh-CN"/>
                    </w:rPr>
                    <w:t>位于饮用水水源准保护区，符合相关要求</w:t>
                  </w:r>
                  <w:r>
                    <w:rPr>
                      <w:rFonts w:hint="default" w:ascii="Times New Roman" w:hAnsi="Times New Roman" w:cs="Times New Roman"/>
                      <w:color w:val="auto"/>
                      <w:sz w:val="18"/>
                      <w:szCs w:val="18"/>
                      <w:highlight w:val="none"/>
                    </w:rPr>
                    <w:t>。</w:t>
                  </w:r>
                </w:p>
              </w:tc>
              <w:tc>
                <w:tcPr>
                  <w:tcW w:w="296" w:type="pct"/>
                  <w:tcBorders>
                    <w:tl2br w:val="nil"/>
                    <w:tr2bl w:val="nil"/>
                  </w:tcBorders>
                  <w:noWrap/>
                  <w:tcMar>
                    <w:left w:w="6" w:type="dxa"/>
                    <w:right w:w="6" w:type="dxa"/>
                  </w:tcMar>
                  <w:vAlign w:val="center"/>
                </w:tcPr>
                <w:p w14:paraId="25657471">
                  <w:pPr>
                    <w:pStyle w:val="1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符合</w:t>
                  </w:r>
                </w:p>
              </w:tc>
            </w:tr>
            <w:tr w14:paraId="5CE1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15" w:type="pct"/>
                  <w:vMerge w:val="continue"/>
                  <w:tcBorders>
                    <w:tl2br w:val="nil"/>
                    <w:tr2bl w:val="nil"/>
                  </w:tcBorders>
                  <w:shd w:val="clear" w:color="auto" w:fill="auto"/>
                  <w:noWrap/>
                  <w:tcMar>
                    <w:left w:w="6" w:type="dxa"/>
                    <w:right w:w="6" w:type="dxa"/>
                  </w:tcMar>
                  <w:vAlign w:val="center"/>
                </w:tcPr>
                <w:p w14:paraId="07A9061F">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sz w:val="18"/>
                      <w:szCs w:val="18"/>
                      <w:highlight w:val="none"/>
                    </w:rPr>
                  </w:pPr>
                </w:p>
              </w:tc>
              <w:tc>
                <w:tcPr>
                  <w:tcW w:w="3132" w:type="pct"/>
                  <w:tcBorders>
                    <w:tl2br w:val="nil"/>
                    <w:tr2bl w:val="nil"/>
                  </w:tcBorders>
                  <w:shd w:val="clear" w:color="auto" w:fill="auto"/>
                  <w:noWrap/>
                  <w:tcMar>
                    <w:left w:w="6" w:type="dxa"/>
                    <w:right w:w="6" w:type="dxa"/>
                  </w:tcMar>
                  <w:vAlign w:val="center"/>
                </w:tcPr>
                <w:p w14:paraId="4AECC434">
                  <w:pPr>
                    <w:pStyle w:val="68"/>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rightChars="0"/>
                    <w:jc w:val="both"/>
                    <w:textAlignment w:val="auto"/>
                    <w:rPr>
                      <w:rFonts w:hint="default" w:ascii="Times New Roman" w:hAnsi="Times New Roman" w:cs="Times New Roman"/>
                      <w:color w:val="auto"/>
                      <w:spacing w:val="-5"/>
                      <w:sz w:val="18"/>
                      <w:szCs w:val="18"/>
                      <w:highlight w:val="none"/>
                    </w:rPr>
                  </w:pPr>
                  <w:r>
                    <w:rPr>
                      <w:rFonts w:hint="default" w:ascii="Times New Roman" w:hAnsi="Times New Roman" w:cs="Times New Roman"/>
                      <w:color w:val="auto"/>
                      <w:spacing w:val="-5"/>
                      <w:sz w:val="18"/>
                      <w:szCs w:val="18"/>
                      <w:highlight w:val="none"/>
                    </w:rPr>
                    <w:t>完善工业固体废弃物回收利用系统，提高固体废弃物的利用技术与水平。积极推进各类工业园区循环经济建设，提高工业企业内部再利用废弃物水平，降低工业固体废物处理处置量。推进污水</w:t>
                  </w:r>
                  <w:r>
                    <w:rPr>
                      <w:rFonts w:hint="eastAsia" w:ascii="Times New Roman" w:hAnsi="Times New Roman" w:cs="Times New Roman"/>
                      <w:color w:val="auto"/>
                      <w:spacing w:val="-5"/>
                      <w:sz w:val="18"/>
                      <w:szCs w:val="18"/>
                      <w:highlight w:val="none"/>
                      <w:lang w:val="en-US" w:eastAsia="zh-CN"/>
                    </w:rPr>
                    <w:t>处理</w:t>
                  </w:r>
                  <w:r>
                    <w:rPr>
                      <w:rFonts w:hint="default" w:ascii="Times New Roman" w:hAnsi="Times New Roman" w:cs="Times New Roman"/>
                      <w:color w:val="auto"/>
                      <w:spacing w:val="-5"/>
                      <w:sz w:val="18"/>
                      <w:szCs w:val="18"/>
                      <w:highlight w:val="none"/>
                    </w:rPr>
                    <w:t>厂污泥源头减量和协同处置，压减填埋规模，推进资源化利用。完善全过程监控管理，逐步建立综合利用与安全处置相结合的工业固体废物处置体系到 2025 年一般工业固体废物处置利用率达到95%以上。</w:t>
                  </w:r>
                </w:p>
              </w:tc>
              <w:tc>
                <w:tcPr>
                  <w:tcW w:w="955" w:type="pct"/>
                  <w:tcBorders>
                    <w:tl2br w:val="nil"/>
                    <w:tr2bl w:val="nil"/>
                  </w:tcBorders>
                  <w:shd w:val="clear" w:color="auto" w:fill="auto"/>
                  <w:noWrap/>
                  <w:tcMar>
                    <w:top w:w="0" w:type="dxa"/>
                    <w:left w:w="6" w:type="dxa"/>
                    <w:bottom w:w="0" w:type="dxa"/>
                    <w:right w:w="6" w:type="dxa"/>
                  </w:tcMar>
                  <w:vAlign w:val="center"/>
                </w:tcPr>
                <w:p w14:paraId="7280CA93">
                  <w:pPr>
                    <w:pStyle w:val="68"/>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rightChars="0"/>
                    <w:jc w:val="both"/>
                    <w:textAlignment w:val="auto"/>
                    <w:rPr>
                      <w:rFonts w:hint="default" w:ascii="Times New Roman" w:hAnsi="Times New Roman" w:cs="Times New Roman"/>
                      <w:color w:val="auto"/>
                      <w:spacing w:val="-5"/>
                      <w:sz w:val="18"/>
                      <w:szCs w:val="18"/>
                      <w:highlight w:val="none"/>
                    </w:rPr>
                  </w:pPr>
                  <w:r>
                    <w:rPr>
                      <w:rFonts w:hint="default" w:ascii="Times New Roman" w:hAnsi="Times New Roman" w:cs="Times New Roman"/>
                      <w:color w:val="auto"/>
                      <w:spacing w:val="-5"/>
                      <w:sz w:val="18"/>
                      <w:szCs w:val="18"/>
                      <w:highlight w:val="none"/>
                    </w:rPr>
                    <w:t>本项目产生的固废均得到合理处置，处置利用率为100%。</w:t>
                  </w:r>
                </w:p>
              </w:tc>
              <w:tc>
                <w:tcPr>
                  <w:tcW w:w="296" w:type="pct"/>
                  <w:tcBorders>
                    <w:tl2br w:val="nil"/>
                    <w:tr2bl w:val="nil"/>
                  </w:tcBorders>
                  <w:noWrap/>
                  <w:tcMar>
                    <w:left w:w="6" w:type="dxa"/>
                    <w:right w:w="6" w:type="dxa"/>
                  </w:tcMar>
                  <w:vAlign w:val="center"/>
                </w:tcPr>
                <w:p w14:paraId="0B489511">
                  <w:pPr>
                    <w:pStyle w:val="1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符合</w:t>
                  </w:r>
                </w:p>
              </w:tc>
            </w:tr>
          </w:tbl>
          <w:p w14:paraId="1D373B45">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lang w:eastAsia="zh-CN"/>
              </w:rPr>
              <w:t>）与沙区相关环境管理要求的符合性分析</w:t>
            </w:r>
          </w:p>
          <w:p w14:paraId="13FD185D">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根据《关于进一步做好沙区建设项目环境影响评价工作得通知》（冀环办字函[2023]326号)，“沙区范围主要涉及地域石家庄：藁城区、行唐县、晋州市、灵寿县、深泽县、无极县新乐市、赵县、正定县等。在沙化土地范围内从事开发建设活动的，必须事先就该项目可能对当地及相关地区生态产生的影响进行环境影响评价，环境影响报告应当包括有关防沙治沙的内容。”</w:t>
            </w:r>
          </w:p>
          <w:p w14:paraId="3FF00D70">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lang w:eastAsia="zh-CN"/>
              </w:rPr>
              <w:t>本项目位于石家庄矿区工业园区，不属于沙区范围，项目占地为园区规划的工业用地，</w:t>
            </w:r>
            <w:r>
              <w:rPr>
                <w:rFonts w:hint="default" w:ascii="Times New Roman" w:hAnsi="Times New Roman" w:eastAsia="宋体" w:cs="Times New Roman"/>
                <w:color w:val="auto"/>
                <w:sz w:val="24"/>
                <w:highlight w:val="none"/>
                <w:lang w:val="en-US" w:eastAsia="zh-CN"/>
              </w:rPr>
              <w:t xml:space="preserve">厂区采取防渗措施，生产车间、化粪池为一般防渗，等效黏土防渗层 Mb≥1.5m，K≤1×10 </w:t>
            </w:r>
            <w:r>
              <w:rPr>
                <w:rFonts w:hint="default" w:ascii="Times New Roman" w:hAnsi="Times New Roman" w:eastAsia="宋体" w:cs="Times New Roman"/>
                <w:color w:val="auto"/>
                <w:sz w:val="24"/>
                <w:highlight w:val="none"/>
                <w:vertAlign w:val="superscript"/>
                <w:lang w:val="en-US" w:eastAsia="zh-CN"/>
              </w:rPr>
              <w:t>-7</w:t>
            </w:r>
            <w:r>
              <w:rPr>
                <w:rFonts w:hint="default" w:ascii="Times New Roman" w:hAnsi="Times New Roman" w:eastAsia="宋体" w:cs="Times New Roman"/>
                <w:color w:val="auto"/>
                <w:sz w:val="24"/>
                <w:highlight w:val="none"/>
                <w:lang w:val="en-US" w:eastAsia="zh-CN"/>
              </w:rPr>
              <w:t>cm/s；或参照 GB16889 执行。项目运营后加强绿化，种植再生能力强、耐旱、耐涝的植物。通过采取以上生态保护及绿化措施，将有效补偿施工期对生态环境产生的破坏，不会对区域生态环境产生明显影响。因此，</w:t>
            </w:r>
            <w:r>
              <w:rPr>
                <w:rFonts w:hint="default" w:ascii="Times New Roman" w:hAnsi="Times New Roman" w:cs="Times New Roman"/>
                <w:color w:val="auto"/>
                <w:sz w:val="24"/>
                <w:highlight w:val="none"/>
                <w:lang w:eastAsia="zh-CN"/>
              </w:rPr>
              <w:t>项目建设符合沙区相关管理要求。</w:t>
            </w:r>
          </w:p>
          <w:p w14:paraId="72355F17">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p>
          <w:p w14:paraId="3DEA65C8">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p>
          <w:p w14:paraId="01589EE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p>
          <w:p w14:paraId="32C1F5A9">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p>
          <w:p w14:paraId="55F11035">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p>
          <w:p w14:paraId="09B40438">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p>
          <w:p w14:paraId="748797E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kern w:val="0"/>
                <w:sz w:val="24"/>
                <w:highlight w:val="none"/>
                <w:lang w:val="en-US" w:eastAsia="zh-CN"/>
              </w:rPr>
            </w:pPr>
          </w:p>
        </w:tc>
      </w:tr>
    </w:tbl>
    <w:p w14:paraId="0D3A0B83">
      <w:pPr>
        <w:keepNext w:val="0"/>
        <w:keepLines w:val="0"/>
        <w:pageBreakBefore w:val="0"/>
        <w:widowControl/>
        <w:numPr>
          <w:ilvl w:val="0"/>
          <w:numId w:val="7"/>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sectPr>
          <w:footerReference r:id="rId5" w:type="default"/>
          <w:pgSz w:w="11906" w:h="16838"/>
          <w:pgMar w:top="1440" w:right="1800" w:bottom="1440" w:left="1800"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141A0DB6">
      <w:pPr>
        <w:pStyle w:val="36"/>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二、建设项目工程分析</w:t>
      </w:r>
    </w:p>
    <w:tbl>
      <w:tblPr>
        <w:tblStyle w:val="4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7890"/>
      </w:tblGrid>
      <w:tr w14:paraId="54B05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32" w:type="dxa"/>
            <w:vAlign w:val="center"/>
          </w:tcPr>
          <w:p w14:paraId="2FEA220F">
            <w:pPr>
              <w:pStyle w:val="36"/>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建设内容</w:t>
            </w:r>
          </w:p>
        </w:tc>
        <w:tc>
          <w:tcPr>
            <w:tcW w:w="7890" w:type="dxa"/>
          </w:tcPr>
          <w:p w14:paraId="4FFEE58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1、项目由来</w:t>
            </w:r>
          </w:p>
          <w:p w14:paraId="5A8DF99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eastAsia="zh-CN"/>
              </w:rPr>
              <w:t>河北鑫山建材有限公司位于石家庄市井陉矿区丰达产业园东区7号，拟投资</w:t>
            </w:r>
            <w:r>
              <w:rPr>
                <w:rFonts w:hint="default" w:ascii="Times New Roman" w:hAnsi="Times New Roman" w:cs="Times New Roman"/>
                <w:color w:val="auto"/>
                <w:sz w:val="24"/>
                <w:highlight w:val="none"/>
                <w:lang w:val="en-US" w:eastAsia="zh-CN"/>
              </w:rPr>
              <w:t>10550万元，建设“</w:t>
            </w:r>
            <w:r>
              <w:rPr>
                <w:rFonts w:hint="default" w:ascii="Times New Roman" w:hAnsi="Times New Roman" w:cs="Times New Roman"/>
                <w:color w:val="auto"/>
                <w:sz w:val="24"/>
                <w:highlight w:val="none"/>
                <w:lang w:eastAsia="zh-CN"/>
              </w:rPr>
              <w:t>钢制边框复合隔墙板及砂浆</w:t>
            </w:r>
            <w:r>
              <w:rPr>
                <w:rFonts w:hint="default" w:ascii="Times New Roman" w:hAnsi="Times New Roman" w:cs="Times New Roman"/>
                <w:color w:val="auto"/>
                <w:sz w:val="24"/>
                <w:highlight w:val="none"/>
                <w:lang w:val="en-US" w:eastAsia="zh-CN"/>
              </w:rPr>
              <w:t>生产</w:t>
            </w:r>
            <w:r>
              <w:rPr>
                <w:rFonts w:hint="default" w:ascii="Times New Roman" w:hAnsi="Times New Roman" w:cs="Times New Roman"/>
                <w:color w:val="auto"/>
                <w:sz w:val="24"/>
                <w:highlight w:val="none"/>
                <w:lang w:eastAsia="zh-CN"/>
              </w:rPr>
              <w:t>项目</w:t>
            </w:r>
            <w:r>
              <w:rPr>
                <w:rFonts w:hint="default" w:ascii="Times New Roman" w:hAnsi="Times New Roman" w:cs="Times New Roman"/>
                <w:color w:val="auto"/>
                <w:sz w:val="24"/>
                <w:highlight w:val="none"/>
                <w:lang w:val="en-US" w:eastAsia="zh-CN"/>
              </w:rPr>
              <w:t>”，主要建设1条钢制边框复合隔墙板生产线、1条石膏砂浆生产线，1条防火保温砂浆生产线，配套生产厂房、办公楼等辅助生产设施</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highlight w:val="none"/>
                <w:lang w:val="en-US" w:eastAsia="zh-CN"/>
              </w:rPr>
              <w:t>项目建成后年产钢制边框复合隔墙板150万平方米，石膏砂浆2.5万吨，防火保温砂浆5000吨。项目已于2024年11月22日在石家庄市井陉矿区数据和政务服务局备案，备案编号：矿行审投资备字（2024）83号。</w:t>
            </w:r>
          </w:p>
          <w:p w14:paraId="74F7255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kern w:val="0"/>
                <w:sz w:val="24"/>
                <w:highlight w:val="none"/>
              </w:rPr>
              <w:t>根据《中华人民共和国环境保护法》《中华人民共和国环境影响评价法》和《建设项目环境保护管理条例》中有关规定，该项目需进行环境影响评价。</w:t>
            </w:r>
            <w:r>
              <w:rPr>
                <w:rFonts w:hint="default" w:ascii="Times New Roman" w:hAnsi="Times New Roman" w:cs="Times New Roman"/>
                <w:color w:val="auto"/>
                <w:kern w:val="0"/>
                <w:sz w:val="24"/>
                <w:highlight w:val="none"/>
                <w:lang w:eastAsia="zh-CN"/>
              </w:rPr>
              <w:t>对照《建设项目环境影响评价分类管理名录》（</w:t>
            </w:r>
            <w:r>
              <w:rPr>
                <w:rFonts w:hint="default" w:ascii="Times New Roman" w:hAnsi="Times New Roman" w:cs="Times New Roman"/>
                <w:color w:val="auto"/>
                <w:kern w:val="0"/>
                <w:sz w:val="24"/>
                <w:highlight w:val="none"/>
                <w:lang w:val="en-US" w:eastAsia="zh-CN"/>
              </w:rPr>
              <w:t>2021年版</w:t>
            </w:r>
            <w:r>
              <w:rPr>
                <w:rFonts w:hint="default" w:ascii="Times New Roman" w:hAnsi="Times New Roman" w:cs="Times New Roman"/>
                <w:color w:val="auto"/>
                <w:kern w:val="0"/>
                <w:sz w:val="24"/>
                <w:highlight w:val="none"/>
                <w:lang w:eastAsia="zh-CN"/>
              </w:rPr>
              <w:t>），本</w:t>
            </w:r>
            <w:r>
              <w:rPr>
                <w:rFonts w:hint="default" w:ascii="Times New Roman" w:hAnsi="Times New Roman" w:cs="Times New Roman"/>
                <w:color w:val="auto"/>
                <w:kern w:val="0"/>
                <w:sz w:val="24"/>
                <w:highlight w:val="none"/>
              </w:rPr>
              <w:t>项目属于</w:t>
            </w:r>
            <w:r>
              <w:rPr>
                <w:rFonts w:hint="default" w:ascii="Times New Roman" w:hAnsi="Times New Roman" w:cs="Times New Roman"/>
                <w:color w:val="auto"/>
                <w:kern w:val="0"/>
                <w:sz w:val="24"/>
                <w:highlight w:val="none"/>
                <w:lang w:eastAsia="zh-CN"/>
              </w:rPr>
              <w:t>“二十七、非金属矿物制品业 56 石膏、水泥制品及类似制品制造 302-水泥制品制造和二十七、非金属矿物制品业 56 砖瓦、石材等建筑材料制造 303-隔热、隔音材料制造；其他建筑材料制造(含干粉砂浆搅拌站)”</w:t>
            </w:r>
            <w:r>
              <w:rPr>
                <w:rFonts w:hint="default" w:ascii="Times New Roman" w:hAnsi="Times New Roman" w:cs="Times New Roman"/>
                <w:color w:val="auto"/>
                <w:kern w:val="0"/>
                <w:sz w:val="24"/>
                <w:highlight w:val="none"/>
              </w:rPr>
              <w:t>，应编制环境影响报告表。为此，</w:t>
            </w:r>
            <w:r>
              <w:rPr>
                <w:rFonts w:hint="default" w:ascii="Times New Roman" w:hAnsi="Times New Roman" w:cs="Times New Roman"/>
                <w:color w:val="auto"/>
                <w:sz w:val="24"/>
                <w:highlight w:val="none"/>
                <w:lang w:eastAsia="zh-CN"/>
              </w:rPr>
              <w:t>河北鑫山建材有限公司</w:t>
            </w:r>
            <w:r>
              <w:rPr>
                <w:rFonts w:hint="default" w:ascii="Times New Roman" w:hAnsi="Times New Roman" w:cs="Times New Roman"/>
                <w:color w:val="auto"/>
                <w:kern w:val="0"/>
                <w:sz w:val="24"/>
                <w:highlight w:val="none"/>
              </w:rPr>
              <w:t>委托我单位承担此项环评工作。我单位接受委托后，组织有关人员在现场调查、研究，收集资料的基础上，依据《建设项目环境影响报告表编制技术指南（污染影响类）（试行）》编制完成本环境影响报告表。</w:t>
            </w:r>
          </w:p>
          <w:p w14:paraId="40B93BD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2、基本</w:t>
            </w:r>
            <w:r>
              <w:rPr>
                <w:rFonts w:hint="default" w:ascii="Times New Roman" w:hAnsi="Times New Roman" w:eastAsia="宋体" w:cs="Times New Roman"/>
                <w:b/>
                <w:bCs/>
                <w:color w:val="auto"/>
                <w:sz w:val="24"/>
                <w:highlight w:val="none"/>
                <w:lang w:val="en-US" w:eastAsia="zh-CN"/>
              </w:rPr>
              <w:t>情况</w:t>
            </w:r>
          </w:p>
          <w:p w14:paraId="12509FD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（1）项目名称：</w:t>
            </w:r>
            <w:r>
              <w:rPr>
                <w:rFonts w:hint="default" w:ascii="Times New Roman" w:hAnsi="Times New Roman" w:cs="Times New Roman"/>
                <w:color w:val="auto"/>
                <w:sz w:val="24"/>
                <w:highlight w:val="none"/>
                <w:lang w:val="en-US" w:eastAsia="zh-CN"/>
              </w:rPr>
              <w:t>钢制边框复合隔墙板及砂浆生产项目</w:t>
            </w:r>
            <w:r>
              <w:rPr>
                <w:rFonts w:hint="default" w:ascii="Times New Roman" w:hAnsi="Times New Roman" w:eastAsia="宋体" w:cs="Times New Roman"/>
                <w:color w:val="auto"/>
                <w:sz w:val="24"/>
                <w:highlight w:val="none"/>
              </w:rPr>
              <w:t>。</w:t>
            </w:r>
          </w:p>
          <w:p w14:paraId="584042B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rPr>
              <w:t>（2）</w:t>
            </w:r>
            <w:r>
              <w:rPr>
                <w:rFonts w:hint="default" w:ascii="Times New Roman" w:hAnsi="Times New Roman" w:cs="Times New Roman"/>
                <w:color w:val="auto"/>
                <w:sz w:val="24"/>
                <w:highlight w:val="none"/>
              </w:rPr>
              <w:t>项目建设单位：</w:t>
            </w:r>
            <w:r>
              <w:rPr>
                <w:rFonts w:hint="default" w:ascii="Times New Roman" w:hAnsi="Times New Roman" w:cs="Times New Roman"/>
                <w:color w:val="auto"/>
                <w:sz w:val="24"/>
                <w:highlight w:val="none"/>
                <w:lang w:eastAsia="zh-CN"/>
              </w:rPr>
              <w:t>河北鑫山建材有限公司</w:t>
            </w:r>
            <w:r>
              <w:rPr>
                <w:rFonts w:hint="default" w:ascii="Times New Roman" w:hAnsi="Times New Roman" w:cs="Times New Roman"/>
                <w:color w:val="auto"/>
                <w:sz w:val="24"/>
                <w:highlight w:val="none"/>
              </w:rPr>
              <w:t>。</w:t>
            </w:r>
          </w:p>
          <w:p w14:paraId="51FB88F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（3）项目建设性质：</w:t>
            </w:r>
            <w:r>
              <w:rPr>
                <w:rFonts w:hint="default" w:ascii="Times New Roman" w:hAnsi="Times New Roman" w:cs="Times New Roman"/>
                <w:color w:val="auto"/>
                <w:sz w:val="24"/>
                <w:highlight w:val="none"/>
                <w:lang w:val="en-US" w:eastAsia="zh-CN"/>
              </w:rPr>
              <w:t>新建</w:t>
            </w:r>
            <w:r>
              <w:rPr>
                <w:rFonts w:hint="default" w:ascii="Times New Roman" w:hAnsi="Times New Roman" w:cs="Times New Roman"/>
                <w:color w:val="auto"/>
                <w:sz w:val="24"/>
                <w:highlight w:val="none"/>
              </w:rPr>
              <w:t>。</w:t>
            </w:r>
          </w:p>
          <w:p w14:paraId="2CBC684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（4）项目工程投资：总投资</w:t>
            </w:r>
            <w:r>
              <w:rPr>
                <w:rFonts w:hint="default" w:ascii="Times New Roman" w:hAnsi="Times New Roman" w:cs="Times New Roman"/>
                <w:color w:val="auto"/>
                <w:sz w:val="24"/>
                <w:highlight w:val="none"/>
                <w:lang w:val="en-US" w:eastAsia="zh-CN"/>
              </w:rPr>
              <w:t>10550</w:t>
            </w:r>
            <w:r>
              <w:rPr>
                <w:rFonts w:hint="default" w:ascii="Times New Roman" w:hAnsi="Times New Roman" w:cs="Times New Roman"/>
                <w:color w:val="auto"/>
                <w:sz w:val="24"/>
                <w:highlight w:val="none"/>
              </w:rPr>
              <w:t>万元，其中环保投资</w:t>
            </w:r>
            <w:r>
              <w:rPr>
                <w:rFonts w:hint="default" w:ascii="Times New Roman" w:hAnsi="Times New Roman" w:cs="Times New Roman"/>
                <w:color w:val="auto"/>
                <w:sz w:val="24"/>
                <w:highlight w:val="none"/>
                <w:lang w:val="en-US" w:eastAsia="zh-CN"/>
              </w:rPr>
              <w:t>50</w:t>
            </w:r>
            <w:r>
              <w:rPr>
                <w:rFonts w:hint="default" w:ascii="Times New Roman" w:hAnsi="Times New Roman" w:cs="Times New Roman"/>
                <w:color w:val="auto"/>
                <w:sz w:val="24"/>
                <w:highlight w:val="none"/>
              </w:rPr>
              <w:t>万元，占总投资的</w:t>
            </w:r>
            <w:r>
              <w:rPr>
                <w:rFonts w:hint="default" w:ascii="Times New Roman" w:hAnsi="Times New Roman" w:cs="Times New Roman"/>
                <w:color w:val="auto"/>
                <w:sz w:val="24"/>
                <w:highlight w:val="none"/>
                <w:lang w:val="en-US" w:eastAsia="zh-CN"/>
              </w:rPr>
              <w:t>0.47</w:t>
            </w:r>
            <w:r>
              <w:rPr>
                <w:rFonts w:hint="default" w:ascii="Times New Roman" w:hAnsi="Times New Roman" w:cs="Times New Roman"/>
                <w:color w:val="auto"/>
                <w:sz w:val="24"/>
                <w:highlight w:val="none"/>
              </w:rPr>
              <w:t>%。</w:t>
            </w:r>
          </w:p>
          <w:p w14:paraId="41C7C09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rPr>
              <w:t>（5）项目建设地点及四邻关系：</w:t>
            </w:r>
            <w:r>
              <w:rPr>
                <w:rFonts w:hint="default" w:ascii="Times New Roman" w:hAnsi="Times New Roman" w:cs="Times New Roman"/>
                <w:color w:val="auto"/>
                <w:sz w:val="24"/>
                <w:highlight w:val="none"/>
                <w:lang w:eastAsia="zh-CN"/>
              </w:rPr>
              <w:t>项目位于河北省石家庄市井陉矿区丰达产业园东区7号，属于河北石家庄矿区工业园区丰达片区范围，厂址中心地理坐标为东经 114°</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40.056</w:t>
            </w:r>
            <w:r>
              <w:rPr>
                <w:rFonts w:hint="default" w:ascii="Times New Roman" w:hAnsi="Times New Roman" w:cs="Times New Roman"/>
                <w:color w:val="auto"/>
                <w:sz w:val="24"/>
                <w:highlight w:val="none"/>
                <w:lang w:eastAsia="zh-CN"/>
              </w:rPr>
              <w:t>″， 38°4′</w:t>
            </w:r>
            <w:r>
              <w:rPr>
                <w:rFonts w:hint="default" w:ascii="Times New Roman" w:hAnsi="Times New Roman" w:cs="Times New Roman"/>
                <w:color w:val="auto"/>
                <w:sz w:val="24"/>
                <w:highlight w:val="none"/>
                <w:lang w:val="en-US" w:eastAsia="zh-CN"/>
              </w:rPr>
              <w:t>25.827</w:t>
            </w:r>
            <w:r>
              <w:rPr>
                <w:rFonts w:hint="default" w:ascii="Times New Roman" w:hAnsi="Times New Roman" w:cs="Times New Roman"/>
                <w:color w:val="auto"/>
                <w:sz w:val="24"/>
                <w:highlight w:val="none"/>
                <w:lang w:eastAsia="zh-CN"/>
              </w:rPr>
              <w:t>″，厂址北侧隔路为</w:t>
            </w:r>
            <w:r>
              <w:rPr>
                <w:rFonts w:hint="default" w:ascii="Times New Roman" w:hAnsi="Times New Roman" w:cs="Times New Roman"/>
                <w:color w:val="auto"/>
                <w:sz w:val="24"/>
                <w:highlight w:val="none"/>
                <w:lang w:val="en-US" w:eastAsia="zh-CN"/>
              </w:rPr>
              <w:t>闲置厂房</w:t>
            </w:r>
            <w:r>
              <w:rPr>
                <w:rFonts w:hint="default" w:ascii="Times New Roman" w:hAnsi="Times New Roman" w:cs="Times New Roman"/>
                <w:color w:val="auto"/>
                <w:sz w:val="24"/>
                <w:highlight w:val="none"/>
                <w:lang w:eastAsia="zh-CN"/>
              </w:rPr>
              <w:t>，东侧为</w:t>
            </w:r>
            <w:r>
              <w:rPr>
                <w:rFonts w:hint="default" w:ascii="Times New Roman" w:hAnsi="Times New Roman" w:cs="Times New Roman"/>
                <w:color w:val="auto"/>
                <w:sz w:val="24"/>
                <w:highlight w:val="none"/>
                <w:lang w:val="en-US" w:eastAsia="zh-CN"/>
              </w:rPr>
              <w:t>空地</w:t>
            </w:r>
            <w:r>
              <w:rPr>
                <w:rFonts w:hint="default" w:ascii="Times New Roman" w:hAnsi="Times New Roman" w:cs="Times New Roman"/>
                <w:color w:val="auto"/>
                <w:sz w:val="24"/>
                <w:highlight w:val="none"/>
                <w:lang w:eastAsia="zh-CN"/>
              </w:rPr>
              <w:t>，西侧为</w:t>
            </w:r>
            <w:r>
              <w:rPr>
                <w:rFonts w:hint="default" w:ascii="Times New Roman" w:hAnsi="Times New Roman" w:cs="Times New Roman"/>
                <w:color w:val="auto"/>
                <w:sz w:val="24"/>
                <w:highlight w:val="none"/>
                <w:lang w:val="en-US" w:eastAsia="zh-CN"/>
              </w:rPr>
              <w:t>空地</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南侧隔路为闲置厂房</w:t>
            </w:r>
            <w:r>
              <w:rPr>
                <w:rFonts w:hint="default" w:ascii="Times New Roman" w:hAnsi="Times New Roman" w:cs="Times New Roman"/>
                <w:color w:val="auto"/>
                <w:sz w:val="24"/>
                <w:highlight w:val="none"/>
                <w:lang w:eastAsia="zh-CN"/>
              </w:rPr>
              <w:t>。项目地理位置见附图1，周边关系见附图2。</w:t>
            </w:r>
          </w:p>
          <w:p w14:paraId="2FDBE92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（6）项目占地：本项目占地面积15951.18m</w:t>
            </w:r>
            <w:r>
              <w:rPr>
                <w:rFonts w:hint="default" w:ascii="Times New Roman" w:hAnsi="Times New Roman" w:cs="Times New Roman"/>
                <w:color w:val="auto"/>
                <w:sz w:val="24"/>
                <w:highlight w:val="none"/>
                <w:vertAlign w:val="superscript"/>
                <w:lang w:val="en-US" w:eastAsia="zh-CN"/>
              </w:rPr>
              <w:t>2</w:t>
            </w:r>
            <w:r>
              <w:rPr>
                <w:rFonts w:hint="default" w:ascii="Times New Roman" w:hAnsi="Times New Roman" w:cs="Times New Roman"/>
                <w:color w:val="auto"/>
                <w:sz w:val="24"/>
                <w:highlight w:val="none"/>
                <w:lang w:val="en-US" w:eastAsia="zh-CN"/>
              </w:rPr>
              <w:t>，建筑面积为10700m</w:t>
            </w:r>
            <w:r>
              <w:rPr>
                <w:rFonts w:hint="default" w:ascii="Times New Roman" w:hAnsi="Times New Roman" w:cs="Times New Roman"/>
                <w:color w:val="auto"/>
                <w:sz w:val="24"/>
                <w:highlight w:val="none"/>
                <w:vertAlign w:val="superscript"/>
                <w:lang w:val="en-US" w:eastAsia="zh-CN"/>
              </w:rPr>
              <w:t>2</w:t>
            </w:r>
            <w:r>
              <w:rPr>
                <w:rFonts w:hint="default" w:ascii="Times New Roman" w:hAnsi="Times New Roman" w:cs="Times New Roman"/>
                <w:color w:val="auto"/>
                <w:sz w:val="24"/>
                <w:highlight w:val="none"/>
                <w:lang w:val="en-US" w:eastAsia="zh-CN"/>
              </w:rPr>
              <w:t>。</w:t>
            </w:r>
          </w:p>
          <w:p w14:paraId="652B11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（7）劳动定员及工作制度：</w:t>
            </w:r>
            <w:r>
              <w:rPr>
                <w:rFonts w:hint="default" w:ascii="Times New Roman" w:hAnsi="Times New Roman" w:cs="Times New Roman"/>
                <w:color w:val="auto"/>
                <w:sz w:val="24"/>
                <w:highlight w:val="none"/>
              </w:rPr>
              <w:t>项目劳动定员</w:t>
            </w:r>
            <w:r>
              <w:rPr>
                <w:rFonts w:hint="default" w:ascii="Times New Roman" w:hAnsi="Times New Roman" w:cs="Times New Roman"/>
                <w:color w:val="auto"/>
                <w:sz w:val="24"/>
                <w:highlight w:val="none"/>
                <w:lang w:val="en-US" w:eastAsia="zh-CN"/>
              </w:rPr>
              <w:t>20人，年工作300天，一班工作制，每班8小时。</w:t>
            </w:r>
          </w:p>
          <w:p w14:paraId="4AE7C8A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cs="Times New Roman"/>
                <w:b/>
                <w:bCs/>
                <w:color w:val="auto"/>
                <w:sz w:val="24"/>
                <w:highlight w:val="none"/>
                <w:lang w:val="en-US" w:eastAsia="zh-CN"/>
              </w:rPr>
              <w:t>3、</w:t>
            </w:r>
            <w:r>
              <w:rPr>
                <w:rFonts w:hint="default" w:ascii="Times New Roman" w:hAnsi="Times New Roman" w:eastAsia="宋体" w:cs="Times New Roman"/>
                <w:b/>
                <w:bCs/>
                <w:color w:val="auto"/>
                <w:sz w:val="24"/>
                <w:highlight w:val="none"/>
                <w:lang w:val="en-US" w:eastAsia="zh-CN"/>
              </w:rPr>
              <w:t>主要建设内容</w:t>
            </w:r>
          </w:p>
          <w:p w14:paraId="780E6F9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color w:val="auto"/>
                <w:sz w:val="24"/>
                <w:highlight w:val="none"/>
                <w:lang w:val="en-US" w:eastAsia="zh-CN"/>
              </w:rPr>
              <w:t>本项目总建筑面积10700m</w:t>
            </w:r>
            <w:r>
              <w:rPr>
                <w:rFonts w:hint="default" w:ascii="Times New Roman" w:hAnsi="Times New Roman" w:cs="Times New Roman"/>
                <w:color w:val="auto"/>
                <w:sz w:val="24"/>
                <w:highlight w:val="none"/>
                <w:vertAlign w:val="superscript"/>
                <w:lang w:val="en-US" w:eastAsia="zh-CN"/>
              </w:rPr>
              <w:t>2</w:t>
            </w:r>
            <w:r>
              <w:rPr>
                <w:rFonts w:hint="default" w:ascii="Times New Roman" w:hAnsi="Times New Roman" w:cs="Times New Roman"/>
                <w:color w:val="auto"/>
                <w:sz w:val="24"/>
                <w:highlight w:val="none"/>
                <w:lang w:val="en-US" w:eastAsia="zh-CN"/>
              </w:rPr>
              <w:t>，主要包括生产厂房一座8830m</w:t>
            </w:r>
            <w:r>
              <w:rPr>
                <w:rFonts w:hint="default" w:ascii="Times New Roman" w:hAnsi="Times New Roman" w:cs="Times New Roman"/>
                <w:color w:val="auto"/>
                <w:sz w:val="24"/>
                <w:highlight w:val="none"/>
                <w:vertAlign w:val="superscript"/>
                <w:lang w:val="en-US" w:eastAsia="zh-CN"/>
              </w:rPr>
              <w:t>2</w:t>
            </w:r>
            <w:r>
              <w:rPr>
                <w:rFonts w:hint="default" w:ascii="Times New Roman" w:hAnsi="Times New Roman" w:cs="Times New Roman"/>
                <w:color w:val="auto"/>
                <w:sz w:val="24"/>
                <w:highlight w:val="none"/>
                <w:lang w:val="en-US" w:eastAsia="zh-CN"/>
              </w:rPr>
              <w:t>，办公楼1870m</w:t>
            </w:r>
            <w:r>
              <w:rPr>
                <w:rFonts w:hint="default" w:ascii="Times New Roman" w:hAnsi="Times New Roman" w:cs="Times New Roman"/>
                <w:color w:val="auto"/>
                <w:sz w:val="24"/>
                <w:highlight w:val="none"/>
                <w:vertAlign w:val="superscript"/>
                <w:lang w:val="en-US" w:eastAsia="zh-CN"/>
              </w:rPr>
              <w:t>2</w:t>
            </w:r>
            <w:r>
              <w:rPr>
                <w:rFonts w:hint="default" w:ascii="Times New Roman" w:hAnsi="Times New Roman" w:cs="Times New Roman"/>
                <w:color w:val="auto"/>
                <w:sz w:val="24"/>
                <w:highlight w:val="none"/>
                <w:lang w:val="en-US" w:eastAsia="zh-CN"/>
              </w:rPr>
              <w:t>。项目建成后年产钢制边框复合隔墙板150万平方米，石膏砂浆2.5万吨，防火保温砂浆5000吨。主要建设1条钢制边框复合隔墙板生产线、1条石膏砂浆生产线，1条防火保温砂浆生产线，配套生产厂房、办公楼等辅助生产设施</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highlight w:val="none"/>
                <w:lang w:val="en-US" w:eastAsia="zh-CN"/>
              </w:rPr>
              <w:t>项目</w:t>
            </w:r>
            <w:r>
              <w:rPr>
                <w:rFonts w:hint="default" w:ascii="Times New Roman" w:hAnsi="Times New Roman" w:cs="Times New Roman"/>
                <w:color w:val="auto"/>
                <w:sz w:val="24"/>
                <w:highlight w:val="none"/>
                <w:lang w:val="en-US" w:eastAsia="zh-CN"/>
              </w:rPr>
              <w:t>工程组成</w:t>
            </w:r>
            <w:r>
              <w:rPr>
                <w:rFonts w:hint="default" w:ascii="Times New Roman" w:hAnsi="Times New Roman" w:eastAsia="宋体" w:cs="Times New Roman"/>
                <w:color w:val="auto"/>
                <w:sz w:val="24"/>
                <w:highlight w:val="none"/>
                <w:lang w:val="en-US" w:eastAsia="zh-CN"/>
              </w:rPr>
              <w:t>见表2-</w:t>
            </w:r>
            <w:r>
              <w:rPr>
                <w:rFonts w:hint="default" w:ascii="Times New Roman" w:hAnsi="Times New Roman" w:cs="Times New Roman"/>
                <w:color w:val="auto"/>
                <w:sz w:val="24"/>
                <w:highlight w:val="none"/>
                <w:lang w:val="en-US" w:eastAsia="zh-CN"/>
              </w:rPr>
              <w:t>1。</w:t>
            </w:r>
          </w:p>
          <w:p w14:paraId="2B03FF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rightChars="0" w:firstLine="0" w:firstLineChars="0"/>
              <w:jc w:val="center"/>
              <w:textAlignment w:val="auto"/>
              <w:outlineLvl w:val="9"/>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表2-1  项目工程组成一览表</w:t>
            </w:r>
          </w:p>
          <w:tbl>
            <w:tblPr>
              <w:tblStyle w:val="4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673"/>
              <w:gridCol w:w="1062"/>
              <w:gridCol w:w="5926"/>
            </w:tblGrid>
            <w:tr w14:paraId="6E2B1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noWrap w:val="0"/>
                  <w:vAlign w:val="center"/>
                </w:tcPr>
                <w:p w14:paraId="627EAFA0">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分类</w:t>
                  </w:r>
                </w:p>
              </w:tc>
              <w:tc>
                <w:tcPr>
                  <w:tcW w:w="693" w:type="pct"/>
                  <w:noWrap w:val="0"/>
                  <w:vAlign w:val="center"/>
                </w:tcPr>
                <w:p w14:paraId="0B1719FB">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工程组成</w:t>
                  </w:r>
                </w:p>
              </w:tc>
              <w:tc>
                <w:tcPr>
                  <w:tcW w:w="3866" w:type="pct"/>
                  <w:tcBorders>
                    <w:right w:val="single" w:color="auto" w:sz="4" w:space="0"/>
                  </w:tcBorders>
                  <w:noWrap w:val="0"/>
                  <w:vAlign w:val="center"/>
                </w:tcPr>
                <w:p w14:paraId="6D7654BD">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工程建设内容</w:t>
                  </w:r>
                </w:p>
              </w:tc>
            </w:tr>
            <w:tr w14:paraId="73B95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vMerge w:val="restart"/>
                  <w:tcBorders>
                    <w:right w:val="single" w:color="auto" w:sz="4" w:space="0"/>
                  </w:tcBorders>
                  <w:noWrap w:val="0"/>
                  <w:vAlign w:val="center"/>
                </w:tcPr>
                <w:p w14:paraId="70704919">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主体工程</w:t>
                  </w:r>
                </w:p>
              </w:tc>
              <w:tc>
                <w:tcPr>
                  <w:tcW w:w="693" w:type="pct"/>
                  <w:tcBorders>
                    <w:bottom w:val="single" w:color="auto" w:sz="4" w:space="0"/>
                  </w:tcBorders>
                  <w:noWrap w:val="0"/>
                  <w:vAlign w:val="center"/>
                </w:tcPr>
                <w:p w14:paraId="382F61AE">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生产车间</w:t>
                  </w:r>
                </w:p>
              </w:tc>
              <w:tc>
                <w:tcPr>
                  <w:tcW w:w="3866" w:type="pct"/>
                  <w:tcBorders>
                    <w:left w:val="single" w:color="auto" w:sz="4" w:space="0"/>
                    <w:bottom w:val="single" w:color="auto" w:sz="4" w:space="0"/>
                    <w:right w:val="single" w:color="auto" w:sz="4" w:space="0"/>
                  </w:tcBorders>
                  <w:noWrap w:val="0"/>
                  <w:vAlign w:val="center"/>
                </w:tcPr>
                <w:p w14:paraId="005E05C5">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1座，</w:t>
                  </w:r>
                  <w:r>
                    <w:rPr>
                      <w:rFonts w:hint="default" w:ascii="Times New Roman" w:hAnsi="Times New Roman"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层，</w:t>
                  </w:r>
                  <w:r>
                    <w:rPr>
                      <w:rFonts w:hint="default" w:ascii="Times New Roman" w:hAnsi="Times New Roman" w:eastAsia="宋体" w:cs="Times New Roman"/>
                      <w:color w:val="auto"/>
                      <w:sz w:val="21"/>
                      <w:szCs w:val="21"/>
                      <w:highlight w:val="none"/>
                    </w:rPr>
                    <w:t>建筑面积</w:t>
                  </w:r>
                  <w:r>
                    <w:rPr>
                      <w:rFonts w:hint="default" w:ascii="Times New Roman" w:hAnsi="Times New Roman" w:cs="Times New Roman"/>
                      <w:color w:val="auto"/>
                      <w:sz w:val="21"/>
                      <w:szCs w:val="21"/>
                      <w:highlight w:val="none"/>
                      <w:lang w:val="en-US" w:eastAsia="zh-CN"/>
                    </w:rPr>
                    <w:t>8830</w:t>
                  </w: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2</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钢筋混凝土结构</w:t>
                  </w:r>
                  <w:r>
                    <w:rPr>
                      <w:rFonts w:hint="default" w:ascii="Times New Roman" w:hAnsi="Times New Roman" w:eastAsia="宋体" w:cs="Times New Roman"/>
                      <w:color w:val="auto"/>
                      <w:sz w:val="21"/>
                      <w:szCs w:val="21"/>
                      <w:highlight w:val="none"/>
                      <w:lang w:val="en-US" w:eastAsia="zh-CN"/>
                    </w:rPr>
                    <w:t>，内设储存区</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生产区等</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lang w:eastAsia="zh-CN"/>
                    </w:rPr>
                    <w:t>建设</w:t>
                  </w:r>
                  <w:r>
                    <w:rPr>
                      <w:rFonts w:hint="default" w:ascii="Times New Roman" w:hAnsi="Times New Roman" w:eastAsia="宋体" w:cs="Times New Roman"/>
                      <w:color w:val="auto"/>
                      <w:sz w:val="21"/>
                      <w:szCs w:val="21"/>
                      <w:highlight w:val="none"/>
                    </w:rPr>
                    <w:t>1条钢制边框复合隔墙板生产线、1条石膏砂浆生产线，1条防火保温砂浆生产线</w:t>
                  </w:r>
                  <w:r>
                    <w:rPr>
                      <w:rFonts w:hint="default" w:ascii="Times New Roman" w:hAnsi="Times New Roman" w:cs="Times New Roman"/>
                      <w:color w:val="auto"/>
                      <w:sz w:val="21"/>
                      <w:szCs w:val="21"/>
                      <w:highlight w:val="none"/>
                      <w:lang w:eastAsia="zh-CN"/>
                    </w:rPr>
                    <w:t>。</w:t>
                  </w:r>
                </w:p>
              </w:tc>
            </w:tr>
            <w:tr w14:paraId="5DD7A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vMerge w:val="continue"/>
                  <w:tcBorders>
                    <w:right w:val="single" w:color="auto" w:sz="4" w:space="0"/>
                  </w:tcBorders>
                  <w:noWrap w:val="0"/>
                  <w:vAlign w:val="center"/>
                </w:tcPr>
                <w:p w14:paraId="28F7901A">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693" w:type="pct"/>
                  <w:tcBorders>
                    <w:bottom w:val="single" w:color="auto" w:sz="4" w:space="0"/>
                  </w:tcBorders>
                  <w:noWrap w:val="0"/>
                  <w:vAlign w:val="center"/>
                </w:tcPr>
                <w:p w14:paraId="0AF5D572">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办公楼</w:t>
                  </w:r>
                </w:p>
              </w:tc>
              <w:tc>
                <w:tcPr>
                  <w:tcW w:w="3866" w:type="pct"/>
                  <w:tcBorders>
                    <w:left w:val="single" w:color="auto" w:sz="4" w:space="0"/>
                    <w:bottom w:val="single" w:color="auto" w:sz="4" w:space="0"/>
                    <w:right w:val="single" w:color="auto" w:sz="4" w:space="0"/>
                  </w:tcBorders>
                  <w:noWrap w:val="0"/>
                  <w:vAlign w:val="center"/>
                </w:tcPr>
                <w:p w14:paraId="51406B03">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1座，3层。建筑面积1870m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w:t>
                  </w:r>
                </w:p>
              </w:tc>
            </w:tr>
            <w:tr w14:paraId="43D8E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vMerge w:val="restart"/>
                  <w:tcBorders>
                    <w:right w:val="single" w:color="auto" w:sz="4" w:space="0"/>
                  </w:tcBorders>
                  <w:noWrap w:val="0"/>
                  <w:vAlign w:val="center"/>
                </w:tcPr>
                <w:p w14:paraId="4F62CE1E">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公用</w:t>
                  </w:r>
                </w:p>
                <w:p w14:paraId="74018584">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w:t>
                  </w:r>
                </w:p>
              </w:tc>
              <w:tc>
                <w:tcPr>
                  <w:tcW w:w="693" w:type="pct"/>
                  <w:tcBorders>
                    <w:right w:val="single" w:color="auto" w:sz="4" w:space="0"/>
                  </w:tcBorders>
                  <w:noWrap w:val="0"/>
                  <w:vAlign w:val="center"/>
                </w:tcPr>
                <w:p w14:paraId="33573566">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供水</w:t>
                  </w:r>
                </w:p>
              </w:tc>
              <w:tc>
                <w:tcPr>
                  <w:tcW w:w="3866" w:type="pct"/>
                  <w:tcBorders>
                    <w:left w:val="single" w:color="auto" w:sz="4" w:space="0"/>
                    <w:right w:val="single" w:color="auto" w:sz="4" w:space="0"/>
                  </w:tcBorders>
                  <w:noWrap w:val="0"/>
                  <w:vAlign w:val="center"/>
                </w:tcPr>
                <w:p w14:paraId="14ED93AA">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Cs w:val="21"/>
                      <w:highlight w:val="none"/>
                    </w:rPr>
                    <w:t>项目用水由</w:t>
                  </w:r>
                  <w:r>
                    <w:rPr>
                      <w:rFonts w:hint="default" w:ascii="Times New Roman" w:hAnsi="Times New Roman" w:eastAsia="宋体" w:cs="Times New Roman"/>
                      <w:color w:val="auto"/>
                      <w:szCs w:val="21"/>
                      <w:highlight w:val="none"/>
                      <w:lang w:val="en-US" w:eastAsia="zh-CN"/>
                    </w:rPr>
                    <w:t>园区供水</w:t>
                  </w:r>
                  <w:r>
                    <w:rPr>
                      <w:rFonts w:hint="default" w:ascii="Times New Roman" w:hAnsi="Times New Roman" w:eastAsia="宋体" w:cs="Times New Roman"/>
                      <w:color w:val="auto"/>
                      <w:szCs w:val="21"/>
                      <w:highlight w:val="none"/>
                    </w:rPr>
                    <w:t>管网提供</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lang w:val="en-US" w:eastAsia="zh-CN"/>
                    </w:rPr>
                    <w:t>年用水量为</w:t>
                  </w:r>
                  <w:r>
                    <w:rPr>
                      <w:rFonts w:hint="default" w:ascii="Times New Roman" w:hAnsi="Times New Roman" w:cs="Times New Roman"/>
                      <w:color w:val="auto"/>
                      <w:szCs w:val="21"/>
                      <w:highlight w:val="none"/>
                      <w:lang w:val="en-US" w:eastAsia="zh-CN"/>
                    </w:rPr>
                    <w:t>3768</w:t>
                  </w:r>
                  <w:r>
                    <w:rPr>
                      <w:rFonts w:hint="default" w:ascii="Times New Roman" w:hAnsi="Times New Roman" w:eastAsia="宋体" w:cs="Times New Roman"/>
                      <w:color w:val="auto"/>
                      <w:szCs w:val="21"/>
                      <w:highlight w:val="none"/>
                    </w:rPr>
                    <w:t>m</w:t>
                  </w:r>
                  <w:r>
                    <w:rPr>
                      <w:rFonts w:hint="default" w:ascii="Times New Roman" w:hAnsi="Times New Roman" w:eastAsia="宋体" w:cs="Times New Roman"/>
                      <w:color w:val="auto"/>
                      <w:szCs w:val="21"/>
                      <w:highlight w:val="none"/>
                      <w:vertAlign w:val="superscript"/>
                    </w:rPr>
                    <w:t>3</w:t>
                  </w:r>
                  <w:r>
                    <w:rPr>
                      <w:rFonts w:hint="default" w:ascii="Times New Roman" w:hAnsi="Times New Roman" w:eastAsia="宋体" w:cs="Times New Roman"/>
                      <w:color w:val="auto"/>
                      <w:szCs w:val="21"/>
                      <w:highlight w:val="none"/>
                      <w:lang w:val="en-US" w:eastAsia="zh-CN"/>
                    </w:rPr>
                    <w:t>。</w:t>
                  </w:r>
                </w:p>
              </w:tc>
            </w:tr>
            <w:tr w14:paraId="7986B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 w:hRule="atLeast"/>
                <w:jc w:val="center"/>
              </w:trPr>
              <w:tc>
                <w:tcPr>
                  <w:tcW w:w="439" w:type="pct"/>
                  <w:vMerge w:val="continue"/>
                  <w:tcBorders>
                    <w:right w:val="single" w:color="auto" w:sz="4" w:space="0"/>
                  </w:tcBorders>
                  <w:noWrap w:val="0"/>
                  <w:vAlign w:val="center"/>
                </w:tcPr>
                <w:p w14:paraId="3A9329A4">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693" w:type="pct"/>
                  <w:tcBorders>
                    <w:right w:val="single" w:color="auto" w:sz="4" w:space="0"/>
                  </w:tcBorders>
                  <w:noWrap w:val="0"/>
                  <w:vAlign w:val="center"/>
                </w:tcPr>
                <w:p w14:paraId="2F93AA06">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供电</w:t>
                  </w:r>
                </w:p>
              </w:tc>
              <w:tc>
                <w:tcPr>
                  <w:tcW w:w="3866" w:type="pct"/>
                  <w:tcBorders>
                    <w:top w:val="single" w:color="auto" w:sz="4" w:space="0"/>
                    <w:left w:val="single" w:color="auto" w:sz="4" w:space="0"/>
                    <w:bottom w:val="single" w:color="auto" w:sz="4" w:space="0"/>
                    <w:right w:val="single" w:color="auto" w:sz="4" w:space="0"/>
                  </w:tcBorders>
                  <w:noWrap w:val="0"/>
                  <w:vAlign w:val="center"/>
                </w:tcPr>
                <w:p w14:paraId="4B117191">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由园区供电管网提供，</w:t>
                  </w:r>
                  <w:r>
                    <w:rPr>
                      <w:rFonts w:hint="default" w:ascii="Times New Roman" w:hAnsi="Times New Roman" w:eastAsia="宋体" w:cs="Times New Roman"/>
                      <w:color w:val="auto"/>
                      <w:sz w:val="21"/>
                      <w:szCs w:val="21"/>
                      <w:highlight w:val="none"/>
                    </w:rPr>
                    <w:t>年用电</w:t>
                  </w:r>
                  <w:r>
                    <w:rPr>
                      <w:rFonts w:hint="default" w:ascii="Times New Roman" w:hAnsi="Times New Roman" w:eastAsia="宋体" w:cs="Times New Roman"/>
                      <w:color w:val="auto"/>
                      <w:sz w:val="21"/>
                      <w:szCs w:val="21"/>
                      <w:highlight w:val="none"/>
                      <w:lang w:val="en-US" w:eastAsia="zh-CN"/>
                    </w:rPr>
                    <w:t>25</w:t>
                  </w:r>
                  <w:r>
                    <w:rPr>
                      <w:rFonts w:hint="default" w:ascii="Times New Roman" w:hAnsi="Times New Roman" w:eastAsia="宋体" w:cs="Times New Roman"/>
                      <w:color w:val="auto"/>
                      <w:sz w:val="21"/>
                      <w:szCs w:val="21"/>
                      <w:highlight w:val="none"/>
                    </w:rPr>
                    <w:t>万kW·h。</w:t>
                  </w:r>
                </w:p>
              </w:tc>
            </w:tr>
            <w:tr w14:paraId="00FD3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vMerge w:val="continue"/>
                  <w:tcBorders>
                    <w:right w:val="single" w:color="auto" w:sz="4" w:space="0"/>
                  </w:tcBorders>
                  <w:noWrap w:val="0"/>
                  <w:vAlign w:val="center"/>
                </w:tcPr>
                <w:p w14:paraId="18136F0E">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693" w:type="pct"/>
                  <w:tcBorders>
                    <w:right w:val="single" w:color="auto" w:sz="4" w:space="0"/>
                  </w:tcBorders>
                  <w:noWrap w:val="0"/>
                  <w:vAlign w:val="center"/>
                </w:tcPr>
                <w:p w14:paraId="66B50A7D">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供热</w:t>
                  </w:r>
                </w:p>
              </w:tc>
              <w:tc>
                <w:tcPr>
                  <w:tcW w:w="3866" w:type="pct"/>
                  <w:tcBorders>
                    <w:top w:val="single" w:color="auto" w:sz="4" w:space="0"/>
                    <w:left w:val="single" w:color="auto" w:sz="4" w:space="0"/>
                    <w:bottom w:val="single" w:color="auto" w:sz="4" w:space="0"/>
                    <w:right w:val="single" w:color="auto" w:sz="4" w:space="0"/>
                  </w:tcBorders>
                  <w:noWrap w:val="0"/>
                  <w:vAlign w:val="center"/>
                </w:tcPr>
                <w:p w14:paraId="41A36B18">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生产</w:t>
                  </w:r>
                  <w:r>
                    <w:rPr>
                      <w:rFonts w:hint="default" w:ascii="Times New Roman" w:hAnsi="Times New Roman" w:cs="Times New Roman"/>
                      <w:color w:val="auto"/>
                      <w:sz w:val="21"/>
                      <w:szCs w:val="21"/>
                      <w:highlight w:val="none"/>
                      <w:lang w:val="en-US" w:eastAsia="zh-CN"/>
                    </w:rPr>
                    <w:t>不</w:t>
                  </w:r>
                  <w:r>
                    <w:rPr>
                      <w:rFonts w:hint="default" w:ascii="Times New Roman" w:hAnsi="Times New Roman" w:eastAsia="宋体" w:cs="Times New Roman"/>
                      <w:color w:val="auto"/>
                      <w:sz w:val="21"/>
                      <w:szCs w:val="21"/>
                      <w:highlight w:val="none"/>
                    </w:rPr>
                    <w:t>用热，冬季办公取暖由空调提供。</w:t>
                  </w:r>
                </w:p>
              </w:tc>
            </w:tr>
            <w:tr w14:paraId="66AD5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vMerge w:val="restart"/>
                  <w:tcBorders>
                    <w:right w:val="single" w:color="auto" w:sz="4" w:space="0"/>
                  </w:tcBorders>
                  <w:noWrap w:val="0"/>
                  <w:vAlign w:val="center"/>
                </w:tcPr>
                <w:p w14:paraId="36F9F12F">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环保</w:t>
                  </w:r>
                </w:p>
                <w:p w14:paraId="2627DEC1">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w:t>
                  </w:r>
                </w:p>
              </w:tc>
              <w:tc>
                <w:tcPr>
                  <w:tcW w:w="693" w:type="pct"/>
                  <w:tcBorders>
                    <w:right w:val="single" w:color="auto" w:sz="4" w:space="0"/>
                  </w:tcBorders>
                  <w:noWrap w:val="0"/>
                  <w:vAlign w:val="center"/>
                </w:tcPr>
                <w:p w14:paraId="32019056">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废气</w:t>
                  </w:r>
                </w:p>
              </w:tc>
              <w:tc>
                <w:tcPr>
                  <w:tcW w:w="3866" w:type="pct"/>
                  <w:tcBorders>
                    <w:left w:val="single" w:color="auto" w:sz="4" w:space="0"/>
                    <w:right w:val="single" w:color="auto" w:sz="4" w:space="0"/>
                  </w:tcBorders>
                  <w:noWrap w:val="0"/>
                  <w:vAlign w:val="center"/>
                </w:tcPr>
                <w:p w14:paraId="5AB8EF20">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储罐顶部</w:t>
                  </w:r>
                  <w:r>
                    <w:rPr>
                      <w:rFonts w:hint="default" w:ascii="Times New Roman" w:hAnsi="Times New Roman" w:cs="Times New Roman"/>
                      <w:color w:val="auto"/>
                      <w:szCs w:val="21"/>
                      <w:highlight w:val="none"/>
                      <w:lang w:val="en-US" w:eastAsia="zh-CN"/>
                    </w:rPr>
                    <w:t>及</w:t>
                  </w:r>
                  <w:r>
                    <w:rPr>
                      <w:rFonts w:hint="default" w:ascii="Times New Roman" w:hAnsi="Times New Roman" w:eastAsia="宋体" w:cs="Times New Roman"/>
                      <w:color w:val="auto"/>
                      <w:szCs w:val="21"/>
                      <w:highlight w:val="none"/>
                      <w:lang w:val="en-US" w:eastAsia="zh-CN"/>
                    </w:rPr>
                    <w:t>隔墙板</w:t>
                  </w:r>
                  <w:r>
                    <w:rPr>
                      <w:rFonts w:hint="default" w:ascii="Times New Roman" w:hAnsi="Times New Roman" w:cs="Times New Roman"/>
                      <w:color w:val="auto"/>
                      <w:szCs w:val="21"/>
                      <w:highlight w:val="none"/>
                      <w:lang w:val="en-US" w:eastAsia="zh-CN"/>
                    </w:rPr>
                    <w:t>、石膏砂浆和保温砂浆</w:t>
                  </w:r>
                  <w:r>
                    <w:rPr>
                      <w:rFonts w:hint="default" w:ascii="Times New Roman" w:hAnsi="Times New Roman" w:eastAsia="宋体" w:cs="Times New Roman"/>
                      <w:color w:val="auto"/>
                      <w:szCs w:val="21"/>
                      <w:highlight w:val="none"/>
                      <w:lang w:val="en-US" w:eastAsia="zh-CN"/>
                    </w:rPr>
                    <w:t>生产中的搅拌仓设置集气管道，包装机上方设置集气罩，储罐呼吸废气经罐顶除尘器处理后，和</w:t>
                  </w:r>
                  <w:r>
                    <w:rPr>
                      <w:rFonts w:hint="default" w:ascii="Times New Roman" w:hAnsi="Times New Roman" w:cs="Times New Roman"/>
                      <w:color w:val="auto"/>
                      <w:szCs w:val="21"/>
                      <w:highlight w:val="none"/>
                      <w:lang w:val="en-US" w:eastAsia="zh-CN"/>
                    </w:rPr>
                    <w:t>上料废气、</w:t>
                  </w:r>
                  <w:r>
                    <w:rPr>
                      <w:rFonts w:hint="default" w:ascii="Times New Roman" w:hAnsi="Times New Roman" w:eastAsia="宋体" w:cs="Times New Roman"/>
                      <w:color w:val="auto"/>
                      <w:szCs w:val="21"/>
                      <w:highlight w:val="none"/>
                      <w:lang w:val="en-US" w:eastAsia="zh-CN"/>
                    </w:rPr>
                    <w:t>搅拌废气、分装废气引至同一套布袋除尘器处理，处理后经1根15m高排气筒（DA001）排放。</w:t>
                  </w:r>
                </w:p>
              </w:tc>
            </w:tr>
            <w:tr w14:paraId="76751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vMerge w:val="continue"/>
                  <w:tcBorders>
                    <w:right w:val="single" w:color="auto" w:sz="4" w:space="0"/>
                  </w:tcBorders>
                  <w:noWrap w:val="0"/>
                  <w:vAlign w:val="center"/>
                </w:tcPr>
                <w:p w14:paraId="66F71910">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693" w:type="pct"/>
                  <w:tcBorders>
                    <w:right w:val="single" w:color="auto" w:sz="4" w:space="0"/>
                  </w:tcBorders>
                  <w:noWrap w:val="0"/>
                  <w:vAlign w:val="center"/>
                </w:tcPr>
                <w:p w14:paraId="0039E89B">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废水</w:t>
                  </w:r>
                </w:p>
              </w:tc>
              <w:tc>
                <w:tcPr>
                  <w:tcW w:w="3866" w:type="pct"/>
                  <w:tcBorders>
                    <w:left w:val="single" w:color="auto" w:sz="4" w:space="0"/>
                    <w:right w:val="single" w:color="auto" w:sz="4" w:space="0"/>
                  </w:tcBorders>
                  <w:noWrap w:val="0"/>
                  <w:vAlign w:val="center"/>
                </w:tcPr>
                <w:p w14:paraId="5E1F095C">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车辆冲洗水、模具冲洗水经各自沉淀池沉淀后循环利用，不外排；生活污水，排入厂区化粪池，定期清掏用作农肥。</w:t>
                  </w:r>
                </w:p>
              </w:tc>
            </w:tr>
            <w:tr w14:paraId="29617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vMerge w:val="continue"/>
                  <w:tcBorders>
                    <w:right w:val="single" w:color="auto" w:sz="4" w:space="0"/>
                  </w:tcBorders>
                  <w:noWrap w:val="0"/>
                  <w:vAlign w:val="center"/>
                </w:tcPr>
                <w:p w14:paraId="117E6BF9">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693" w:type="pct"/>
                  <w:tcBorders>
                    <w:right w:val="single" w:color="auto" w:sz="4" w:space="0"/>
                  </w:tcBorders>
                  <w:noWrap w:val="0"/>
                  <w:vAlign w:val="center"/>
                </w:tcPr>
                <w:p w14:paraId="1524A0E1">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噪声</w:t>
                  </w:r>
                </w:p>
              </w:tc>
              <w:tc>
                <w:tcPr>
                  <w:tcW w:w="3866" w:type="pct"/>
                  <w:tcBorders>
                    <w:top w:val="single" w:color="auto" w:sz="4" w:space="0"/>
                    <w:left w:val="single" w:color="auto" w:sz="4" w:space="0"/>
                    <w:bottom w:val="single" w:color="auto" w:sz="4" w:space="0"/>
                    <w:right w:val="single" w:color="auto" w:sz="4" w:space="0"/>
                  </w:tcBorders>
                  <w:noWrap w:val="0"/>
                  <w:vAlign w:val="center"/>
                </w:tcPr>
                <w:p w14:paraId="636D9702">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选用低噪声设备、基础减振、厂房隔声、厂区合理布局。</w:t>
                  </w:r>
                </w:p>
              </w:tc>
            </w:tr>
            <w:tr w14:paraId="0D922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vMerge w:val="continue"/>
                  <w:tcBorders>
                    <w:right w:val="single" w:color="auto" w:sz="4" w:space="0"/>
                  </w:tcBorders>
                  <w:noWrap w:val="0"/>
                  <w:vAlign w:val="center"/>
                </w:tcPr>
                <w:p w14:paraId="6F25ABEC">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693" w:type="pct"/>
                  <w:tcBorders>
                    <w:right w:val="single" w:color="auto" w:sz="4" w:space="0"/>
                  </w:tcBorders>
                  <w:noWrap w:val="0"/>
                  <w:vAlign w:val="center"/>
                </w:tcPr>
                <w:p w14:paraId="7028EB8A">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固废</w:t>
                  </w:r>
                </w:p>
              </w:tc>
              <w:tc>
                <w:tcPr>
                  <w:tcW w:w="3866" w:type="pct"/>
                  <w:tcBorders>
                    <w:top w:val="single" w:color="auto" w:sz="4" w:space="0"/>
                    <w:left w:val="single" w:color="auto" w:sz="4" w:space="0"/>
                    <w:bottom w:val="single" w:color="auto" w:sz="4" w:space="0"/>
                    <w:right w:val="single" w:color="auto" w:sz="4" w:space="0"/>
                  </w:tcBorders>
                  <w:noWrap w:val="0"/>
                  <w:vAlign w:val="center"/>
                </w:tcPr>
                <w:p w14:paraId="2DDD4D2F">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项目废包装袋、沉淀池底泥、废焊材</w:t>
                  </w:r>
                  <w:r>
                    <w:rPr>
                      <w:rFonts w:hint="default" w:ascii="Times New Roman" w:hAnsi="Times New Roman" w:cs="Times New Roman"/>
                      <w:color w:val="auto"/>
                      <w:szCs w:val="21"/>
                      <w:highlight w:val="none"/>
                      <w:lang w:val="en-US" w:eastAsia="zh-CN"/>
                    </w:rPr>
                    <w:t>、废布袋</w:t>
                  </w:r>
                  <w:r>
                    <w:rPr>
                      <w:rFonts w:hint="default" w:ascii="Times New Roman" w:hAnsi="Times New Roman" w:eastAsia="宋体" w:cs="Times New Roman"/>
                      <w:color w:val="auto"/>
                      <w:szCs w:val="21"/>
                      <w:highlight w:val="none"/>
                      <w:lang w:val="en-US" w:eastAsia="zh-CN"/>
                    </w:rPr>
                    <w:t>，分类收集后全部外售；除尘灰统一收集后回用于生产；生活垃圾采用垃圾桶收集后，交由当地环卫部门统一清运处置。</w:t>
                  </w:r>
                </w:p>
              </w:tc>
            </w:tr>
          </w:tbl>
          <w:p w14:paraId="24CF99F4">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产品方案</w:t>
            </w:r>
          </w:p>
          <w:p w14:paraId="2AA060F8">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lang w:val="en-US" w:eastAsia="zh-CN"/>
              </w:rPr>
              <w:t>本项目</w:t>
            </w:r>
            <w:r>
              <w:rPr>
                <w:rFonts w:hint="default" w:ascii="Times New Roman" w:hAnsi="Times New Roman" w:cs="Times New Roman"/>
                <w:color w:val="auto"/>
                <w:sz w:val="24"/>
                <w:highlight w:val="none"/>
                <w:lang w:val="en-US" w:eastAsia="zh-CN"/>
              </w:rPr>
              <w:t>建成后年产钢制边框复合隔墙板150万平方米，石膏砂浆2.5万吨，防火保温砂浆5000吨</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highlight w:val="none"/>
              </w:rPr>
              <w:t>项目建设完成后产品方案一览表见表2-</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w:t>
            </w:r>
          </w:p>
          <w:p w14:paraId="49BB9552">
            <w:pPr>
              <w:ind w:firstLine="482" w:firstLineChars="200"/>
              <w:jc w:val="center"/>
              <w:rPr>
                <w:rFonts w:hint="default" w:ascii="Times New Roman" w:hAnsi="Times New Roman" w:cs="Times New Roman"/>
                <w:b/>
                <w:bCs/>
                <w:color w:val="auto"/>
                <w:kern w:val="0"/>
                <w:sz w:val="24"/>
                <w:highlight w:val="none"/>
              </w:rPr>
            </w:pPr>
          </w:p>
          <w:p w14:paraId="2E02F517">
            <w:pPr>
              <w:ind w:firstLine="482" w:firstLineChars="200"/>
              <w:jc w:val="center"/>
              <w:rPr>
                <w:rFonts w:hint="default" w:ascii="Times New Roman" w:hAnsi="Times New Roman" w:cs="Times New Roman"/>
                <w:b/>
                <w:bCs/>
                <w:color w:val="auto"/>
                <w:kern w:val="0"/>
                <w:sz w:val="24"/>
                <w:highlight w:val="none"/>
              </w:rPr>
            </w:pPr>
          </w:p>
          <w:p w14:paraId="6F49322A">
            <w:pPr>
              <w:ind w:firstLine="482" w:firstLineChars="200"/>
              <w:jc w:val="center"/>
              <w:rPr>
                <w:rFonts w:hint="default" w:ascii="Times New Roman" w:hAnsi="Times New Roman" w:cs="Times New Roman"/>
                <w:b/>
                <w:bCs/>
                <w:color w:val="auto"/>
                <w:kern w:val="0"/>
                <w:sz w:val="24"/>
                <w:highlight w:val="none"/>
              </w:rPr>
            </w:pPr>
          </w:p>
          <w:p w14:paraId="4FC3E4B3">
            <w:pPr>
              <w:ind w:firstLine="482" w:firstLineChars="200"/>
              <w:jc w:val="center"/>
              <w:rPr>
                <w:rFonts w:hint="default" w:ascii="Times New Roman" w:hAnsi="Times New Roman" w:cs="Times New Roman"/>
                <w:b/>
                <w:bCs/>
                <w:color w:val="auto"/>
                <w:kern w:val="0"/>
                <w:sz w:val="24"/>
                <w:highlight w:val="none"/>
              </w:rPr>
            </w:pPr>
          </w:p>
          <w:p w14:paraId="33D67AF4">
            <w:pPr>
              <w:ind w:firstLine="482" w:firstLineChars="200"/>
              <w:jc w:val="center"/>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表2-</w:t>
            </w:r>
            <w:r>
              <w:rPr>
                <w:rFonts w:hint="default" w:ascii="Times New Roman" w:hAnsi="Times New Roman" w:cs="Times New Roman"/>
                <w:b/>
                <w:bCs/>
                <w:color w:val="auto"/>
                <w:kern w:val="0"/>
                <w:sz w:val="24"/>
                <w:highlight w:val="none"/>
                <w:lang w:val="en-US" w:eastAsia="zh-CN"/>
              </w:rPr>
              <w:t>2</w:t>
            </w:r>
            <w:r>
              <w:rPr>
                <w:rFonts w:hint="default" w:ascii="Times New Roman" w:hAnsi="Times New Roman" w:cs="Times New Roman"/>
                <w:b/>
                <w:bCs/>
                <w:color w:val="auto"/>
                <w:kern w:val="0"/>
                <w:sz w:val="24"/>
                <w:highlight w:val="none"/>
              </w:rPr>
              <w:t xml:space="preserve">  </w:t>
            </w:r>
            <w:r>
              <w:rPr>
                <w:rFonts w:hint="default" w:ascii="Times New Roman" w:hAnsi="Times New Roman" w:cs="Times New Roman"/>
                <w:b/>
                <w:color w:val="auto"/>
                <w:sz w:val="24"/>
                <w:highlight w:val="none"/>
                <w:shd w:val="clear" w:color="auto" w:fill="auto"/>
              </w:rPr>
              <w:t>项目</w:t>
            </w:r>
            <w:r>
              <w:rPr>
                <w:rFonts w:hint="default" w:ascii="Times New Roman" w:hAnsi="Times New Roman" w:cs="Times New Roman"/>
                <w:b/>
                <w:color w:val="auto"/>
                <w:sz w:val="24"/>
                <w:highlight w:val="none"/>
              </w:rPr>
              <w:t>产品方案一览表</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1676"/>
              <w:gridCol w:w="1197"/>
              <w:gridCol w:w="3088"/>
              <w:gridCol w:w="989"/>
            </w:tblGrid>
            <w:tr w14:paraId="4DFB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noWrap w:val="0"/>
                  <w:vAlign w:val="center"/>
                </w:tcPr>
                <w:p w14:paraId="40AB60FC">
                  <w:pPr>
                    <w:spacing w:line="360" w:lineRule="exact"/>
                    <w:ind w:firstLine="0" w:firstLineChars="0"/>
                    <w:jc w:val="center"/>
                    <w:rPr>
                      <w:rFonts w:hint="default" w:ascii="Times New Roman" w:hAnsi="Times New Roman" w:eastAsia="宋体" w:cs="Times New Roman"/>
                      <w:color w:val="auto"/>
                      <w:spacing w:val="-4"/>
                      <w:sz w:val="21"/>
                      <w:szCs w:val="21"/>
                      <w:highlight w:val="none"/>
                    </w:rPr>
                  </w:pPr>
                  <w:r>
                    <w:rPr>
                      <w:rFonts w:hint="default" w:ascii="Times New Roman" w:hAnsi="Times New Roman" w:eastAsia="宋体" w:cs="Times New Roman"/>
                      <w:color w:val="auto"/>
                      <w:spacing w:val="-4"/>
                      <w:sz w:val="21"/>
                      <w:szCs w:val="21"/>
                      <w:highlight w:val="none"/>
                    </w:rPr>
                    <w:t>序号</w:t>
                  </w:r>
                </w:p>
              </w:tc>
              <w:tc>
                <w:tcPr>
                  <w:tcW w:w="1093" w:type="pct"/>
                  <w:noWrap w:val="0"/>
                  <w:vAlign w:val="center"/>
                </w:tcPr>
                <w:p w14:paraId="5A00E120">
                  <w:pPr>
                    <w:spacing w:line="360" w:lineRule="exact"/>
                    <w:ind w:firstLine="0" w:firstLineChars="0"/>
                    <w:jc w:val="center"/>
                    <w:rPr>
                      <w:rFonts w:hint="default" w:ascii="Times New Roman" w:hAnsi="Times New Roman" w:eastAsia="宋体" w:cs="Times New Roman"/>
                      <w:color w:val="auto"/>
                      <w:spacing w:val="-4"/>
                      <w:sz w:val="21"/>
                      <w:szCs w:val="21"/>
                      <w:highlight w:val="none"/>
                    </w:rPr>
                  </w:pPr>
                  <w:r>
                    <w:rPr>
                      <w:rFonts w:hint="default" w:ascii="Times New Roman" w:hAnsi="Times New Roman" w:eastAsia="宋体" w:cs="Times New Roman"/>
                      <w:color w:val="auto"/>
                      <w:spacing w:val="-4"/>
                      <w:sz w:val="21"/>
                      <w:szCs w:val="21"/>
                      <w:highlight w:val="none"/>
                    </w:rPr>
                    <w:t>名称</w:t>
                  </w:r>
                </w:p>
              </w:tc>
              <w:tc>
                <w:tcPr>
                  <w:tcW w:w="781" w:type="pct"/>
                  <w:noWrap w:val="0"/>
                  <w:vAlign w:val="center"/>
                </w:tcPr>
                <w:p w14:paraId="46CA6F9C">
                  <w:pPr>
                    <w:spacing w:line="360" w:lineRule="exact"/>
                    <w:ind w:firstLine="0" w:firstLineChars="0"/>
                    <w:jc w:val="center"/>
                    <w:rPr>
                      <w:rFonts w:hint="default" w:ascii="Times New Roman" w:hAnsi="Times New Roman" w:eastAsia="宋体" w:cs="Times New Roman"/>
                      <w:color w:val="auto"/>
                      <w:spacing w:val="-4"/>
                      <w:sz w:val="21"/>
                      <w:szCs w:val="21"/>
                      <w:highlight w:val="none"/>
                      <w:lang w:eastAsia="zh-CN"/>
                    </w:rPr>
                  </w:pPr>
                  <w:r>
                    <w:rPr>
                      <w:rFonts w:hint="default" w:ascii="Times New Roman" w:hAnsi="Times New Roman" w:cs="Times New Roman"/>
                      <w:color w:val="auto"/>
                      <w:spacing w:val="-4"/>
                      <w:sz w:val="21"/>
                      <w:szCs w:val="21"/>
                      <w:highlight w:val="none"/>
                      <w:lang w:eastAsia="zh-CN"/>
                    </w:rPr>
                    <w:t>生产规模</w:t>
                  </w:r>
                </w:p>
              </w:tc>
              <w:tc>
                <w:tcPr>
                  <w:tcW w:w="2014" w:type="pct"/>
                  <w:noWrap w:val="0"/>
                  <w:vAlign w:val="center"/>
                </w:tcPr>
                <w:p w14:paraId="2740ED26">
                  <w:pPr>
                    <w:spacing w:line="360" w:lineRule="exact"/>
                    <w:ind w:firstLine="0" w:firstLineChars="0"/>
                    <w:jc w:val="center"/>
                    <w:rPr>
                      <w:rFonts w:hint="default" w:ascii="Times New Roman" w:hAnsi="Times New Roman" w:cs="Times New Roman"/>
                      <w:color w:val="auto"/>
                      <w:spacing w:val="-4"/>
                      <w:sz w:val="21"/>
                      <w:szCs w:val="21"/>
                      <w:highlight w:val="none"/>
                      <w:lang w:val="en-US" w:eastAsia="zh-CN"/>
                    </w:rPr>
                  </w:pPr>
                  <w:r>
                    <w:rPr>
                      <w:rFonts w:hint="default" w:ascii="Times New Roman" w:hAnsi="Times New Roman" w:cs="Times New Roman"/>
                      <w:color w:val="auto"/>
                      <w:spacing w:val="-4"/>
                      <w:sz w:val="21"/>
                      <w:szCs w:val="21"/>
                      <w:highlight w:val="none"/>
                      <w:lang w:val="en-US" w:eastAsia="zh-CN"/>
                    </w:rPr>
                    <w:t>产品质量标准</w:t>
                  </w:r>
                </w:p>
              </w:tc>
              <w:tc>
                <w:tcPr>
                  <w:tcW w:w="645" w:type="pct"/>
                  <w:noWrap w:val="0"/>
                  <w:vAlign w:val="center"/>
                </w:tcPr>
                <w:p w14:paraId="782BA706">
                  <w:pPr>
                    <w:spacing w:line="360" w:lineRule="exact"/>
                    <w:ind w:firstLine="0" w:firstLineChars="0"/>
                    <w:jc w:val="center"/>
                    <w:rPr>
                      <w:rFonts w:hint="default" w:ascii="Times New Roman" w:hAnsi="Times New Roman" w:cs="Times New Roman"/>
                      <w:color w:val="auto"/>
                      <w:spacing w:val="-4"/>
                      <w:sz w:val="21"/>
                      <w:szCs w:val="21"/>
                      <w:highlight w:val="none"/>
                      <w:lang w:val="en-US" w:eastAsia="zh-CN"/>
                    </w:rPr>
                  </w:pPr>
                  <w:r>
                    <w:rPr>
                      <w:rFonts w:hint="default" w:ascii="Times New Roman" w:hAnsi="Times New Roman" w:cs="Times New Roman"/>
                      <w:color w:val="auto"/>
                      <w:spacing w:val="-4"/>
                      <w:sz w:val="21"/>
                      <w:szCs w:val="21"/>
                      <w:highlight w:val="none"/>
                      <w:lang w:val="en-US" w:eastAsia="zh-CN"/>
                    </w:rPr>
                    <w:t>备注</w:t>
                  </w:r>
                </w:p>
              </w:tc>
            </w:tr>
            <w:tr w14:paraId="76CD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noWrap w:val="0"/>
                  <w:vAlign w:val="center"/>
                </w:tcPr>
                <w:p w14:paraId="39E77F51">
                  <w:pPr>
                    <w:spacing w:line="360" w:lineRule="exact"/>
                    <w:ind w:firstLine="0" w:firstLineChars="0"/>
                    <w:jc w:val="center"/>
                    <w:rPr>
                      <w:rFonts w:hint="default" w:ascii="Times New Roman" w:hAnsi="Times New Roman" w:eastAsia="宋体" w:cs="Times New Roman"/>
                      <w:color w:val="auto"/>
                      <w:spacing w:val="-4"/>
                      <w:sz w:val="21"/>
                      <w:szCs w:val="21"/>
                      <w:highlight w:val="none"/>
                      <w:lang w:val="en-US" w:eastAsia="zh-CN"/>
                    </w:rPr>
                  </w:pPr>
                  <w:r>
                    <w:rPr>
                      <w:rFonts w:hint="default" w:ascii="Times New Roman" w:hAnsi="Times New Roman" w:cs="Times New Roman"/>
                      <w:color w:val="auto"/>
                      <w:spacing w:val="-4"/>
                      <w:sz w:val="21"/>
                      <w:szCs w:val="21"/>
                      <w:highlight w:val="none"/>
                      <w:lang w:val="en-US" w:eastAsia="zh-CN"/>
                    </w:rPr>
                    <w:t>1</w:t>
                  </w:r>
                </w:p>
              </w:tc>
              <w:tc>
                <w:tcPr>
                  <w:tcW w:w="1093" w:type="pct"/>
                  <w:noWrap w:val="0"/>
                  <w:vAlign w:val="center"/>
                </w:tcPr>
                <w:p w14:paraId="3D7B9C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钢制边框复合隔墙板</w:t>
                  </w:r>
                </w:p>
              </w:tc>
              <w:tc>
                <w:tcPr>
                  <w:tcW w:w="781" w:type="pct"/>
                  <w:noWrap w:val="0"/>
                  <w:vAlign w:val="center"/>
                </w:tcPr>
                <w:p w14:paraId="02573FB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150</w:t>
                  </w:r>
                  <w:r>
                    <w:rPr>
                      <w:rFonts w:hint="default" w:ascii="Times New Roman" w:hAnsi="Times New Roman" w:eastAsia="宋体" w:cs="Times New Roman"/>
                      <w:i w:val="0"/>
                      <w:iCs w:val="0"/>
                      <w:color w:val="auto"/>
                      <w:kern w:val="2"/>
                      <w:sz w:val="21"/>
                      <w:szCs w:val="21"/>
                      <w:highlight w:val="none"/>
                      <w:u w:val="none"/>
                      <w:lang w:val="en-US" w:eastAsia="zh-CN" w:bidi="ar-SA"/>
                    </w:rPr>
                    <w:t>万平方</w:t>
                  </w:r>
                  <w:r>
                    <w:rPr>
                      <w:rFonts w:hint="default" w:ascii="Times New Roman" w:hAnsi="Times New Roman" w:cs="Times New Roman"/>
                      <w:i w:val="0"/>
                      <w:iCs w:val="0"/>
                      <w:color w:val="auto"/>
                      <w:kern w:val="2"/>
                      <w:sz w:val="21"/>
                      <w:szCs w:val="21"/>
                      <w:highlight w:val="none"/>
                      <w:u w:val="none"/>
                      <w:lang w:val="en-US" w:eastAsia="zh-CN" w:bidi="ar-SA"/>
                    </w:rPr>
                    <w:t>米</w:t>
                  </w:r>
                </w:p>
              </w:tc>
              <w:tc>
                <w:tcPr>
                  <w:tcW w:w="2014" w:type="pct"/>
                  <w:noWrap w:val="0"/>
                  <w:vAlign w:val="center"/>
                </w:tcPr>
                <w:p w14:paraId="2DA63FE8">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《钢制边框复合条板应用技术标准》（DB13(J)/T 8517-2023）</w:t>
                  </w:r>
                </w:p>
              </w:tc>
              <w:tc>
                <w:tcPr>
                  <w:tcW w:w="645" w:type="pct"/>
                  <w:noWrap w:val="0"/>
                  <w:vAlign w:val="center"/>
                </w:tcPr>
                <w:p w14:paraId="6FBCF18B">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104165吨</w:t>
                  </w:r>
                </w:p>
              </w:tc>
            </w:tr>
            <w:tr w14:paraId="7FD1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noWrap w:val="0"/>
                  <w:vAlign w:val="center"/>
                </w:tcPr>
                <w:p w14:paraId="35C18994">
                  <w:pPr>
                    <w:spacing w:line="360" w:lineRule="exact"/>
                    <w:ind w:firstLine="0" w:firstLineChars="0"/>
                    <w:jc w:val="center"/>
                    <w:rPr>
                      <w:rFonts w:hint="default" w:ascii="Times New Roman" w:hAnsi="Times New Roman" w:cs="Times New Roman"/>
                      <w:color w:val="auto"/>
                      <w:spacing w:val="-4"/>
                      <w:sz w:val="21"/>
                      <w:szCs w:val="21"/>
                      <w:highlight w:val="none"/>
                      <w:lang w:val="en-US" w:eastAsia="zh-CN"/>
                    </w:rPr>
                  </w:pPr>
                  <w:r>
                    <w:rPr>
                      <w:rFonts w:hint="default" w:ascii="Times New Roman" w:hAnsi="Times New Roman" w:cs="Times New Roman"/>
                      <w:color w:val="auto"/>
                      <w:spacing w:val="-4"/>
                      <w:sz w:val="21"/>
                      <w:szCs w:val="21"/>
                      <w:highlight w:val="none"/>
                      <w:lang w:val="en-US" w:eastAsia="zh-CN"/>
                    </w:rPr>
                    <w:t>2</w:t>
                  </w:r>
                </w:p>
              </w:tc>
              <w:tc>
                <w:tcPr>
                  <w:tcW w:w="1093" w:type="pct"/>
                  <w:noWrap w:val="0"/>
                  <w:vAlign w:val="center"/>
                </w:tcPr>
                <w:p w14:paraId="36E2F4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石膏砂浆</w:t>
                  </w:r>
                </w:p>
              </w:tc>
              <w:tc>
                <w:tcPr>
                  <w:tcW w:w="781" w:type="pct"/>
                  <w:noWrap w:val="0"/>
                  <w:vAlign w:val="center"/>
                </w:tcPr>
                <w:p w14:paraId="0D8D0131">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2.5万吨</w:t>
                  </w:r>
                </w:p>
              </w:tc>
              <w:tc>
                <w:tcPr>
                  <w:tcW w:w="2014" w:type="pct"/>
                  <w:noWrap w:val="0"/>
                  <w:vAlign w:val="center"/>
                </w:tcPr>
                <w:p w14:paraId="52AD38DC">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《石膏基自流平砂浆》（JC/T1023-2021）</w:t>
                  </w:r>
                </w:p>
              </w:tc>
              <w:tc>
                <w:tcPr>
                  <w:tcW w:w="645" w:type="pct"/>
                  <w:noWrap w:val="0"/>
                  <w:vAlign w:val="center"/>
                </w:tcPr>
                <w:p w14:paraId="078A0122">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w:t>
                  </w:r>
                </w:p>
              </w:tc>
            </w:tr>
            <w:tr w14:paraId="6F80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noWrap w:val="0"/>
                  <w:vAlign w:val="center"/>
                </w:tcPr>
                <w:p w14:paraId="0954B44B">
                  <w:pPr>
                    <w:spacing w:line="360" w:lineRule="exact"/>
                    <w:ind w:firstLine="0" w:firstLineChars="0"/>
                    <w:jc w:val="center"/>
                    <w:rPr>
                      <w:rFonts w:hint="default" w:ascii="Times New Roman" w:hAnsi="Times New Roman" w:cs="Times New Roman"/>
                      <w:color w:val="auto"/>
                      <w:spacing w:val="-4"/>
                      <w:sz w:val="21"/>
                      <w:szCs w:val="21"/>
                      <w:highlight w:val="none"/>
                      <w:lang w:val="en-US" w:eastAsia="zh-CN"/>
                    </w:rPr>
                  </w:pPr>
                  <w:r>
                    <w:rPr>
                      <w:rFonts w:hint="default" w:ascii="Times New Roman" w:hAnsi="Times New Roman" w:cs="Times New Roman"/>
                      <w:color w:val="auto"/>
                      <w:spacing w:val="-4"/>
                      <w:sz w:val="21"/>
                      <w:szCs w:val="21"/>
                      <w:highlight w:val="none"/>
                      <w:lang w:val="en-US" w:eastAsia="zh-CN"/>
                    </w:rPr>
                    <w:t>3</w:t>
                  </w:r>
                </w:p>
              </w:tc>
              <w:tc>
                <w:tcPr>
                  <w:tcW w:w="1093" w:type="pct"/>
                  <w:noWrap w:val="0"/>
                  <w:vAlign w:val="center"/>
                </w:tcPr>
                <w:p w14:paraId="6894B6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防火保温砂浆</w:t>
                  </w:r>
                </w:p>
              </w:tc>
              <w:tc>
                <w:tcPr>
                  <w:tcW w:w="781" w:type="pct"/>
                  <w:noWrap w:val="0"/>
                  <w:vAlign w:val="center"/>
                </w:tcPr>
                <w:p w14:paraId="14CB8CFC">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5000吨</w:t>
                  </w:r>
                </w:p>
              </w:tc>
              <w:tc>
                <w:tcPr>
                  <w:tcW w:w="2014" w:type="pct"/>
                  <w:noWrap w:val="0"/>
                  <w:vAlign w:val="center"/>
                </w:tcPr>
                <w:p w14:paraId="5A89CB14">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 xml:space="preserve"> 《钢结构防火涂料》</w:t>
                  </w:r>
                </w:p>
                <w:p w14:paraId="4B21B109">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（GB 14907-2018）</w:t>
                  </w:r>
                </w:p>
              </w:tc>
              <w:tc>
                <w:tcPr>
                  <w:tcW w:w="645" w:type="pct"/>
                  <w:noWrap w:val="0"/>
                  <w:vAlign w:val="center"/>
                </w:tcPr>
                <w:p w14:paraId="2ED430B7">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w:t>
                  </w:r>
                </w:p>
              </w:tc>
            </w:tr>
          </w:tbl>
          <w:p w14:paraId="37E457BC">
            <w:pPr>
              <w:keepLines w:val="0"/>
              <w:pageBreakBefore w:val="0"/>
              <w:numPr>
                <w:ilvl w:val="0"/>
                <w:numId w:val="0"/>
              </w:numPr>
              <w:kinsoku/>
              <w:wordWrap/>
              <w:overflowPunct/>
              <w:topLinePunct w:val="0"/>
              <w:autoSpaceDE/>
              <w:autoSpaceDN/>
              <w:bidi w:val="0"/>
              <w:adjustRightInd/>
              <w:snapToGrid/>
              <w:spacing w:line="360" w:lineRule="auto"/>
              <w:ind w:left="420" w:leftChars="0"/>
              <w:jc w:val="left"/>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5</w:t>
            </w:r>
            <w:r>
              <w:rPr>
                <w:rFonts w:hint="default" w:ascii="Times New Roman" w:hAnsi="Times New Roman" w:eastAsia="宋体" w:cs="Times New Roman"/>
                <w:color w:val="auto"/>
                <w:sz w:val="24"/>
                <w:highlight w:val="none"/>
                <w:lang w:val="en-US" w:eastAsia="zh-CN"/>
              </w:rPr>
              <w:t>、原辅材料及能源消耗</w:t>
            </w:r>
          </w:p>
          <w:p w14:paraId="4F640BD5">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项目主要原辅料及能源消耗见表</w:t>
            </w:r>
            <w:r>
              <w:rPr>
                <w:rFonts w:hint="default" w:ascii="Times New Roman" w:hAnsi="Times New Roman" w:eastAsia="宋体" w:cs="Times New Roman"/>
                <w:color w:val="auto"/>
                <w:sz w:val="24"/>
                <w:highlight w:val="none"/>
              </w:rPr>
              <w:t>2-</w:t>
            </w:r>
            <w:r>
              <w:rPr>
                <w:rFonts w:hint="default" w:ascii="Times New Roman" w:hAnsi="Times New Roman" w:cs="Times New Roman"/>
                <w:color w:val="auto"/>
                <w:sz w:val="24"/>
                <w:highlight w:val="none"/>
                <w:lang w:val="en-US" w:eastAsia="zh-CN"/>
              </w:rPr>
              <w:t>3</w:t>
            </w:r>
            <w:r>
              <w:rPr>
                <w:rFonts w:hint="default" w:ascii="Times New Roman" w:hAnsi="Times New Roman" w:eastAsia="宋体" w:cs="Times New Roman"/>
                <w:color w:val="auto"/>
                <w:sz w:val="24"/>
                <w:highlight w:val="none"/>
              </w:rPr>
              <w:t>。</w:t>
            </w:r>
          </w:p>
          <w:p w14:paraId="3AF4CD63">
            <w:pPr>
              <w:keepNext/>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b/>
                <w:color w:val="auto"/>
                <w:sz w:val="24"/>
                <w:highlight w:val="none"/>
              </w:rPr>
              <w:t>表2</w:t>
            </w:r>
            <w:r>
              <w:rPr>
                <w:rFonts w:hint="default"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r>
              <w:rPr>
                <w:rFonts w:hint="default" w:ascii="Times New Roman" w:hAnsi="Times New Roman" w:cs="Times New Roman"/>
                <w:b/>
                <w:color w:val="auto"/>
                <w:sz w:val="24"/>
                <w:highlight w:val="none"/>
                <w:lang w:val="en-US" w:eastAsia="zh-CN"/>
              </w:rPr>
              <w:t>项目</w:t>
            </w:r>
            <w:r>
              <w:rPr>
                <w:rFonts w:hint="default" w:ascii="Times New Roman" w:hAnsi="Times New Roman" w:cs="Times New Roman"/>
                <w:b/>
                <w:color w:val="auto"/>
                <w:sz w:val="24"/>
                <w:highlight w:val="none"/>
              </w:rPr>
              <w:t>主要原辅材料及能量消耗一览表</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399"/>
              <w:gridCol w:w="1111"/>
              <w:gridCol w:w="944"/>
              <w:gridCol w:w="3507"/>
            </w:tblGrid>
            <w:tr w14:paraId="660B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21A53F4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序号</w:t>
                  </w:r>
                </w:p>
              </w:tc>
              <w:tc>
                <w:tcPr>
                  <w:tcW w:w="913" w:type="pct"/>
                  <w:noWrap w:val="0"/>
                  <w:vAlign w:val="center"/>
                </w:tcPr>
                <w:p w14:paraId="3FD5AAB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名称</w:t>
                  </w:r>
                </w:p>
              </w:tc>
              <w:tc>
                <w:tcPr>
                  <w:tcW w:w="725" w:type="pct"/>
                  <w:noWrap w:val="0"/>
                  <w:vAlign w:val="center"/>
                </w:tcPr>
                <w:p w14:paraId="00E4956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单位</w:t>
                  </w:r>
                </w:p>
              </w:tc>
              <w:tc>
                <w:tcPr>
                  <w:tcW w:w="616" w:type="pct"/>
                  <w:noWrap w:val="0"/>
                  <w:vAlign w:val="center"/>
                </w:tcPr>
                <w:p w14:paraId="4E920CE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1"/>
                      <w:szCs w:val="21"/>
                      <w:highlight w:val="none"/>
                      <w:lang w:val="en-US" w:eastAsia="zh-CN"/>
                    </w:rPr>
                    <w:t>消耗</w:t>
                  </w:r>
                  <w:r>
                    <w:rPr>
                      <w:rFonts w:hint="default" w:ascii="Times New Roman" w:hAnsi="Times New Roman" w:cs="Times New Roman"/>
                      <w:color w:val="auto"/>
                      <w:kern w:val="1"/>
                      <w:szCs w:val="21"/>
                      <w:highlight w:val="none"/>
                    </w:rPr>
                    <w:t>量</w:t>
                  </w:r>
                </w:p>
              </w:tc>
              <w:tc>
                <w:tcPr>
                  <w:tcW w:w="2288" w:type="pct"/>
                  <w:noWrap w:val="0"/>
                  <w:vAlign w:val="center"/>
                </w:tcPr>
                <w:p w14:paraId="7712427C">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备注</w:t>
                  </w:r>
                </w:p>
              </w:tc>
            </w:tr>
            <w:tr w14:paraId="1074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5"/>
                  <w:noWrap w:val="0"/>
                  <w:vAlign w:val="center"/>
                </w:tcPr>
                <w:p w14:paraId="157AD05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钢制边框复合隔墙板</w:t>
                  </w:r>
                </w:p>
              </w:tc>
            </w:tr>
            <w:tr w14:paraId="1EB4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55D58B0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1</w:t>
                  </w:r>
                </w:p>
              </w:tc>
              <w:tc>
                <w:tcPr>
                  <w:tcW w:w="913" w:type="pct"/>
                  <w:noWrap w:val="0"/>
                  <w:vAlign w:val="center"/>
                </w:tcPr>
                <w:p w14:paraId="65D897E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珍珠岩</w:t>
                  </w:r>
                </w:p>
              </w:tc>
              <w:tc>
                <w:tcPr>
                  <w:tcW w:w="725" w:type="pct"/>
                  <w:noWrap w:val="0"/>
                  <w:vAlign w:val="center"/>
                </w:tcPr>
                <w:p w14:paraId="5874C21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3DEC389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4500</w:t>
                  </w:r>
                </w:p>
              </w:tc>
              <w:tc>
                <w:tcPr>
                  <w:tcW w:w="2288" w:type="pct"/>
                  <w:noWrap w:val="0"/>
                  <w:vAlign w:val="center"/>
                </w:tcPr>
                <w:p w14:paraId="642516F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粒状，罐车运输，储罐储存</w:t>
                  </w:r>
                </w:p>
              </w:tc>
            </w:tr>
            <w:tr w14:paraId="5B545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1A84C6CF">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2</w:t>
                  </w:r>
                </w:p>
              </w:tc>
              <w:tc>
                <w:tcPr>
                  <w:tcW w:w="913" w:type="pct"/>
                  <w:noWrap w:val="0"/>
                  <w:vAlign w:val="center"/>
                </w:tcPr>
                <w:p w14:paraId="05B4B2DA">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脱硫石膏</w:t>
                  </w:r>
                </w:p>
              </w:tc>
              <w:tc>
                <w:tcPr>
                  <w:tcW w:w="725" w:type="pct"/>
                  <w:noWrap w:val="0"/>
                  <w:vAlign w:val="center"/>
                </w:tcPr>
                <w:p w14:paraId="6F95D2E2">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6C0C1198">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0"/>
                      <w:sz w:val="21"/>
                      <w:szCs w:val="21"/>
                      <w:highlight w:val="none"/>
                      <w:u w:val="none"/>
                      <w:lang w:val="en-US" w:eastAsia="zh-CN" w:bidi="ar"/>
                    </w:rPr>
                    <w:t>60000</w:t>
                  </w:r>
                </w:p>
              </w:tc>
              <w:tc>
                <w:tcPr>
                  <w:tcW w:w="2288" w:type="pct"/>
                  <w:noWrap w:val="0"/>
                  <w:vAlign w:val="center"/>
                </w:tcPr>
                <w:p w14:paraId="14289D66">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粉状，罐车运输，储罐储存</w:t>
                  </w:r>
                </w:p>
              </w:tc>
            </w:tr>
            <w:tr w14:paraId="530B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6E5EF29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w:t>
                  </w:r>
                </w:p>
              </w:tc>
              <w:tc>
                <w:tcPr>
                  <w:tcW w:w="913" w:type="pct"/>
                  <w:noWrap w:val="0"/>
                  <w:vAlign w:val="center"/>
                </w:tcPr>
                <w:p w14:paraId="04A7267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粉煤灰</w:t>
                  </w:r>
                </w:p>
              </w:tc>
              <w:tc>
                <w:tcPr>
                  <w:tcW w:w="725" w:type="pct"/>
                  <w:noWrap w:val="0"/>
                  <w:vAlign w:val="center"/>
                </w:tcPr>
                <w:p w14:paraId="6A0331BF">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5231C40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1000</w:t>
                  </w:r>
                </w:p>
              </w:tc>
              <w:tc>
                <w:tcPr>
                  <w:tcW w:w="2288" w:type="pct"/>
                  <w:noWrap w:val="0"/>
                  <w:vAlign w:val="center"/>
                </w:tcPr>
                <w:p w14:paraId="0703AB0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粉状，罐车运输，储罐储存</w:t>
                  </w:r>
                </w:p>
              </w:tc>
            </w:tr>
            <w:tr w14:paraId="238E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37998B2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4</w:t>
                  </w:r>
                </w:p>
              </w:tc>
              <w:tc>
                <w:tcPr>
                  <w:tcW w:w="913" w:type="pct"/>
                  <w:noWrap w:val="0"/>
                  <w:vAlign w:val="center"/>
                </w:tcPr>
                <w:p w14:paraId="12F1E4C8">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水泥</w:t>
                  </w:r>
                </w:p>
              </w:tc>
              <w:tc>
                <w:tcPr>
                  <w:tcW w:w="725" w:type="pct"/>
                  <w:noWrap w:val="0"/>
                  <w:vAlign w:val="center"/>
                </w:tcPr>
                <w:p w14:paraId="5143E476">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7E87BB3C">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800</w:t>
                  </w:r>
                </w:p>
              </w:tc>
              <w:tc>
                <w:tcPr>
                  <w:tcW w:w="2288" w:type="pct"/>
                  <w:noWrap w:val="0"/>
                  <w:vAlign w:val="center"/>
                </w:tcPr>
                <w:p w14:paraId="5E6EAD5B">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粉状，罐车运输，储罐储存</w:t>
                  </w:r>
                </w:p>
              </w:tc>
            </w:tr>
            <w:tr w14:paraId="66FD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28BB783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5</w:t>
                  </w:r>
                </w:p>
              </w:tc>
              <w:tc>
                <w:tcPr>
                  <w:tcW w:w="913" w:type="pct"/>
                  <w:noWrap w:val="0"/>
                  <w:vAlign w:val="center"/>
                </w:tcPr>
                <w:p w14:paraId="59AE2EC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网格布</w:t>
                  </w:r>
                </w:p>
              </w:tc>
              <w:tc>
                <w:tcPr>
                  <w:tcW w:w="725" w:type="pct"/>
                  <w:noWrap w:val="0"/>
                  <w:vAlign w:val="center"/>
                </w:tcPr>
                <w:p w14:paraId="77E6713F">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w:t>
                  </w:r>
                </w:p>
              </w:tc>
              <w:tc>
                <w:tcPr>
                  <w:tcW w:w="616" w:type="pct"/>
                  <w:noWrap w:val="0"/>
                  <w:vAlign w:val="center"/>
                </w:tcPr>
                <w:p w14:paraId="515B1729">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1200</w:t>
                  </w:r>
                </w:p>
              </w:tc>
              <w:tc>
                <w:tcPr>
                  <w:tcW w:w="2288" w:type="pct"/>
                  <w:noWrap w:val="0"/>
                  <w:vAlign w:val="center"/>
                </w:tcPr>
                <w:p w14:paraId="50AA3C9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外购</w:t>
                  </w:r>
                </w:p>
              </w:tc>
            </w:tr>
            <w:tr w14:paraId="2845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59F11FF1">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6</w:t>
                  </w:r>
                </w:p>
              </w:tc>
              <w:tc>
                <w:tcPr>
                  <w:tcW w:w="913" w:type="pct"/>
                  <w:noWrap w:val="0"/>
                  <w:vAlign w:val="center"/>
                </w:tcPr>
                <w:p w14:paraId="55B5BAB1">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钢板</w:t>
                  </w:r>
                </w:p>
              </w:tc>
              <w:tc>
                <w:tcPr>
                  <w:tcW w:w="725" w:type="pct"/>
                  <w:noWrap w:val="0"/>
                  <w:vAlign w:val="center"/>
                </w:tcPr>
                <w:p w14:paraId="68FB8D9D">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5D48DB60">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200</w:t>
                  </w:r>
                </w:p>
              </w:tc>
              <w:tc>
                <w:tcPr>
                  <w:tcW w:w="2288" w:type="pct"/>
                  <w:noWrap w:val="0"/>
                  <w:vAlign w:val="center"/>
                </w:tcPr>
                <w:p w14:paraId="6018C61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外购</w:t>
                  </w:r>
                </w:p>
              </w:tc>
            </w:tr>
            <w:tr w14:paraId="1338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6A5058CC">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7</w:t>
                  </w:r>
                </w:p>
              </w:tc>
              <w:tc>
                <w:tcPr>
                  <w:tcW w:w="913" w:type="pct"/>
                  <w:shd w:val="clear" w:color="auto" w:fill="auto"/>
                  <w:noWrap w:val="0"/>
                  <w:vAlign w:val="center"/>
                </w:tcPr>
                <w:p w14:paraId="479DEBD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药芯焊丝</w:t>
                  </w:r>
                </w:p>
              </w:tc>
              <w:tc>
                <w:tcPr>
                  <w:tcW w:w="725" w:type="pct"/>
                  <w:shd w:val="clear" w:color="auto" w:fill="auto"/>
                  <w:noWrap w:val="0"/>
                  <w:vAlign w:val="center"/>
                </w:tcPr>
                <w:p w14:paraId="4C40F7D1">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shd w:val="clear" w:color="auto" w:fill="auto"/>
                  <w:noWrap w:val="0"/>
                  <w:vAlign w:val="center"/>
                </w:tcPr>
                <w:p w14:paraId="612F16CF">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1</w:t>
                  </w:r>
                </w:p>
              </w:tc>
              <w:tc>
                <w:tcPr>
                  <w:tcW w:w="2288" w:type="pct"/>
                  <w:shd w:val="clear" w:color="auto" w:fill="auto"/>
                  <w:noWrap w:val="0"/>
                  <w:vAlign w:val="center"/>
                </w:tcPr>
                <w:p w14:paraId="70F5B99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eastAsia="zh-CN"/>
                    </w:rPr>
                    <w:t>外购</w:t>
                  </w:r>
                </w:p>
              </w:tc>
            </w:tr>
            <w:tr w14:paraId="34EF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53DDD98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8</w:t>
                  </w:r>
                </w:p>
              </w:tc>
              <w:tc>
                <w:tcPr>
                  <w:tcW w:w="913" w:type="pct"/>
                  <w:shd w:val="clear" w:color="auto" w:fill="auto"/>
                  <w:noWrap w:val="0"/>
                  <w:vAlign w:val="center"/>
                </w:tcPr>
                <w:p w14:paraId="3426B498">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水</w:t>
                  </w:r>
                </w:p>
              </w:tc>
              <w:tc>
                <w:tcPr>
                  <w:tcW w:w="725" w:type="pct"/>
                  <w:shd w:val="clear" w:color="auto" w:fill="auto"/>
                  <w:noWrap w:val="0"/>
                  <w:vAlign w:val="center"/>
                </w:tcPr>
                <w:p w14:paraId="142A5472">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t/a</w:t>
                  </w:r>
                </w:p>
              </w:tc>
              <w:tc>
                <w:tcPr>
                  <w:tcW w:w="616" w:type="pct"/>
                  <w:shd w:val="clear" w:color="auto" w:fill="auto"/>
                  <w:noWrap w:val="0"/>
                  <w:vAlign w:val="center"/>
                </w:tcPr>
                <w:p w14:paraId="6F7DC6CE">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36465</w:t>
                  </w:r>
                </w:p>
              </w:tc>
              <w:tc>
                <w:tcPr>
                  <w:tcW w:w="2288" w:type="pct"/>
                  <w:shd w:val="clear" w:color="auto" w:fill="auto"/>
                  <w:noWrap w:val="0"/>
                  <w:vAlign w:val="center"/>
                </w:tcPr>
                <w:p w14:paraId="4D6B4B60">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园区供水管网</w:t>
                  </w:r>
                </w:p>
              </w:tc>
            </w:tr>
            <w:tr w14:paraId="6A305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5"/>
                  <w:noWrap w:val="0"/>
                  <w:vAlign w:val="center"/>
                </w:tcPr>
                <w:p w14:paraId="34EB940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石膏砂浆</w:t>
                  </w:r>
                </w:p>
              </w:tc>
            </w:tr>
            <w:tr w14:paraId="1D21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0BDDA55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1</w:t>
                  </w:r>
                </w:p>
              </w:tc>
              <w:tc>
                <w:tcPr>
                  <w:tcW w:w="913" w:type="pct"/>
                  <w:noWrap w:val="0"/>
                  <w:vAlign w:val="center"/>
                </w:tcPr>
                <w:p w14:paraId="6870327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脱硫石膏</w:t>
                  </w:r>
                </w:p>
              </w:tc>
              <w:tc>
                <w:tcPr>
                  <w:tcW w:w="725" w:type="pct"/>
                  <w:shd w:val="clear" w:color="auto" w:fill="auto"/>
                  <w:noWrap w:val="0"/>
                  <w:vAlign w:val="center"/>
                </w:tcPr>
                <w:p w14:paraId="4DC5E57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6ECC2CBB">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15000</w:t>
                  </w:r>
                </w:p>
              </w:tc>
              <w:tc>
                <w:tcPr>
                  <w:tcW w:w="2288" w:type="pct"/>
                  <w:shd w:val="clear" w:color="auto" w:fill="auto"/>
                  <w:noWrap w:val="0"/>
                  <w:vAlign w:val="center"/>
                </w:tcPr>
                <w:p w14:paraId="0283BE35">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粉状，罐车运输，储罐储存</w:t>
                  </w:r>
                </w:p>
              </w:tc>
            </w:tr>
            <w:tr w14:paraId="1336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43C0F21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2</w:t>
                  </w:r>
                </w:p>
              </w:tc>
              <w:tc>
                <w:tcPr>
                  <w:tcW w:w="913" w:type="pct"/>
                  <w:noWrap w:val="0"/>
                  <w:vAlign w:val="center"/>
                </w:tcPr>
                <w:p w14:paraId="62C7730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玻化微珠</w:t>
                  </w:r>
                </w:p>
              </w:tc>
              <w:tc>
                <w:tcPr>
                  <w:tcW w:w="725" w:type="pct"/>
                  <w:shd w:val="clear" w:color="auto" w:fill="auto"/>
                  <w:noWrap w:val="0"/>
                  <w:vAlign w:val="center"/>
                </w:tcPr>
                <w:p w14:paraId="310CB068">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7882B492">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2500</w:t>
                  </w:r>
                </w:p>
              </w:tc>
              <w:tc>
                <w:tcPr>
                  <w:tcW w:w="2288" w:type="pct"/>
                  <w:shd w:val="clear" w:color="auto" w:fill="auto"/>
                  <w:noWrap w:val="0"/>
                  <w:vAlign w:val="center"/>
                </w:tcPr>
                <w:p w14:paraId="3B970AC3">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细粒状，罐车运输，储罐储存</w:t>
                  </w:r>
                </w:p>
              </w:tc>
            </w:tr>
            <w:tr w14:paraId="02B3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508A100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3</w:t>
                  </w:r>
                </w:p>
              </w:tc>
              <w:tc>
                <w:tcPr>
                  <w:tcW w:w="913" w:type="pct"/>
                  <w:noWrap w:val="0"/>
                  <w:vAlign w:val="center"/>
                </w:tcPr>
                <w:p w14:paraId="54C54129">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粉煤灰</w:t>
                  </w:r>
                </w:p>
              </w:tc>
              <w:tc>
                <w:tcPr>
                  <w:tcW w:w="725" w:type="pct"/>
                  <w:shd w:val="clear" w:color="auto" w:fill="auto"/>
                  <w:noWrap w:val="0"/>
                  <w:vAlign w:val="center"/>
                </w:tcPr>
                <w:p w14:paraId="2A3253B3">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3599ED83">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5000</w:t>
                  </w:r>
                </w:p>
              </w:tc>
              <w:tc>
                <w:tcPr>
                  <w:tcW w:w="2288" w:type="pct"/>
                  <w:shd w:val="clear" w:color="auto" w:fill="auto"/>
                  <w:noWrap w:val="0"/>
                  <w:vAlign w:val="center"/>
                </w:tcPr>
                <w:p w14:paraId="6459BA9D">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粉状，罐车运输，储罐储存</w:t>
                  </w:r>
                </w:p>
              </w:tc>
            </w:tr>
            <w:tr w14:paraId="5D44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65E14E5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4</w:t>
                  </w:r>
                </w:p>
              </w:tc>
              <w:tc>
                <w:tcPr>
                  <w:tcW w:w="913" w:type="pct"/>
                  <w:noWrap w:val="0"/>
                  <w:vAlign w:val="center"/>
                </w:tcPr>
                <w:p w14:paraId="3534576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蛭石</w:t>
                  </w:r>
                </w:p>
              </w:tc>
              <w:tc>
                <w:tcPr>
                  <w:tcW w:w="725" w:type="pct"/>
                  <w:shd w:val="clear" w:color="auto" w:fill="auto"/>
                  <w:noWrap w:val="0"/>
                  <w:vAlign w:val="center"/>
                </w:tcPr>
                <w:p w14:paraId="3C050B20">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63563CD2">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2495</w:t>
                  </w:r>
                </w:p>
              </w:tc>
              <w:tc>
                <w:tcPr>
                  <w:tcW w:w="2288" w:type="pct"/>
                  <w:noWrap w:val="0"/>
                  <w:vAlign w:val="center"/>
                </w:tcPr>
                <w:p w14:paraId="707409E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粒状，罐车运输，储罐储存</w:t>
                  </w:r>
                </w:p>
              </w:tc>
            </w:tr>
            <w:tr w14:paraId="1E88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4F15BD2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5</w:t>
                  </w:r>
                </w:p>
              </w:tc>
              <w:tc>
                <w:tcPr>
                  <w:tcW w:w="913" w:type="pct"/>
                  <w:noWrap w:val="0"/>
                  <w:vAlign w:val="center"/>
                </w:tcPr>
                <w:p w14:paraId="5440CB9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缓凝剂</w:t>
                  </w:r>
                </w:p>
              </w:tc>
              <w:tc>
                <w:tcPr>
                  <w:tcW w:w="725" w:type="pct"/>
                  <w:shd w:val="clear" w:color="auto" w:fill="auto"/>
                  <w:noWrap w:val="0"/>
                  <w:vAlign w:val="center"/>
                </w:tcPr>
                <w:p w14:paraId="046DF55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t/a</w:t>
                  </w:r>
                </w:p>
              </w:tc>
              <w:tc>
                <w:tcPr>
                  <w:tcW w:w="616" w:type="pct"/>
                  <w:noWrap w:val="0"/>
                  <w:vAlign w:val="center"/>
                </w:tcPr>
                <w:p w14:paraId="63FA8C8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5</w:t>
                  </w:r>
                </w:p>
              </w:tc>
              <w:tc>
                <w:tcPr>
                  <w:tcW w:w="2288" w:type="pct"/>
                  <w:noWrap w:val="0"/>
                  <w:vAlign w:val="center"/>
                </w:tcPr>
                <w:p w14:paraId="4AC36AD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eastAsia="zh-CN"/>
                    </w:rPr>
                    <w:t>外购，粉状，</w:t>
                  </w:r>
                  <w:r>
                    <w:rPr>
                      <w:rFonts w:hint="default" w:ascii="Times New Roman" w:hAnsi="Times New Roman" w:cs="Times New Roman"/>
                      <w:color w:val="auto"/>
                      <w:kern w:val="0"/>
                      <w:sz w:val="21"/>
                      <w:szCs w:val="21"/>
                      <w:highlight w:val="none"/>
                      <w:lang w:val="en-US" w:eastAsia="zh-CN"/>
                    </w:rPr>
                    <w:t>袋装</w:t>
                  </w:r>
                </w:p>
              </w:tc>
            </w:tr>
            <w:tr w14:paraId="72EB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5"/>
                  <w:noWrap w:val="0"/>
                  <w:vAlign w:val="center"/>
                </w:tcPr>
                <w:p w14:paraId="2E644C6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防火保温砂浆</w:t>
                  </w:r>
                </w:p>
              </w:tc>
            </w:tr>
            <w:tr w14:paraId="0211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7FE435E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1</w:t>
                  </w:r>
                </w:p>
              </w:tc>
              <w:tc>
                <w:tcPr>
                  <w:tcW w:w="913" w:type="pct"/>
                  <w:noWrap w:val="0"/>
                  <w:vAlign w:val="center"/>
                </w:tcPr>
                <w:p w14:paraId="29F3ED8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重钙</w:t>
                  </w:r>
                </w:p>
              </w:tc>
              <w:tc>
                <w:tcPr>
                  <w:tcW w:w="725" w:type="pct"/>
                  <w:shd w:val="clear" w:color="auto" w:fill="auto"/>
                  <w:noWrap w:val="0"/>
                  <w:vAlign w:val="center"/>
                </w:tcPr>
                <w:p w14:paraId="203B87A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379A0710">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2300</w:t>
                  </w:r>
                </w:p>
              </w:tc>
              <w:tc>
                <w:tcPr>
                  <w:tcW w:w="2288" w:type="pct"/>
                  <w:shd w:val="clear" w:color="auto" w:fill="auto"/>
                  <w:noWrap w:val="0"/>
                  <w:vAlign w:val="center"/>
                </w:tcPr>
                <w:p w14:paraId="23E46984">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粉状，罐车运输，储罐储存</w:t>
                  </w:r>
                </w:p>
              </w:tc>
            </w:tr>
            <w:tr w14:paraId="4040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66523F6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2</w:t>
                  </w:r>
                </w:p>
              </w:tc>
              <w:tc>
                <w:tcPr>
                  <w:tcW w:w="913" w:type="pct"/>
                  <w:shd w:val="clear" w:color="auto" w:fill="auto"/>
                  <w:noWrap w:val="0"/>
                  <w:vAlign w:val="center"/>
                </w:tcPr>
                <w:p w14:paraId="3AE49301">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玻化微珠</w:t>
                  </w:r>
                </w:p>
              </w:tc>
              <w:tc>
                <w:tcPr>
                  <w:tcW w:w="725" w:type="pct"/>
                  <w:shd w:val="clear" w:color="auto" w:fill="auto"/>
                  <w:noWrap w:val="0"/>
                  <w:vAlign w:val="center"/>
                </w:tcPr>
                <w:p w14:paraId="33B0A79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shd w:val="clear" w:color="auto" w:fill="auto"/>
                  <w:noWrap w:val="0"/>
                  <w:vAlign w:val="center"/>
                </w:tcPr>
                <w:p w14:paraId="137DD0AD">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400</w:t>
                  </w:r>
                </w:p>
              </w:tc>
              <w:tc>
                <w:tcPr>
                  <w:tcW w:w="2288" w:type="pct"/>
                  <w:shd w:val="clear" w:color="auto" w:fill="auto"/>
                  <w:noWrap w:val="0"/>
                  <w:vAlign w:val="center"/>
                </w:tcPr>
                <w:p w14:paraId="5837F664">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细粒状，罐车运输，储罐储存</w:t>
                  </w:r>
                </w:p>
              </w:tc>
            </w:tr>
            <w:tr w14:paraId="7F0A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2274645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3</w:t>
                  </w:r>
                </w:p>
              </w:tc>
              <w:tc>
                <w:tcPr>
                  <w:tcW w:w="913" w:type="pct"/>
                  <w:shd w:val="clear" w:color="auto" w:fill="auto"/>
                  <w:noWrap w:val="0"/>
                  <w:vAlign w:val="center"/>
                </w:tcPr>
                <w:p w14:paraId="75481B8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蛭石</w:t>
                  </w:r>
                </w:p>
              </w:tc>
              <w:tc>
                <w:tcPr>
                  <w:tcW w:w="725" w:type="pct"/>
                  <w:shd w:val="clear" w:color="auto" w:fill="auto"/>
                  <w:noWrap w:val="0"/>
                  <w:vAlign w:val="center"/>
                </w:tcPr>
                <w:p w14:paraId="765D0096">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shd w:val="clear" w:color="auto" w:fill="auto"/>
                  <w:noWrap w:val="0"/>
                  <w:vAlign w:val="center"/>
                </w:tcPr>
                <w:p w14:paraId="4E1E3A4B">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200</w:t>
                  </w:r>
                </w:p>
              </w:tc>
              <w:tc>
                <w:tcPr>
                  <w:tcW w:w="2288" w:type="pct"/>
                  <w:shd w:val="clear" w:color="auto" w:fill="auto"/>
                  <w:noWrap w:val="0"/>
                  <w:vAlign w:val="center"/>
                </w:tcPr>
                <w:p w14:paraId="5705EEF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粒状，罐车运输，储罐储存</w:t>
                  </w:r>
                </w:p>
              </w:tc>
            </w:tr>
            <w:tr w14:paraId="67EB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0D24A96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4</w:t>
                  </w:r>
                </w:p>
              </w:tc>
              <w:tc>
                <w:tcPr>
                  <w:tcW w:w="913" w:type="pct"/>
                  <w:shd w:val="clear" w:color="auto" w:fill="auto"/>
                  <w:noWrap w:val="0"/>
                  <w:vAlign w:val="center"/>
                </w:tcPr>
                <w:p w14:paraId="1B2ECB5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脱硫石膏</w:t>
                  </w:r>
                </w:p>
              </w:tc>
              <w:tc>
                <w:tcPr>
                  <w:tcW w:w="725" w:type="pct"/>
                  <w:shd w:val="clear" w:color="auto" w:fill="auto"/>
                  <w:noWrap w:val="0"/>
                  <w:vAlign w:val="center"/>
                </w:tcPr>
                <w:p w14:paraId="07F3846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shd w:val="clear" w:color="auto" w:fill="auto"/>
                  <w:noWrap w:val="0"/>
                  <w:vAlign w:val="center"/>
                </w:tcPr>
                <w:p w14:paraId="23AA5F9D">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700</w:t>
                  </w:r>
                </w:p>
              </w:tc>
              <w:tc>
                <w:tcPr>
                  <w:tcW w:w="2288" w:type="pct"/>
                  <w:shd w:val="clear" w:color="auto" w:fill="auto"/>
                  <w:noWrap w:val="0"/>
                  <w:vAlign w:val="center"/>
                </w:tcPr>
                <w:p w14:paraId="7D14EDE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粉状，罐车运输，储罐储存</w:t>
                  </w:r>
                </w:p>
              </w:tc>
            </w:tr>
            <w:tr w14:paraId="5434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4B6290E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5</w:t>
                  </w:r>
                </w:p>
              </w:tc>
              <w:tc>
                <w:tcPr>
                  <w:tcW w:w="913" w:type="pct"/>
                  <w:shd w:val="clear" w:color="auto" w:fill="auto"/>
                  <w:noWrap w:val="0"/>
                  <w:vAlign w:val="center"/>
                </w:tcPr>
                <w:p w14:paraId="1729AA59">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水</w:t>
                  </w:r>
                </w:p>
              </w:tc>
              <w:tc>
                <w:tcPr>
                  <w:tcW w:w="725" w:type="pct"/>
                  <w:shd w:val="clear" w:color="auto" w:fill="auto"/>
                  <w:noWrap w:val="0"/>
                  <w:vAlign w:val="center"/>
                </w:tcPr>
                <w:p w14:paraId="3E8B0DEB">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t/a</w:t>
                  </w:r>
                </w:p>
              </w:tc>
              <w:tc>
                <w:tcPr>
                  <w:tcW w:w="616" w:type="pct"/>
                  <w:shd w:val="clear" w:color="auto" w:fill="auto"/>
                  <w:noWrap w:val="0"/>
                  <w:vAlign w:val="center"/>
                </w:tcPr>
                <w:p w14:paraId="56EB6E09">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1400</w:t>
                  </w:r>
                </w:p>
              </w:tc>
              <w:tc>
                <w:tcPr>
                  <w:tcW w:w="2288" w:type="pct"/>
                  <w:shd w:val="clear" w:color="auto" w:fill="auto"/>
                  <w:noWrap w:val="0"/>
                  <w:vAlign w:val="center"/>
                </w:tcPr>
                <w:p w14:paraId="333EC714">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园区供水管网</w:t>
                  </w:r>
                </w:p>
              </w:tc>
            </w:tr>
            <w:tr w14:paraId="2D60F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5"/>
                  <w:noWrap w:val="0"/>
                  <w:vAlign w:val="center"/>
                </w:tcPr>
                <w:p w14:paraId="13463CD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能源</w:t>
                  </w:r>
                </w:p>
              </w:tc>
            </w:tr>
            <w:tr w14:paraId="7EC9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035657C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1</w:t>
                  </w:r>
                </w:p>
              </w:tc>
              <w:tc>
                <w:tcPr>
                  <w:tcW w:w="913" w:type="pct"/>
                  <w:shd w:val="clear" w:color="auto" w:fill="auto"/>
                  <w:noWrap w:val="0"/>
                  <w:vAlign w:val="center"/>
                </w:tcPr>
                <w:p w14:paraId="5E1490E9">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新鲜水</w:t>
                  </w:r>
                </w:p>
              </w:tc>
              <w:tc>
                <w:tcPr>
                  <w:tcW w:w="725" w:type="pct"/>
                  <w:shd w:val="clear" w:color="auto" w:fill="auto"/>
                  <w:noWrap w:val="0"/>
                  <w:vAlign w:val="center"/>
                </w:tcPr>
                <w:p w14:paraId="141B6FAF">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w:t>
                  </w:r>
                  <w:r>
                    <w:rPr>
                      <w:rFonts w:hint="default" w:ascii="Times New Roman" w:hAnsi="Times New Roman" w:eastAsia="宋体" w:cs="Times New Roman"/>
                      <w:color w:val="auto"/>
                      <w:kern w:val="0"/>
                      <w:sz w:val="21"/>
                      <w:szCs w:val="21"/>
                      <w:highlight w:val="none"/>
                      <w:vertAlign w:val="superscript"/>
                    </w:rPr>
                    <w:t>3</w:t>
                  </w:r>
                  <w:r>
                    <w:rPr>
                      <w:rFonts w:hint="default" w:ascii="Times New Roman" w:hAnsi="Times New Roman" w:eastAsia="宋体" w:cs="Times New Roman"/>
                      <w:color w:val="auto"/>
                      <w:kern w:val="0"/>
                      <w:sz w:val="21"/>
                      <w:szCs w:val="21"/>
                      <w:highlight w:val="none"/>
                    </w:rPr>
                    <w:t>/a</w:t>
                  </w:r>
                </w:p>
              </w:tc>
              <w:tc>
                <w:tcPr>
                  <w:tcW w:w="616" w:type="pct"/>
                  <w:shd w:val="clear" w:color="auto" w:fill="auto"/>
                  <w:noWrap w:val="0"/>
                  <w:vAlign w:val="center"/>
                </w:tcPr>
                <w:p w14:paraId="2DDFF53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38906</w:t>
                  </w:r>
                </w:p>
              </w:tc>
              <w:tc>
                <w:tcPr>
                  <w:tcW w:w="2288" w:type="pct"/>
                  <w:shd w:val="clear" w:color="auto" w:fill="auto"/>
                  <w:noWrap w:val="0"/>
                  <w:vAlign w:val="center"/>
                </w:tcPr>
                <w:p w14:paraId="0B5587F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园区供水管网</w:t>
                  </w:r>
                  <w:r>
                    <w:rPr>
                      <w:rFonts w:hint="default" w:ascii="Times New Roman" w:hAnsi="Times New Roman" w:cs="Times New Roman"/>
                      <w:color w:val="auto"/>
                      <w:kern w:val="0"/>
                      <w:sz w:val="21"/>
                      <w:szCs w:val="21"/>
                      <w:highlight w:val="none"/>
                      <w:lang w:val="en-US" w:eastAsia="zh-CN"/>
                    </w:rPr>
                    <w:t>。</w:t>
                  </w:r>
                </w:p>
                <w:p w14:paraId="006197F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新鲜水总量38907中含隔墙板和防火保温砂浆生产用水37865、冲洗用水600和生活用水441。</w:t>
                  </w:r>
                </w:p>
              </w:tc>
            </w:tr>
            <w:tr w14:paraId="5494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7693205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2</w:t>
                  </w:r>
                </w:p>
              </w:tc>
              <w:tc>
                <w:tcPr>
                  <w:tcW w:w="913" w:type="pct"/>
                  <w:shd w:val="clear" w:color="auto" w:fill="auto"/>
                  <w:noWrap w:val="0"/>
                  <w:vAlign w:val="center"/>
                </w:tcPr>
                <w:p w14:paraId="2441F20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电</w:t>
                  </w:r>
                </w:p>
              </w:tc>
              <w:tc>
                <w:tcPr>
                  <w:tcW w:w="725" w:type="pct"/>
                  <w:shd w:val="clear" w:color="auto" w:fill="auto"/>
                  <w:noWrap w:val="0"/>
                  <w:vAlign w:val="center"/>
                </w:tcPr>
                <w:p w14:paraId="4CFB9573">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万kWh/a</w:t>
                  </w:r>
                </w:p>
              </w:tc>
              <w:tc>
                <w:tcPr>
                  <w:tcW w:w="616" w:type="pct"/>
                  <w:shd w:val="clear" w:color="auto" w:fill="auto"/>
                  <w:noWrap w:val="0"/>
                  <w:vAlign w:val="center"/>
                </w:tcPr>
                <w:p w14:paraId="7AFD681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25</w:t>
                  </w:r>
                </w:p>
              </w:tc>
              <w:tc>
                <w:tcPr>
                  <w:tcW w:w="2288" w:type="pct"/>
                  <w:shd w:val="clear" w:color="auto" w:fill="auto"/>
                  <w:noWrap w:val="0"/>
                  <w:vAlign w:val="center"/>
                </w:tcPr>
                <w:p w14:paraId="3FA60D9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园区供电管网</w:t>
                  </w:r>
                </w:p>
              </w:tc>
            </w:tr>
          </w:tbl>
          <w:p w14:paraId="1679D606">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主要原辅材料理化性质：</w:t>
            </w:r>
          </w:p>
          <w:p w14:paraId="39991B4A">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粉煤灰：是从煤燃烧后的烟气中收捕下来的细灰，粉煤灰是燃煤电厂排出的主要固体废物，粉煤灰可资源化利用，如作为混凝土的掺合料等。</w:t>
            </w:r>
          </w:p>
          <w:p w14:paraId="3BB77DF6">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脱硫石膏：又称排烟脱硫石膏、硫石膏或FGD石膏，主要成分和天然石膏一样，纯度和细度更高，为二水硫酸钙CaSO</w:t>
            </w:r>
            <w:r>
              <w:rPr>
                <w:rFonts w:hint="default" w:ascii="Times New Roman" w:hAnsi="Times New Roman" w:cs="Times New Roman"/>
                <w:color w:val="auto"/>
                <w:sz w:val="24"/>
                <w:szCs w:val="24"/>
                <w:highlight w:val="none"/>
                <w:vertAlign w:val="subscript"/>
                <w:lang w:val="en-US" w:eastAsia="zh-CN"/>
              </w:rPr>
              <w:t>4</w:t>
            </w:r>
            <w:r>
              <w:rPr>
                <w:rFonts w:hint="default" w:ascii="Times New Roman" w:hAnsi="Times New Roman" w:cs="Times New Roman"/>
                <w:color w:val="auto"/>
                <w:sz w:val="24"/>
                <w:szCs w:val="24"/>
                <w:highlight w:val="none"/>
                <w:lang w:val="en-US" w:eastAsia="zh-CN"/>
              </w:rPr>
              <w:t>·2H</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O，含量≥93%。脱硫石膏是FGD过程的副产品，FGD过程是一项采用石灰-石灰石回收燃煤或油的烟气中的二氧化硫的技术。该技术是把石灰-石灰石磨碎制成浆液，使经过除尘后的含SO</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的烟气通过浆液洗涤器而除去SO</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。石灰浆液与SO</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反应生成硫酸钙及亚硫酸钙，亚硫酸钙经氧化转化成硫酸钙，得到工业副产石膏，称为脱硫石膏，广泛用于建材等行业。其加工利用的意义非常重大。</w:t>
            </w:r>
          </w:p>
          <w:p w14:paraId="0EDC5D8B">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珍珠岩：珍珠岩是一种</w:t>
            </w:r>
            <w:r>
              <w:rPr>
                <w:rFonts w:hint="default" w:ascii="Times New Roman" w:hAnsi="Times New Roman" w:cs="Times New Roman"/>
                <w:color w:val="auto"/>
                <w:sz w:val="24"/>
                <w:szCs w:val="24"/>
                <w:highlight w:val="none"/>
                <w:lang w:val="en-US" w:eastAsia="zh-CN"/>
              </w:rPr>
              <w:fldChar w:fldCharType="begin"/>
            </w:r>
            <w:r>
              <w:rPr>
                <w:rFonts w:hint="default" w:ascii="Times New Roman" w:hAnsi="Times New Roman" w:cs="Times New Roman"/>
                <w:color w:val="auto"/>
                <w:sz w:val="24"/>
                <w:szCs w:val="24"/>
                <w:highlight w:val="none"/>
                <w:lang w:val="en-US" w:eastAsia="zh-CN"/>
              </w:rPr>
              <w:instrText xml:space="preserve"> HYPERLINK "https://baike.so.com/doc/1533054-1620714.html" \t "https://baike.so.com/doc/_blank" </w:instrText>
            </w:r>
            <w:r>
              <w:rPr>
                <w:rFonts w:hint="default" w:ascii="Times New Roman" w:hAnsi="Times New Roman" w:cs="Times New Roman"/>
                <w:color w:val="auto"/>
                <w:sz w:val="24"/>
                <w:szCs w:val="24"/>
                <w:highlight w:val="none"/>
                <w:lang w:val="en-US" w:eastAsia="zh-CN"/>
              </w:rPr>
              <w:fldChar w:fldCharType="separate"/>
            </w:r>
            <w:r>
              <w:rPr>
                <w:rFonts w:hint="default" w:ascii="Times New Roman" w:hAnsi="Times New Roman" w:cs="Times New Roman"/>
                <w:color w:val="auto"/>
                <w:sz w:val="24"/>
                <w:szCs w:val="24"/>
                <w:highlight w:val="none"/>
                <w:lang w:val="en-US" w:eastAsia="zh-CN"/>
              </w:rPr>
              <w:t>火山</w:t>
            </w:r>
            <w:r>
              <w:rPr>
                <w:rFonts w:hint="default" w:ascii="Times New Roman" w:hAnsi="Times New Roman" w:cs="Times New Roman"/>
                <w:color w:val="auto"/>
                <w:sz w:val="24"/>
                <w:szCs w:val="24"/>
                <w:highlight w:val="none"/>
                <w:lang w:val="en-US" w:eastAsia="zh-CN"/>
              </w:rPr>
              <w:fldChar w:fldCharType="end"/>
            </w:r>
            <w:r>
              <w:rPr>
                <w:rFonts w:hint="default" w:ascii="Times New Roman" w:hAnsi="Times New Roman" w:cs="Times New Roman"/>
                <w:color w:val="auto"/>
                <w:sz w:val="24"/>
                <w:szCs w:val="24"/>
                <w:highlight w:val="none"/>
                <w:lang w:val="en-US" w:eastAsia="zh-CN"/>
              </w:rPr>
              <w:t>喷发的酸性</w:t>
            </w:r>
            <w:r>
              <w:rPr>
                <w:rFonts w:hint="default" w:ascii="Times New Roman" w:hAnsi="Times New Roman" w:cs="Times New Roman"/>
                <w:color w:val="auto"/>
                <w:sz w:val="24"/>
                <w:szCs w:val="24"/>
                <w:highlight w:val="none"/>
                <w:lang w:val="en-US" w:eastAsia="zh-CN"/>
              </w:rPr>
              <w:fldChar w:fldCharType="begin"/>
            </w:r>
            <w:r>
              <w:rPr>
                <w:rFonts w:hint="default" w:ascii="Times New Roman" w:hAnsi="Times New Roman" w:cs="Times New Roman"/>
                <w:color w:val="auto"/>
                <w:sz w:val="24"/>
                <w:szCs w:val="24"/>
                <w:highlight w:val="none"/>
                <w:lang w:val="en-US" w:eastAsia="zh-CN"/>
              </w:rPr>
              <w:instrText xml:space="preserve"> HYPERLINK "https://baike.so.com/doc/5987321-6200288.html" \t "https://baike.so.com/doc/_blank" </w:instrText>
            </w:r>
            <w:r>
              <w:rPr>
                <w:rFonts w:hint="default" w:ascii="Times New Roman" w:hAnsi="Times New Roman" w:cs="Times New Roman"/>
                <w:color w:val="auto"/>
                <w:sz w:val="24"/>
                <w:szCs w:val="24"/>
                <w:highlight w:val="none"/>
                <w:lang w:val="en-US" w:eastAsia="zh-CN"/>
              </w:rPr>
              <w:fldChar w:fldCharType="separate"/>
            </w:r>
            <w:r>
              <w:rPr>
                <w:rFonts w:hint="default" w:ascii="Times New Roman" w:hAnsi="Times New Roman" w:cs="Times New Roman"/>
                <w:color w:val="auto"/>
                <w:sz w:val="24"/>
                <w:szCs w:val="24"/>
                <w:highlight w:val="none"/>
                <w:lang w:val="en-US" w:eastAsia="zh-CN"/>
              </w:rPr>
              <w:t>熔岩</w:t>
            </w:r>
            <w:r>
              <w:rPr>
                <w:rFonts w:hint="default" w:ascii="Times New Roman" w:hAnsi="Times New Roman" w:cs="Times New Roman"/>
                <w:color w:val="auto"/>
                <w:sz w:val="24"/>
                <w:szCs w:val="24"/>
                <w:highlight w:val="none"/>
                <w:lang w:val="en-US" w:eastAsia="zh-CN"/>
              </w:rPr>
              <w:fldChar w:fldCharType="end"/>
            </w:r>
            <w:r>
              <w:rPr>
                <w:rFonts w:hint="default" w:ascii="Times New Roman" w:hAnsi="Times New Roman" w:cs="Times New Roman"/>
                <w:color w:val="auto"/>
                <w:sz w:val="24"/>
                <w:szCs w:val="24"/>
                <w:highlight w:val="none"/>
                <w:lang w:val="en-US" w:eastAsia="zh-CN"/>
              </w:rPr>
              <w:t>，主要成分为SiO</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、H</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O(4~6%)、Fe</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O</w:t>
            </w:r>
            <w:r>
              <w:rPr>
                <w:rFonts w:hint="default" w:ascii="Times New Roman" w:hAnsi="Times New Roman" w:cs="Times New Roman"/>
                <w:color w:val="auto"/>
                <w:sz w:val="24"/>
                <w:szCs w:val="24"/>
                <w:highlight w:val="none"/>
                <w:vertAlign w:val="subscript"/>
                <w:lang w:val="en-US" w:eastAsia="zh-CN"/>
              </w:rPr>
              <w:t>3</w:t>
            </w:r>
            <w:r>
              <w:rPr>
                <w:rFonts w:hint="default" w:ascii="Times New Roman" w:hAnsi="Times New Roman" w:cs="Times New Roman"/>
                <w:color w:val="auto"/>
                <w:sz w:val="24"/>
                <w:szCs w:val="24"/>
                <w:highlight w:val="none"/>
                <w:lang w:val="en-US" w:eastAsia="zh-CN"/>
              </w:rPr>
              <w:t>，灰白-浅灰为主，玻璃光泽，耐火度1300~1380℃，容重≤80kg/m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~200 kg/m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。珍珠岩经膨胀而成为一种轻质、多功能新型材料,具有表观密度轻、导热系数低、化学稳定性好、使用温度范围广、吸湿能力小，且无毒、无味、防火、吸音等特点，广泛应用于多种</w:t>
            </w:r>
            <w:r>
              <w:rPr>
                <w:rFonts w:hint="default" w:ascii="Times New Roman" w:hAnsi="Times New Roman" w:cs="Times New Roman"/>
                <w:color w:val="auto"/>
                <w:sz w:val="24"/>
                <w:szCs w:val="24"/>
                <w:highlight w:val="none"/>
                <w:lang w:val="en-US" w:eastAsia="zh-CN"/>
              </w:rPr>
              <w:fldChar w:fldCharType="begin"/>
            </w:r>
            <w:r>
              <w:rPr>
                <w:rFonts w:hint="default" w:ascii="Times New Roman" w:hAnsi="Times New Roman" w:cs="Times New Roman"/>
                <w:color w:val="auto"/>
                <w:sz w:val="24"/>
                <w:szCs w:val="24"/>
                <w:highlight w:val="none"/>
                <w:lang w:val="en-US" w:eastAsia="zh-CN"/>
              </w:rPr>
              <w:instrText xml:space="preserve"> HYPERLINK "https://baike.so.com/doc/6287774-6501258.html" \t "https://baike.so.com/doc/_blank" </w:instrText>
            </w:r>
            <w:r>
              <w:rPr>
                <w:rFonts w:hint="default" w:ascii="Times New Roman" w:hAnsi="Times New Roman" w:cs="Times New Roman"/>
                <w:color w:val="auto"/>
                <w:sz w:val="24"/>
                <w:szCs w:val="24"/>
                <w:highlight w:val="none"/>
                <w:lang w:val="en-US" w:eastAsia="zh-CN"/>
              </w:rPr>
              <w:fldChar w:fldCharType="separate"/>
            </w:r>
            <w:r>
              <w:rPr>
                <w:rFonts w:hint="default" w:ascii="Times New Roman" w:hAnsi="Times New Roman" w:cs="Times New Roman"/>
                <w:color w:val="auto"/>
                <w:sz w:val="24"/>
                <w:szCs w:val="24"/>
                <w:highlight w:val="none"/>
                <w:lang w:val="en-US" w:eastAsia="zh-CN"/>
              </w:rPr>
              <w:t>工业部门</w:t>
            </w:r>
            <w:r>
              <w:rPr>
                <w:rFonts w:hint="default" w:ascii="Times New Roman" w:hAnsi="Times New Roman" w:cs="Times New Roman"/>
                <w:color w:val="auto"/>
                <w:sz w:val="24"/>
                <w:szCs w:val="24"/>
                <w:highlight w:val="none"/>
                <w:lang w:val="en-US" w:eastAsia="zh-CN"/>
              </w:rPr>
              <w:fldChar w:fldCharType="end"/>
            </w:r>
            <w:r>
              <w:rPr>
                <w:rFonts w:hint="default" w:ascii="Times New Roman" w:hAnsi="Times New Roman" w:cs="Times New Roman"/>
                <w:color w:val="auto"/>
                <w:sz w:val="24"/>
                <w:szCs w:val="24"/>
                <w:highlight w:val="none"/>
                <w:lang w:val="en-US" w:eastAsia="zh-CN"/>
              </w:rPr>
              <w:t>，如建筑工业、助滤剂和填料等。</w:t>
            </w:r>
          </w:p>
          <w:p w14:paraId="2A76BBA1">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重钙：</w:t>
            </w:r>
            <w:r>
              <w:rPr>
                <w:rFonts w:hint="default" w:ascii="Times New Roman" w:hAnsi="Times New Roman" w:cs="Times New Roman"/>
                <w:color w:val="auto"/>
                <w:sz w:val="24"/>
                <w:szCs w:val="24"/>
                <w:highlight w:val="none"/>
                <w:lang w:val="en-US" w:eastAsia="zh-CN"/>
              </w:rPr>
              <w:fldChar w:fldCharType="begin"/>
            </w:r>
            <w:r>
              <w:rPr>
                <w:rFonts w:hint="default" w:ascii="Times New Roman" w:hAnsi="Times New Roman" w:cs="Times New Roman"/>
                <w:color w:val="auto"/>
                <w:sz w:val="24"/>
                <w:szCs w:val="24"/>
                <w:highlight w:val="none"/>
                <w:lang w:val="en-US" w:eastAsia="zh-CN"/>
              </w:rPr>
              <w:instrText xml:space="preserve"> HYPERLINK "https://baike.so.com/doc/5579482-5792852.html" \t "https://baike.so.com/doc/_blank" </w:instrText>
            </w:r>
            <w:r>
              <w:rPr>
                <w:rFonts w:hint="default" w:ascii="Times New Roman" w:hAnsi="Times New Roman" w:cs="Times New Roman"/>
                <w:color w:val="auto"/>
                <w:sz w:val="24"/>
                <w:szCs w:val="24"/>
                <w:highlight w:val="none"/>
                <w:lang w:val="en-US" w:eastAsia="zh-CN"/>
              </w:rPr>
              <w:fldChar w:fldCharType="separate"/>
            </w:r>
            <w:r>
              <w:rPr>
                <w:rFonts w:hint="default" w:ascii="Times New Roman" w:hAnsi="Times New Roman" w:cs="Times New Roman"/>
                <w:color w:val="auto"/>
                <w:sz w:val="24"/>
                <w:szCs w:val="24"/>
                <w:highlight w:val="none"/>
                <w:lang w:val="en-US" w:eastAsia="zh-CN"/>
              </w:rPr>
              <w:t>重质碳酸钙</w:t>
            </w:r>
            <w:r>
              <w:rPr>
                <w:rFonts w:hint="default" w:ascii="Times New Roman" w:hAnsi="Times New Roman" w:cs="Times New Roman"/>
                <w:color w:val="auto"/>
                <w:sz w:val="24"/>
                <w:szCs w:val="24"/>
                <w:highlight w:val="none"/>
                <w:lang w:val="en-US" w:eastAsia="zh-CN"/>
              </w:rPr>
              <w:fldChar w:fldCharType="end"/>
            </w:r>
            <w:r>
              <w:rPr>
                <w:rFonts w:hint="default" w:ascii="Times New Roman" w:hAnsi="Times New Roman" w:cs="Times New Roman"/>
                <w:color w:val="auto"/>
                <w:sz w:val="24"/>
                <w:szCs w:val="24"/>
                <w:highlight w:val="none"/>
                <w:lang w:val="en-US" w:eastAsia="zh-CN"/>
              </w:rPr>
              <w:t>简称重钙，是用优质的石灰石为原料，经石灰磨粉机加工成白色粉体，它的主要成分是CaCO</w:t>
            </w:r>
            <w:r>
              <w:rPr>
                <w:rFonts w:hint="default" w:ascii="Times New Roman" w:hAnsi="Times New Roman" w:cs="Times New Roman"/>
                <w:color w:val="auto"/>
                <w:sz w:val="24"/>
                <w:szCs w:val="24"/>
                <w:highlight w:val="none"/>
                <w:vertAlign w:val="subscript"/>
                <w:lang w:val="en-US" w:eastAsia="zh-CN"/>
              </w:rPr>
              <w:t>3</w:t>
            </w:r>
            <w:r>
              <w:rPr>
                <w:rFonts w:hint="default" w:ascii="Times New Roman" w:hAnsi="Times New Roman" w:cs="Times New Roman"/>
                <w:color w:val="auto"/>
                <w:sz w:val="24"/>
                <w:szCs w:val="24"/>
                <w:highlight w:val="none"/>
                <w:lang w:val="en-US" w:eastAsia="zh-CN"/>
              </w:rPr>
              <w:t>。重钙具有白度高、纯度好、色相柔和及化学成分稳定等特点。重钙通常用作填料，广泛用于人造地砖、橡胶、塑料、造纸、涂料、油漆、油墨、电缆、建筑用品、食品、医药、纺织、饲料、牙膏等日用化工行业，作填充剂起到增加产品的体积，降低生产成本。建筑行业(干粉砂浆、混凝土)用重钙粉-干粉砂浆用重质碳酸钙(重钙粉)325目，白度要求:95%，碳酸钙含量:98%，碳酸钙在建筑行业中的混凝土中有重要作用，可以降低生产成本、增加产品的韧性和强度。</w:t>
            </w:r>
          </w:p>
          <w:p w14:paraId="7E9F03E2">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玻化微珠：是一种无机玻璃质矿物材料，经过多级碳化硅电加热管式生产工艺技术加工而成，呈不规则球状体颗粒，内部多孔空腔结构，表面玻化封闭，光泽平滑，理化性能稳定，具有质轻、绝热、防火、耐高低温、抗老化、吸水率小等优异特性，可替代粉煤灰漂珠、玻璃微珠、膨胀珍珠岩、聚苯颗粒等诸多传统轻质骨料在不同制品中的应用。是一种环保型高性能新型无机轻质绝热材料。</w:t>
            </w:r>
          </w:p>
          <w:p w14:paraId="3CA4D1A6">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蛭石：蛭石是一种层状结构的硅酸盐粘土矿物。一般由黑云母经热液蚀变或风化形成。蛭石容重小、导热率低，广泛用于金属、木材、混凝土砖承重结构和屋面、通风道、烟囱等的防火保护。蛭石类建筑材料生产工艺简单，生产成本较低，对房间进行隔热、隔音、保温，受热无有害气体排出，也不易老化，还能提高建筑物的热绝缘性能。</w:t>
            </w:r>
          </w:p>
          <w:p w14:paraId="27E856E8">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缓凝剂：是一种降低水泥或石膏水化速度和</w:t>
            </w:r>
            <w:r>
              <w:rPr>
                <w:rFonts w:hint="default" w:ascii="Times New Roman" w:hAnsi="Times New Roman" w:cs="Times New Roman"/>
                <w:color w:val="auto"/>
                <w:sz w:val="24"/>
                <w:szCs w:val="24"/>
                <w:highlight w:val="none"/>
                <w:lang w:val="en-US" w:eastAsia="zh-CN"/>
              </w:rPr>
              <w:fldChar w:fldCharType="begin"/>
            </w:r>
            <w:r>
              <w:rPr>
                <w:rFonts w:hint="default" w:ascii="Times New Roman" w:hAnsi="Times New Roman" w:cs="Times New Roman"/>
                <w:color w:val="auto"/>
                <w:sz w:val="24"/>
                <w:szCs w:val="24"/>
                <w:highlight w:val="none"/>
                <w:lang w:val="en-US" w:eastAsia="zh-CN"/>
              </w:rPr>
              <w:instrText xml:space="preserve"> HYPERLINK "https://baike.so.com/doc/5437262-5675571.html" \t "https://baike.so.com/doc/_blank" </w:instrText>
            </w:r>
            <w:r>
              <w:rPr>
                <w:rFonts w:hint="default" w:ascii="Times New Roman" w:hAnsi="Times New Roman" w:cs="Times New Roman"/>
                <w:color w:val="auto"/>
                <w:sz w:val="24"/>
                <w:szCs w:val="24"/>
                <w:highlight w:val="none"/>
                <w:lang w:val="en-US" w:eastAsia="zh-CN"/>
              </w:rPr>
              <w:fldChar w:fldCharType="separate"/>
            </w:r>
            <w:r>
              <w:rPr>
                <w:rFonts w:hint="default" w:ascii="Times New Roman" w:hAnsi="Times New Roman" w:cs="Times New Roman"/>
                <w:color w:val="auto"/>
                <w:sz w:val="24"/>
                <w:szCs w:val="24"/>
                <w:highlight w:val="none"/>
                <w:lang w:val="en-US" w:eastAsia="zh-CN"/>
              </w:rPr>
              <w:t>水化热</w:t>
            </w:r>
            <w:r>
              <w:rPr>
                <w:rFonts w:hint="default" w:ascii="Times New Roman" w:hAnsi="Times New Roman" w:cs="Times New Roman"/>
                <w:color w:val="auto"/>
                <w:sz w:val="24"/>
                <w:szCs w:val="24"/>
                <w:highlight w:val="none"/>
                <w:lang w:val="en-US" w:eastAsia="zh-CN"/>
              </w:rPr>
              <w:fldChar w:fldCharType="end"/>
            </w:r>
            <w:r>
              <w:rPr>
                <w:rFonts w:hint="default" w:ascii="Times New Roman" w:hAnsi="Times New Roman" w:cs="Times New Roman"/>
                <w:color w:val="auto"/>
                <w:sz w:val="24"/>
                <w:szCs w:val="24"/>
                <w:highlight w:val="none"/>
                <w:lang w:val="en-US" w:eastAsia="zh-CN"/>
              </w:rPr>
              <w:t>、延长</w:t>
            </w:r>
            <w:r>
              <w:rPr>
                <w:rFonts w:hint="default" w:ascii="Times New Roman" w:hAnsi="Times New Roman" w:cs="Times New Roman"/>
                <w:color w:val="auto"/>
                <w:sz w:val="24"/>
                <w:szCs w:val="24"/>
                <w:highlight w:val="none"/>
                <w:lang w:val="en-US" w:eastAsia="zh-CN"/>
              </w:rPr>
              <w:fldChar w:fldCharType="begin"/>
            </w:r>
            <w:r>
              <w:rPr>
                <w:rFonts w:hint="default" w:ascii="Times New Roman" w:hAnsi="Times New Roman" w:cs="Times New Roman"/>
                <w:color w:val="auto"/>
                <w:sz w:val="24"/>
                <w:szCs w:val="24"/>
                <w:highlight w:val="none"/>
                <w:lang w:val="en-US" w:eastAsia="zh-CN"/>
              </w:rPr>
              <w:instrText xml:space="preserve"> HYPERLINK "https://baike.so.com/doc/6895644-7113281.html" \t "https://baike.so.com/doc/_blank" </w:instrText>
            </w:r>
            <w:r>
              <w:rPr>
                <w:rFonts w:hint="default" w:ascii="Times New Roman" w:hAnsi="Times New Roman" w:cs="Times New Roman"/>
                <w:color w:val="auto"/>
                <w:sz w:val="24"/>
                <w:szCs w:val="24"/>
                <w:highlight w:val="none"/>
                <w:lang w:val="en-US" w:eastAsia="zh-CN"/>
              </w:rPr>
              <w:fldChar w:fldCharType="separate"/>
            </w:r>
            <w:r>
              <w:rPr>
                <w:rFonts w:hint="default" w:ascii="Times New Roman" w:hAnsi="Times New Roman" w:cs="Times New Roman"/>
                <w:color w:val="auto"/>
                <w:sz w:val="24"/>
                <w:szCs w:val="24"/>
                <w:highlight w:val="none"/>
                <w:lang w:val="en-US" w:eastAsia="zh-CN"/>
              </w:rPr>
              <w:t>凝结时间</w:t>
            </w:r>
            <w:r>
              <w:rPr>
                <w:rFonts w:hint="default" w:ascii="Times New Roman" w:hAnsi="Times New Roman" w:cs="Times New Roman"/>
                <w:color w:val="auto"/>
                <w:sz w:val="24"/>
                <w:szCs w:val="24"/>
                <w:highlight w:val="none"/>
                <w:lang w:val="en-US" w:eastAsia="zh-CN"/>
              </w:rPr>
              <w:fldChar w:fldCharType="end"/>
            </w:r>
            <w:r>
              <w:rPr>
                <w:rFonts w:hint="default" w:ascii="Times New Roman" w:hAnsi="Times New Roman" w:cs="Times New Roman"/>
                <w:color w:val="auto"/>
                <w:sz w:val="24"/>
                <w:szCs w:val="24"/>
                <w:highlight w:val="none"/>
                <w:lang w:val="en-US" w:eastAsia="zh-CN"/>
              </w:rPr>
              <w:t>的添加剂。本项目缓凝剂主要成分为葡萄糖、葡萄糖酸钠。</w:t>
            </w:r>
          </w:p>
          <w:p w14:paraId="4C63D2F4">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①葡萄糖：</w:t>
            </w:r>
            <w:r>
              <w:rPr>
                <w:rFonts w:hint="default" w:ascii="Times New Roman" w:hAnsi="Times New Roman" w:eastAsia="宋体" w:cs="Times New Roman"/>
                <w:i w:val="0"/>
                <w:caps w:val="0"/>
                <w:color w:val="auto"/>
                <w:spacing w:val="0"/>
                <w:sz w:val="24"/>
                <w:szCs w:val="24"/>
                <w:highlight w:val="none"/>
                <w:shd w:val="clear" w:color="auto" w:fill="FFFFFF"/>
                <w:lang w:eastAsia="zh-CN"/>
              </w:rPr>
              <w:t>分子式：</w:t>
            </w:r>
            <w:r>
              <w:rPr>
                <w:rFonts w:hint="default" w:ascii="Times New Roman" w:hAnsi="Times New Roman" w:eastAsia="宋体" w:cs="Times New Roman"/>
                <w:i w:val="0"/>
                <w:caps w:val="0"/>
                <w:color w:val="auto"/>
                <w:spacing w:val="0"/>
                <w:sz w:val="24"/>
                <w:szCs w:val="24"/>
                <w:highlight w:val="none"/>
                <w:shd w:val="clear" w:color="auto" w:fill="FFFFFF"/>
              </w:rPr>
              <w:t>C</w:t>
            </w:r>
            <w:r>
              <w:rPr>
                <w:rFonts w:hint="default" w:ascii="Times New Roman" w:hAnsi="Times New Roman" w:eastAsia="宋体" w:cs="Times New Roman"/>
                <w:i w:val="0"/>
                <w:caps w:val="0"/>
                <w:color w:val="auto"/>
                <w:spacing w:val="0"/>
                <w:sz w:val="24"/>
                <w:szCs w:val="24"/>
                <w:highlight w:val="none"/>
                <w:shd w:val="clear" w:color="auto" w:fill="FFFFFF"/>
                <w:vertAlign w:val="subscript"/>
              </w:rPr>
              <w:t>6</w:t>
            </w:r>
            <w:r>
              <w:rPr>
                <w:rFonts w:hint="default" w:ascii="Times New Roman" w:hAnsi="Times New Roman" w:eastAsia="宋体" w:cs="Times New Roman"/>
                <w:i w:val="0"/>
                <w:caps w:val="0"/>
                <w:color w:val="auto"/>
                <w:spacing w:val="0"/>
                <w:sz w:val="24"/>
                <w:szCs w:val="24"/>
                <w:highlight w:val="none"/>
                <w:shd w:val="clear" w:color="auto" w:fill="FFFFFF"/>
              </w:rPr>
              <w:t>H</w:t>
            </w:r>
            <w:r>
              <w:rPr>
                <w:rFonts w:hint="default" w:ascii="Times New Roman" w:hAnsi="Times New Roman" w:eastAsia="宋体" w:cs="Times New Roman"/>
                <w:i w:val="0"/>
                <w:caps w:val="0"/>
                <w:color w:val="auto"/>
                <w:spacing w:val="0"/>
                <w:sz w:val="24"/>
                <w:szCs w:val="24"/>
                <w:highlight w:val="none"/>
                <w:shd w:val="clear" w:color="auto" w:fill="FFFFFF"/>
                <w:vertAlign w:val="subscript"/>
              </w:rPr>
              <w:t>12</w:t>
            </w:r>
            <w:r>
              <w:rPr>
                <w:rFonts w:hint="default" w:ascii="Times New Roman" w:hAnsi="Times New Roman" w:eastAsia="宋体" w:cs="Times New Roman"/>
                <w:i w:val="0"/>
                <w:caps w:val="0"/>
                <w:color w:val="auto"/>
                <w:spacing w:val="0"/>
                <w:sz w:val="24"/>
                <w:szCs w:val="24"/>
                <w:highlight w:val="none"/>
                <w:shd w:val="clear" w:color="auto" w:fill="FFFFFF"/>
              </w:rPr>
              <w:t>O</w:t>
            </w:r>
            <w:r>
              <w:rPr>
                <w:rFonts w:hint="default" w:ascii="Times New Roman" w:hAnsi="Times New Roman" w:eastAsia="宋体" w:cs="Times New Roman"/>
                <w:i w:val="0"/>
                <w:caps w:val="0"/>
                <w:color w:val="auto"/>
                <w:spacing w:val="0"/>
                <w:sz w:val="24"/>
                <w:szCs w:val="24"/>
                <w:highlight w:val="none"/>
                <w:shd w:val="clear" w:color="auto" w:fill="FFFFFF"/>
                <w:vertAlign w:val="subscript"/>
              </w:rPr>
              <w:t>6</w:t>
            </w:r>
            <w:r>
              <w:rPr>
                <w:rFonts w:hint="default" w:ascii="Times New Roman" w:hAnsi="Times New Roman" w:eastAsia="宋体" w:cs="Times New Roman"/>
                <w:i w:val="0"/>
                <w:caps w:val="0"/>
                <w:color w:val="auto"/>
                <w:spacing w:val="0"/>
                <w:sz w:val="24"/>
                <w:szCs w:val="24"/>
                <w:highlight w:val="none"/>
                <w:shd w:val="clear" w:color="auto" w:fill="FFFFFF"/>
                <w:vertAlign w:val="baseline"/>
                <w:lang w:eastAsia="zh-CN"/>
              </w:rPr>
              <w:t>，</w:t>
            </w:r>
            <w:r>
              <w:rPr>
                <w:rFonts w:hint="default" w:ascii="Times New Roman" w:hAnsi="Times New Roman" w:eastAsia="宋体" w:cs="Times New Roman"/>
                <w:i w:val="0"/>
                <w:caps w:val="0"/>
                <w:color w:val="auto"/>
                <w:spacing w:val="0"/>
                <w:sz w:val="24"/>
                <w:szCs w:val="24"/>
                <w:highlight w:val="none"/>
                <w:shd w:val="clear" w:color="auto" w:fill="FFFFFF"/>
              </w:rPr>
              <w:t>葡萄糖含五个羟基,一个醛基,具有多元醇和醛的性质。 在碱性条件下加热易分解</w:t>
            </w:r>
            <w:r>
              <w:rPr>
                <w:rFonts w:hint="default" w:ascii="Times New Roman" w:hAnsi="Times New Roman" w:eastAsia="宋体" w:cs="Times New Roman"/>
                <w:color w:val="auto"/>
                <w:sz w:val="24"/>
                <w:szCs w:val="24"/>
                <w:highlight w:val="none"/>
                <w:lang w:val="en-US" w:eastAsia="zh-CN"/>
              </w:rPr>
              <w:t>。葡萄糖可以通过延缓水泥水化反应来延长混凝土的凝结时间，同时改善其工作性。葡萄糖分子中的羟基(-OH)能与水泥颗粒表面的钙离子形成络合物，抑制水化反应的进行。其分子结构还能在水泥颗粒表面形成物理屏障，减少水分子与水泥的直接接触从而显著延长初凝和终凝时间。</w:t>
            </w:r>
          </w:p>
          <w:p w14:paraId="44CE92F9">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i w:val="0"/>
                <w:caps w:val="0"/>
                <w:color w:val="auto"/>
                <w:spacing w:val="0"/>
                <w:sz w:val="24"/>
                <w:szCs w:val="24"/>
                <w:highlight w:val="none"/>
                <w:shd w:val="clear" w:color="auto" w:fill="FFFFFF"/>
                <w:lang w:val="en-US" w:eastAsia="zh-CN"/>
              </w:rPr>
            </w:pPr>
            <w:r>
              <w:rPr>
                <w:rFonts w:hint="default" w:ascii="Times New Roman" w:hAnsi="Times New Roman" w:eastAsia="宋体" w:cs="Times New Roman"/>
                <w:color w:val="auto"/>
                <w:sz w:val="24"/>
                <w:szCs w:val="24"/>
                <w:highlight w:val="none"/>
                <w:lang w:val="en-US" w:eastAsia="zh-CN"/>
              </w:rPr>
              <w:t>②葡萄糖酸钠：</w:t>
            </w:r>
            <w:r>
              <w:rPr>
                <w:rFonts w:hint="default" w:ascii="Times New Roman" w:hAnsi="Times New Roman" w:eastAsia="宋体" w:cs="Times New Roman"/>
                <w:i w:val="0"/>
                <w:caps w:val="0"/>
                <w:color w:val="auto"/>
                <w:spacing w:val="0"/>
                <w:sz w:val="24"/>
                <w:szCs w:val="24"/>
                <w:highlight w:val="none"/>
                <w:shd w:val="clear" w:color="auto" w:fill="FFFFFF"/>
              </w:rPr>
              <w:t>分子式: C</w:t>
            </w:r>
            <w:r>
              <w:rPr>
                <w:rFonts w:hint="default" w:ascii="Times New Roman" w:hAnsi="Times New Roman" w:eastAsia="宋体" w:cs="Times New Roman"/>
                <w:i w:val="0"/>
                <w:caps w:val="0"/>
                <w:color w:val="auto"/>
                <w:spacing w:val="0"/>
                <w:sz w:val="24"/>
                <w:szCs w:val="24"/>
                <w:highlight w:val="none"/>
                <w:shd w:val="clear" w:color="auto" w:fill="FFFFFF"/>
                <w:vertAlign w:val="subscript"/>
              </w:rPr>
              <w:t>6</w:t>
            </w:r>
            <w:r>
              <w:rPr>
                <w:rFonts w:hint="default" w:ascii="Times New Roman" w:hAnsi="Times New Roman" w:eastAsia="宋体" w:cs="Times New Roman"/>
                <w:i w:val="0"/>
                <w:caps w:val="0"/>
                <w:color w:val="auto"/>
                <w:spacing w:val="0"/>
                <w:sz w:val="24"/>
                <w:szCs w:val="24"/>
                <w:highlight w:val="none"/>
                <w:shd w:val="clear" w:color="auto" w:fill="FFFFFF"/>
              </w:rPr>
              <w:t>H</w:t>
            </w:r>
            <w:r>
              <w:rPr>
                <w:rFonts w:hint="default" w:ascii="Times New Roman" w:hAnsi="Times New Roman" w:eastAsia="宋体" w:cs="Times New Roman"/>
                <w:i w:val="0"/>
                <w:caps w:val="0"/>
                <w:color w:val="auto"/>
                <w:spacing w:val="0"/>
                <w:sz w:val="24"/>
                <w:szCs w:val="24"/>
                <w:highlight w:val="none"/>
                <w:shd w:val="clear" w:color="auto" w:fill="FFFFFF"/>
                <w:vertAlign w:val="subscript"/>
              </w:rPr>
              <w:t>11</w:t>
            </w:r>
            <w:r>
              <w:rPr>
                <w:rFonts w:hint="default" w:ascii="Times New Roman" w:hAnsi="Times New Roman" w:eastAsia="宋体" w:cs="Times New Roman"/>
                <w:i w:val="0"/>
                <w:caps w:val="0"/>
                <w:color w:val="auto"/>
                <w:spacing w:val="0"/>
                <w:sz w:val="24"/>
                <w:szCs w:val="24"/>
                <w:highlight w:val="none"/>
                <w:shd w:val="clear" w:color="auto" w:fill="FFFFFF"/>
              </w:rPr>
              <w:t>O</w:t>
            </w:r>
            <w:r>
              <w:rPr>
                <w:rFonts w:hint="default" w:ascii="Times New Roman" w:hAnsi="Times New Roman" w:eastAsia="宋体" w:cs="Times New Roman"/>
                <w:i w:val="0"/>
                <w:caps w:val="0"/>
                <w:color w:val="auto"/>
                <w:spacing w:val="0"/>
                <w:sz w:val="24"/>
                <w:szCs w:val="24"/>
                <w:highlight w:val="none"/>
                <w:shd w:val="clear" w:color="auto" w:fill="FFFFFF"/>
                <w:vertAlign w:val="subscript"/>
              </w:rPr>
              <w:t>7</w:t>
            </w:r>
            <w:r>
              <w:rPr>
                <w:rFonts w:hint="default" w:ascii="Times New Roman" w:hAnsi="Times New Roman" w:eastAsia="宋体" w:cs="Times New Roman"/>
                <w:i w:val="0"/>
                <w:caps w:val="0"/>
                <w:color w:val="auto"/>
                <w:spacing w:val="0"/>
                <w:sz w:val="24"/>
                <w:szCs w:val="24"/>
                <w:highlight w:val="none"/>
                <w:shd w:val="clear" w:color="auto" w:fill="FFFFFF"/>
              </w:rPr>
              <w:t>Na</w:t>
            </w:r>
            <w:r>
              <w:rPr>
                <w:rFonts w:hint="default" w:ascii="Times New Roman" w:hAnsi="Times New Roman" w:eastAsia="宋体" w:cs="Times New Roman"/>
                <w:i w:val="0"/>
                <w:caps w:val="0"/>
                <w:color w:val="auto"/>
                <w:spacing w:val="0"/>
                <w:sz w:val="24"/>
                <w:szCs w:val="24"/>
                <w:highlight w:val="none"/>
                <w:shd w:val="clear" w:color="auto" w:fill="FFFFFF"/>
                <w:lang w:eastAsia="zh-CN"/>
              </w:rPr>
              <w:t>，白色结晶颗粒或者粉末，极易溶于水、略溶于酒精，不溶于乙醚</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i w:val="0"/>
                <w:caps w:val="0"/>
                <w:color w:val="auto"/>
                <w:spacing w:val="0"/>
                <w:sz w:val="24"/>
                <w:szCs w:val="24"/>
                <w:highlight w:val="none"/>
                <w:shd w:val="clear" w:color="auto" w:fill="FFFFFF"/>
                <w:lang w:eastAsia="zh-CN"/>
              </w:rPr>
              <w:t>葡萄糖酸钠在工业上用途十分广泛，葡萄糖酸钠可以在建筑、纺织印染和金属表面处理以及水处理等行业作高效螯合剂，钢铁表面清洗剂，玻瓶清洗剂，电镀工业铝氧着色，在混凝土行业用作高效缓凝剂、</w:t>
            </w:r>
            <w:r>
              <w:rPr>
                <w:rFonts w:hint="default" w:ascii="Times New Roman" w:hAnsi="Times New Roman" w:eastAsia="宋体" w:cs="Times New Roman"/>
                <w:i w:val="0"/>
                <w:caps w:val="0"/>
                <w:color w:val="auto"/>
                <w:spacing w:val="0"/>
                <w:sz w:val="24"/>
                <w:szCs w:val="24"/>
                <w:highlight w:val="none"/>
                <w:shd w:val="clear" w:color="auto" w:fill="FFFFFF"/>
                <w:lang w:eastAsia="zh-CN"/>
              </w:rPr>
              <w:fldChar w:fldCharType="begin"/>
            </w:r>
            <w:r>
              <w:rPr>
                <w:rFonts w:hint="default" w:ascii="Times New Roman" w:hAnsi="Times New Roman" w:eastAsia="宋体" w:cs="Times New Roman"/>
                <w:i w:val="0"/>
                <w:caps w:val="0"/>
                <w:color w:val="auto"/>
                <w:spacing w:val="0"/>
                <w:sz w:val="24"/>
                <w:szCs w:val="24"/>
                <w:highlight w:val="none"/>
                <w:shd w:val="clear" w:color="auto" w:fill="FFFFFF"/>
                <w:lang w:eastAsia="zh-CN"/>
              </w:rPr>
              <w:instrText xml:space="preserve"> HYPERLINK "https://baike.baidu.com/item/%E9%AB%98%E6%95%88%E5%87%8F%E6%B0%B4%E5%89%82/4636944?fromModule=lemma_inlink" \t "https://baike.baidu.com/item/%E8%91%A1%E8%90%84%E7%B3%96%E9%85%B8%E9%92%A0/_blank" </w:instrText>
            </w:r>
            <w:r>
              <w:rPr>
                <w:rFonts w:hint="default" w:ascii="Times New Roman" w:hAnsi="Times New Roman" w:eastAsia="宋体" w:cs="Times New Roman"/>
                <w:i w:val="0"/>
                <w:caps w:val="0"/>
                <w:color w:val="auto"/>
                <w:spacing w:val="0"/>
                <w:sz w:val="24"/>
                <w:szCs w:val="24"/>
                <w:highlight w:val="none"/>
                <w:shd w:val="clear" w:color="auto" w:fill="FFFFFF"/>
                <w:lang w:eastAsia="zh-CN"/>
              </w:rPr>
              <w:fldChar w:fldCharType="separate"/>
            </w:r>
            <w:r>
              <w:rPr>
                <w:rFonts w:hint="default" w:ascii="Times New Roman" w:hAnsi="Times New Roman" w:eastAsia="宋体" w:cs="Times New Roman"/>
                <w:i w:val="0"/>
                <w:caps w:val="0"/>
                <w:color w:val="auto"/>
                <w:spacing w:val="0"/>
                <w:sz w:val="24"/>
                <w:szCs w:val="24"/>
                <w:highlight w:val="none"/>
                <w:shd w:val="clear" w:color="auto" w:fill="FFFFFF"/>
                <w:lang w:eastAsia="zh-CN"/>
              </w:rPr>
              <w:t>高效减水剂</w:t>
            </w:r>
            <w:r>
              <w:rPr>
                <w:rFonts w:hint="default" w:ascii="Times New Roman" w:hAnsi="Times New Roman" w:eastAsia="宋体" w:cs="Times New Roman"/>
                <w:i w:val="0"/>
                <w:caps w:val="0"/>
                <w:color w:val="auto"/>
                <w:spacing w:val="0"/>
                <w:sz w:val="24"/>
                <w:szCs w:val="24"/>
                <w:highlight w:val="none"/>
                <w:shd w:val="clear" w:color="auto" w:fill="FFFFFF"/>
                <w:lang w:eastAsia="zh-CN"/>
              </w:rPr>
              <w:fldChar w:fldCharType="end"/>
            </w:r>
            <w:r>
              <w:rPr>
                <w:rFonts w:hint="default" w:ascii="Times New Roman" w:hAnsi="Times New Roman" w:eastAsia="宋体" w:cs="Times New Roman"/>
                <w:i w:val="0"/>
                <w:caps w:val="0"/>
                <w:color w:val="auto"/>
                <w:spacing w:val="0"/>
                <w:sz w:val="24"/>
                <w:szCs w:val="24"/>
                <w:highlight w:val="none"/>
                <w:shd w:val="clear" w:color="auto" w:fill="FFFFFF"/>
                <w:lang w:eastAsia="zh-CN"/>
              </w:rPr>
              <w:t>等。</w:t>
            </w:r>
          </w:p>
          <w:p w14:paraId="616F4E06">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主要生产设备</w:t>
            </w:r>
          </w:p>
          <w:p w14:paraId="25CC6CEA">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highlight w:val="none"/>
                <w:lang w:val="en-US" w:eastAsia="zh-CN"/>
              </w:rPr>
              <w:t>本</w:t>
            </w:r>
            <w:r>
              <w:rPr>
                <w:rFonts w:hint="default" w:ascii="Times New Roman" w:hAnsi="Times New Roman" w:cs="Times New Roman"/>
                <w:color w:val="auto"/>
                <w:sz w:val="24"/>
                <w:highlight w:val="none"/>
                <w:lang w:val="en-US" w:eastAsia="zh-CN"/>
              </w:rPr>
              <w:t>次</w:t>
            </w:r>
            <w:r>
              <w:rPr>
                <w:rFonts w:hint="default" w:ascii="Times New Roman" w:hAnsi="Times New Roman" w:eastAsia="宋体" w:cs="Times New Roman"/>
                <w:color w:val="auto"/>
                <w:sz w:val="24"/>
                <w:highlight w:val="none"/>
                <w:lang w:val="en-US" w:eastAsia="zh-CN"/>
              </w:rPr>
              <w:t>项目</w:t>
            </w:r>
            <w:r>
              <w:rPr>
                <w:rFonts w:hint="default" w:ascii="Times New Roman" w:hAnsi="Times New Roman" w:cs="Times New Roman"/>
                <w:color w:val="auto"/>
                <w:sz w:val="24"/>
                <w:szCs w:val="24"/>
                <w:highlight w:val="none"/>
                <w:lang w:val="en-US" w:eastAsia="zh-CN"/>
              </w:rPr>
              <w:t>完成后全厂</w:t>
            </w:r>
            <w:r>
              <w:rPr>
                <w:rFonts w:hint="default" w:ascii="Times New Roman" w:hAnsi="Times New Roman" w:cs="Times New Roman"/>
                <w:color w:val="auto"/>
                <w:sz w:val="24"/>
                <w:szCs w:val="24"/>
                <w:highlight w:val="none"/>
              </w:rPr>
              <w:t>主要生产设备清单见表2-</w:t>
            </w: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w:t>
            </w:r>
          </w:p>
          <w:p w14:paraId="62F79940">
            <w:pPr>
              <w:ind w:firstLine="482" w:firstLineChars="20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表2-</w:t>
            </w:r>
            <w:r>
              <w:rPr>
                <w:rFonts w:hint="default" w:ascii="Times New Roman" w:hAnsi="Times New Roman" w:cs="Times New Roman"/>
                <w:b/>
                <w:bCs/>
                <w:color w:val="auto"/>
                <w:sz w:val="24"/>
                <w:highlight w:val="none"/>
                <w:lang w:val="en-US" w:eastAsia="zh-CN"/>
              </w:rPr>
              <w:t>4</w:t>
            </w:r>
            <w:r>
              <w:rPr>
                <w:rFonts w:hint="default" w:ascii="Times New Roman" w:hAnsi="Times New Roman" w:cs="Times New Roman"/>
                <w:b/>
                <w:bCs/>
                <w:color w:val="auto"/>
                <w:sz w:val="24"/>
                <w:highlight w:val="none"/>
              </w:rPr>
              <w:t xml:space="preserve">   </w:t>
            </w:r>
            <w:r>
              <w:rPr>
                <w:rFonts w:hint="default" w:ascii="Times New Roman" w:hAnsi="Times New Roman" w:cs="Times New Roman"/>
                <w:b/>
                <w:bCs/>
                <w:color w:val="auto"/>
                <w:sz w:val="24"/>
                <w:highlight w:val="none"/>
                <w:lang w:val="en-US" w:eastAsia="zh-CN"/>
              </w:rPr>
              <w:t>项目</w:t>
            </w:r>
            <w:r>
              <w:rPr>
                <w:rFonts w:hint="default" w:ascii="Times New Roman" w:hAnsi="Times New Roman" w:cs="Times New Roman"/>
                <w:b/>
                <w:bCs/>
                <w:color w:val="auto"/>
                <w:sz w:val="24"/>
                <w:highlight w:val="none"/>
              </w:rPr>
              <w:t>主要生产设备一览表</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90"/>
              <w:gridCol w:w="1986"/>
              <w:gridCol w:w="1068"/>
              <w:gridCol w:w="766"/>
              <w:gridCol w:w="3251"/>
            </w:tblGrid>
            <w:tr w14:paraId="586F0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56DDBC44">
                  <w:pPr>
                    <w:spacing w:line="360" w:lineRule="exact"/>
                    <w:ind w:firstLine="0" w:firstLineChars="0"/>
                    <w:jc w:val="center"/>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序号</w:t>
                  </w:r>
                </w:p>
              </w:tc>
              <w:tc>
                <w:tcPr>
                  <w:tcW w:w="1296" w:type="pct"/>
                  <w:tcBorders>
                    <w:top w:val="single" w:color="auto" w:sz="4" w:space="0"/>
                    <w:left w:val="single" w:color="auto" w:sz="4" w:space="0"/>
                    <w:bottom w:val="single" w:color="auto" w:sz="4" w:space="0"/>
                    <w:right w:val="single" w:color="auto" w:sz="4" w:space="0"/>
                  </w:tcBorders>
                  <w:noWrap w:val="0"/>
                  <w:vAlign w:val="center"/>
                </w:tcPr>
                <w:p w14:paraId="2DC21942">
                  <w:pPr>
                    <w:spacing w:line="360" w:lineRule="exact"/>
                    <w:ind w:firstLine="0" w:firstLineChars="0"/>
                    <w:jc w:val="center"/>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设备名称</w:t>
                  </w:r>
                </w:p>
              </w:tc>
              <w:tc>
                <w:tcPr>
                  <w:tcW w:w="697" w:type="pct"/>
                  <w:tcBorders>
                    <w:top w:val="single" w:color="auto" w:sz="4" w:space="0"/>
                    <w:left w:val="single" w:color="auto" w:sz="4" w:space="0"/>
                    <w:bottom w:val="single" w:color="auto" w:sz="4" w:space="0"/>
                    <w:right w:val="single" w:color="auto" w:sz="4" w:space="0"/>
                  </w:tcBorders>
                  <w:noWrap w:val="0"/>
                  <w:vAlign w:val="center"/>
                </w:tcPr>
                <w:p w14:paraId="1AA078B6">
                  <w:pPr>
                    <w:spacing w:line="360" w:lineRule="exact"/>
                    <w:ind w:firstLine="0" w:firstLineChars="0"/>
                    <w:jc w:val="center"/>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型号</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50B00545">
                  <w:pPr>
                    <w:spacing w:line="360" w:lineRule="exact"/>
                    <w:ind w:firstLine="0" w:firstLineChars="0"/>
                    <w:jc w:val="center"/>
                    <w:rPr>
                      <w:rFonts w:hint="default" w:ascii="Times New Roman" w:hAnsi="Times New Roman" w:eastAsia="宋体" w:cs="Times New Roman"/>
                      <w:color w:val="auto"/>
                      <w:spacing w:val="-8"/>
                      <w:sz w:val="21"/>
                      <w:szCs w:val="21"/>
                      <w:highlight w:val="none"/>
                      <w:lang w:eastAsia="zh-CN"/>
                    </w:rPr>
                  </w:pPr>
                  <w:r>
                    <w:rPr>
                      <w:rFonts w:hint="default" w:ascii="Times New Roman" w:hAnsi="Times New Roman" w:eastAsia="宋体" w:cs="Times New Roman"/>
                      <w:color w:val="auto"/>
                      <w:spacing w:val="-8"/>
                      <w:sz w:val="21"/>
                      <w:szCs w:val="21"/>
                      <w:highlight w:val="none"/>
                    </w:rPr>
                    <w:t>数量</w:t>
                  </w:r>
                </w:p>
              </w:tc>
              <w:tc>
                <w:tcPr>
                  <w:tcW w:w="2121" w:type="pct"/>
                  <w:tcBorders>
                    <w:top w:val="single" w:color="auto" w:sz="4" w:space="0"/>
                    <w:left w:val="single" w:color="auto" w:sz="4" w:space="0"/>
                    <w:bottom w:val="single" w:color="auto" w:sz="4" w:space="0"/>
                    <w:right w:val="single" w:color="auto" w:sz="4" w:space="0"/>
                  </w:tcBorders>
                  <w:noWrap w:val="0"/>
                  <w:vAlign w:val="center"/>
                </w:tcPr>
                <w:p w14:paraId="1D4B6E61">
                  <w:pPr>
                    <w:spacing w:line="360" w:lineRule="exact"/>
                    <w:ind w:firstLine="0" w:firstLineChars="0"/>
                    <w:jc w:val="center"/>
                    <w:rPr>
                      <w:rFonts w:hint="default" w:ascii="Times New Roman" w:hAnsi="Times New Roman" w:eastAsia="宋体" w:cs="Times New Roman"/>
                      <w:color w:val="auto"/>
                      <w:spacing w:val="-8"/>
                      <w:sz w:val="21"/>
                      <w:szCs w:val="21"/>
                      <w:highlight w:val="none"/>
                      <w:lang w:val="en-US" w:eastAsia="zh-CN"/>
                    </w:rPr>
                  </w:pPr>
                  <w:r>
                    <w:rPr>
                      <w:rFonts w:hint="default" w:ascii="Times New Roman" w:hAnsi="Times New Roman" w:cs="Times New Roman"/>
                      <w:color w:val="auto"/>
                      <w:spacing w:val="-8"/>
                      <w:sz w:val="21"/>
                      <w:szCs w:val="21"/>
                      <w:highlight w:val="none"/>
                      <w:lang w:val="en-US" w:eastAsia="zh-CN"/>
                    </w:rPr>
                    <w:t>备注</w:t>
                  </w:r>
                </w:p>
              </w:tc>
            </w:tr>
            <w:tr w14:paraId="11FB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2219A256">
                  <w:pPr>
                    <w:spacing w:line="360" w:lineRule="exac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29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0EE32BB">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全自动板材</w:t>
                  </w:r>
                  <w:r>
                    <w:rPr>
                      <w:rFonts w:hint="default" w:ascii="Times New Roman" w:hAnsi="Times New Roman" w:cs="Times New Roman"/>
                      <w:color w:val="auto"/>
                      <w:sz w:val="21"/>
                      <w:szCs w:val="21"/>
                      <w:highlight w:val="none"/>
                      <w:lang w:val="en-US" w:eastAsia="zh-CN"/>
                    </w:rPr>
                    <w:t>复合</w:t>
                  </w:r>
                  <w:r>
                    <w:rPr>
                      <w:rFonts w:hint="default" w:ascii="Times New Roman" w:hAnsi="Times New Roman" w:eastAsia="宋体" w:cs="Times New Roman"/>
                      <w:color w:val="auto"/>
                      <w:sz w:val="21"/>
                      <w:szCs w:val="21"/>
                      <w:highlight w:val="none"/>
                      <w:lang w:val="en-US" w:eastAsia="zh-CN"/>
                    </w:rPr>
                    <w:t>机</w:t>
                  </w:r>
                </w:p>
              </w:tc>
              <w:tc>
                <w:tcPr>
                  <w:tcW w:w="6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11A8314">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XS</w:t>
                  </w:r>
                  <w:r>
                    <w:rPr>
                      <w:rFonts w:hint="default" w:ascii="Times New Roman" w:hAnsi="Times New Roman" w:eastAsia="宋体" w:cs="Times New Roman"/>
                      <w:color w:val="auto"/>
                      <w:sz w:val="21"/>
                      <w:szCs w:val="21"/>
                      <w:highlight w:val="none"/>
                    </w:rPr>
                    <w:t>60型</w:t>
                  </w:r>
                </w:p>
              </w:tc>
              <w:tc>
                <w:tcPr>
                  <w:tcW w:w="50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4F279A7">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r>
                    <w:rPr>
                      <w:rFonts w:hint="default" w:ascii="Times New Roman" w:hAnsi="Times New Roman" w:cs="Times New Roman"/>
                      <w:color w:val="auto"/>
                      <w:sz w:val="21"/>
                      <w:szCs w:val="21"/>
                      <w:highlight w:val="none"/>
                      <w:lang w:eastAsia="zh-CN"/>
                    </w:rPr>
                    <w:t>套</w:t>
                  </w:r>
                </w:p>
              </w:tc>
              <w:tc>
                <w:tcPr>
                  <w:tcW w:w="21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1B507DD">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用于钢制边框复合隔墙板生产</w:t>
                  </w:r>
                </w:p>
              </w:tc>
            </w:tr>
            <w:tr w14:paraId="266F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5E40342C">
                  <w:pPr>
                    <w:spacing w:line="360" w:lineRule="exac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129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FC58BEC">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铁板板材自动成型机</w:t>
                  </w:r>
                </w:p>
              </w:tc>
              <w:tc>
                <w:tcPr>
                  <w:tcW w:w="6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BD35DC6">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300-5</w:t>
                  </w:r>
                  <w:r>
                    <w:rPr>
                      <w:rFonts w:hint="default" w:ascii="Times New Roman" w:hAnsi="Times New Roman" w:eastAsia="宋体" w:cs="Times New Roman"/>
                      <w:color w:val="auto"/>
                      <w:sz w:val="21"/>
                      <w:szCs w:val="21"/>
                      <w:highlight w:val="none"/>
                    </w:rPr>
                    <w:t>0型</w:t>
                  </w:r>
                </w:p>
              </w:tc>
              <w:tc>
                <w:tcPr>
                  <w:tcW w:w="50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64AB05F">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2台</w:t>
                  </w:r>
                </w:p>
              </w:tc>
              <w:tc>
                <w:tcPr>
                  <w:tcW w:w="21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46285CD">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用于钢制边框复合隔墙板生产</w:t>
                  </w:r>
                </w:p>
              </w:tc>
            </w:tr>
            <w:tr w14:paraId="26D8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07BDF11">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w:t>
                  </w:r>
                </w:p>
              </w:tc>
              <w:tc>
                <w:tcPr>
                  <w:tcW w:w="129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3B02F95">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焊接机</w:t>
                  </w:r>
                </w:p>
              </w:tc>
              <w:tc>
                <w:tcPr>
                  <w:tcW w:w="6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46055C9">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ZX7-418</w:t>
                  </w:r>
                </w:p>
              </w:tc>
              <w:tc>
                <w:tcPr>
                  <w:tcW w:w="50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936D752">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3台</w:t>
                  </w:r>
                </w:p>
              </w:tc>
              <w:tc>
                <w:tcPr>
                  <w:tcW w:w="21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8652DEE">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用于钢制边框复合隔墙板生产</w:t>
                  </w:r>
                </w:p>
              </w:tc>
            </w:tr>
            <w:tr w14:paraId="6474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BB66DA2">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4</w:t>
                  </w:r>
                </w:p>
              </w:tc>
              <w:tc>
                <w:tcPr>
                  <w:tcW w:w="129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477236E">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100吨储罐</w:t>
                  </w:r>
                </w:p>
              </w:tc>
              <w:tc>
                <w:tcPr>
                  <w:tcW w:w="6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ED0C0C7">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100吨</w:t>
                  </w:r>
                  <w:r>
                    <w:rPr>
                      <w:rFonts w:hint="default" w:ascii="Times New Roman" w:hAnsi="Times New Roman" w:cs="Times New Roman"/>
                      <w:color w:val="auto"/>
                      <w:sz w:val="21"/>
                      <w:szCs w:val="21"/>
                      <w:highlight w:val="none"/>
                      <w:lang w:val="en-US" w:eastAsia="zh-CN"/>
                    </w:rPr>
                    <w:t>/个</w:t>
                  </w:r>
                </w:p>
              </w:tc>
              <w:tc>
                <w:tcPr>
                  <w:tcW w:w="50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7983100">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cs="Times New Roman"/>
                      <w:color w:val="auto"/>
                      <w:sz w:val="21"/>
                      <w:szCs w:val="21"/>
                      <w:highlight w:val="none"/>
                      <w:lang w:val="en-US" w:eastAsia="zh-CN"/>
                    </w:rPr>
                    <w:t>个</w:t>
                  </w:r>
                </w:p>
              </w:tc>
              <w:tc>
                <w:tcPr>
                  <w:tcW w:w="21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8873467">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分别储存玻化微珠、石膏（2个）、粉煤灰、珍珠岩、水泥</w:t>
                  </w:r>
                </w:p>
              </w:tc>
            </w:tr>
            <w:tr w14:paraId="2A83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0B770FD">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5</w:t>
                  </w:r>
                </w:p>
              </w:tc>
              <w:tc>
                <w:tcPr>
                  <w:tcW w:w="129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5D23755">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50吨储罐</w:t>
                  </w:r>
                </w:p>
              </w:tc>
              <w:tc>
                <w:tcPr>
                  <w:tcW w:w="6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DF8A508">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50</w:t>
                  </w:r>
                  <w:r>
                    <w:rPr>
                      <w:rFonts w:hint="default" w:ascii="Times New Roman" w:hAnsi="Times New Roman" w:eastAsia="宋体" w:cs="Times New Roman"/>
                      <w:color w:val="auto"/>
                      <w:sz w:val="21"/>
                      <w:szCs w:val="21"/>
                      <w:highlight w:val="none"/>
                      <w:lang w:val="en-US" w:eastAsia="zh-CN"/>
                    </w:rPr>
                    <w:t>吨</w:t>
                  </w:r>
                  <w:r>
                    <w:rPr>
                      <w:rFonts w:hint="default" w:ascii="Times New Roman" w:hAnsi="Times New Roman" w:cs="Times New Roman"/>
                      <w:color w:val="auto"/>
                      <w:sz w:val="21"/>
                      <w:szCs w:val="21"/>
                      <w:highlight w:val="none"/>
                      <w:lang w:val="en-US" w:eastAsia="zh-CN"/>
                    </w:rPr>
                    <w:t>/个</w:t>
                  </w:r>
                </w:p>
              </w:tc>
              <w:tc>
                <w:tcPr>
                  <w:tcW w:w="50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609E6BC">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val="en-US" w:eastAsia="zh-CN"/>
                    </w:rPr>
                    <w:t>个</w:t>
                  </w:r>
                </w:p>
              </w:tc>
              <w:tc>
                <w:tcPr>
                  <w:tcW w:w="21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8484299">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分别储存重钙、蛭石</w:t>
                  </w:r>
                </w:p>
              </w:tc>
            </w:tr>
            <w:tr w14:paraId="2F45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32E3BCB">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6</w:t>
                  </w:r>
                </w:p>
              </w:tc>
              <w:tc>
                <w:tcPr>
                  <w:tcW w:w="129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39655B7">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砂浆</w:t>
                  </w:r>
                  <w:r>
                    <w:rPr>
                      <w:rFonts w:hint="default" w:ascii="Times New Roman" w:hAnsi="Times New Roman" w:cs="Times New Roman"/>
                      <w:color w:val="auto"/>
                      <w:sz w:val="21"/>
                      <w:szCs w:val="21"/>
                      <w:highlight w:val="none"/>
                      <w:lang w:eastAsia="zh-CN"/>
                    </w:rPr>
                    <w:t>成套生产设备</w:t>
                  </w:r>
                </w:p>
              </w:tc>
              <w:tc>
                <w:tcPr>
                  <w:tcW w:w="6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56A0E5C">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XS-40</w:t>
                  </w:r>
                  <w:r>
                    <w:rPr>
                      <w:rFonts w:hint="default" w:ascii="Times New Roman" w:hAnsi="Times New Roman" w:eastAsia="宋体" w:cs="Times New Roman"/>
                      <w:color w:val="auto"/>
                      <w:sz w:val="21"/>
                      <w:szCs w:val="21"/>
                      <w:highlight w:val="none"/>
                    </w:rPr>
                    <w:t>0型</w:t>
                  </w:r>
                </w:p>
              </w:tc>
              <w:tc>
                <w:tcPr>
                  <w:tcW w:w="50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26F206D">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2套</w:t>
                  </w:r>
                </w:p>
              </w:tc>
              <w:tc>
                <w:tcPr>
                  <w:tcW w:w="21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BE1D421">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石膏砂浆、防火保温砂浆各用1套</w:t>
                  </w:r>
                </w:p>
              </w:tc>
            </w:tr>
            <w:tr w14:paraId="5CE74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E0E4849">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7</w:t>
                  </w:r>
                </w:p>
              </w:tc>
              <w:tc>
                <w:tcPr>
                  <w:tcW w:w="129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58D4EF6">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包装机</w:t>
                  </w:r>
                </w:p>
              </w:tc>
              <w:tc>
                <w:tcPr>
                  <w:tcW w:w="6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F0D7EFC">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气吹式</w:t>
                  </w:r>
                </w:p>
              </w:tc>
              <w:tc>
                <w:tcPr>
                  <w:tcW w:w="50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0D4B4EF">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2台</w:t>
                  </w:r>
                </w:p>
              </w:tc>
              <w:tc>
                <w:tcPr>
                  <w:tcW w:w="21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FEBE3CB">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用于石膏砂浆包装</w:t>
                  </w:r>
                </w:p>
              </w:tc>
            </w:tr>
            <w:tr w14:paraId="16D2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noWrap w:val="0"/>
                  <w:vAlign w:val="top"/>
                </w:tcPr>
                <w:p w14:paraId="42FA3E75">
                  <w:pPr>
                    <w:spacing w:line="360" w:lineRule="exact"/>
                    <w:ind w:firstLine="0" w:firstLineChars="0"/>
                    <w:jc w:val="center"/>
                    <w:rPr>
                      <w:rFonts w:hint="default" w:ascii="Times New Roman" w:hAnsi="Times New Roman" w:eastAsia="宋体" w:cs="Times New Roman"/>
                      <w:color w:val="auto"/>
                      <w:sz w:val="21"/>
                      <w:szCs w:val="21"/>
                      <w:highlight w:val="none"/>
                      <w:lang w:val="en-US" w:eastAsia="zh-CN"/>
                    </w:rPr>
                  </w:pPr>
                </w:p>
              </w:tc>
              <w:tc>
                <w:tcPr>
                  <w:tcW w:w="1993" w:type="pct"/>
                  <w:gridSpan w:val="2"/>
                  <w:noWrap w:val="0"/>
                  <w:vAlign w:val="center"/>
                </w:tcPr>
                <w:p w14:paraId="2ADE64B4">
                  <w:pPr>
                    <w:spacing w:line="4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合计</w:t>
                  </w:r>
                </w:p>
              </w:tc>
              <w:tc>
                <w:tcPr>
                  <w:tcW w:w="500" w:type="pct"/>
                  <w:noWrap w:val="0"/>
                  <w:vAlign w:val="center"/>
                </w:tcPr>
                <w:p w14:paraId="3EA71171">
                  <w:pPr>
                    <w:spacing w:line="44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18</w:t>
                  </w:r>
                </w:p>
              </w:tc>
              <w:tc>
                <w:tcPr>
                  <w:tcW w:w="2121" w:type="pct"/>
                  <w:noWrap w:val="0"/>
                  <w:vAlign w:val="center"/>
                </w:tcPr>
                <w:p w14:paraId="00186D5C">
                  <w:pPr>
                    <w:spacing w:line="440" w:lineRule="exact"/>
                    <w:jc w:val="center"/>
                    <w:rPr>
                      <w:rFonts w:hint="default" w:ascii="Times New Roman" w:hAnsi="Times New Roman" w:cs="Times New Roman"/>
                      <w:color w:val="auto"/>
                      <w:sz w:val="21"/>
                      <w:szCs w:val="21"/>
                      <w:highlight w:val="none"/>
                      <w:lang w:val="en-US" w:eastAsia="zh-CN"/>
                    </w:rPr>
                  </w:pPr>
                </w:p>
              </w:tc>
            </w:tr>
          </w:tbl>
          <w:p w14:paraId="28C174FC">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7、</w:t>
            </w:r>
            <w:r>
              <w:rPr>
                <w:rFonts w:hint="default" w:ascii="Times New Roman" w:hAnsi="Times New Roman" w:cs="Times New Roman"/>
                <w:color w:val="auto"/>
                <w:sz w:val="24"/>
                <w:highlight w:val="none"/>
              </w:rPr>
              <w:t>公用工程</w:t>
            </w:r>
          </w:p>
          <w:p w14:paraId="09B06FF4">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）给排水</w:t>
            </w:r>
          </w:p>
          <w:p w14:paraId="6BFC49E5">
            <w:pPr>
              <w:pStyle w:val="77"/>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给水项目用水由园区供水管网提供，目前供水管网已敷设至厂区，可以满足项目用水需求。</w:t>
            </w:r>
          </w:p>
          <w:p w14:paraId="66A9B5FB">
            <w:pPr>
              <w:pStyle w:val="77"/>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fldChar w:fldCharType="begin"/>
            </w:r>
            <w:r>
              <w:rPr>
                <w:rFonts w:hint="default" w:ascii="Times New Roman" w:hAnsi="Times New Roman" w:eastAsia="宋体" w:cs="Times New Roman"/>
                <w:color w:val="auto"/>
                <w:sz w:val="24"/>
                <w:szCs w:val="24"/>
                <w:highlight w:val="none"/>
                <w:lang w:val="en-US" w:eastAsia="zh-CN"/>
              </w:rPr>
              <w:instrText xml:space="preserve">= 1 \* GB3</w:instrText>
            </w:r>
            <w:r>
              <w:rPr>
                <w:rFonts w:hint="default" w:ascii="Times New Roman" w:hAnsi="Times New Roman" w:eastAsia="宋体" w:cs="Times New Roman"/>
                <w:color w:val="auto"/>
                <w:sz w:val="24"/>
                <w:szCs w:val="24"/>
                <w:highlight w:val="none"/>
                <w:lang w:val="en-US" w:eastAsia="zh-CN"/>
              </w:rPr>
              <w:fldChar w:fldCharType="separate"/>
            </w:r>
            <w:r>
              <w:rPr>
                <w:rFonts w:hint="default" w:ascii="Times New Roman" w:hAnsi="Times New Roman" w:eastAsia="宋体"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lang w:val="en-US" w:eastAsia="zh-CN"/>
              </w:rPr>
              <w:fldChar w:fldCharType="end"/>
            </w:r>
            <w:r>
              <w:rPr>
                <w:rFonts w:hint="default" w:ascii="Times New Roman" w:hAnsi="Times New Roman" w:eastAsia="宋体" w:cs="Times New Roman"/>
                <w:color w:val="auto"/>
                <w:sz w:val="24"/>
                <w:szCs w:val="24"/>
                <w:highlight w:val="none"/>
                <w:lang w:val="en-US" w:eastAsia="zh-CN"/>
              </w:rPr>
              <w:t>给水：</w:t>
            </w:r>
          </w:p>
          <w:p w14:paraId="779C0DDB">
            <w:pPr>
              <w:pStyle w:val="77"/>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A、物料搅拌用水：本项目钢制边框复合隔墙板和防火保温砂浆生产时搅拌工序需加入新鲜水。</w:t>
            </w:r>
          </w:p>
          <w:p w14:paraId="1A57FF3F">
            <w:pPr>
              <w:pStyle w:val="77"/>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钢制边框复合隔墙板--物料搅拌用水：根据企业提供资料，钢制边框复合隔墙板生产线-物料搅拌时料水比例约为100：55，物料用量为66300t/a（脱硫石膏60000t/a、粉煤灰1000t/a、水泥800t/a、珍珠岩4500t/a），浆料搅拌用水量为121.55</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w:t>
            </w:r>
            <w:r>
              <w:rPr>
                <w:rFonts w:hint="default" w:ascii="Times New Roman" w:hAnsi="Times New Roman" w:cs="Times New Roman"/>
                <w:color w:val="auto"/>
                <w:sz w:val="24"/>
                <w:szCs w:val="24"/>
                <w:highlight w:val="none"/>
                <w:lang w:val="en-US" w:eastAsia="zh-CN"/>
              </w:rPr>
              <w:t>36465</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w:t>
            </w:r>
          </w:p>
          <w:p w14:paraId="6E310C95">
            <w:pPr>
              <w:pStyle w:val="77"/>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防火保温砂浆--物料搅拌用水：根据企业提供资料，保温砂浆搅拌时料水比例约为18:7，物料用量为3600t/a（重钙3000t/a、蛭石200t/a、玻化微珠400t/a），则用水量为4.67</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w:t>
            </w:r>
            <w:r>
              <w:rPr>
                <w:rFonts w:hint="default" w:ascii="Times New Roman" w:hAnsi="Times New Roman" w:cs="Times New Roman"/>
                <w:color w:val="auto"/>
                <w:sz w:val="24"/>
                <w:szCs w:val="24"/>
                <w:highlight w:val="none"/>
                <w:lang w:val="en-US" w:eastAsia="zh-CN"/>
              </w:rPr>
              <w:t>1400</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w:t>
            </w:r>
          </w:p>
          <w:p w14:paraId="3DD8245F">
            <w:pPr>
              <w:pStyle w:val="7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因此，本项目物料搅拌用水量为126.22</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w:t>
            </w:r>
            <w:r>
              <w:rPr>
                <w:rFonts w:hint="default" w:ascii="Times New Roman" w:hAnsi="Times New Roman" w:cs="Times New Roman"/>
                <w:color w:val="auto"/>
                <w:sz w:val="24"/>
                <w:szCs w:val="24"/>
                <w:highlight w:val="none"/>
                <w:lang w:val="en-US" w:eastAsia="zh-CN"/>
              </w:rPr>
              <w:t>37865</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lang w:val="en-US" w:eastAsia="zh-CN"/>
              </w:rPr>
              <w:t>）。</w:t>
            </w:r>
          </w:p>
          <w:p w14:paraId="67D6526C">
            <w:pPr>
              <w:autoSpaceDE w:val="0"/>
              <w:autoSpaceDN w:val="0"/>
              <w:adjustRightInd w:val="0"/>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szCs w:val="24"/>
                <w:highlight w:val="none"/>
                <w:lang w:val="en-US" w:eastAsia="zh-CN"/>
              </w:rPr>
              <w:t>B、运输车辆冲洗用水：项目在厂区大门口设置一套洗车装置，</w:t>
            </w:r>
            <w:r>
              <w:rPr>
                <w:rFonts w:hint="default" w:ascii="Times New Roman" w:hAnsi="Times New Roman" w:eastAsia="宋体" w:cs="Times New Roman"/>
                <w:color w:val="auto"/>
                <w:sz w:val="24"/>
                <w:szCs w:val="24"/>
                <w:highlight w:val="none"/>
              </w:rPr>
              <w:t>对进厂、出厂的运输</w:t>
            </w:r>
            <w:r>
              <w:rPr>
                <w:rFonts w:hint="default" w:ascii="Times New Roman" w:hAnsi="Times New Roman" w:eastAsia="宋体" w:cs="Times New Roman"/>
                <w:color w:val="auto"/>
                <w:sz w:val="24"/>
                <w:szCs w:val="24"/>
                <w:highlight w:val="none"/>
                <w:lang w:eastAsia="zh-CN"/>
              </w:rPr>
              <w:t>车辆</w:t>
            </w:r>
            <w:r>
              <w:rPr>
                <w:rFonts w:hint="default" w:ascii="Times New Roman" w:hAnsi="Times New Roman" w:eastAsia="宋体" w:cs="Times New Roman"/>
                <w:color w:val="auto"/>
                <w:sz w:val="24"/>
                <w:szCs w:val="24"/>
                <w:highlight w:val="none"/>
              </w:rPr>
              <w:t>的车轮及车底进行</w:t>
            </w:r>
            <w:r>
              <w:rPr>
                <w:rFonts w:hint="default" w:ascii="Times New Roman" w:hAnsi="Times New Roman" w:cs="Times New Roman"/>
                <w:color w:val="auto"/>
                <w:sz w:val="24"/>
                <w:szCs w:val="24"/>
                <w:highlight w:val="none"/>
                <w:lang w:eastAsia="zh-CN"/>
              </w:rPr>
              <w:t>冲</w:t>
            </w:r>
            <w:r>
              <w:rPr>
                <w:rFonts w:hint="default" w:ascii="Times New Roman" w:hAnsi="Times New Roman" w:eastAsia="宋体" w:cs="Times New Roman"/>
                <w:color w:val="auto"/>
                <w:sz w:val="24"/>
                <w:szCs w:val="24"/>
                <w:highlight w:val="none"/>
                <w:lang w:eastAsia="zh-CN"/>
              </w:rPr>
              <w:t>洗</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eastAsia="zh-CN"/>
              </w:rPr>
              <w:t>冲洗</w:t>
            </w:r>
            <w:r>
              <w:rPr>
                <w:rFonts w:hint="default" w:ascii="Times New Roman" w:hAnsi="Times New Roman" w:eastAsia="宋体" w:cs="Times New Roman"/>
                <w:color w:val="auto"/>
                <w:sz w:val="24"/>
                <w:szCs w:val="24"/>
                <w:highlight w:val="none"/>
              </w:rPr>
              <w:t>废水经沉淀池沉淀后循环使用</w:t>
            </w:r>
            <w:r>
              <w:rPr>
                <w:rFonts w:hint="default" w:ascii="Times New Roman" w:hAnsi="Times New Roman" w:eastAsia="宋体" w:cs="Times New Roman"/>
                <w:color w:val="auto"/>
                <w:sz w:val="24"/>
                <w:szCs w:val="24"/>
                <w:highlight w:val="none"/>
                <w:lang w:eastAsia="zh-CN"/>
              </w:rPr>
              <w:t>。车辆冲洗用水</w:t>
            </w:r>
            <w:r>
              <w:rPr>
                <w:rFonts w:hint="default" w:ascii="Times New Roman" w:hAnsi="Times New Roman" w:eastAsia="宋体" w:cs="Times New Roman"/>
                <w:color w:val="auto"/>
                <w:sz w:val="24"/>
                <w:szCs w:val="24"/>
                <w:highlight w:val="none"/>
              </w:rPr>
              <w:t>为</w:t>
            </w:r>
            <w:r>
              <w:rPr>
                <w:rFonts w:hint="default" w:ascii="Times New Roman" w:hAnsi="Times New Roman"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default" w:ascii="Times New Roman" w:hAnsi="Times New Roman" w:eastAsia="宋体" w:cs="Times New Roman"/>
                <w:color w:val="auto"/>
                <w:sz w:val="24"/>
                <w:szCs w:val="24"/>
                <w:highlight w:val="none"/>
                <w:lang w:val="en-US" w:eastAsia="zh-CN"/>
              </w:rPr>
              <w:t>其中循环用水量为</w:t>
            </w:r>
            <w:r>
              <w:rPr>
                <w:rFonts w:hint="default"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/d，新鲜用水量为</w:t>
            </w: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w:t>
            </w:r>
            <w:r>
              <w:rPr>
                <w:rFonts w:hint="default" w:ascii="Times New Roman" w:hAnsi="Times New Roman" w:eastAsia="宋体" w:cs="Times New Roman"/>
                <w:color w:val="auto"/>
                <w:sz w:val="24"/>
                <w:szCs w:val="24"/>
                <w:highlight w:val="none"/>
                <w:lang w:eastAsia="zh-CN"/>
              </w:rPr>
              <w:t>。</w:t>
            </w:r>
          </w:p>
          <w:p w14:paraId="1591593C">
            <w:pPr>
              <w:pStyle w:val="77"/>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C、模具冲洗用水：</w:t>
            </w:r>
            <w:r>
              <w:rPr>
                <w:rFonts w:hint="default" w:ascii="Times New Roman" w:hAnsi="Times New Roman" w:eastAsia="宋体" w:cs="Times New Roman"/>
                <w:color w:val="auto"/>
                <w:sz w:val="24"/>
                <w:szCs w:val="24"/>
                <w:highlight w:val="none"/>
                <w:lang w:val="en-US" w:eastAsia="zh-CN"/>
              </w:rPr>
              <w:t>钢框架防火保温隔墙板成品从流水线上取下来，需对</w:t>
            </w:r>
            <w:r>
              <w:rPr>
                <w:rFonts w:hint="default" w:ascii="Times New Roman" w:hAnsi="Times New Roman" w:cs="Times New Roman"/>
                <w:color w:val="auto"/>
                <w:sz w:val="24"/>
                <w:szCs w:val="24"/>
                <w:highlight w:val="none"/>
                <w:lang w:val="en-US" w:eastAsia="zh-CN"/>
              </w:rPr>
              <w:t>固化模具</w:t>
            </w:r>
            <w:r>
              <w:rPr>
                <w:rFonts w:hint="default" w:ascii="Times New Roman" w:hAnsi="Times New Roman" w:eastAsia="宋体" w:cs="Times New Roman"/>
                <w:color w:val="auto"/>
                <w:sz w:val="24"/>
                <w:szCs w:val="24"/>
                <w:highlight w:val="none"/>
                <w:lang w:val="en-US" w:eastAsia="zh-CN"/>
              </w:rPr>
              <w:t>进行冲洗。</w:t>
            </w:r>
            <w:r>
              <w:rPr>
                <w:rFonts w:hint="default" w:ascii="Times New Roman" w:hAnsi="Times New Roman" w:cs="Times New Roman"/>
                <w:color w:val="auto"/>
                <w:sz w:val="24"/>
                <w:szCs w:val="24"/>
                <w:highlight w:val="none"/>
                <w:lang w:val="en-US" w:eastAsia="zh-CN"/>
              </w:rPr>
              <w:t>根据企业提供资料，用水量为9</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其中循环用水量为</w:t>
            </w:r>
            <w:r>
              <w:rPr>
                <w:rFonts w:hint="default"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/d，新鲜用水量为</w:t>
            </w: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w:t>
            </w:r>
            <w:r>
              <w:rPr>
                <w:rFonts w:hint="default" w:ascii="Times New Roman" w:hAnsi="Times New Roman" w:eastAsia="宋体" w:cs="Times New Roman"/>
                <w:color w:val="auto"/>
                <w:sz w:val="24"/>
                <w:szCs w:val="24"/>
                <w:highlight w:val="none"/>
                <w:lang w:eastAsia="zh-CN"/>
              </w:rPr>
              <w:t>。</w:t>
            </w:r>
          </w:p>
          <w:p w14:paraId="43CD8D28">
            <w:pPr>
              <w:pStyle w:val="77"/>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D、生活用水：本项目劳动定员20人，厂区内不设食堂，</w:t>
            </w:r>
            <w:r>
              <w:rPr>
                <w:rFonts w:hint="default" w:ascii="Times New Roman" w:hAnsi="Times New Roman" w:eastAsia="宋体" w:cs="Times New Roman"/>
                <w:color w:val="auto"/>
                <w:sz w:val="24"/>
                <w:szCs w:val="24"/>
                <w:highlight w:val="none"/>
              </w:rPr>
              <w:t>参照</w:t>
            </w:r>
            <w:bookmarkStart w:id="1" w:name="OLE_LINK4"/>
            <w:r>
              <w:rPr>
                <w:rFonts w:hint="default" w:ascii="Times New Roman" w:hAnsi="Times New Roman" w:eastAsia="宋体" w:cs="Times New Roman"/>
                <w:color w:val="auto"/>
                <w:sz w:val="24"/>
                <w:szCs w:val="24"/>
                <w:highlight w:val="none"/>
              </w:rPr>
              <w:t>《河北省地方标准 用水定额》（DB13/T 5450.3-2021）</w:t>
            </w:r>
            <w:bookmarkEnd w:id="1"/>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职工生活用水取22m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/（人·a），则生活用水量为1.47</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w:t>
            </w:r>
            <w:r>
              <w:rPr>
                <w:rFonts w:hint="default" w:ascii="Times New Roman" w:hAnsi="Times New Roman" w:cs="Times New Roman"/>
                <w:color w:val="auto"/>
                <w:sz w:val="24"/>
                <w:szCs w:val="24"/>
                <w:highlight w:val="none"/>
                <w:lang w:val="en-US" w:eastAsia="zh-CN"/>
              </w:rPr>
              <w:t>440m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w:t>
            </w:r>
          </w:p>
          <w:p w14:paraId="052AF8FE">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②</w:t>
            </w:r>
            <w:r>
              <w:rPr>
                <w:rFonts w:hint="default" w:ascii="Times New Roman" w:hAnsi="Times New Roman" w:cs="Times New Roman"/>
                <w:color w:val="auto"/>
                <w:sz w:val="24"/>
                <w:szCs w:val="24"/>
                <w:highlight w:val="none"/>
              </w:rPr>
              <w:t>排水：</w:t>
            </w:r>
          </w:p>
          <w:p w14:paraId="34D8BEDE">
            <w:pPr>
              <w:autoSpaceDE w:val="0"/>
              <w:autoSpaceDN w:val="0"/>
              <w:adjustRightInd w:val="0"/>
              <w:spacing w:line="360" w:lineRule="auto"/>
              <w:ind w:firstLine="480" w:firstLineChars="200"/>
              <w:jc w:val="left"/>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本项目</w:t>
            </w:r>
            <w:r>
              <w:rPr>
                <w:rFonts w:hint="default" w:ascii="Times New Roman" w:hAnsi="Times New Roman" w:eastAsia="宋体" w:cs="Times New Roman"/>
                <w:color w:val="auto"/>
                <w:sz w:val="24"/>
                <w:szCs w:val="24"/>
                <w:highlight w:val="none"/>
                <w:lang w:eastAsia="zh-CN"/>
              </w:rPr>
              <w:t>物料</w:t>
            </w:r>
            <w:r>
              <w:rPr>
                <w:rFonts w:hint="default" w:ascii="Times New Roman" w:hAnsi="Times New Roman" w:eastAsia="宋体" w:cs="Times New Roman"/>
                <w:color w:val="auto"/>
                <w:sz w:val="24"/>
                <w:szCs w:val="24"/>
                <w:highlight w:val="none"/>
              </w:rPr>
              <w:t>搅拌水</w:t>
            </w:r>
            <w:r>
              <w:rPr>
                <w:rFonts w:hint="default" w:ascii="Times New Roman" w:hAnsi="Times New Roman" w:eastAsia="宋体" w:cs="Times New Roman"/>
                <w:color w:val="auto"/>
                <w:sz w:val="24"/>
                <w:szCs w:val="24"/>
                <w:highlight w:val="none"/>
                <w:lang w:eastAsia="zh-CN"/>
              </w:rPr>
              <w:t>全部</w:t>
            </w:r>
            <w:r>
              <w:rPr>
                <w:rFonts w:hint="default" w:ascii="Times New Roman" w:hAnsi="Times New Roman" w:eastAsia="宋体" w:cs="Times New Roman"/>
                <w:color w:val="auto"/>
                <w:sz w:val="24"/>
                <w:szCs w:val="24"/>
                <w:highlight w:val="none"/>
              </w:rPr>
              <w:t>进入产品，无废水产生</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车辆</w:t>
            </w:r>
            <w:r>
              <w:rPr>
                <w:rFonts w:hint="default" w:ascii="Times New Roman" w:hAnsi="Times New Roman" w:cs="Times New Roman"/>
                <w:color w:val="auto"/>
                <w:sz w:val="24"/>
                <w:szCs w:val="24"/>
                <w:highlight w:val="none"/>
                <w:lang w:eastAsia="zh-CN"/>
              </w:rPr>
              <w:t>冲洗</w:t>
            </w:r>
            <w:r>
              <w:rPr>
                <w:rFonts w:hint="default" w:ascii="Times New Roman" w:hAnsi="Times New Roman" w:eastAsia="宋体" w:cs="Times New Roman"/>
                <w:color w:val="auto"/>
                <w:sz w:val="24"/>
                <w:szCs w:val="24"/>
                <w:highlight w:val="none"/>
              </w:rPr>
              <w:t>水经沉淀池</w:t>
            </w:r>
            <w:r>
              <w:rPr>
                <w:rFonts w:hint="default" w:ascii="Times New Roman" w:hAnsi="Times New Roman" w:eastAsia="宋体" w:cs="Times New Roman"/>
                <w:color w:val="auto"/>
                <w:sz w:val="24"/>
                <w:szCs w:val="24"/>
                <w:highlight w:val="none"/>
                <w:lang w:eastAsia="zh-CN"/>
              </w:rPr>
              <w:t>沉淀后</w:t>
            </w:r>
            <w:r>
              <w:rPr>
                <w:rFonts w:hint="default" w:ascii="Times New Roman" w:hAnsi="Times New Roman" w:eastAsia="宋体" w:cs="Times New Roman"/>
                <w:color w:val="auto"/>
                <w:sz w:val="24"/>
                <w:szCs w:val="24"/>
                <w:highlight w:val="none"/>
              </w:rPr>
              <w:t>循环利用，不外排</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模具冲洗</w:t>
            </w:r>
            <w:r>
              <w:rPr>
                <w:rFonts w:hint="default" w:ascii="Times New Roman" w:hAnsi="Times New Roman" w:cs="Times New Roman"/>
                <w:color w:val="auto"/>
                <w:sz w:val="24"/>
                <w:szCs w:val="24"/>
                <w:highlight w:val="none"/>
                <w:lang w:val="en-US" w:eastAsia="zh-CN"/>
              </w:rPr>
              <w:t>水经沉淀池沉淀后</w:t>
            </w:r>
            <w:r>
              <w:rPr>
                <w:rFonts w:hint="default" w:ascii="Times New Roman" w:hAnsi="Times New Roman" w:eastAsia="宋体" w:cs="Times New Roman"/>
                <w:color w:val="auto"/>
                <w:sz w:val="24"/>
                <w:szCs w:val="24"/>
                <w:highlight w:val="none"/>
              </w:rPr>
              <w:t>循环利用</w:t>
            </w:r>
            <w:r>
              <w:rPr>
                <w:rFonts w:hint="default" w:ascii="Times New Roman" w:hAnsi="Times New Roman" w:cs="Times New Roman"/>
                <w:color w:val="auto"/>
                <w:sz w:val="24"/>
                <w:szCs w:val="24"/>
                <w:highlight w:val="none"/>
                <w:lang w:val="en-US" w:eastAsia="zh-CN"/>
              </w:rPr>
              <w:t>，不外排。</w:t>
            </w:r>
          </w:p>
          <w:p w14:paraId="50194E4F">
            <w:pPr>
              <w:autoSpaceDE w:val="0"/>
              <w:autoSpaceDN w:val="0"/>
              <w:adjustRightInd w:val="0"/>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szCs w:val="24"/>
                <w:highlight w:val="none"/>
              </w:rPr>
              <w:t>生活污水</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员工生活</w:t>
            </w:r>
            <w:r>
              <w:rPr>
                <w:rFonts w:hint="default" w:ascii="Times New Roman" w:hAnsi="Times New Roman" w:eastAsia="宋体" w:cs="Times New Roman"/>
                <w:color w:val="auto"/>
                <w:sz w:val="24"/>
                <w:szCs w:val="24"/>
                <w:highlight w:val="none"/>
                <w:lang w:eastAsia="zh-CN"/>
              </w:rPr>
              <w:t>生活污水</w:t>
            </w:r>
            <w:r>
              <w:rPr>
                <w:rFonts w:hint="default" w:ascii="Times New Roman" w:hAnsi="Times New Roman" w:eastAsia="宋体" w:cs="Times New Roman"/>
                <w:color w:val="auto"/>
                <w:sz w:val="24"/>
                <w:szCs w:val="24"/>
                <w:highlight w:val="none"/>
              </w:rPr>
              <w:t>排污系数为0.8，</w:t>
            </w:r>
            <w:r>
              <w:rPr>
                <w:rFonts w:hint="default" w:ascii="Times New Roman" w:hAnsi="Times New Roman" w:eastAsia="宋体" w:cs="Times New Roman"/>
                <w:color w:val="auto"/>
                <w:sz w:val="24"/>
                <w:szCs w:val="24"/>
                <w:highlight w:val="none"/>
                <w:lang w:eastAsia="zh-CN"/>
              </w:rPr>
              <w:t>则</w:t>
            </w:r>
            <w:r>
              <w:rPr>
                <w:rFonts w:hint="default" w:ascii="Times New Roman" w:hAnsi="Times New Roman" w:eastAsia="宋体" w:cs="Times New Roman"/>
                <w:color w:val="auto"/>
                <w:sz w:val="24"/>
                <w:szCs w:val="24"/>
                <w:highlight w:val="none"/>
              </w:rPr>
              <w:t>生活</w:t>
            </w:r>
            <w:r>
              <w:rPr>
                <w:rFonts w:hint="default" w:ascii="Times New Roman" w:hAnsi="Times New Roman" w:eastAsia="宋体" w:cs="Times New Roman"/>
                <w:color w:val="auto"/>
                <w:sz w:val="24"/>
                <w:szCs w:val="24"/>
                <w:highlight w:val="none"/>
                <w:lang w:eastAsia="zh-CN"/>
              </w:rPr>
              <w:t>污水</w:t>
            </w:r>
            <w:r>
              <w:rPr>
                <w:rFonts w:hint="default" w:ascii="Times New Roman" w:hAnsi="Times New Roman" w:eastAsia="宋体" w:cs="Times New Roman"/>
                <w:color w:val="auto"/>
                <w:sz w:val="24"/>
                <w:szCs w:val="24"/>
                <w:highlight w:val="none"/>
              </w:rPr>
              <w:t>产生量为</w:t>
            </w:r>
            <w:r>
              <w:rPr>
                <w:rFonts w:hint="default" w:ascii="Times New Roman" w:hAnsi="Times New Roman" w:eastAsia="宋体" w:cs="Times New Roman"/>
                <w:color w:val="auto"/>
                <w:sz w:val="24"/>
                <w:szCs w:val="24"/>
                <w:highlight w:val="none"/>
                <w:lang w:val="en-US" w:eastAsia="zh-CN"/>
              </w:rPr>
              <w:t>1.18</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厂区设</w:t>
            </w:r>
            <w:r>
              <w:rPr>
                <w:rFonts w:hint="default" w:ascii="Times New Roman" w:hAnsi="Times New Roman" w:cs="Times New Roman"/>
                <w:color w:val="auto"/>
                <w:sz w:val="24"/>
                <w:szCs w:val="24"/>
                <w:highlight w:val="none"/>
                <w:lang w:eastAsia="zh-CN"/>
              </w:rPr>
              <w:t>化粪池</w:t>
            </w:r>
            <w:r>
              <w:rPr>
                <w:rFonts w:hint="default" w:ascii="Times New Roman" w:hAnsi="Times New Roman" w:eastAsia="宋体" w:cs="Times New Roman"/>
                <w:color w:val="auto"/>
                <w:sz w:val="24"/>
                <w:szCs w:val="24"/>
                <w:highlight w:val="none"/>
              </w:rPr>
              <w:t>，定期清掏</w:t>
            </w:r>
            <w:r>
              <w:rPr>
                <w:rFonts w:hint="default" w:ascii="Times New Roman" w:hAnsi="Times New Roman" w:eastAsia="宋体" w:cs="Times New Roman"/>
                <w:color w:val="auto"/>
                <w:sz w:val="24"/>
                <w:szCs w:val="24"/>
                <w:highlight w:val="none"/>
                <w:lang w:eastAsia="zh-CN"/>
              </w:rPr>
              <w:t>处理</w:t>
            </w:r>
            <w:r>
              <w:rPr>
                <w:rFonts w:hint="default" w:ascii="Times New Roman" w:hAnsi="Times New Roman" w:eastAsia="宋体" w:cs="Times New Roman"/>
                <w:color w:val="auto"/>
                <w:sz w:val="24"/>
                <w:szCs w:val="24"/>
                <w:highlight w:val="none"/>
              </w:rPr>
              <w:t>。</w:t>
            </w:r>
          </w:p>
          <w:p w14:paraId="151CCB8E">
            <w:pPr>
              <w:pStyle w:val="125"/>
              <w:spacing w:line="360" w:lineRule="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表 </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 xml:space="preserve">    项目给排水量一览表       单位：m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p>
          <w:tbl>
            <w:tblPr>
              <w:tblStyle w:val="40"/>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19"/>
              <w:gridCol w:w="885"/>
              <w:gridCol w:w="983"/>
              <w:gridCol w:w="939"/>
              <w:gridCol w:w="689"/>
              <w:gridCol w:w="1096"/>
              <w:gridCol w:w="1841"/>
            </w:tblGrid>
            <w:tr w14:paraId="3D6C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6" w:type="pct"/>
                  <w:shd w:val="clear" w:color="auto" w:fill="auto"/>
                  <w:vAlign w:val="center"/>
                </w:tcPr>
                <w:p w14:paraId="2DF2AF3E">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用水工序</w:t>
                  </w:r>
                </w:p>
              </w:tc>
              <w:tc>
                <w:tcPr>
                  <w:tcW w:w="578" w:type="pct"/>
                  <w:shd w:val="clear" w:color="auto" w:fill="auto"/>
                  <w:vAlign w:val="center"/>
                </w:tcPr>
                <w:p w14:paraId="58ED3525">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总用水量</w:t>
                  </w:r>
                </w:p>
              </w:tc>
              <w:tc>
                <w:tcPr>
                  <w:tcW w:w="642" w:type="pct"/>
                  <w:shd w:val="clear" w:color="auto" w:fill="auto"/>
                  <w:vAlign w:val="center"/>
                </w:tcPr>
                <w:p w14:paraId="54BDC314">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新鲜水量</w:t>
                  </w:r>
                </w:p>
              </w:tc>
              <w:tc>
                <w:tcPr>
                  <w:tcW w:w="613" w:type="pct"/>
                  <w:shd w:val="clear" w:color="auto" w:fill="auto"/>
                  <w:vAlign w:val="center"/>
                </w:tcPr>
                <w:p w14:paraId="1CB1EEB7">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循环水量</w:t>
                  </w:r>
                </w:p>
              </w:tc>
              <w:tc>
                <w:tcPr>
                  <w:tcW w:w="450" w:type="pct"/>
                  <w:shd w:val="clear" w:color="auto" w:fill="auto"/>
                  <w:vAlign w:val="center"/>
                </w:tcPr>
                <w:p w14:paraId="1A685B6A">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损耗量</w:t>
                  </w:r>
                </w:p>
              </w:tc>
              <w:tc>
                <w:tcPr>
                  <w:tcW w:w="716" w:type="pct"/>
                  <w:vAlign w:val="center"/>
                </w:tcPr>
                <w:p w14:paraId="33ED5C2D">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污水产生量</w:t>
                  </w:r>
                </w:p>
              </w:tc>
              <w:tc>
                <w:tcPr>
                  <w:tcW w:w="1202" w:type="pct"/>
                  <w:vAlign w:val="center"/>
                </w:tcPr>
                <w:p w14:paraId="1943C096">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污水去向</w:t>
                  </w:r>
                </w:p>
              </w:tc>
            </w:tr>
            <w:tr w14:paraId="45EB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96" w:type="pct"/>
                  <w:shd w:val="clear" w:color="auto" w:fill="auto"/>
                  <w:vAlign w:val="center"/>
                </w:tcPr>
                <w:p w14:paraId="751A9F09">
                  <w:pPr>
                    <w:adjustRightInd w:val="0"/>
                    <w:snapToGrid w:val="0"/>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生活用水</w:t>
                  </w:r>
                </w:p>
              </w:tc>
              <w:tc>
                <w:tcPr>
                  <w:tcW w:w="578" w:type="pct"/>
                  <w:shd w:val="clear" w:color="auto" w:fill="auto"/>
                  <w:vAlign w:val="center"/>
                </w:tcPr>
                <w:p w14:paraId="79D388CE">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1.47</w:t>
                  </w:r>
                </w:p>
              </w:tc>
              <w:tc>
                <w:tcPr>
                  <w:tcW w:w="642" w:type="pct"/>
                  <w:shd w:val="clear" w:color="auto" w:fill="auto"/>
                  <w:vAlign w:val="center"/>
                </w:tcPr>
                <w:p w14:paraId="07BD9DEC">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1.47</w:t>
                  </w:r>
                </w:p>
              </w:tc>
              <w:tc>
                <w:tcPr>
                  <w:tcW w:w="613" w:type="pct"/>
                  <w:shd w:val="clear" w:color="auto" w:fill="auto"/>
                  <w:vAlign w:val="center"/>
                </w:tcPr>
                <w:p w14:paraId="3F863175">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w:t>
                  </w:r>
                </w:p>
              </w:tc>
              <w:tc>
                <w:tcPr>
                  <w:tcW w:w="450" w:type="pct"/>
                  <w:shd w:val="clear" w:color="auto" w:fill="auto"/>
                  <w:vAlign w:val="center"/>
                </w:tcPr>
                <w:p w14:paraId="640D4AEC">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0.29</w:t>
                  </w:r>
                </w:p>
              </w:tc>
              <w:tc>
                <w:tcPr>
                  <w:tcW w:w="716" w:type="pct"/>
                  <w:vAlign w:val="center"/>
                </w:tcPr>
                <w:p w14:paraId="0C8861E1">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1.18</w:t>
                  </w:r>
                </w:p>
              </w:tc>
              <w:tc>
                <w:tcPr>
                  <w:tcW w:w="1202" w:type="pct"/>
                  <w:vAlign w:val="center"/>
                </w:tcPr>
                <w:p w14:paraId="609CAF3F">
                  <w:pPr>
                    <w:adjustRightInd w:val="0"/>
                    <w:snapToGrid w:val="0"/>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设置化粪池，定期清掏用作农肥</w:t>
                  </w:r>
                </w:p>
              </w:tc>
            </w:tr>
            <w:tr w14:paraId="18A9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6" w:type="pct"/>
                  <w:shd w:val="clear" w:color="auto" w:fill="auto"/>
                  <w:vAlign w:val="center"/>
                </w:tcPr>
                <w:p w14:paraId="76D6F231">
                  <w:pPr>
                    <w:adjustRightInd w:val="0"/>
                    <w:snapToGrid w:val="0"/>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搅拌用水</w:t>
                  </w:r>
                </w:p>
              </w:tc>
              <w:tc>
                <w:tcPr>
                  <w:tcW w:w="578" w:type="pct"/>
                  <w:shd w:val="clear" w:color="auto" w:fill="auto"/>
                  <w:vAlign w:val="center"/>
                </w:tcPr>
                <w:p w14:paraId="3AEB91E5">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126.22</w:t>
                  </w:r>
                </w:p>
              </w:tc>
              <w:tc>
                <w:tcPr>
                  <w:tcW w:w="642" w:type="pct"/>
                  <w:shd w:val="clear" w:color="auto" w:fill="auto"/>
                  <w:vAlign w:val="center"/>
                </w:tcPr>
                <w:p w14:paraId="4CA339B3">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126.22</w:t>
                  </w:r>
                </w:p>
              </w:tc>
              <w:tc>
                <w:tcPr>
                  <w:tcW w:w="613" w:type="pct"/>
                  <w:shd w:val="clear" w:color="auto" w:fill="auto"/>
                  <w:vAlign w:val="center"/>
                </w:tcPr>
                <w:p w14:paraId="4CC6A56A">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w:t>
                  </w:r>
                </w:p>
              </w:tc>
              <w:tc>
                <w:tcPr>
                  <w:tcW w:w="450" w:type="pct"/>
                  <w:shd w:val="clear" w:color="auto" w:fill="auto"/>
                  <w:vAlign w:val="center"/>
                </w:tcPr>
                <w:p w14:paraId="7C682ED5">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126.22</w:t>
                  </w:r>
                </w:p>
              </w:tc>
              <w:tc>
                <w:tcPr>
                  <w:tcW w:w="716" w:type="pct"/>
                  <w:vAlign w:val="center"/>
                </w:tcPr>
                <w:p w14:paraId="69AB7D25">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w:t>
                  </w:r>
                </w:p>
              </w:tc>
              <w:tc>
                <w:tcPr>
                  <w:tcW w:w="1202" w:type="pct"/>
                  <w:vAlign w:val="center"/>
                </w:tcPr>
                <w:p w14:paraId="696A0186">
                  <w:pPr>
                    <w:adjustRightInd w:val="0"/>
                    <w:snapToGrid w:val="0"/>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全部进入产品</w:t>
                  </w:r>
                </w:p>
              </w:tc>
            </w:tr>
            <w:tr w14:paraId="58593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6" w:type="pct"/>
                  <w:shd w:val="clear" w:color="auto" w:fill="auto"/>
                  <w:vAlign w:val="center"/>
                </w:tcPr>
                <w:p w14:paraId="40D58CFC">
                  <w:pPr>
                    <w:adjustRightInd w:val="0"/>
                    <w:snapToGrid w:val="0"/>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模具冲洗用水</w:t>
                  </w:r>
                </w:p>
              </w:tc>
              <w:tc>
                <w:tcPr>
                  <w:tcW w:w="578" w:type="pct"/>
                  <w:shd w:val="clear" w:color="auto" w:fill="auto"/>
                  <w:vAlign w:val="center"/>
                </w:tcPr>
                <w:p w14:paraId="49441017">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9</w:t>
                  </w:r>
                </w:p>
              </w:tc>
              <w:tc>
                <w:tcPr>
                  <w:tcW w:w="642" w:type="pct"/>
                  <w:shd w:val="clear" w:color="auto" w:fill="auto"/>
                  <w:vAlign w:val="center"/>
                </w:tcPr>
                <w:p w14:paraId="711AA10B">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w:t>
                  </w:r>
                </w:p>
              </w:tc>
              <w:tc>
                <w:tcPr>
                  <w:tcW w:w="613" w:type="pct"/>
                  <w:shd w:val="clear" w:color="auto" w:fill="auto"/>
                  <w:vAlign w:val="center"/>
                </w:tcPr>
                <w:p w14:paraId="4D731341">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8</w:t>
                  </w:r>
                </w:p>
              </w:tc>
              <w:tc>
                <w:tcPr>
                  <w:tcW w:w="450" w:type="pct"/>
                  <w:shd w:val="clear" w:color="auto" w:fill="auto"/>
                  <w:vAlign w:val="center"/>
                </w:tcPr>
                <w:p w14:paraId="33A810B0">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w:t>
                  </w:r>
                </w:p>
              </w:tc>
              <w:tc>
                <w:tcPr>
                  <w:tcW w:w="716" w:type="pct"/>
                  <w:vAlign w:val="center"/>
                </w:tcPr>
                <w:p w14:paraId="6F521723">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w:t>
                  </w:r>
                </w:p>
              </w:tc>
              <w:tc>
                <w:tcPr>
                  <w:tcW w:w="1202" w:type="pct"/>
                  <w:vAlign w:val="center"/>
                </w:tcPr>
                <w:p w14:paraId="3F2536C7">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经沉淀池处理后回用</w:t>
                  </w:r>
                </w:p>
              </w:tc>
            </w:tr>
            <w:tr w14:paraId="7AD8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6" w:type="pct"/>
                  <w:shd w:val="clear" w:color="auto" w:fill="auto"/>
                  <w:vAlign w:val="center"/>
                </w:tcPr>
                <w:p w14:paraId="03BA87DB">
                  <w:pPr>
                    <w:adjustRightInd w:val="0"/>
                    <w:snapToGrid w:val="0"/>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车辆</w:t>
                  </w:r>
                  <w:r>
                    <w:rPr>
                      <w:rFonts w:hint="default" w:ascii="Times New Roman" w:hAnsi="Times New Roman" w:cs="Times New Roman"/>
                      <w:color w:val="auto"/>
                      <w:szCs w:val="21"/>
                      <w:highlight w:val="none"/>
                      <w:lang w:eastAsia="zh-CN"/>
                    </w:rPr>
                    <w:t>冲洗</w:t>
                  </w:r>
                  <w:r>
                    <w:rPr>
                      <w:rFonts w:hint="default" w:ascii="Times New Roman" w:hAnsi="Times New Roman" w:eastAsia="宋体" w:cs="Times New Roman"/>
                      <w:color w:val="auto"/>
                      <w:szCs w:val="21"/>
                      <w:highlight w:val="none"/>
                      <w:lang w:eastAsia="zh-CN"/>
                    </w:rPr>
                    <w:t>用水</w:t>
                  </w:r>
                </w:p>
              </w:tc>
              <w:tc>
                <w:tcPr>
                  <w:tcW w:w="578" w:type="pct"/>
                  <w:shd w:val="clear" w:color="auto" w:fill="auto"/>
                  <w:vAlign w:val="center"/>
                </w:tcPr>
                <w:p w14:paraId="2F58C83E">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9</w:t>
                  </w:r>
                </w:p>
              </w:tc>
              <w:tc>
                <w:tcPr>
                  <w:tcW w:w="642" w:type="pct"/>
                  <w:shd w:val="clear" w:color="auto" w:fill="auto"/>
                  <w:vAlign w:val="center"/>
                </w:tcPr>
                <w:p w14:paraId="118C1976">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1</w:t>
                  </w:r>
                </w:p>
              </w:tc>
              <w:tc>
                <w:tcPr>
                  <w:tcW w:w="613" w:type="pct"/>
                  <w:shd w:val="clear" w:color="auto" w:fill="auto"/>
                  <w:vAlign w:val="center"/>
                </w:tcPr>
                <w:p w14:paraId="2FDBF97D">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8</w:t>
                  </w:r>
                </w:p>
              </w:tc>
              <w:tc>
                <w:tcPr>
                  <w:tcW w:w="450" w:type="pct"/>
                  <w:shd w:val="clear" w:color="auto" w:fill="auto"/>
                  <w:vAlign w:val="center"/>
                </w:tcPr>
                <w:p w14:paraId="79184FF4">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1</w:t>
                  </w:r>
                </w:p>
              </w:tc>
              <w:tc>
                <w:tcPr>
                  <w:tcW w:w="716" w:type="pct"/>
                  <w:vAlign w:val="center"/>
                </w:tcPr>
                <w:p w14:paraId="1F4CE60A">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w:t>
                  </w:r>
                </w:p>
              </w:tc>
              <w:tc>
                <w:tcPr>
                  <w:tcW w:w="1202" w:type="pct"/>
                  <w:vAlign w:val="center"/>
                </w:tcPr>
                <w:p w14:paraId="03A6F463">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经沉淀池处理后回用</w:t>
                  </w:r>
                </w:p>
              </w:tc>
            </w:tr>
            <w:tr w14:paraId="6B79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6" w:type="pct"/>
                  <w:shd w:val="clear" w:color="auto" w:fill="auto"/>
                  <w:vAlign w:val="center"/>
                </w:tcPr>
                <w:p w14:paraId="6C229932">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合计</w:t>
                  </w:r>
                </w:p>
              </w:tc>
              <w:tc>
                <w:tcPr>
                  <w:tcW w:w="885" w:type="dxa"/>
                  <w:shd w:val="clear" w:color="auto" w:fill="auto"/>
                  <w:vAlign w:val="center"/>
                </w:tcPr>
                <w:p w14:paraId="62CF59D9">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145.69</w:t>
                  </w:r>
                </w:p>
              </w:tc>
              <w:tc>
                <w:tcPr>
                  <w:tcW w:w="983" w:type="dxa"/>
                  <w:shd w:val="clear" w:color="auto" w:fill="auto"/>
                  <w:vAlign w:val="center"/>
                </w:tcPr>
                <w:p w14:paraId="16D5FDFA">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129.69</w:t>
                  </w:r>
                </w:p>
              </w:tc>
              <w:tc>
                <w:tcPr>
                  <w:tcW w:w="939" w:type="dxa"/>
                  <w:shd w:val="clear" w:color="auto" w:fill="auto"/>
                  <w:vAlign w:val="center"/>
                </w:tcPr>
                <w:p w14:paraId="02155BCD">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16</w:t>
                  </w:r>
                </w:p>
              </w:tc>
              <w:tc>
                <w:tcPr>
                  <w:tcW w:w="689" w:type="dxa"/>
                  <w:shd w:val="clear" w:color="auto" w:fill="auto"/>
                  <w:vAlign w:val="center"/>
                </w:tcPr>
                <w:p w14:paraId="24E9A890">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128.51</w:t>
                  </w:r>
                </w:p>
              </w:tc>
              <w:tc>
                <w:tcPr>
                  <w:tcW w:w="1096" w:type="dxa"/>
                  <w:vAlign w:val="center"/>
                </w:tcPr>
                <w:p w14:paraId="642B5C88">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1.18</w:t>
                  </w:r>
                </w:p>
              </w:tc>
              <w:tc>
                <w:tcPr>
                  <w:tcW w:w="1202" w:type="pct"/>
                  <w:vAlign w:val="center"/>
                </w:tcPr>
                <w:p w14:paraId="22B2F6AF">
                  <w:pPr>
                    <w:adjustRightInd w:val="0"/>
                    <w:snapToGrid w:val="0"/>
                    <w:spacing w:line="240" w:lineRule="exact"/>
                    <w:jc w:val="center"/>
                    <w:rPr>
                      <w:rFonts w:hint="default" w:ascii="Times New Roman" w:hAnsi="Times New Roman" w:eastAsia="宋体" w:cs="Times New Roman"/>
                      <w:color w:val="auto"/>
                      <w:szCs w:val="21"/>
                      <w:highlight w:val="none"/>
                    </w:rPr>
                  </w:pPr>
                </w:p>
              </w:tc>
            </w:tr>
          </w:tbl>
          <w:p w14:paraId="1890FD96">
            <w:pPr>
              <w:pStyle w:val="5"/>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color w:val="auto"/>
                <w:sz w:val="24"/>
                <w:szCs w:val="24"/>
                <w:highlight w:val="none"/>
              </w:rPr>
              <w:pict>
                <v:shape id="_x0000_s2052" o:spid="_x0000_s2052" o:spt="75" type="#_x0000_t75" style="position:absolute;left:0pt;margin-left:19.75pt;margin-top:3.85pt;height:204pt;width:340.95pt;z-index:-251649024;mso-width-relative:page;mso-height-relative:page;" o:ole="t" filled="f" o:preferrelative="t" stroked="f" coordsize="21600,21600">
                  <v:path/>
                  <v:fill on="f" focussize="0,0"/>
                  <v:stroke on="f"/>
                  <v:imagedata r:id="rId9" o:title=""/>
                  <o:lock v:ext="edit" aspectratio="f"/>
                </v:shape>
                <o:OLEObject Type="Embed" ProgID="Visio.Drawing.11" ShapeID="_x0000_s2052" DrawAspect="Content" ObjectID="_1468075725" r:id="rId8">
                  <o:LockedField>false</o:LockedField>
                </o:OLEObject>
              </w:pict>
            </w:r>
          </w:p>
          <w:p w14:paraId="72B09D19">
            <w:pPr>
              <w:rPr>
                <w:rFonts w:hint="default" w:ascii="Times New Roman" w:hAnsi="Times New Roman" w:eastAsia="宋体" w:cs="Times New Roman"/>
                <w:color w:val="auto"/>
                <w:sz w:val="24"/>
                <w:szCs w:val="24"/>
                <w:highlight w:val="none"/>
              </w:rPr>
            </w:pPr>
          </w:p>
          <w:p w14:paraId="171D8112">
            <w:pPr>
              <w:pStyle w:val="2"/>
              <w:rPr>
                <w:rFonts w:hint="default" w:ascii="Times New Roman" w:hAnsi="Times New Roman" w:eastAsia="宋体" w:cs="Times New Roman"/>
                <w:color w:val="auto"/>
                <w:sz w:val="24"/>
                <w:szCs w:val="24"/>
                <w:highlight w:val="none"/>
              </w:rPr>
            </w:pPr>
          </w:p>
          <w:p w14:paraId="4BE1E60F">
            <w:pPr>
              <w:pStyle w:val="5"/>
              <w:rPr>
                <w:rFonts w:hint="default" w:ascii="Times New Roman" w:hAnsi="Times New Roman" w:cs="Times New Roman"/>
                <w:color w:val="auto"/>
                <w:highlight w:val="none"/>
              </w:rPr>
            </w:pPr>
          </w:p>
          <w:p w14:paraId="573937DC">
            <w:pPr>
              <w:autoSpaceDE w:val="0"/>
              <w:autoSpaceDN w:val="0"/>
              <w:adjustRightInd w:val="0"/>
              <w:spacing w:line="360" w:lineRule="auto"/>
              <w:ind w:firstLine="480" w:firstLineChars="200"/>
              <w:jc w:val="left"/>
              <w:rPr>
                <w:rFonts w:hint="default" w:ascii="Times New Roman" w:hAnsi="Times New Roman" w:cs="Times New Roman"/>
                <w:color w:val="auto"/>
                <w:sz w:val="24"/>
                <w:szCs w:val="24"/>
                <w:highlight w:val="none"/>
                <w:lang w:eastAsia="zh-CN"/>
              </w:rPr>
            </w:pPr>
          </w:p>
          <w:p w14:paraId="00B053E0">
            <w:pPr>
              <w:autoSpaceDE w:val="0"/>
              <w:autoSpaceDN w:val="0"/>
              <w:adjustRightInd w:val="0"/>
              <w:spacing w:line="360" w:lineRule="auto"/>
              <w:ind w:firstLine="480" w:firstLineChars="200"/>
              <w:jc w:val="left"/>
              <w:rPr>
                <w:rFonts w:hint="default" w:ascii="Times New Roman" w:hAnsi="Times New Roman" w:eastAsia="宋体" w:cs="Times New Roman"/>
                <w:color w:val="auto"/>
                <w:sz w:val="24"/>
                <w:szCs w:val="24"/>
                <w:highlight w:val="none"/>
              </w:rPr>
            </w:pPr>
          </w:p>
          <w:p w14:paraId="72510910">
            <w:pPr>
              <w:autoSpaceDE w:val="0"/>
              <w:autoSpaceDN w:val="0"/>
              <w:adjustRightInd w:val="0"/>
              <w:spacing w:line="360" w:lineRule="auto"/>
              <w:ind w:firstLine="480" w:firstLineChars="200"/>
              <w:jc w:val="left"/>
              <w:rPr>
                <w:rFonts w:hint="default" w:ascii="Times New Roman" w:hAnsi="Times New Roman" w:eastAsia="宋体" w:cs="Times New Roman"/>
                <w:color w:val="auto"/>
                <w:sz w:val="24"/>
                <w:szCs w:val="24"/>
                <w:highlight w:val="none"/>
              </w:rPr>
            </w:pPr>
          </w:p>
          <w:p w14:paraId="70CBE767">
            <w:pPr>
              <w:pStyle w:val="16"/>
              <w:rPr>
                <w:rFonts w:hint="default" w:ascii="Times New Roman" w:hAnsi="Times New Roman" w:cs="Times New Roman"/>
                <w:b w:val="0"/>
                <w:bCs w:val="0"/>
                <w:color w:val="auto"/>
                <w:sz w:val="21"/>
                <w:highlight w:val="none"/>
              </w:rPr>
            </w:pPr>
          </w:p>
          <w:p w14:paraId="1B533D59">
            <w:pPr>
              <w:rPr>
                <w:rFonts w:hint="default" w:ascii="Times New Roman" w:hAnsi="Times New Roman" w:cs="Times New Roman"/>
                <w:color w:val="auto"/>
                <w:sz w:val="21"/>
                <w:highlight w:val="none"/>
              </w:rPr>
            </w:pPr>
          </w:p>
          <w:p w14:paraId="1ADB0DCD">
            <w:pPr>
              <w:pStyle w:val="16"/>
              <w:rPr>
                <w:rFonts w:hint="default" w:ascii="Times New Roman" w:hAnsi="Times New Roman" w:cs="Times New Roman"/>
                <w:color w:val="auto"/>
                <w:sz w:val="21"/>
                <w:highlight w:val="none"/>
              </w:rPr>
            </w:pPr>
          </w:p>
          <w:p w14:paraId="4229943B">
            <w:pPr>
              <w:rPr>
                <w:rFonts w:hint="default" w:ascii="Times New Roman" w:hAnsi="Times New Roman" w:cs="Times New Roman"/>
                <w:color w:val="auto"/>
                <w:sz w:val="21"/>
                <w:highlight w:val="none"/>
              </w:rPr>
            </w:pPr>
          </w:p>
          <w:p w14:paraId="0DD4EB03">
            <w:pPr>
              <w:pStyle w:val="16"/>
              <w:rPr>
                <w:rFonts w:hint="default" w:ascii="Times New Roman" w:hAnsi="Times New Roman" w:cs="Times New Roman"/>
                <w:color w:val="auto"/>
                <w:sz w:val="21"/>
                <w:highlight w:val="none"/>
              </w:rPr>
            </w:pPr>
          </w:p>
          <w:p w14:paraId="412E997B">
            <w:pPr>
              <w:rPr>
                <w:rFonts w:hint="default" w:ascii="Times New Roman" w:hAnsi="Times New Roman" w:cs="Times New Roman"/>
                <w:color w:val="auto"/>
                <w:sz w:val="21"/>
                <w:highlight w:val="none"/>
              </w:rPr>
            </w:pPr>
          </w:p>
          <w:p w14:paraId="1F9F115C">
            <w:pPr>
              <w:pStyle w:val="16"/>
              <w:jc w:val="center"/>
              <w:rPr>
                <w:rFonts w:hint="default" w:ascii="Times New Roman" w:hAnsi="Times New Roman" w:cs="Times New Roman"/>
                <w:color w:val="auto"/>
                <w:sz w:val="24"/>
                <w:highlight w:val="none"/>
                <w:lang w:val="en-US" w:eastAsia="zh-CN"/>
              </w:rPr>
            </w:pPr>
            <w:r>
              <w:rPr>
                <w:rFonts w:hint="default" w:ascii="Times New Roman" w:hAnsi="Times New Roman" w:cs="Times New Roman"/>
                <w:b/>
                <w:bCs/>
                <w:color w:val="auto"/>
                <w:sz w:val="24"/>
                <w:szCs w:val="24"/>
                <w:highlight w:val="none"/>
              </w:rPr>
              <w:t>图2-</w:t>
            </w:r>
            <w:r>
              <w:rPr>
                <w:rFonts w:hint="default"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 xml:space="preserve">   项目给排水平衡      （单位m</w:t>
            </w:r>
            <w:r>
              <w:rPr>
                <w:rFonts w:hint="default" w:ascii="Times New Roman" w:hAnsi="Times New Roman" w:cs="Times New Roman"/>
                <w:b/>
                <w:bCs/>
                <w:color w:val="auto"/>
                <w:sz w:val="24"/>
                <w:szCs w:val="24"/>
                <w:highlight w:val="none"/>
                <w:vertAlign w:val="superscript"/>
              </w:rPr>
              <w:t>3</w:t>
            </w:r>
            <w:r>
              <w:rPr>
                <w:rFonts w:hint="default" w:ascii="Times New Roman" w:hAnsi="Times New Roman" w:cs="Times New Roman"/>
                <w:b/>
                <w:bCs/>
                <w:color w:val="auto"/>
                <w:sz w:val="24"/>
                <w:szCs w:val="24"/>
                <w:highlight w:val="none"/>
              </w:rPr>
              <w:t>/d）</w:t>
            </w:r>
          </w:p>
          <w:p w14:paraId="4B0EC278">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）供电</w:t>
            </w:r>
          </w:p>
          <w:p w14:paraId="2D1A53EB">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rPr>
              <w:t>项目供电由园区供电系统提供，项目年用电</w:t>
            </w:r>
            <w:r>
              <w:rPr>
                <w:rFonts w:hint="default" w:ascii="Times New Roman" w:hAnsi="Times New Roman" w:eastAsia="Times New Roman" w:cs="Times New Roman"/>
                <w:color w:val="auto"/>
                <w:sz w:val="24"/>
                <w:szCs w:val="24"/>
                <w:highlight w:val="none"/>
              </w:rPr>
              <w:t>25</w:t>
            </w:r>
            <w:r>
              <w:rPr>
                <w:rFonts w:hint="default" w:ascii="Times New Roman" w:hAnsi="Times New Roman" w:eastAsia="宋体" w:cs="Times New Roman"/>
                <w:color w:val="auto"/>
                <w:sz w:val="24"/>
                <w:szCs w:val="24"/>
                <w:highlight w:val="none"/>
              </w:rPr>
              <w:t>万</w:t>
            </w:r>
            <w:r>
              <w:rPr>
                <w:rFonts w:hint="default" w:ascii="Times New Roman" w:hAnsi="Times New Roman" w:eastAsia="Times New Roman" w:cs="Times New Roman"/>
                <w:color w:val="auto"/>
                <w:sz w:val="24"/>
                <w:szCs w:val="24"/>
                <w:highlight w:val="none"/>
              </w:rPr>
              <w:t>kW·h/a</w:t>
            </w:r>
            <w:r>
              <w:rPr>
                <w:rFonts w:hint="default" w:ascii="Times New Roman" w:hAnsi="Times New Roman" w:cs="Times New Roman"/>
                <w:color w:val="auto"/>
                <w:sz w:val="24"/>
                <w:szCs w:val="24"/>
                <w:highlight w:val="none"/>
              </w:rPr>
              <w:t>。</w:t>
            </w:r>
          </w:p>
          <w:p w14:paraId="27435E7C">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8、平面布置</w:t>
            </w:r>
          </w:p>
          <w:p w14:paraId="495CA09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bCs/>
                <w:color w:val="auto"/>
                <w:sz w:val="24"/>
                <w:highlight w:val="none"/>
              </w:rPr>
            </w:pPr>
            <w:r>
              <w:rPr>
                <w:rFonts w:hint="default" w:ascii="Times New Roman" w:hAnsi="Times New Roman" w:eastAsia="宋体" w:cs="Times New Roman"/>
                <w:bCs/>
                <w:color w:val="auto"/>
                <w:sz w:val="24"/>
                <w:highlight w:val="none"/>
                <w:lang w:val="en-US" w:eastAsia="zh-CN"/>
              </w:rPr>
              <w:t>总平面布置为：大门位于厂区东南侧，厂区东侧为一座3层办公楼，西侧为生产车间，车间内</w:t>
            </w:r>
            <w:r>
              <w:rPr>
                <w:rFonts w:hint="default" w:ascii="Times New Roman" w:hAnsi="Times New Roman" w:cs="Times New Roman"/>
                <w:bCs/>
                <w:color w:val="auto"/>
                <w:sz w:val="24"/>
                <w:highlight w:val="none"/>
                <w:lang w:val="en-US" w:eastAsia="zh-CN"/>
              </w:rPr>
              <w:t>东北角为板材存放，西北角为罐体区，车间内中部为隔墙板生产区，西侧为砂浆生产区</w:t>
            </w:r>
            <w:r>
              <w:rPr>
                <w:rFonts w:hint="default" w:ascii="Times New Roman" w:hAnsi="Times New Roman" w:cs="Times New Roman"/>
                <w:bCs/>
                <w:color w:val="auto"/>
                <w:sz w:val="24"/>
                <w:highlight w:val="none"/>
              </w:rPr>
              <w:t>。整个分区布局合理，顺应工艺流程，减少生产流程的迂回、往返，有利于生产。厂区平面布置图见附图3。</w:t>
            </w:r>
          </w:p>
          <w:p w14:paraId="232E1B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bCs/>
                <w:color w:val="auto"/>
                <w:sz w:val="24"/>
                <w:highlight w:val="none"/>
              </w:rPr>
            </w:pPr>
          </w:p>
          <w:p w14:paraId="71BE37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bCs/>
                <w:color w:val="auto"/>
                <w:sz w:val="24"/>
                <w:highlight w:val="none"/>
              </w:rPr>
            </w:pPr>
          </w:p>
          <w:p w14:paraId="7B5DFD6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bCs/>
                <w:color w:val="auto"/>
                <w:sz w:val="24"/>
                <w:highlight w:val="none"/>
              </w:rPr>
            </w:pPr>
          </w:p>
          <w:p w14:paraId="2FD6B8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bCs/>
                <w:color w:val="auto"/>
                <w:sz w:val="24"/>
                <w:highlight w:val="none"/>
              </w:rPr>
            </w:pPr>
          </w:p>
          <w:p w14:paraId="125516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bCs/>
                <w:color w:val="auto"/>
                <w:sz w:val="24"/>
                <w:highlight w:val="none"/>
                <w:lang w:val="en-US" w:eastAsia="zh-CN"/>
              </w:rPr>
            </w:pPr>
          </w:p>
        </w:tc>
      </w:tr>
      <w:tr w14:paraId="35BA9E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2" w:type="dxa"/>
            <w:vAlign w:val="center"/>
          </w:tcPr>
          <w:p w14:paraId="18C4FEC4">
            <w:pPr>
              <w:pStyle w:val="36"/>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工艺流程和产排污环节</w:t>
            </w:r>
          </w:p>
        </w:tc>
        <w:tc>
          <w:tcPr>
            <w:tcW w:w="7890" w:type="dxa"/>
          </w:tcPr>
          <w:p w14:paraId="0D040366">
            <w:pPr>
              <w:pStyle w:val="60"/>
              <w:keepNext w:val="0"/>
              <w:keepLines w:val="0"/>
              <w:pageBreakBefore w:val="0"/>
              <w:widowControl w:val="0"/>
              <w:kinsoku/>
              <w:wordWrap/>
              <w:overflowPunct/>
              <w:topLinePunct w:val="0"/>
              <w:bidi w:val="0"/>
              <w:snapToGrid/>
              <w:spacing w:line="480" w:lineRule="exac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工艺流程简述（图示）：</w:t>
            </w:r>
          </w:p>
          <w:p w14:paraId="3AD70970">
            <w:pPr>
              <w:keepNext w:val="0"/>
              <w:keepLines w:val="0"/>
              <w:pageBreakBefore w:val="0"/>
              <w:widowControl w:val="0"/>
              <w:kinsoku/>
              <w:wordWrap/>
              <w:overflowPunct/>
              <w:topLinePunct w:val="0"/>
              <w:bidi w:val="0"/>
              <w:snapToGrid/>
              <w:spacing w:line="480" w:lineRule="exact"/>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一、工艺流程：</w:t>
            </w:r>
          </w:p>
          <w:p w14:paraId="3CEE38B6">
            <w:pPr>
              <w:spacing w:line="360" w:lineRule="auto"/>
              <w:ind w:firstLine="482"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b/>
                <w:color w:val="auto"/>
                <w:sz w:val="24"/>
                <w:szCs w:val="24"/>
                <w:highlight w:val="none"/>
              </w:rPr>
              <w:pict>
                <v:shape id="_x0000_s2050" o:spid="_x0000_s2050" o:spt="75" type="#_x0000_t75" style="position:absolute;left:0pt;margin-left:-2.75pt;margin-top:10pt;height:164.4pt;width:395.65pt;z-index:251665408;mso-width-relative:page;mso-height-relative:page;" o:ole="t" filled="f" o:preferrelative="t" stroked="f" coordsize="21600,21600">
                  <v:path/>
                  <v:fill on="f" focussize="0,0"/>
                  <v:stroke on="f"/>
                  <v:imagedata r:id="rId11" cropleft="1075f" cropright="-226f" cropbottom="24706f" o:title=""/>
                  <o:lock v:ext="edit" aspectratio="t"/>
                </v:shape>
                <o:OLEObject Type="Embed" ProgID="Visio.Drawing.11" ShapeID="_x0000_s2050" DrawAspect="Content" ObjectID="_1468075726" r:id="rId10">
                  <o:LockedField>false</o:LockedField>
                </o:OLEObject>
              </w:pict>
            </w:r>
            <w:r>
              <w:rPr>
                <w:rFonts w:hint="default" w:ascii="Times New Roman" w:hAnsi="Times New Roman" w:cs="Times New Roman"/>
                <w:color w:val="auto"/>
                <w:sz w:val="24"/>
                <w:highlight w:val="none"/>
                <w:lang w:val="en-US" w:eastAsia="zh-CN"/>
              </w:rPr>
              <w:t>1、钢制边框复合隔墙板生产工艺</w:t>
            </w:r>
          </w:p>
          <w:p w14:paraId="69710F15">
            <w:pPr>
              <w:pStyle w:val="15"/>
              <w:tabs>
                <w:tab w:val="left" w:pos="1800"/>
              </w:tabs>
              <w:spacing w:line="360" w:lineRule="auto"/>
              <w:ind w:left="0" w:leftChars="0"/>
              <w:rPr>
                <w:rFonts w:hint="default" w:ascii="Times New Roman" w:hAnsi="Times New Roman" w:eastAsia="宋体" w:cs="Times New Roman"/>
                <w:color w:val="auto"/>
                <w:highlight w:val="none"/>
              </w:rPr>
            </w:pPr>
          </w:p>
          <w:p w14:paraId="3359B5FF">
            <w:pPr>
              <w:pStyle w:val="15"/>
              <w:tabs>
                <w:tab w:val="left" w:pos="1800"/>
              </w:tabs>
              <w:spacing w:line="360" w:lineRule="auto"/>
              <w:ind w:left="0" w:leftChars="0"/>
              <w:rPr>
                <w:rFonts w:hint="default" w:ascii="Times New Roman" w:hAnsi="Times New Roman" w:eastAsia="宋体" w:cs="Times New Roman"/>
                <w:color w:val="auto"/>
                <w:highlight w:val="none"/>
              </w:rPr>
            </w:pPr>
          </w:p>
          <w:p w14:paraId="2F444FAB">
            <w:pPr>
              <w:spacing w:before="50" w:line="460" w:lineRule="exac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             </w:t>
            </w:r>
          </w:p>
          <w:p w14:paraId="65B23A31">
            <w:pPr>
              <w:pStyle w:val="51"/>
              <w:jc w:val="center"/>
              <w:rPr>
                <w:rFonts w:hint="default" w:ascii="Times New Roman" w:hAnsi="Times New Roman" w:eastAsia="宋体" w:cs="Times New Roman"/>
                <w:color w:val="auto"/>
                <w:sz w:val="24"/>
                <w:szCs w:val="24"/>
                <w:highlight w:val="none"/>
              </w:rPr>
            </w:pPr>
          </w:p>
          <w:p w14:paraId="601C08DE">
            <w:pPr>
              <w:pStyle w:val="51"/>
              <w:jc w:val="center"/>
              <w:rPr>
                <w:rFonts w:hint="default" w:ascii="Times New Roman" w:hAnsi="Times New Roman" w:eastAsia="宋体" w:cs="Times New Roman"/>
                <w:color w:val="auto"/>
                <w:sz w:val="24"/>
                <w:szCs w:val="24"/>
                <w:highlight w:val="none"/>
              </w:rPr>
            </w:pPr>
          </w:p>
          <w:p w14:paraId="20DFA5C0">
            <w:pPr>
              <w:pStyle w:val="51"/>
              <w:jc w:val="center"/>
              <w:rPr>
                <w:rFonts w:hint="default" w:ascii="Times New Roman" w:hAnsi="Times New Roman" w:eastAsia="宋体" w:cs="Times New Roman"/>
                <w:color w:val="auto"/>
                <w:sz w:val="24"/>
                <w:szCs w:val="24"/>
                <w:highlight w:val="none"/>
              </w:rPr>
            </w:pPr>
          </w:p>
          <w:p w14:paraId="50C538BC">
            <w:pPr>
              <w:pStyle w:val="51"/>
              <w:jc w:val="center"/>
              <w:rPr>
                <w:rFonts w:hint="default" w:ascii="Times New Roman" w:hAnsi="Times New Roman" w:eastAsia="宋体" w:cs="Times New Roman"/>
                <w:color w:val="auto"/>
                <w:sz w:val="24"/>
                <w:szCs w:val="24"/>
                <w:highlight w:val="none"/>
              </w:rPr>
            </w:pPr>
          </w:p>
          <w:p w14:paraId="40BE04DA">
            <w:pPr>
              <w:pStyle w:val="51"/>
              <w:jc w:val="center"/>
              <w:rPr>
                <w:rFonts w:hint="default" w:ascii="Times New Roman" w:hAnsi="Times New Roman" w:eastAsia="宋体" w:cs="Times New Roman"/>
                <w:color w:val="auto"/>
                <w:sz w:val="24"/>
                <w:szCs w:val="24"/>
                <w:highlight w:val="none"/>
              </w:rPr>
            </w:pPr>
          </w:p>
          <w:p w14:paraId="298AE657">
            <w:pPr>
              <w:pStyle w:val="51"/>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图</w:t>
            </w:r>
            <w:r>
              <w:rPr>
                <w:rFonts w:hint="default" w:ascii="Times New Roman" w:hAnsi="Times New Roman"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rPr>
              <w:t xml:space="preserve">  </w:t>
            </w:r>
            <w:r>
              <w:rPr>
                <w:rFonts w:hint="default" w:ascii="Times New Roman" w:hAnsi="Times New Roman" w:eastAsia="宋体" w:cs="Times New Roman"/>
                <w:b/>
                <w:bCs/>
                <w:color w:val="auto"/>
                <w:sz w:val="24"/>
                <w:szCs w:val="24"/>
                <w:highlight w:val="none"/>
                <w:lang w:val="en-US" w:eastAsia="zh-CN"/>
              </w:rPr>
              <w:t>钢框架防火保温隔墙板生产</w:t>
            </w:r>
            <w:r>
              <w:rPr>
                <w:rFonts w:hint="default" w:ascii="Times New Roman" w:hAnsi="Times New Roman" w:eastAsia="宋体" w:cs="Times New Roman"/>
                <w:b/>
                <w:bCs/>
                <w:color w:val="auto"/>
                <w:sz w:val="24"/>
                <w:szCs w:val="24"/>
                <w:highlight w:val="none"/>
              </w:rPr>
              <w:t>工艺流程及排污节点图</w:t>
            </w:r>
          </w:p>
          <w:p w14:paraId="7C95B00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钢框架防火保温隔墙板</w:t>
            </w:r>
            <w:r>
              <w:rPr>
                <w:rFonts w:hint="default" w:ascii="Times New Roman" w:hAnsi="Times New Roman" w:eastAsia="宋体" w:cs="Times New Roman"/>
                <w:color w:val="auto"/>
                <w:kern w:val="2"/>
                <w:sz w:val="24"/>
                <w:szCs w:val="24"/>
                <w:highlight w:val="none"/>
                <w:lang w:val="en-US" w:eastAsia="zh-CN" w:bidi="ar-SA"/>
              </w:rPr>
              <w:t>生产工艺流程简述如下：</w:t>
            </w:r>
          </w:p>
          <w:p w14:paraId="1AF43778">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zh-CN" w:eastAsia="zh-CN"/>
              </w:rPr>
            </w:pPr>
            <w:r>
              <w:rPr>
                <w:rFonts w:hint="default" w:ascii="Times New Roman" w:hAnsi="Times New Roman" w:eastAsia="宋体" w:cs="Times New Roman"/>
                <w:color w:val="auto"/>
                <w:sz w:val="24"/>
                <w:szCs w:val="24"/>
                <w:highlight w:val="none"/>
                <w:lang w:val="zh-CN" w:eastAsia="zh-CN"/>
              </w:rPr>
              <w:t>①浆料准备</w:t>
            </w:r>
          </w:p>
          <w:p w14:paraId="7BEBB44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物料由车辆运输进厂，粉煤灰、脱硫石膏、水泥、珍珠岩等物料进场后经罐车泵入原料储罐内存储。</w:t>
            </w:r>
            <w:r>
              <w:rPr>
                <w:rFonts w:hint="default" w:ascii="Times New Roman" w:hAnsi="Times New Roman" w:eastAsia="宋体" w:cs="Times New Roman"/>
                <w:color w:val="auto"/>
                <w:kern w:val="2"/>
                <w:sz w:val="24"/>
                <w:szCs w:val="24"/>
                <w:highlight w:val="none"/>
                <w:lang w:val="en-US" w:eastAsia="zh-CN" w:bidi="ar-SA"/>
              </w:rPr>
              <w:t>储罐出口设在罐底，生产时</w:t>
            </w:r>
            <w:r>
              <w:rPr>
                <w:rFonts w:hint="default" w:ascii="Times New Roman" w:hAnsi="Times New Roman" w:cs="Times New Roman"/>
                <w:color w:val="auto"/>
                <w:kern w:val="2"/>
                <w:sz w:val="24"/>
                <w:szCs w:val="24"/>
                <w:highlight w:val="none"/>
                <w:lang w:val="en-US" w:eastAsia="zh-CN" w:bidi="ar-SA"/>
              </w:rPr>
              <w:t>按工艺比例</w:t>
            </w:r>
            <w:r>
              <w:rPr>
                <w:rFonts w:hint="default" w:ascii="Times New Roman" w:hAnsi="Times New Roman" w:eastAsia="宋体" w:cs="Times New Roman"/>
                <w:color w:val="auto"/>
                <w:kern w:val="2"/>
                <w:sz w:val="24"/>
                <w:szCs w:val="24"/>
                <w:highlight w:val="none"/>
                <w:lang w:val="en-US" w:eastAsia="zh-CN" w:bidi="ar-SA"/>
              </w:rPr>
              <w:t>经计量称精确计量配比后，由</w:t>
            </w:r>
            <w:r>
              <w:rPr>
                <w:rFonts w:hint="default" w:ascii="Times New Roman" w:hAnsi="Times New Roman" w:cs="Times New Roman"/>
                <w:color w:val="auto"/>
                <w:kern w:val="2"/>
                <w:sz w:val="24"/>
                <w:szCs w:val="24"/>
                <w:highlight w:val="none"/>
                <w:lang w:val="en-US" w:eastAsia="zh-CN" w:bidi="ar-SA"/>
              </w:rPr>
              <w:t>密闭管道</w:t>
            </w:r>
            <w:r>
              <w:rPr>
                <w:rFonts w:hint="default" w:ascii="Times New Roman" w:hAnsi="Times New Roman" w:cs="Times New Roman"/>
                <w:color w:val="auto"/>
                <w:sz w:val="24"/>
                <w:szCs w:val="24"/>
                <w:highlight w:val="none"/>
                <w:lang w:val="en-US" w:eastAsia="zh-CN"/>
              </w:rPr>
              <w:t>输送至全自动板材复合机的搅拌仓内，同时加入水进行搅拌，其中料水比例约为100：55。</w:t>
            </w:r>
          </w:p>
          <w:p w14:paraId="2D9681C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产污节点：废气污染源为车辆运输扬尘（G1），采取车辆加盖苫布、道路硬化、定期清扫、进出厂车辆冲洗等控制措施；废气污染源为储罐呼吸废气（G2）、上料废气（G3）、搅拌废气（G4），主要污染物均为颗粒物，集气管道收集废气，储罐废气经罐顶除尘器处理后，和上料、搅拌废气一同引至布袋除尘器处理，再经1根15m排气筒排放；噪声污染源为车辆运输、物料输送、全自动板材复合机（复合机中的上料系统、搅拌仓）产生的噪声（N1、N2、N3、N4）</w:t>
            </w:r>
            <w:r>
              <w:rPr>
                <w:rFonts w:hint="default" w:ascii="Times New Roman" w:hAnsi="Times New Roman" w:eastAsia="宋体" w:cs="Times New Roman"/>
                <w:color w:val="auto"/>
                <w:sz w:val="24"/>
                <w:szCs w:val="24"/>
                <w:highlight w:val="none"/>
                <w:lang w:val="en-US" w:eastAsia="zh-CN"/>
              </w:rPr>
              <w:t>，采取基础减振、厂房隔声等措施降噪。废水污染源为</w:t>
            </w:r>
            <w:r>
              <w:rPr>
                <w:rFonts w:hint="default" w:ascii="Times New Roman" w:hAnsi="Times New Roman" w:eastAsia="宋体" w:cs="Times New Roman"/>
                <w:b w:val="0"/>
                <w:bCs/>
                <w:color w:val="auto"/>
                <w:sz w:val="24"/>
                <w:szCs w:val="24"/>
                <w:highlight w:val="none"/>
                <w:lang w:eastAsia="zh-CN"/>
              </w:rPr>
              <w:t>车辆清洗产生的废水（</w:t>
            </w:r>
            <w:r>
              <w:rPr>
                <w:rFonts w:hint="default" w:ascii="Times New Roman" w:hAnsi="Times New Roman" w:eastAsia="宋体" w:cs="Times New Roman"/>
                <w:b w:val="0"/>
                <w:bCs/>
                <w:color w:val="auto"/>
                <w:sz w:val="24"/>
                <w:szCs w:val="24"/>
                <w:highlight w:val="none"/>
                <w:lang w:val="en-US" w:eastAsia="zh-CN"/>
              </w:rPr>
              <w:t>W1</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cs="Times New Roman"/>
                <w:b w:val="0"/>
                <w:bCs/>
                <w:color w:val="auto"/>
                <w:sz w:val="24"/>
                <w:szCs w:val="24"/>
                <w:highlight w:val="none"/>
                <w:lang w:eastAsia="zh-CN"/>
              </w:rPr>
              <w:t>，经沉淀池沉淀后回用于车辆清洗</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固体废物为沉淀池产生沉淀泥（S1），收集后外售；</w:t>
            </w:r>
            <w:r>
              <w:rPr>
                <w:rFonts w:hint="default" w:ascii="Times New Roman" w:hAnsi="Times New Roman" w:cs="Times New Roman"/>
                <w:color w:val="auto"/>
                <w:sz w:val="24"/>
                <w:szCs w:val="24"/>
                <w:highlight w:val="none"/>
                <w:lang w:val="en-US" w:eastAsia="zh-CN"/>
              </w:rPr>
              <w:t>仓顶</w:t>
            </w:r>
            <w:r>
              <w:rPr>
                <w:rFonts w:hint="default" w:ascii="Times New Roman" w:hAnsi="Times New Roman" w:eastAsia="宋体" w:cs="Times New Roman"/>
                <w:color w:val="auto"/>
                <w:sz w:val="24"/>
                <w:szCs w:val="24"/>
                <w:highlight w:val="none"/>
                <w:lang w:val="en-US" w:eastAsia="zh-CN"/>
              </w:rPr>
              <w:t>除尘器</w:t>
            </w:r>
            <w:r>
              <w:rPr>
                <w:rFonts w:hint="default" w:ascii="Times New Roman" w:hAnsi="Times New Roman" w:cs="Times New Roman"/>
                <w:color w:val="auto"/>
                <w:sz w:val="24"/>
                <w:szCs w:val="24"/>
                <w:highlight w:val="none"/>
                <w:lang w:val="en-US" w:eastAsia="zh-CN"/>
              </w:rPr>
              <w:t>和布袋除尘器</w:t>
            </w:r>
            <w:r>
              <w:rPr>
                <w:rFonts w:hint="default" w:ascii="Times New Roman" w:hAnsi="Times New Roman" w:eastAsia="宋体" w:cs="Times New Roman"/>
                <w:color w:val="auto"/>
                <w:sz w:val="24"/>
                <w:szCs w:val="24"/>
                <w:highlight w:val="none"/>
                <w:lang w:val="en-US" w:eastAsia="zh-CN"/>
              </w:rPr>
              <w:t>收集的除尘灰（S2、S3、S</w:t>
            </w:r>
            <w:r>
              <w:rPr>
                <w:rFonts w:hint="default" w:ascii="Times New Roman" w:hAnsi="Times New Roman"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），收集后回用于生产。</w:t>
            </w:r>
          </w:p>
          <w:p w14:paraId="262F90A6">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eastAsia="zh-CN"/>
              </w:rPr>
              <w:t>②</w:t>
            </w:r>
            <w:r>
              <w:rPr>
                <w:rFonts w:hint="default" w:ascii="Times New Roman" w:hAnsi="Times New Roman" w:cs="Times New Roman"/>
                <w:color w:val="auto"/>
                <w:sz w:val="24"/>
                <w:szCs w:val="24"/>
                <w:highlight w:val="none"/>
                <w:lang w:val="zh-CN" w:eastAsia="zh-CN"/>
              </w:rPr>
              <w:t>钢板加工</w:t>
            </w:r>
            <w:r>
              <w:rPr>
                <w:rFonts w:hint="default" w:ascii="Times New Roman" w:hAnsi="Times New Roman" w:eastAsia="宋体" w:cs="Times New Roman"/>
                <w:color w:val="auto"/>
                <w:sz w:val="24"/>
                <w:szCs w:val="24"/>
                <w:highlight w:val="none"/>
                <w:lang w:val="zh-CN" w:eastAsia="zh-CN"/>
              </w:rPr>
              <w:t>焊接</w:t>
            </w:r>
          </w:p>
          <w:p w14:paraId="6A1FA815">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将外购钢板置于铁板板材自动成型机</w:t>
            </w:r>
            <w:r>
              <w:rPr>
                <w:rFonts w:hint="default" w:ascii="Times New Roman" w:hAnsi="Times New Roman" w:cs="Times New Roman"/>
                <w:color w:val="auto"/>
                <w:sz w:val="24"/>
                <w:szCs w:val="24"/>
                <w:highlight w:val="none"/>
                <w:lang w:val="en-US" w:eastAsia="zh-CN"/>
              </w:rPr>
              <w:t>对其进行</w:t>
            </w:r>
            <w:r>
              <w:rPr>
                <w:rFonts w:hint="default" w:ascii="Times New Roman" w:hAnsi="Times New Roman" w:eastAsia="宋体" w:cs="Times New Roman"/>
                <w:color w:val="auto"/>
                <w:sz w:val="24"/>
                <w:szCs w:val="24"/>
                <w:highlight w:val="none"/>
                <w:lang w:val="en-US" w:eastAsia="zh-CN"/>
              </w:rPr>
              <w:t>挤压加工</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使钢板形成需要的形状，再</w:t>
            </w:r>
            <w:r>
              <w:rPr>
                <w:rFonts w:hint="default" w:ascii="Times New Roman" w:hAnsi="Times New Roman" w:cs="Times New Roman"/>
                <w:color w:val="auto"/>
                <w:sz w:val="24"/>
                <w:szCs w:val="24"/>
                <w:highlight w:val="none"/>
                <w:lang w:val="en-US" w:eastAsia="zh-CN"/>
              </w:rPr>
              <w:t>采用焊接机进行焊接。</w:t>
            </w:r>
          </w:p>
          <w:p w14:paraId="1EA5DBC2">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产污节点：废气污染源为焊接废气（G</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），主要污染物为焊接烟尘，经焊烟净化器处理后无组织排放；噪声污染源为铁板板材自动成型机</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焊接机产生的噪声（N</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N</w:t>
            </w:r>
            <w:r>
              <w:rPr>
                <w:rFonts w:hint="default"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），采取基础减振、厂房隔声等措施降噪。固体废物为焊接产生的废焊材（S</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），收集后外售。</w:t>
            </w:r>
          </w:p>
          <w:p w14:paraId="1174127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eastAsia="zh-CN"/>
              </w:rPr>
              <w:t>③</w:t>
            </w:r>
            <w:r>
              <w:rPr>
                <w:rFonts w:hint="default" w:ascii="Times New Roman" w:hAnsi="Times New Roman" w:eastAsia="宋体" w:cs="Times New Roman"/>
                <w:color w:val="auto"/>
                <w:sz w:val="24"/>
                <w:szCs w:val="24"/>
                <w:highlight w:val="none"/>
                <w:lang w:val="en-US" w:eastAsia="zh-CN"/>
              </w:rPr>
              <w:t>铺网格布</w:t>
            </w:r>
          </w:p>
          <w:p w14:paraId="75C98EB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将焊接好的钢板放置在全自动板材复合机的成型系统的模具中，在钢板上铺一层网格布。</w:t>
            </w:r>
          </w:p>
          <w:p w14:paraId="1B3EA859">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eastAsia="zh-CN"/>
              </w:rPr>
              <w:t>④</w:t>
            </w:r>
            <w:r>
              <w:rPr>
                <w:rFonts w:hint="default" w:ascii="Times New Roman" w:hAnsi="Times New Roman" w:eastAsia="宋体" w:cs="Times New Roman"/>
                <w:color w:val="auto"/>
                <w:sz w:val="24"/>
                <w:szCs w:val="24"/>
                <w:highlight w:val="none"/>
                <w:lang w:val="en-US" w:eastAsia="zh-CN"/>
              </w:rPr>
              <w:t>上浆料</w:t>
            </w:r>
          </w:p>
          <w:p w14:paraId="5F3CEFD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4"/>
                <w:szCs w:val="24"/>
                <w:highlight w:val="none"/>
                <w:lang w:val="en-US" w:eastAsia="zh-CN"/>
              </w:rPr>
              <w:t>将</w:t>
            </w:r>
            <w:r>
              <w:rPr>
                <w:rFonts w:hint="default" w:ascii="Times New Roman" w:hAnsi="Times New Roman" w:cs="Times New Roman"/>
                <w:color w:val="auto"/>
                <w:sz w:val="24"/>
                <w:szCs w:val="24"/>
                <w:highlight w:val="none"/>
                <w:lang w:val="en-US" w:eastAsia="zh-CN"/>
              </w:rPr>
              <w:t>搅拌</w:t>
            </w:r>
            <w:r>
              <w:rPr>
                <w:rFonts w:hint="default" w:ascii="Times New Roman" w:hAnsi="Times New Roman" w:eastAsia="宋体" w:cs="Times New Roman"/>
                <w:color w:val="auto"/>
                <w:sz w:val="24"/>
                <w:szCs w:val="24"/>
                <w:highlight w:val="none"/>
                <w:lang w:val="en-US" w:eastAsia="zh-CN"/>
              </w:rPr>
              <w:t>均匀的浆料</w:t>
            </w:r>
            <w:r>
              <w:rPr>
                <w:rFonts w:hint="default" w:ascii="Times New Roman" w:hAnsi="Times New Roman" w:cs="Times New Roman"/>
                <w:color w:val="auto"/>
                <w:sz w:val="24"/>
                <w:szCs w:val="24"/>
                <w:highlight w:val="none"/>
                <w:lang w:val="en-US" w:eastAsia="zh-CN"/>
              </w:rPr>
              <w:t>灌入</w:t>
            </w:r>
            <w:r>
              <w:rPr>
                <w:rFonts w:hint="default" w:ascii="Times New Roman" w:hAnsi="Times New Roman" w:eastAsia="宋体" w:cs="Times New Roman"/>
                <w:color w:val="auto"/>
                <w:sz w:val="24"/>
                <w:szCs w:val="24"/>
                <w:highlight w:val="none"/>
                <w:lang w:val="en-US" w:eastAsia="zh-CN"/>
              </w:rPr>
              <w:t>成型系统的模具</w:t>
            </w:r>
            <w:r>
              <w:rPr>
                <w:rFonts w:hint="default" w:ascii="Times New Roman" w:hAnsi="Times New Roman" w:cs="Times New Roman"/>
                <w:color w:val="auto"/>
                <w:sz w:val="24"/>
                <w:szCs w:val="24"/>
                <w:highlight w:val="none"/>
                <w:lang w:val="en-US" w:eastAsia="zh-CN"/>
              </w:rPr>
              <w:t>中</w:t>
            </w:r>
            <w:r>
              <w:rPr>
                <w:rFonts w:hint="default" w:ascii="Times New Roman" w:hAnsi="Times New Roman" w:eastAsia="宋体" w:cs="Times New Roman"/>
                <w:color w:val="auto"/>
                <w:sz w:val="21"/>
                <w:szCs w:val="21"/>
                <w:highlight w:val="none"/>
                <w:lang w:val="en-US" w:eastAsia="zh-CN"/>
              </w:rPr>
              <w:t>。</w:t>
            </w:r>
          </w:p>
          <w:p w14:paraId="4650DF0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eastAsia="zh-CN"/>
              </w:rPr>
              <w:t>⑤</w:t>
            </w:r>
            <w:r>
              <w:rPr>
                <w:rFonts w:hint="default" w:ascii="Times New Roman" w:hAnsi="Times New Roman" w:eastAsia="宋体" w:cs="Times New Roman"/>
                <w:color w:val="auto"/>
                <w:sz w:val="24"/>
                <w:szCs w:val="24"/>
                <w:highlight w:val="none"/>
                <w:lang w:val="en-US" w:eastAsia="zh-CN"/>
              </w:rPr>
              <w:t>固化</w:t>
            </w:r>
          </w:p>
          <w:p w14:paraId="679EE16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对上浆料后的板材</w:t>
            </w:r>
            <w:r>
              <w:rPr>
                <w:rFonts w:hint="default" w:ascii="Times New Roman" w:hAnsi="Times New Roman" w:cs="Times New Roman"/>
                <w:color w:val="auto"/>
                <w:sz w:val="24"/>
                <w:szCs w:val="24"/>
                <w:highlight w:val="none"/>
                <w:lang w:val="en-US" w:eastAsia="zh-CN"/>
              </w:rPr>
              <w:t>在成型系统中</w:t>
            </w:r>
            <w:r>
              <w:rPr>
                <w:rFonts w:hint="default" w:ascii="Times New Roman" w:hAnsi="Times New Roman" w:eastAsia="宋体" w:cs="Times New Roman"/>
                <w:color w:val="auto"/>
                <w:sz w:val="24"/>
                <w:szCs w:val="24"/>
                <w:highlight w:val="none"/>
                <w:lang w:val="en-US" w:eastAsia="zh-CN"/>
              </w:rPr>
              <w:t>固化成型（自然晾晒），固化周期为</w:t>
            </w:r>
            <w:r>
              <w:rPr>
                <w:rFonts w:hint="default" w:ascii="Times New Roman" w:hAnsi="Times New Roman" w:cs="Times New Roman"/>
                <w:color w:val="auto"/>
                <w:sz w:val="24"/>
                <w:szCs w:val="24"/>
                <w:highlight w:val="none"/>
                <w:lang w:val="en-US" w:eastAsia="zh-CN"/>
              </w:rPr>
              <w:t>0.5h</w:t>
            </w:r>
            <w:r>
              <w:rPr>
                <w:rFonts w:hint="default" w:ascii="Times New Roman" w:hAnsi="Times New Roman" w:eastAsia="宋体" w:cs="Times New Roman"/>
                <w:color w:val="auto"/>
                <w:sz w:val="24"/>
                <w:szCs w:val="24"/>
                <w:highlight w:val="none"/>
                <w:lang w:val="en-US" w:eastAsia="zh-CN"/>
              </w:rPr>
              <w:t>；固化后的成品</w:t>
            </w:r>
            <w:r>
              <w:rPr>
                <w:rFonts w:hint="default" w:ascii="Times New Roman" w:hAnsi="Times New Roman" w:cs="Times New Roman"/>
                <w:color w:val="auto"/>
                <w:sz w:val="24"/>
                <w:szCs w:val="24"/>
                <w:highlight w:val="none"/>
                <w:lang w:val="en-US" w:eastAsia="zh-CN"/>
              </w:rPr>
              <w:t>采用</w:t>
            </w:r>
            <w:r>
              <w:rPr>
                <w:rFonts w:hint="default" w:ascii="Times New Roman" w:hAnsi="Times New Roman" w:eastAsia="宋体" w:cs="Times New Roman"/>
                <w:color w:val="auto"/>
                <w:sz w:val="24"/>
                <w:szCs w:val="24"/>
                <w:highlight w:val="none"/>
                <w:lang w:val="en-US" w:eastAsia="zh-CN"/>
              </w:rPr>
              <w:t>全自动板材复合机</w:t>
            </w:r>
            <w:r>
              <w:rPr>
                <w:rFonts w:hint="default" w:ascii="Times New Roman" w:hAnsi="Times New Roman" w:cs="Times New Roman"/>
                <w:color w:val="auto"/>
                <w:sz w:val="24"/>
                <w:szCs w:val="24"/>
                <w:highlight w:val="none"/>
                <w:lang w:val="en-US" w:eastAsia="zh-CN"/>
              </w:rPr>
              <w:t>中的翻转机</w:t>
            </w:r>
            <w:r>
              <w:rPr>
                <w:rFonts w:hint="default" w:ascii="Times New Roman" w:hAnsi="Times New Roman" w:eastAsia="宋体" w:cs="Times New Roman"/>
                <w:color w:val="auto"/>
                <w:sz w:val="24"/>
                <w:szCs w:val="24"/>
                <w:highlight w:val="none"/>
                <w:lang w:val="en-US" w:eastAsia="zh-CN"/>
              </w:rPr>
              <w:t>从流水线上取下来，并对</w:t>
            </w:r>
            <w:r>
              <w:rPr>
                <w:rFonts w:hint="default" w:ascii="Times New Roman" w:hAnsi="Times New Roman" w:cs="Times New Roman"/>
                <w:color w:val="auto"/>
                <w:sz w:val="24"/>
                <w:szCs w:val="24"/>
                <w:highlight w:val="none"/>
                <w:lang w:val="en-US" w:eastAsia="zh-CN"/>
              </w:rPr>
              <w:t>固化模具</w:t>
            </w:r>
            <w:r>
              <w:rPr>
                <w:rFonts w:hint="default" w:ascii="Times New Roman" w:hAnsi="Times New Roman" w:eastAsia="宋体" w:cs="Times New Roman"/>
                <w:color w:val="auto"/>
                <w:sz w:val="24"/>
                <w:szCs w:val="24"/>
                <w:highlight w:val="none"/>
                <w:lang w:val="en-US" w:eastAsia="zh-CN"/>
              </w:rPr>
              <w:t>进行冲洗。</w:t>
            </w:r>
          </w:p>
          <w:p w14:paraId="38D05E08">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产污节点：该工序产生</w:t>
            </w:r>
            <w:r>
              <w:rPr>
                <w:rFonts w:hint="default" w:ascii="Times New Roman" w:hAnsi="Times New Roman" w:cs="Times New Roman"/>
                <w:color w:val="auto"/>
                <w:sz w:val="24"/>
                <w:szCs w:val="24"/>
                <w:highlight w:val="none"/>
                <w:lang w:val="en-US" w:eastAsia="zh-CN"/>
              </w:rPr>
              <w:t>模具冲洗</w:t>
            </w:r>
            <w:r>
              <w:rPr>
                <w:rFonts w:hint="default" w:ascii="Times New Roman" w:hAnsi="Times New Roman" w:eastAsia="宋体" w:cs="Times New Roman"/>
                <w:color w:val="auto"/>
                <w:sz w:val="24"/>
                <w:szCs w:val="24"/>
                <w:highlight w:val="none"/>
                <w:lang w:val="en-US" w:eastAsia="zh-CN"/>
              </w:rPr>
              <w:t>废水（W2），</w:t>
            </w:r>
            <w:r>
              <w:rPr>
                <w:rFonts w:hint="default" w:ascii="Times New Roman" w:hAnsi="Times New Roman" w:cs="Times New Roman"/>
                <w:b w:val="0"/>
                <w:bCs/>
                <w:color w:val="auto"/>
                <w:sz w:val="24"/>
                <w:szCs w:val="24"/>
                <w:highlight w:val="none"/>
                <w:lang w:eastAsia="zh-CN"/>
              </w:rPr>
              <w:t>经沉淀池沉淀后回用于模具冲洗</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全自动板材复合机（复合机中的翻转机）产生的噪声（N7），</w:t>
            </w:r>
            <w:r>
              <w:rPr>
                <w:rFonts w:hint="default" w:ascii="Times New Roman" w:hAnsi="Times New Roman" w:eastAsia="宋体" w:cs="Times New Roman"/>
                <w:color w:val="auto"/>
                <w:sz w:val="24"/>
                <w:szCs w:val="24"/>
                <w:highlight w:val="none"/>
                <w:lang w:val="en-US" w:eastAsia="zh-CN"/>
              </w:rPr>
              <w:t>采取基础减振、厂房隔声等措施降噪。固体废物为沉淀池产生沉淀泥（S</w:t>
            </w:r>
            <w:r>
              <w:rPr>
                <w:rFonts w:hint="default"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），收集后外售。</w:t>
            </w:r>
          </w:p>
          <w:p w14:paraId="0F02470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lang w:val="zh-CN" w:eastAsia="zh-CN"/>
              </w:rPr>
            </w:pPr>
            <w:r>
              <w:rPr>
                <w:rFonts w:hint="default" w:ascii="Times New Roman" w:hAnsi="Times New Roman" w:eastAsia="宋体" w:cs="Times New Roman"/>
                <w:color w:val="auto"/>
                <w:sz w:val="24"/>
                <w:szCs w:val="24"/>
                <w:highlight w:val="none"/>
                <w:lang w:val="zh-CN" w:eastAsia="zh-CN"/>
              </w:rPr>
              <w:t>⑥</w:t>
            </w:r>
            <w:r>
              <w:rPr>
                <w:rFonts w:hint="default" w:ascii="Times New Roman" w:hAnsi="Times New Roman" w:eastAsia="宋体" w:cs="Times New Roman"/>
                <w:color w:val="auto"/>
                <w:sz w:val="24"/>
                <w:szCs w:val="24"/>
                <w:highlight w:val="none"/>
                <w:lang w:val="en-US" w:eastAsia="zh-CN"/>
              </w:rPr>
              <w:t>包装</w:t>
            </w:r>
            <w:r>
              <w:rPr>
                <w:rFonts w:hint="default" w:ascii="Times New Roman" w:hAnsi="Times New Roman" w:eastAsia="宋体" w:cs="Times New Roman"/>
                <w:color w:val="auto"/>
                <w:sz w:val="24"/>
                <w:szCs w:val="24"/>
                <w:highlight w:val="none"/>
                <w:lang w:val="zh-CN" w:eastAsia="zh-CN"/>
              </w:rPr>
              <w:t>、入库</w:t>
            </w:r>
          </w:p>
          <w:p w14:paraId="6061C3D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板材固化成型后即为成品，包装入库代售。</w:t>
            </w:r>
          </w:p>
          <w:p w14:paraId="73E8E598">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b/>
                <w:color w:val="auto"/>
                <w:sz w:val="24"/>
                <w:szCs w:val="24"/>
                <w:highlight w:val="none"/>
              </w:rPr>
              <w:pict>
                <v:shape id="_x0000_s2051" o:spid="_x0000_s2051" o:spt="75" type="#_x0000_t75" style="position:absolute;left:0pt;margin-left:-16.5pt;margin-top:19.8pt;height:141.75pt;width:406.4pt;z-index:251666432;mso-width-relative:page;mso-height-relative:page;" o:ole="t" filled="f" o:preferrelative="t" stroked="f" coordsize="21600,21600">
                  <v:path/>
                  <v:fill on="f" focussize="0,0"/>
                  <v:stroke on="f"/>
                  <v:imagedata r:id="rId13" cropleft="4377f" cropbottom="3291f" o:title=""/>
                  <o:lock v:ext="edit" aspectratio="t"/>
                </v:shape>
                <o:OLEObject Type="Embed" ProgID="Visio.Drawing.11" ShapeID="_x0000_s2051" DrawAspect="Content" ObjectID="_1468075727" r:id="rId12">
                  <o:LockedField>false</o:LockedField>
                </o:OLEObject>
              </w:pic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石膏</w:t>
            </w:r>
            <w:r>
              <w:rPr>
                <w:rFonts w:hint="default" w:ascii="Times New Roman" w:hAnsi="Times New Roman" w:eastAsia="宋体" w:cs="Times New Roman"/>
                <w:color w:val="auto"/>
                <w:sz w:val="24"/>
                <w:szCs w:val="24"/>
                <w:highlight w:val="none"/>
                <w:lang w:val="en-US" w:eastAsia="zh-CN"/>
              </w:rPr>
              <w:t>砂浆生产工艺：</w:t>
            </w:r>
          </w:p>
          <w:p w14:paraId="41AFBD5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rPr>
            </w:pPr>
          </w:p>
          <w:p w14:paraId="62C96666">
            <w:pPr>
              <w:pStyle w:val="51"/>
              <w:jc w:val="center"/>
              <w:rPr>
                <w:rFonts w:hint="default" w:ascii="Times New Roman" w:hAnsi="Times New Roman" w:eastAsia="宋体" w:cs="Times New Roman"/>
                <w:color w:val="auto"/>
                <w:sz w:val="24"/>
                <w:szCs w:val="24"/>
                <w:highlight w:val="none"/>
              </w:rPr>
            </w:pPr>
          </w:p>
          <w:p w14:paraId="0FA083B3">
            <w:pPr>
              <w:pStyle w:val="51"/>
              <w:jc w:val="center"/>
              <w:rPr>
                <w:rFonts w:hint="default" w:ascii="Times New Roman" w:hAnsi="Times New Roman" w:eastAsia="宋体" w:cs="Times New Roman"/>
                <w:color w:val="auto"/>
                <w:sz w:val="24"/>
                <w:szCs w:val="24"/>
                <w:highlight w:val="none"/>
              </w:rPr>
            </w:pPr>
          </w:p>
          <w:p w14:paraId="5BD04573">
            <w:pPr>
              <w:pStyle w:val="51"/>
              <w:jc w:val="center"/>
              <w:rPr>
                <w:rFonts w:hint="default" w:ascii="Times New Roman" w:hAnsi="Times New Roman" w:eastAsia="宋体" w:cs="Times New Roman"/>
                <w:color w:val="auto"/>
                <w:sz w:val="24"/>
                <w:szCs w:val="24"/>
                <w:highlight w:val="none"/>
              </w:rPr>
            </w:pPr>
          </w:p>
          <w:p w14:paraId="54F0B5A1">
            <w:pPr>
              <w:pStyle w:val="51"/>
              <w:jc w:val="center"/>
              <w:rPr>
                <w:rFonts w:hint="default" w:ascii="Times New Roman" w:hAnsi="Times New Roman" w:eastAsia="宋体" w:cs="Times New Roman"/>
                <w:color w:val="auto"/>
                <w:sz w:val="24"/>
                <w:szCs w:val="24"/>
                <w:highlight w:val="none"/>
              </w:rPr>
            </w:pPr>
          </w:p>
          <w:p w14:paraId="6975923C">
            <w:pPr>
              <w:pStyle w:val="51"/>
              <w:jc w:val="center"/>
              <w:rPr>
                <w:rFonts w:hint="default" w:ascii="Times New Roman" w:hAnsi="Times New Roman" w:eastAsia="宋体" w:cs="Times New Roman"/>
                <w:color w:val="auto"/>
                <w:sz w:val="24"/>
                <w:szCs w:val="24"/>
                <w:highlight w:val="none"/>
              </w:rPr>
            </w:pPr>
          </w:p>
          <w:p w14:paraId="02FBFC73">
            <w:pPr>
              <w:pStyle w:val="51"/>
              <w:jc w:val="center"/>
              <w:rPr>
                <w:rFonts w:hint="default" w:ascii="Times New Roman" w:hAnsi="Times New Roman" w:eastAsia="宋体" w:cs="Times New Roman"/>
                <w:color w:val="auto"/>
                <w:sz w:val="24"/>
                <w:szCs w:val="24"/>
                <w:highlight w:val="none"/>
              </w:rPr>
            </w:pPr>
          </w:p>
          <w:p w14:paraId="16249154">
            <w:pPr>
              <w:pStyle w:val="51"/>
              <w:jc w:val="center"/>
              <w:rPr>
                <w:rFonts w:hint="default" w:ascii="Times New Roman" w:hAnsi="Times New Roman" w:eastAsia="宋体" w:cs="Times New Roman"/>
                <w:color w:val="auto"/>
                <w:sz w:val="24"/>
                <w:szCs w:val="24"/>
                <w:highlight w:val="none"/>
              </w:rPr>
            </w:pPr>
          </w:p>
          <w:p w14:paraId="04D38366">
            <w:pPr>
              <w:pStyle w:val="51"/>
              <w:jc w:val="center"/>
              <w:rPr>
                <w:rFonts w:hint="default" w:ascii="Times New Roman" w:hAnsi="Times New Roman" w:eastAsia="宋体" w:cs="Times New Roman"/>
                <w:color w:val="auto"/>
                <w:sz w:val="24"/>
                <w:szCs w:val="24"/>
                <w:highlight w:val="none"/>
              </w:rPr>
            </w:pPr>
          </w:p>
          <w:p w14:paraId="4FD6A166">
            <w:pPr>
              <w:pStyle w:val="51"/>
              <w:jc w:val="center"/>
              <w:rPr>
                <w:rFonts w:hint="default" w:ascii="Times New Roman" w:hAnsi="Times New Roman" w:eastAsia="宋体" w:cs="Times New Roman"/>
                <w:color w:val="auto"/>
                <w:sz w:val="24"/>
                <w:szCs w:val="24"/>
                <w:highlight w:val="none"/>
              </w:rPr>
            </w:pPr>
          </w:p>
          <w:p w14:paraId="069E293F">
            <w:pPr>
              <w:pStyle w:val="51"/>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图</w:t>
            </w:r>
            <w:r>
              <w:rPr>
                <w:rFonts w:hint="default" w:ascii="Times New Roman" w:hAnsi="Times New Roman" w:eastAsia="宋体" w:cs="Times New Roman"/>
                <w:b/>
                <w:bCs/>
                <w:color w:val="auto"/>
                <w:sz w:val="24"/>
                <w:szCs w:val="24"/>
                <w:highlight w:val="none"/>
                <w:lang w:val="en-US" w:eastAsia="zh-CN"/>
              </w:rPr>
              <w:t>2-3</w:t>
            </w:r>
            <w:r>
              <w:rPr>
                <w:rFonts w:hint="default" w:ascii="Times New Roman" w:hAnsi="Times New Roman" w:eastAsia="宋体" w:cs="Times New Roman"/>
                <w:b/>
                <w:bCs/>
                <w:color w:val="auto"/>
                <w:sz w:val="24"/>
                <w:szCs w:val="24"/>
                <w:highlight w:val="none"/>
              </w:rPr>
              <w:t xml:space="preserve">  </w:t>
            </w:r>
            <w:r>
              <w:rPr>
                <w:rFonts w:hint="default" w:ascii="Times New Roman" w:hAnsi="Times New Roman" w:cs="Times New Roman"/>
                <w:b/>
                <w:bCs/>
                <w:color w:val="auto"/>
                <w:sz w:val="24"/>
                <w:szCs w:val="24"/>
                <w:highlight w:val="none"/>
                <w:lang w:eastAsia="zh-CN"/>
              </w:rPr>
              <w:t>石膏</w:t>
            </w:r>
            <w:r>
              <w:rPr>
                <w:rFonts w:hint="default" w:ascii="Times New Roman" w:hAnsi="Times New Roman" w:eastAsia="宋体" w:cs="Times New Roman"/>
                <w:b/>
                <w:bCs/>
                <w:color w:val="auto"/>
                <w:sz w:val="24"/>
                <w:szCs w:val="24"/>
                <w:highlight w:val="none"/>
                <w:lang w:val="en-US" w:eastAsia="zh-CN"/>
              </w:rPr>
              <w:t>砂浆生产</w:t>
            </w:r>
            <w:r>
              <w:rPr>
                <w:rFonts w:hint="default" w:ascii="Times New Roman" w:hAnsi="Times New Roman" w:eastAsia="宋体" w:cs="Times New Roman"/>
                <w:b/>
                <w:bCs/>
                <w:color w:val="auto"/>
                <w:sz w:val="24"/>
                <w:szCs w:val="24"/>
                <w:highlight w:val="none"/>
              </w:rPr>
              <w:t>工艺流程及排污节点图</w:t>
            </w:r>
          </w:p>
          <w:p w14:paraId="5B76B79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石膏</w:t>
            </w:r>
            <w:r>
              <w:rPr>
                <w:rFonts w:hint="default" w:ascii="Times New Roman" w:hAnsi="Times New Roman" w:eastAsia="宋体" w:cs="Times New Roman"/>
                <w:color w:val="auto"/>
                <w:kern w:val="2"/>
                <w:sz w:val="24"/>
                <w:szCs w:val="24"/>
                <w:highlight w:val="none"/>
                <w:lang w:val="en-US" w:eastAsia="zh-CN" w:bidi="ar-SA"/>
              </w:rPr>
              <w:t>砂浆生产线生产工艺流程简述如下：</w:t>
            </w:r>
          </w:p>
          <w:p w14:paraId="58CC0AE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zh-CN" w:eastAsia="zh-CN"/>
              </w:rPr>
              <w:t>①</w:t>
            </w:r>
            <w:r>
              <w:rPr>
                <w:rFonts w:hint="default" w:ascii="Times New Roman" w:hAnsi="Times New Roman" w:cs="Times New Roman"/>
                <w:color w:val="auto"/>
                <w:kern w:val="2"/>
                <w:sz w:val="24"/>
                <w:szCs w:val="24"/>
                <w:highlight w:val="none"/>
                <w:lang w:val="en-US" w:eastAsia="zh-CN" w:bidi="ar-SA"/>
              </w:rPr>
              <w:t>进厂、储罐</w:t>
            </w:r>
          </w:p>
          <w:p w14:paraId="22D24B3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物料由车辆运输进厂，</w:t>
            </w:r>
            <w:r>
              <w:rPr>
                <w:rFonts w:hint="default" w:ascii="Times New Roman" w:hAnsi="Times New Roman" w:eastAsia="宋体" w:cs="Times New Roman"/>
                <w:color w:val="auto"/>
                <w:sz w:val="24"/>
                <w:szCs w:val="24"/>
                <w:highlight w:val="none"/>
                <w:lang w:val="en-US" w:eastAsia="zh-CN"/>
              </w:rPr>
              <w:t>脱硫石膏、粉煤灰、玻化微珠、蛭石等物料</w:t>
            </w:r>
            <w:r>
              <w:rPr>
                <w:rFonts w:hint="default" w:ascii="Times New Roman" w:hAnsi="Times New Roman" w:cs="Times New Roman"/>
                <w:color w:val="auto"/>
                <w:sz w:val="24"/>
                <w:szCs w:val="24"/>
                <w:highlight w:val="none"/>
                <w:lang w:val="en-US" w:eastAsia="zh-CN"/>
              </w:rPr>
              <w:t>进场后经罐车泵入原料储罐内存储。</w:t>
            </w:r>
          </w:p>
          <w:p w14:paraId="148EF317">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产污节点：废气污染源为</w:t>
            </w:r>
            <w:r>
              <w:rPr>
                <w:rFonts w:hint="default" w:ascii="Times New Roman" w:hAnsi="Times New Roman" w:eastAsia="宋体" w:cs="Times New Roman"/>
                <w:b w:val="0"/>
                <w:bCs/>
                <w:color w:val="auto"/>
                <w:sz w:val="24"/>
                <w:szCs w:val="24"/>
                <w:highlight w:val="none"/>
                <w:lang w:eastAsia="zh-CN"/>
              </w:rPr>
              <w:t>车</w:t>
            </w:r>
            <w:r>
              <w:rPr>
                <w:rFonts w:hint="default" w:ascii="Times New Roman" w:hAnsi="Times New Roman" w:eastAsia="宋体" w:cs="Times New Roman"/>
                <w:b w:val="0"/>
                <w:bCs/>
                <w:color w:val="auto"/>
                <w:sz w:val="24"/>
                <w:szCs w:val="24"/>
                <w:highlight w:val="none"/>
                <w:lang w:val="en-US" w:eastAsia="zh-CN"/>
              </w:rPr>
              <w:t>辆运输扬尘（G</w:t>
            </w:r>
            <w:r>
              <w:rPr>
                <w:rFonts w:hint="default" w:ascii="Times New Roman" w:hAnsi="Times New Roman" w:cs="Times New Roman"/>
                <w:b w:val="0"/>
                <w:bCs/>
                <w:color w:val="auto"/>
                <w:sz w:val="24"/>
                <w:szCs w:val="24"/>
                <w:highlight w:val="none"/>
                <w:lang w:val="en-US" w:eastAsia="zh-CN"/>
              </w:rPr>
              <w:t>6</w:t>
            </w:r>
            <w:r>
              <w:rPr>
                <w:rFonts w:hint="default" w:ascii="Times New Roman" w:hAnsi="Times New Roman" w:eastAsia="宋体" w:cs="Times New Roman"/>
                <w:b w:val="0"/>
                <w:bCs/>
                <w:color w:val="auto"/>
                <w:sz w:val="24"/>
                <w:szCs w:val="24"/>
                <w:highlight w:val="none"/>
                <w:lang w:val="en-US" w:eastAsia="zh-CN"/>
              </w:rPr>
              <w:t>）：采取车辆加盖苫布、</w:t>
            </w:r>
            <w:r>
              <w:rPr>
                <w:rFonts w:hint="default" w:ascii="Times New Roman" w:hAnsi="Times New Roman" w:eastAsia="宋体" w:cs="Times New Roman"/>
                <w:snapToGrid w:val="0"/>
                <w:color w:val="auto"/>
                <w:kern w:val="0"/>
                <w:sz w:val="24"/>
                <w:szCs w:val="24"/>
                <w:highlight w:val="none"/>
                <w:lang w:val="en-US" w:eastAsia="zh-CN"/>
              </w:rPr>
              <w:t>道路硬化、</w:t>
            </w:r>
            <w:r>
              <w:rPr>
                <w:rFonts w:hint="default" w:ascii="Times New Roman" w:hAnsi="Times New Roman" w:eastAsia="宋体" w:cs="Times New Roman"/>
                <w:b w:val="0"/>
                <w:bCs/>
                <w:color w:val="auto"/>
                <w:sz w:val="24"/>
                <w:szCs w:val="24"/>
                <w:highlight w:val="none"/>
                <w:lang w:val="en-US" w:eastAsia="zh-CN"/>
              </w:rPr>
              <w:t>定期清扫、进出厂车辆冲洗等控制措施</w:t>
            </w:r>
            <w:r>
              <w:rPr>
                <w:rFonts w:hint="default" w:ascii="Times New Roman" w:hAnsi="Times New Roman" w:cs="Times New Roman"/>
                <w:b w:val="0"/>
                <w:bCs/>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废气污染源为储罐</w:t>
            </w:r>
            <w:r>
              <w:rPr>
                <w:rFonts w:hint="default" w:ascii="Times New Roman" w:hAnsi="Times New Roman" w:cs="Times New Roman"/>
                <w:color w:val="auto"/>
                <w:sz w:val="24"/>
                <w:szCs w:val="24"/>
                <w:highlight w:val="none"/>
                <w:lang w:val="en-US" w:eastAsia="zh-CN"/>
              </w:rPr>
              <w:t>呼吸</w:t>
            </w:r>
            <w:r>
              <w:rPr>
                <w:rFonts w:hint="default" w:ascii="Times New Roman" w:hAnsi="Times New Roman" w:eastAsia="宋体" w:cs="Times New Roman"/>
                <w:color w:val="auto"/>
                <w:sz w:val="24"/>
                <w:szCs w:val="24"/>
                <w:highlight w:val="none"/>
                <w:lang w:val="en-US" w:eastAsia="zh-CN"/>
              </w:rPr>
              <w:t>废气（G</w:t>
            </w:r>
            <w:r>
              <w:rPr>
                <w:rFonts w:hint="default" w:ascii="Times New Roman" w:hAnsi="Times New Roman"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val="en-US" w:eastAsia="zh-CN"/>
              </w:rPr>
              <w:t>）、主要污染物均为颗粒物，经</w:t>
            </w:r>
            <w:r>
              <w:rPr>
                <w:rFonts w:hint="default" w:ascii="Times New Roman" w:hAnsi="Times New Roman" w:cs="Times New Roman"/>
                <w:color w:val="auto"/>
                <w:sz w:val="24"/>
                <w:szCs w:val="24"/>
                <w:highlight w:val="none"/>
                <w:lang w:val="en-US" w:eastAsia="zh-CN"/>
              </w:rPr>
              <w:t>罐</w:t>
            </w:r>
            <w:r>
              <w:rPr>
                <w:rFonts w:hint="default" w:ascii="Times New Roman" w:hAnsi="Times New Roman" w:eastAsia="宋体" w:cs="Times New Roman"/>
                <w:color w:val="auto"/>
                <w:sz w:val="24"/>
                <w:szCs w:val="24"/>
                <w:highlight w:val="none"/>
                <w:lang w:val="en-US" w:eastAsia="zh-CN"/>
              </w:rPr>
              <w:t>顶除尘器处理后，和其他生产废气一同引至布袋除尘器处理，再经1根15m排气筒排放；噪声污染源为车辆运输、物料输送产生的噪声（N</w:t>
            </w:r>
            <w:r>
              <w:rPr>
                <w:rFonts w:hint="default"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、N</w:t>
            </w:r>
            <w:r>
              <w:rPr>
                <w:rFonts w:hint="default" w:ascii="Times New Roman" w:hAnsi="Times New Roman"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lang w:val="en-US" w:eastAsia="zh-CN"/>
              </w:rPr>
              <w:t>），采取基础减振、厂房隔声等措施降噪。废水污染源为</w:t>
            </w:r>
            <w:r>
              <w:rPr>
                <w:rFonts w:hint="default" w:ascii="Times New Roman" w:hAnsi="Times New Roman" w:eastAsia="宋体" w:cs="Times New Roman"/>
                <w:b w:val="0"/>
                <w:bCs/>
                <w:color w:val="auto"/>
                <w:sz w:val="24"/>
                <w:szCs w:val="24"/>
                <w:highlight w:val="none"/>
                <w:lang w:eastAsia="zh-CN"/>
              </w:rPr>
              <w:t>车辆清洗产生的废水（</w:t>
            </w:r>
            <w:r>
              <w:rPr>
                <w:rFonts w:hint="default" w:ascii="Times New Roman" w:hAnsi="Times New Roman" w:eastAsia="宋体" w:cs="Times New Roman"/>
                <w:b w:val="0"/>
                <w:bCs/>
                <w:color w:val="auto"/>
                <w:sz w:val="24"/>
                <w:szCs w:val="24"/>
                <w:highlight w:val="none"/>
                <w:lang w:val="en-US" w:eastAsia="zh-CN"/>
              </w:rPr>
              <w:t>W3</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cs="Times New Roman"/>
                <w:b w:val="0"/>
                <w:bCs/>
                <w:color w:val="auto"/>
                <w:sz w:val="24"/>
                <w:szCs w:val="24"/>
                <w:highlight w:val="none"/>
                <w:lang w:eastAsia="zh-CN"/>
              </w:rPr>
              <w:t>，经沉淀池沉淀后回用于车辆清洗</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固体废物为沉淀池产生沉淀泥（S</w:t>
            </w:r>
            <w:r>
              <w:rPr>
                <w:rFonts w:hint="default" w:ascii="Times New Roman" w:hAnsi="Times New Roman"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val="en-US" w:eastAsia="zh-CN"/>
              </w:rPr>
              <w:t>），收集后外售；</w:t>
            </w:r>
            <w:r>
              <w:rPr>
                <w:rFonts w:hint="default" w:ascii="Times New Roman" w:hAnsi="Times New Roman" w:cs="Times New Roman"/>
                <w:color w:val="auto"/>
                <w:sz w:val="24"/>
                <w:szCs w:val="24"/>
                <w:highlight w:val="none"/>
                <w:lang w:val="en-US" w:eastAsia="zh-CN"/>
              </w:rPr>
              <w:t>仓顶</w:t>
            </w:r>
            <w:r>
              <w:rPr>
                <w:rFonts w:hint="default" w:ascii="Times New Roman" w:hAnsi="Times New Roman" w:eastAsia="宋体" w:cs="Times New Roman"/>
                <w:color w:val="auto"/>
                <w:sz w:val="24"/>
                <w:szCs w:val="24"/>
                <w:highlight w:val="none"/>
                <w:lang w:val="en-US" w:eastAsia="zh-CN"/>
              </w:rPr>
              <w:t>除尘器收集的除尘灰（S</w:t>
            </w:r>
            <w:r>
              <w:rPr>
                <w:rFonts w:hint="default"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），收集后回用于生产。</w:t>
            </w:r>
          </w:p>
          <w:p w14:paraId="7F2B61C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zh-CN" w:eastAsia="zh-CN"/>
              </w:rPr>
              <w:t>②</w:t>
            </w:r>
            <w:r>
              <w:rPr>
                <w:rFonts w:hint="default" w:ascii="Times New Roman" w:hAnsi="Times New Roman" w:eastAsia="宋体" w:cs="Times New Roman"/>
                <w:color w:val="auto"/>
                <w:kern w:val="2"/>
                <w:sz w:val="24"/>
                <w:szCs w:val="24"/>
                <w:highlight w:val="none"/>
                <w:lang w:val="en-US" w:eastAsia="zh-CN" w:bidi="ar-SA"/>
              </w:rPr>
              <w:t>计量</w:t>
            </w:r>
            <w:r>
              <w:rPr>
                <w:rFonts w:hint="default" w:ascii="Times New Roman" w:hAnsi="Times New Roman" w:cs="Times New Roman"/>
                <w:color w:val="auto"/>
                <w:kern w:val="2"/>
                <w:sz w:val="24"/>
                <w:szCs w:val="24"/>
                <w:highlight w:val="none"/>
                <w:lang w:val="en-US" w:eastAsia="zh-CN" w:bidi="ar-SA"/>
              </w:rPr>
              <w:t>、上料</w:t>
            </w:r>
          </w:p>
          <w:p w14:paraId="69D1F0E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储罐的</w:t>
            </w:r>
            <w:r>
              <w:rPr>
                <w:rFonts w:hint="default" w:ascii="Times New Roman" w:hAnsi="Times New Roman" w:eastAsia="宋体" w:cs="Times New Roman"/>
                <w:color w:val="auto"/>
                <w:kern w:val="2"/>
                <w:sz w:val="24"/>
                <w:szCs w:val="24"/>
                <w:highlight w:val="none"/>
                <w:lang w:val="en-US" w:eastAsia="zh-CN" w:bidi="ar-SA"/>
              </w:rPr>
              <w:t>原料出口设在</w:t>
            </w:r>
            <w:r>
              <w:rPr>
                <w:rFonts w:hint="default" w:ascii="Times New Roman" w:hAnsi="Times New Roman" w:cs="Times New Roman"/>
                <w:color w:val="auto"/>
                <w:kern w:val="2"/>
                <w:sz w:val="24"/>
                <w:szCs w:val="24"/>
                <w:highlight w:val="none"/>
                <w:lang w:val="en-US" w:eastAsia="zh-CN" w:bidi="ar-SA"/>
              </w:rPr>
              <w:t>罐</w:t>
            </w:r>
            <w:r>
              <w:rPr>
                <w:rFonts w:hint="default" w:ascii="Times New Roman" w:hAnsi="Times New Roman" w:eastAsia="宋体" w:cs="Times New Roman"/>
                <w:color w:val="auto"/>
                <w:kern w:val="2"/>
                <w:sz w:val="24"/>
                <w:szCs w:val="24"/>
                <w:highlight w:val="none"/>
                <w:lang w:val="en-US" w:eastAsia="zh-CN" w:bidi="ar-SA"/>
              </w:rPr>
              <w:t>底，</w:t>
            </w:r>
            <w:r>
              <w:rPr>
                <w:rFonts w:hint="default" w:ascii="Times New Roman" w:hAnsi="Times New Roman" w:cs="Times New Roman"/>
                <w:color w:val="auto"/>
                <w:kern w:val="2"/>
                <w:sz w:val="24"/>
                <w:szCs w:val="24"/>
                <w:highlight w:val="none"/>
                <w:lang w:val="en-US" w:eastAsia="zh-CN" w:bidi="ar-SA"/>
              </w:rPr>
              <w:t>按工艺比例</w:t>
            </w:r>
            <w:r>
              <w:rPr>
                <w:rFonts w:hint="default" w:ascii="Times New Roman" w:hAnsi="Times New Roman" w:eastAsia="宋体" w:cs="Times New Roman"/>
                <w:color w:val="auto"/>
                <w:kern w:val="2"/>
                <w:sz w:val="24"/>
                <w:szCs w:val="24"/>
                <w:highlight w:val="none"/>
                <w:lang w:val="en-US" w:eastAsia="zh-CN" w:bidi="ar-SA"/>
              </w:rPr>
              <w:t>经计量称精确计量配比后，由</w:t>
            </w:r>
            <w:r>
              <w:rPr>
                <w:rFonts w:hint="default" w:ascii="Times New Roman" w:hAnsi="Times New Roman" w:cs="Times New Roman"/>
                <w:color w:val="auto"/>
                <w:kern w:val="2"/>
                <w:sz w:val="24"/>
                <w:szCs w:val="24"/>
                <w:highlight w:val="none"/>
                <w:lang w:val="en-US" w:eastAsia="zh-CN" w:bidi="ar-SA"/>
              </w:rPr>
              <w:t>密闭管道</w:t>
            </w:r>
            <w:r>
              <w:rPr>
                <w:rFonts w:hint="default" w:ascii="Times New Roman" w:hAnsi="Times New Roman" w:eastAsia="宋体" w:cs="Times New Roman"/>
                <w:color w:val="auto"/>
                <w:kern w:val="2"/>
                <w:sz w:val="24"/>
                <w:szCs w:val="24"/>
                <w:highlight w:val="none"/>
                <w:lang w:val="en-US" w:eastAsia="zh-CN" w:bidi="ar-SA"/>
              </w:rPr>
              <w:t>输送</w:t>
            </w:r>
            <w:r>
              <w:rPr>
                <w:rFonts w:hint="default" w:ascii="Times New Roman" w:hAnsi="Times New Roman" w:cs="Times New Roman"/>
                <w:color w:val="auto"/>
                <w:kern w:val="2"/>
                <w:sz w:val="24"/>
                <w:szCs w:val="24"/>
                <w:highlight w:val="none"/>
                <w:lang w:val="en-US" w:eastAsia="zh-CN" w:bidi="ar-SA"/>
              </w:rPr>
              <w:t>至砂浆成套生产设备的搅拌</w:t>
            </w:r>
            <w:r>
              <w:rPr>
                <w:rFonts w:hint="default" w:ascii="Times New Roman" w:hAnsi="Times New Roman" w:eastAsia="宋体" w:cs="Times New Roman"/>
                <w:color w:val="auto"/>
                <w:kern w:val="2"/>
                <w:sz w:val="24"/>
                <w:szCs w:val="24"/>
                <w:highlight w:val="none"/>
                <w:lang w:val="en-US" w:eastAsia="zh-CN" w:bidi="ar-SA"/>
              </w:rPr>
              <w:t>仓内</w:t>
            </w:r>
            <w:r>
              <w:rPr>
                <w:rFonts w:hint="default" w:ascii="Times New Roman" w:hAnsi="Times New Roman" w:cs="Times New Roman"/>
                <w:color w:val="auto"/>
                <w:kern w:val="2"/>
                <w:sz w:val="24"/>
                <w:szCs w:val="24"/>
                <w:highlight w:val="none"/>
                <w:lang w:val="en-US" w:eastAsia="zh-CN" w:bidi="ar-SA"/>
              </w:rPr>
              <w:t>。缓凝剂采用人工称重计量的方式通过人工添加孔投入搅拌仓。</w:t>
            </w:r>
          </w:p>
          <w:p w14:paraId="7BCF455F">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产污节点：废气污染源为上料废气（G</w:t>
            </w:r>
            <w:r>
              <w:rPr>
                <w:rFonts w:hint="default"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），集气管道收集后和其他生产废气一同引至布袋除尘器处理，再经1根15m排气筒排放；噪声污染源为砂浆成套生产设备</w:t>
            </w:r>
            <w:r>
              <w:rPr>
                <w:rFonts w:hint="default" w:ascii="Times New Roman" w:hAnsi="Times New Roman" w:cs="Times New Roman"/>
                <w:color w:val="auto"/>
                <w:sz w:val="24"/>
                <w:szCs w:val="24"/>
                <w:highlight w:val="none"/>
                <w:lang w:val="en-US" w:eastAsia="zh-CN"/>
              </w:rPr>
              <w:t>（设备中的上料系统）</w:t>
            </w:r>
            <w:r>
              <w:rPr>
                <w:rFonts w:hint="default" w:ascii="Times New Roman" w:hAnsi="Times New Roman" w:eastAsia="宋体" w:cs="Times New Roman"/>
                <w:color w:val="auto"/>
                <w:sz w:val="24"/>
                <w:szCs w:val="24"/>
                <w:highlight w:val="none"/>
                <w:lang w:val="en-US" w:eastAsia="zh-CN"/>
              </w:rPr>
              <w:t>产生的噪声（N</w:t>
            </w:r>
            <w:r>
              <w:rPr>
                <w:rFonts w:hint="default" w:ascii="Times New Roman" w:hAnsi="Times New Roman"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lang w:val="en-US" w:eastAsia="zh-CN"/>
              </w:rPr>
              <w:t>），采取基础减振、厂房隔声等措施降噪。固体废物为除尘器收集的除尘灰（S</w:t>
            </w:r>
            <w:r>
              <w:rPr>
                <w:rFonts w:hint="default" w:ascii="Times New Roman" w:hAnsi="Times New Roman"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lang w:val="en-US" w:eastAsia="zh-CN"/>
              </w:rPr>
              <w:t>），收集后回用于生产。</w:t>
            </w:r>
          </w:p>
          <w:p w14:paraId="0A4DFF4C">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eastAsia="zh-CN"/>
              </w:rPr>
              <w:t>③</w:t>
            </w:r>
            <w:r>
              <w:rPr>
                <w:rFonts w:hint="default" w:ascii="Times New Roman" w:hAnsi="Times New Roman" w:eastAsia="宋体" w:cs="Times New Roman"/>
                <w:color w:val="auto"/>
                <w:sz w:val="24"/>
                <w:szCs w:val="24"/>
                <w:highlight w:val="none"/>
                <w:lang w:val="en-US" w:eastAsia="zh-CN"/>
              </w:rPr>
              <w:t>搅拌</w:t>
            </w:r>
          </w:p>
          <w:p w14:paraId="4DE2D8EF">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搅拌仓内物料搅拌至均匀。</w:t>
            </w:r>
          </w:p>
          <w:p w14:paraId="7700F2B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产污节点：废气污染源为搅拌废气（G</w:t>
            </w:r>
            <w:r>
              <w:rPr>
                <w:rFonts w:hint="default" w:ascii="Times New Roman" w:hAnsi="Times New Roman"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lang w:val="en-US" w:eastAsia="zh-CN"/>
              </w:rPr>
              <w:t>），集气管道收集后和其他生产废气一同引至布袋除尘器处理，再经1根15m排气筒排放；噪声污染源为砂浆成套生产设备</w:t>
            </w:r>
            <w:r>
              <w:rPr>
                <w:rFonts w:hint="default" w:ascii="Times New Roman" w:hAnsi="Times New Roman" w:cs="Times New Roman"/>
                <w:color w:val="auto"/>
                <w:sz w:val="24"/>
                <w:szCs w:val="24"/>
                <w:highlight w:val="none"/>
                <w:lang w:val="en-US" w:eastAsia="zh-CN"/>
              </w:rPr>
              <w:t>（设备中的搅拌仓）</w:t>
            </w:r>
            <w:r>
              <w:rPr>
                <w:rFonts w:hint="default" w:ascii="Times New Roman" w:hAnsi="Times New Roman" w:eastAsia="宋体" w:cs="Times New Roman"/>
                <w:color w:val="auto"/>
                <w:sz w:val="24"/>
                <w:szCs w:val="24"/>
                <w:highlight w:val="none"/>
                <w:lang w:val="en-US" w:eastAsia="zh-CN"/>
              </w:rPr>
              <w:t>产生的噪声（N</w:t>
            </w:r>
            <w:r>
              <w:rPr>
                <w:rFonts w:hint="default" w:ascii="Times New Roman" w:hAnsi="Times New Roman" w:cs="Times New Roman"/>
                <w:color w:val="auto"/>
                <w:sz w:val="24"/>
                <w:szCs w:val="24"/>
                <w:highlight w:val="none"/>
                <w:lang w:val="en-US" w:eastAsia="zh-CN"/>
              </w:rPr>
              <w:t>11</w:t>
            </w:r>
            <w:r>
              <w:rPr>
                <w:rFonts w:hint="default" w:ascii="Times New Roman" w:hAnsi="Times New Roman" w:eastAsia="宋体" w:cs="Times New Roman"/>
                <w:color w:val="auto"/>
                <w:sz w:val="24"/>
                <w:szCs w:val="24"/>
                <w:highlight w:val="none"/>
                <w:lang w:val="en-US" w:eastAsia="zh-CN"/>
              </w:rPr>
              <w:t>），采取基础减振、厂房隔声等措施降噪。固体废物为除尘器收集的除尘灰（S</w:t>
            </w:r>
            <w:r>
              <w:rPr>
                <w:rFonts w:hint="default" w:ascii="Times New Roman" w:hAnsi="Times New Roman"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lang w:val="en-US" w:eastAsia="zh-CN"/>
              </w:rPr>
              <w:t>），收集后回用于生产。</w:t>
            </w:r>
          </w:p>
          <w:p w14:paraId="47ECE10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zh-CN" w:eastAsia="zh-CN"/>
              </w:rPr>
              <w:t>④</w:t>
            </w:r>
            <w:r>
              <w:rPr>
                <w:rFonts w:hint="default" w:ascii="Times New Roman" w:hAnsi="Times New Roman" w:eastAsia="宋体" w:cs="Times New Roman"/>
                <w:color w:val="auto"/>
                <w:sz w:val="24"/>
                <w:szCs w:val="24"/>
                <w:highlight w:val="none"/>
                <w:lang w:val="en-US" w:eastAsia="zh-CN"/>
              </w:rPr>
              <w:t>自动分装</w:t>
            </w:r>
            <w:r>
              <w:rPr>
                <w:rFonts w:hint="default" w:ascii="Times New Roman" w:hAnsi="Times New Roman" w:cs="Times New Roman"/>
                <w:color w:val="auto"/>
                <w:sz w:val="24"/>
                <w:szCs w:val="24"/>
                <w:highlight w:val="none"/>
                <w:lang w:val="en-US" w:eastAsia="zh-CN"/>
              </w:rPr>
              <w:t>、入库待售</w:t>
            </w:r>
          </w:p>
          <w:p w14:paraId="026184E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石膏砂浆搅拌设备底部连接包装机，搅拌好的物料经装袋后，入库待售</w:t>
            </w:r>
            <w:r>
              <w:rPr>
                <w:rFonts w:hint="default" w:ascii="Times New Roman" w:hAnsi="Times New Roman" w:eastAsia="宋体" w:cs="Times New Roman"/>
                <w:color w:val="auto"/>
                <w:kern w:val="2"/>
                <w:sz w:val="24"/>
                <w:szCs w:val="24"/>
                <w:highlight w:val="none"/>
                <w:lang w:val="en-US" w:eastAsia="zh-CN" w:bidi="ar-SA"/>
              </w:rPr>
              <w:t>。</w:t>
            </w:r>
          </w:p>
          <w:p w14:paraId="3055994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产污节点：废气污染源为石膏砂浆分装时产生的分装废气（G</w:t>
            </w:r>
            <w:r>
              <w:rPr>
                <w:rFonts w:hint="default" w:ascii="Times New Roman" w:hAnsi="Times New Roman"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lang w:val="en-US" w:eastAsia="zh-CN"/>
              </w:rPr>
              <w:t>），经集气罩收集后经布袋除尘器处理，再经1根15m排气筒排放；噪声污染源为包装机产生的噪声（N</w:t>
            </w:r>
            <w:r>
              <w:rPr>
                <w:rFonts w:hint="default" w:ascii="Times New Roman" w:hAnsi="Times New Roman"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lang w:val="en-US" w:eastAsia="zh-CN"/>
              </w:rPr>
              <w:t>），采取基础减振、厂房隔声等措施降噪。固体废物为除尘器收集的除尘灰（S1</w:t>
            </w: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），收集后回用于生产，废包装袋（S1</w:t>
            </w:r>
            <w:r>
              <w:rPr>
                <w:rFonts w:hint="default" w:ascii="Times New Roman" w:hAnsi="Times New Roman"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），收集后外售。</w:t>
            </w:r>
          </w:p>
          <w:p w14:paraId="2BD26C9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防火保温</w:t>
            </w:r>
            <w:r>
              <w:rPr>
                <w:rFonts w:hint="default" w:ascii="Times New Roman" w:hAnsi="Times New Roman" w:eastAsia="宋体" w:cs="Times New Roman"/>
                <w:color w:val="auto"/>
                <w:sz w:val="24"/>
                <w:szCs w:val="24"/>
                <w:highlight w:val="none"/>
                <w:lang w:val="en-US" w:eastAsia="zh-CN"/>
              </w:rPr>
              <w:t>砂浆生产工艺：</w:t>
            </w:r>
          </w:p>
          <w:p w14:paraId="094A957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防火保温砂浆原料为重钙、蛭石、玻化微珠</w:t>
            </w:r>
            <w:r>
              <w:rPr>
                <w:rFonts w:hint="default" w:ascii="Times New Roman" w:hAnsi="Times New Roman" w:cs="Times New Roman"/>
                <w:color w:val="auto"/>
                <w:sz w:val="24"/>
                <w:szCs w:val="24"/>
                <w:highlight w:val="none"/>
                <w:lang w:val="en-US" w:eastAsia="zh-CN"/>
              </w:rPr>
              <w:t>、脱硫石膏</w:t>
            </w:r>
            <w:r>
              <w:rPr>
                <w:rFonts w:hint="default" w:ascii="Times New Roman" w:hAnsi="Times New Roman" w:eastAsia="宋体" w:cs="Times New Roman"/>
                <w:color w:val="auto"/>
                <w:sz w:val="24"/>
                <w:szCs w:val="24"/>
                <w:highlight w:val="none"/>
                <w:lang w:val="en-US" w:eastAsia="zh-CN"/>
              </w:rPr>
              <w:t>。</w:t>
            </w:r>
          </w:p>
          <w:p w14:paraId="430B9870">
            <w:pPr>
              <w:pStyle w:val="51"/>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cs="Times New Roman"/>
                <w:b/>
                <w:color w:val="auto"/>
                <w:sz w:val="24"/>
                <w:szCs w:val="24"/>
                <w:highlight w:val="none"/>
              </w:rPr>
              <w:pict>
                <v:shape id="_x0000_s2053" o:spid="_x0000_s2053" o:spt="75" type="#_x0000_t75" style="position:absolute;left:0pt;margin-left:-27.75pt;margin-top:3.9pt;height:141.75pt;width:406.4pt;z-index:251671552;mso-width-relative:page;mso-height-relative:page;" o:ole="t" filled="f" o:preferrelative="t" stroked="f" coordsize="21600,21600">
                  <v:path/>
                  <v:fill on="f" focussize="0,0"/>
                  <v:stroke on="f"/>
                  <v:imagedata r:id="rId15" cropleft="4377f" cropbottom="3291f" o:title=""/>
                  <o:lock v:ext="edit" aspectratio="t"/>
                </v:shape>
                <o:OLEObject Type="Embed" ProgID="Visio.Drawing.11" ShapeID="_x0000_s2053" DrawAspect="Content" ObjectID="_1468075728" r:id="rId14">
                  <o:LockedField>false</o:LockedField>
                </o:OLEObject>
              </w:pict>
            </w:r>
          </w:p>
          <w:p w14:paraId="0D09E1AA">
            <w:pPr>
              <w:pStyle w:val="51"/>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ascii="Times New Roman" w:hAnsi="Times New Roman" w:eastAsia="宋体" w:cs="Times New Roman"/>
                <w:b/>
                <w:bCs/>
                <w:color w:val="auto"/>
                <w:sz w:val="24"/>
                <w:szCs w:val="24"/>
                <w:highlight w:val="none"/>
              </w:rPr>
            </w:pPr>
          </w:p>
          <w:p w14:paraId="4213A2CB">
            <w:pPr>
              <w:pStyle w:val="51"/>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ascii="Times New Roman" w:hAnsi="Times New Roman" w:eastAsia="宋体" w:cs="Times New Roman"/>
                <w:b/>
                <w:bCs/>
                <w:color w:val="auto"/>
                <w:sz w:val="24"/>
                <w:szCs w:val="24"/>
                <w:highlight w:val="none"/>
              </w:rPr>
            </w:pPr>
          </w:p>
          <w:p w14:paraId="2CBFC71B">
            <w:pPr>
              <w:pStyle w:val="51"/>
              <w:jc w:val="center"/>
              <w:rPr>
                <w:rFonts w:hint="default" w:ascii="Times New Roman" w:hAnsi="Times New Roman" w:eastAsia="宋体" w:cs="Times New Roman"/>
                <w:color w:val="auto"/>
                <w:sz w:val="24"/>
                <w:szCs w:val="24"/>
                <w:highlight w:val="none"/>
              </w:rPr>
            </w:pPr>
          </w:p>
          <w:p w14:paraId="7518E16E">
            <w:pPr>
              <w:pStyle w:val="51"/>
              <w:jc w:val="center"/>
              <w:rPr>
                <w:rFonts w:hint="default" w:ascii="Times New Roman" w:hAnsi="Times New Roman" w:eastAsia="宋体" w:cs="Times New Roman"/>
                <w:color w:val="auto"/>
                <w:sz w:val="24"/>
                <w:szCs w:val="24"/>
                <w:highlight w:val="none"/>
              </w:rPr>
            </w:pPr>
          </w:p>
          <w:p w14:paraId="5C7870EC">
            <w:pPr>
              <w:pStyle w:val="51"/>
              <w:jc w:val="center"/>
              <w:rPr>
                <w:rFonts w:hint="default" w:ascii="Times New Roman" w:hAnsi="Times New Roman" w:eastAsia="宋体" w:cs="Times New Roman"/>
                <w:color w:val="auto"/>
                <w:sz w:val="24"/>
                <w:szCs w:val="24"/>
                <w:highlight w:val="none"/>
              </w:rPr>
            </w:pPr>
          </w:p>
          <w:p w14:paraId="0E4B6E09">
            <w:pPr>
              <w:pStyle w:val="51"/>
              <w:jc w:val="center"/>
              <w:rPr>
                <w:rFonts w:hint="default" w:ascii="Times New Roman" w:hAnsi="Times New Roman" w:eastAsia="宋体" w:cs="Times New Roman"/>
                <w:color w:val="auto"/>
                <w:sz w:val="24"/>
                <w:szCs w:val="24"/>
                <w:highlight w:val="none"/>
              </w:rPr>
            </w:pPr>
          </w:p>
          <w:p w14:paraId="0D8B2CF9">
            <w:pPr>
              <w:pStyle w:val="51"/>
              <w:jc w:val="center"/>
              <w:rPr>
                <w:rFonts w:hint="default" w:ascii="Times New Roman" w:hAnsi="Times New Roman" w:eastAsia="宋体" w:cs="Times New Roman"/>
                <w:color w:val="auto"/>
                <w:sz w:val="24"/>
                <w:szCs w:val="24"/>
                <w:highlight w:val="none"/>
              </w:rPr>
            </w:pPr>
          </w:p>
          <w:p w14:paraId="6D59099C">
            <w:pPr>
              <w:pStyle w:val="51"/>
              <w:jc w:val="center"/>
              <w:rPr>
                <w:rFonts w:hint="default" w:ascii="Times New Roman" w:hAnsi="Times New Roman" w:eastAsia="宋体" w:cs="Times New Roman"/>
                <w:color w:val="auto"/>
                <w:sz w:val="24"/>
                <w:szCs w:val="24"/>
                <w:highlight w:val="none"/>
              </w:rPr>
            </w:pPr>
          </w:p>
          <w:p w14:paraId="2E60B059">
            <w:pPr>
              <w:pStyle w:val="51"/>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rPr>
              <w:t>图</w:t>
            </w:r>
            <w:r>
              <w:rPr>
                <w:rFonts w:hint="default" w:ascii="Times New Roman" w:hAnsi="Times New Roman" w:eastAsia="宋体" w:cs="Times New Roman"/>
                <w:b/>
                <w:bCs/>
                <w:color w:val="auto"/>
                <w:sz w:val="24"/>
                <w:szCs w:val="24"/>
                <w:highlight w:val="none"/>
                <w:lang w:val="en-US" w:eastAsia="zh-CN"/>
              </w:rPr>
              <w:t>2-</w:t>
            </w:r>
            <w:r>
              <w:rPr>
                <w:rFonts w:hint="default" w:ascii="Times New Roman" w:hAnsi="Times New Roman"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rPr>
              <w:t xml:space="preserve">  </w:t>
            </w:r>
            <w:r>
              <w:rPr>
                <w:rFonts w:hint="default" w:ascii="Times New Roman" w:hAnsi="Times New Roman" w:cs="Times New Roman"/>
                <w:b/>
                <w:bCs/>
                <w:color w:val="auto"/>
                <w:sz w:val="24"/>
                <w:szCs w:val="24"/>
                <w:highlight w:val="none"/>
                <w:lang w:eastAsia="zh-CN"/>
              </w:rPr>
              <w:t>防火保温</w:t>
            </w:r>
            <w:r>
              <w:rPr>
                <w:rFonts w:hint="default" w:ascii="Times New Roman" w:hAnsi="Times New Roman" w:eastAsia="宋体" w:cs="Times New Roman"/>
                <w:b/>
                <w:bCs/>
                <w:color w:val="auto"/>
                <w:sz w:val="24"/>
                <w:szCs w:val="24"/>
                <w:highlight w:val="none"/>
                <w:lang w:val="en-US" w:eastAsia="zh-CN"/>
              </w:rPr>
              <w:t>砂浆生产</w:t>
            </w:r>
            <w:r>
              <w:rPr>
                <w:rFonts w:hint="default" w:ascii="Times New Roman" w:hAnsi="Times New Roman" w:eastAsia="宋体" w:cs="Times New Roman"/>
                <w:b/>
                <w:bCs/>
                <w:color w:val="auto"/>
                <w:sz w:val="24"/>
                <w:szCs w:val="24"/>
                <w:highlight w:val="none"/>
              </w:rPr>
              <w:t>工艺流程及排污节点图</w:t>
            </w:r>
          </w:p>
          <w:p w14:paraId="7AE3CDA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防火保温</w:t>
            </w:r>
            <w:r>
              <w:rPr>
                <w:rFonts w:hint="default" w:ascii="Times New Roman" w:hAnsi="Times New Roman" w:eastAsia="宋体" w:cs="Times New Roman"/>
                <w:color w:val="auto"/>
                <w:kern w:val="2"/>
                <w:sz w:val="24"/>
                <w:szCs w:val="24"/>
                <w:highlight w:val="none"/>
                <w:lang w:val="en-US" w:eastAsia="zh-CN" w:bidi="ar-SA"/>
              </w:rPr>
              <w:t>砂浆生产线生产工艺流程简述如下：</w:t>
            </w:r>
          </w:p>
          <w:p w14:paraId="386E602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zh-CN" w:eastAsia="zh-CN"/>
              </w:rPr>
              <w:t>①</w:t>
            </w:r>
            <w:r>
              <w:rPr>
                <w:rFonts w:hint="default" w:ascii="Times New Roman" w:hAnsi="Times New Roman" w:cs="Times New Roman"/>
                <w:color w:val="auto"/>
                <w:kern w:val="2"/>
                <w:sz w:val="24"/>
                <w:szCs w:val="24"/>
                <w:highlight w:val="none"/>
                <w:lang w:val="en-US" w:eastAsia="zh-CN" w:bidi="ar-SA"/>
              </w:rPr>
              <w:t>进厂、储罐</w:t>
            </w:r>
          </w:p>
          <w:p w14:paraId="59CEBF6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物料由车辆运输进厂，</w:t>
            </w:r>
            <w:r>
              <w:rPr>
                <w:rFonts w:hint="default" w:ascii="Times New Roman" w:hAnsi="Times New Roman" w:eastAsia="宋体" w:cs="Times New Roman"/>
                <w:color w:val="auto"/>
                <w:sz w:val="24"/>
                <w:szCs w:val="24"/>
                <w:highlight w:val="none"/>
                <w:lang w:val="en-US" w:eastAsia="zh-CN"/>
              </w:rPr>
              <w:t>脱硫石膏、重钙、玻化微珠、蛭石等物料</w:t>
            </w:r>
            <w:r>
              <w:rPr>
                <w:rFonts w:hint="default" w:ascii="Times New Roman" w:hAnsi="Times New Roman" w:cs="Times New Roman"/>
                <w:color w:val="auto"/>
                <w:sz w:val="24"/>
                <w:szCs w:val="24"/>
                <w:highlight w:val="none"/>
                <w:lang w:val="en-US" w:eastAsia="zh-CN"/>
              </w:rPr>
              <w:t>进场后经罐车泵入原料储罐内存储。</w:t>
            </w:r>
          </w:p>
          <w:p w14:paraId="5A749E3F">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产污节点：废气污染源为</w:t>
            </w:r>
            <w:r>
              <w:rPr>
                <w:rFonts w:hint="default" w:ascii="Times New Roman" w:hAnsi="Times New Roman" w:eastAsia="宋体" w:cs="Times New Roman"/>
                <w:b w:val="0"/>
                <w:bCs/>
                <w:color w:val="auto"/>
                <w:sz w:val="24"/>
                <w:szCs w:val="24"/>
                <w:highlight w:val="none"/>
                <w:lang w:eastAsia="zh-CN"/>
              </w:rPr>
              <w:t>车</w:t>
            </w:r>
            <w:r>
              <w:rPr>
                <w:rFonts w:hint="default" w:ascii="Times New Roman" w:hAnsi="Times New Roman" w:eastAsia="宋体" w:cs="Times New Roman"/>
                <w:b w:val="0"/>
                <w:bCs/>
                <w:color w:val="auto"/>
                <w:sz w:val="24"/>
                <w:szCs w:val="24"/>
                <w:highlight w:val="none"/>
                <w:lang w:val="en-US" w:eastAsia="zh-CN"/>
              </w:rPr>
              <w:t>辆运输扬尘（G</w:t>
            </w:r>
            <w:r>
              <w:rPr>
                <w:rFonts w:hint="default" w:ascii="Times New Roman" w:hAnsi="Times New Roman" w:cs="Times New Roman"/>
                <w:b w:val="0"/>
                <w:bCs/>
                <w:color w:val="auto"/>
                <w:sz w:val="24"/>
                <w:szCs w:val="24"/>
                <w:highlight w:val="none"/>
                <w:lang w:val="en-US" w:eastAsia="zh-CN"/>
              </w:rPr>
              <w:t>11</w:t>
            </w:r>
            <w:r>
              <w:rPr>
                <w:rFonts w:hint="default" w:ascii="Times New Roman" w:hAnsi="Times New Roman" w:eastAsia="宋体" w:cs="Times New Roman"/>
                <w:b w:val="0"/>
                <w:bCs/>
                <w:color w:val="auto"/>
                <w:sz w:val="24"/>
                <w:szCs w:val="24"/>
                <w:highlight w:val="none"/>
                <w:lang w:val="en-US" w:eastAsia="zh-CN"/>
              </w:rPr>
              <w:t>）：采取车辆加盖苫布、</w:t>
            </w:r>
            <w:r>
              <w:rPr>
                <w:rFonts w:hint="default" w:ascii="Times New Roman" w:hAnsi="Times New Roman" w:eastAsia="宋体" w:cs="Times New Roman"/>
                <w:snapToGrid w:val="0"/>
                <w:color w:val="auto"/>
                <w:kern w:val="0"/>
                <w:sz w:val="24"/>
                <w:szCs w:val="24"/>
                <w:highlight w:val="none"/>
                <w:lang w:val="en-US" w:eastAsia="zh-CN"/>
              </w:rPr>
              <w:t>道路硬化、</w:t>
            </w:r>
            <w:r>
              <w:rPr>
                <w:rFonts w:hint="default" w:ascii="Times New Roman" w:hAnsi="Times New Roman" w:eastAsia="宋体" w:cs="Times New Roman"/>
                <w:b w:val="0"/>
                <w:bCs/>
                <w:color w:val="auto"/>
                <w:sz w:val="24"/>
                <w:szCs w:val="24"/>
                <w:highlight w:val="none"/>
                <w:lang w:val="en-US" w:eastAsia="zh-CN"/>
              </w:rPr>
              <w:t>定期清扫、进出厂车辆冲洗等控制措施</w:t>
            </w:r>
            <w:r>
              <w:rPr>
                <w:rFonts w:hint="default" w:ascii="Times New Roman" w:hAnsi="Times New Roman" w:cs="Times New Roman"/>
                <w:b w:val="0"/>
                <w:bCs/>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废气污染源为储罐</w:t>
            </w:r>
            <w:r>
              <w:rPr>
                <w:rFonts w:hint="default" w:ascii="Times New Roman" w:hAnsi="Times New Roman" w:cs="Times New Roman"/>
                <w:color w:val="auto"/>
                <w:sz w:val="24"/>
                <w:szCs w:val="24"/>
                <w:highlight w:val="none"/>
                <w:lang w:val="en-US" w:eastAsia="zh-CN"/>
              </w:rPr>
              <w:t>呼吸</w:t>
            </w:r>
            <w:r>
              <w:rPr>
                <w:rFonts w:hint="default" w:ascii="Times New Roman" w:hAnsi="Times New Roman" w:eastAsia="宋体" w:cs="Times New Roman"/>
                <w:color w:val="auto"/>
                <w:sz w:val="24"/>
                <w:szCs w:val="24"/>
                <w:highlight w:val="none"/>
                <w:lang w:val="en-US" w:eastAsia="zh-CN"/>
              </w:rPr>
              <w:t>废气（G</w:t>
            </w:r>
            <w:r>
              <w:rPr>
                <w:rFonts w:hint="default" w:ascii="Times New Roman" w:hAnsi="Times New Roman"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lang w:val="en-US" w:eastAsia="zh-CN"/>
              </w:rPr>
              <w:t>）、主要污染物均为颗粒物，经</w:t>
            </w:r>
            <w:r>
              <w:rPr>
                <w:rFonts w:hint="default" w:ascii="Times New Roman" w:hAnsi="Times New Roman" w:cs="Times New Roman"/>
                <w:color w:val="auto"/>
                <w:sz w:val="24"/>
                <w:szCs w:val="24"/>
                <w:highlight w:val="none"/>
                <w:lang w:val="en-US" w:eastAsia="zh-CN"/>
              </w:rPr>
              <w:t>罐</w:t>
            </w:r>
            <w:r>
              <w:rPr>
                <w:rFonts w:hint="default" w:ascii="Times New Roman" w:hAnsi="Times New Roman" w:eastAsia="宋体" w:cs="Times New Roman"/>
                <w:color w:val="auto"/>
                <w:sz w:val="24"/>
                <w:szCs w:val="24"/>
                <w:highlight w:val="none"/>
                <w:lang w:val="en-US" w:eastAsia="zh-CN"/>
              </w:rPr>
              <w:t>顶除尘器处理后，和其他生产废气一同引至布袋除尘器处理，再经1根15m排气筒排放；噪声污染源为车辆运输、物料输送产生的噪声（N</w:t>
            </w:r>
            <w:r>
              <w:rPr>
                <w:rFonts w:hint="default" w:ascii="Times New Roman" w:hAnsi="Times New Roman" w:cs="Times New Roman"/>
                <w:color w:val="auto"/>
                <w:sz w:val="24"/>
                <w:szCs w:val="24"/>
                <w:highlight w:val="none"/>
                <w:lang w:val="en-US" w:eastAsia="zh-CN"/>
              </w:rPr>
              <w:t>13</w:t>
            </w:r>
            <w:r>
              <w:rPr>
                <w:rFonts w:hint="default" w:ascii="Times New Roman" w:hAnsi="Times New Roman" w:eastAsia="宋体" w:cs="Times New Roman"/>
                <w:color w:val="auto"/>
                <w:sz w:val="24"/>
                <w:szCs w:val="24"/>
                <w:highlight w:val="none"/>
                <w:lang w:val="en-US" w:eastAsia="zh-CN"/>
              </w:rPr>
              <w:t>、N</w:t>
            </w:r>
            <w:r>
              <w:rPr>
                <w:rFonts w:hint="default" w:ascii="Times New Roman" w:hAnsi="Times New Roman" w:cs="Times New Roman"/>
                <w:color w:val="auto"/>
                <w:sz w:val="24"/>
                <w:szCs w:val="24"/>
                <w:highlight w:val="none"/>
                <w:lang w:val="en-US" w:eastAsia="zh-CN"/>
              </w:rPr>
              <w:t>14</w:t>
            </w:r>
            <w:r>
              <w:rPr>
                <w:rFonts w:hint="default" w:ascii="Times New Roman" w:hAnsi="Times New Roman" w:eastAsia="宋体" w:cs="Times New Roman"/>
                <w:color w:val="auto"/>
                <w:sz w:val="24"/>
                <w:szCs w:val="24"/>
                <w:highlight w:val="none"/>
                <w:lang w:val="en-US" w:eastAsia="zh-CN"/>
              </w:rPr>
              <w:t>），采取基础减振、厂房隔声等措施降噪。废水污染源为</w:t>
            </w:r>
            <w:r>
              <w:rPr>
                <w:rFonts w:hint="default" w:ascii="Times New Roman" w:hAnsi="Times New Roman" w:eastAsia="宋体" w:cs="Times New Roman"/>
                <w:b w:val="0"/>
                <w:bCs/>
                <w:color w:val="auto"/>
                <w:sz w:val="24"/>
                <w:szCs w:val="24"/>
                <w:highlight w:val="none"/>
                <w:lang w:eastAsia="zh-CN"/>
              </w:rPr>
              <w:t>车辆清洗产生的废水（</w:t>
            </w:r>
            <w:r>
              <w:rPr>
                <w:rFonts w:hint="default" w:ascii="Times New Roman" w:hAnsi="Times New Roman" w:eastAsia="宋体" w:cs="Times New Roman"/>
                <w:b w:val="0"/>
                <w:bCs/>
                <w:color w:val="auto"/>
                <w:sz w:val="24"/>
                <w:szCs w:val="24"/>
                <w:highlight w:val="none"/>
                <w:lang w:val="en-US" w:eastAsia="zh-CN"/>
              </w:rPr>
              <w:t>W</w:t>
            </w:r>
            <w:r>
              <w:rPr>
                <w:rFonts w:hint="default" w:ascii="Times New Roman" w:hAnsi="Times New Roman" w:cs="Times New Roman"/>
                <w:b w:val="0"/>
                <w:bCs/>
                <w:color w:val="auto"/>
                <w:sz w:val="24"/>
                <w:szCs w:val="24"/>
                <w:highlight w:val="none"/>
                <w:lang w:val="en-US" w:eastAsia="zh-CN"/>
              </w:rPr>
              <w:t>4</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cs="Times New Roman"/>
                <w:b w:val="0"/>
                <w:bCs/>
                <w:color w:val="auto"/>
                <w:sz w:val="24"/>
                <w:szCs w:val="24"/>
                <w:highlight w:val="none"/>
                <w:lang w:eastAsia="zh-CN"/>
              </w:rPr>
              <w:t>，经沉淀池沉淀后回用于车辆清洗</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固体废物为沉淀池产生沉淀泥（S</w:t>
            </w:r>
            <w:r>
              <w:rPr>
                <w:rFonts w:hint="default" w:ascii="Times New Roman" w:hAnsi="Times New Roman" w:cs="Times New Roman"/>
                <w:color w:val="auto"/>
                <w:sz w:val="24"/>
                <w:szCs w:val="24"/>
                <w:highlight w:val="none"/>
                <w:lang w:val="en-US" w:eastAsia="zh-CN"/>
              </w:rPr>
              <w:t>13</w:t>
            </w:r>
            <w:r>
              <w:rPr>
                <w:rFonts w:hint="default" w:ascii="Times New Roman" w:hAnsi="Times New Roman" w:eastAsia="宋体" w:cs="Times New Roman"/>
                <w:color w:val="auto"/>
                <w:sz w:val="24"/>
                <w:szCs w:val="24"/>
                <w:highlight w:val="none"/>
                <w:lang w:val="en-US" w:eastAsia="zh-CN"/>
              </w:rPr>
              <w:t>），收集后外售；</w:t>
            </w:r>
            <w:r>
              <w:rPr>
                <w:rFonts w:hint="default" w:ascii="Times New Roman" w:hAnsi="Times New Roman" w:cs="Times New Roman"/>
                <w:color w:val="auto"/>
                <w:sz w:val="24"/>
                <w:szCs w:val="24"/>
                <w:highlight w:val="none"/>
                <w:lang w:val="en-US" w:eastAsia="zh-CN"/>
              </w:rPr>
              <w:t>仓顶</w:t>
            </w:r>
            <w:r>
              <w:rPr>
                <w:rFonts w:hint="default" w:ascii="Times New Roman" w:hAnsi="Times New Roman" w:eastAsia="宋体" w:cs="Times New Roman"/>
                <w:color w:val="auto"/>
                <w:sz w:val="24"/>
                <w:szCs w:val="24"/>
                <w:highlight w:val="none"/>
                <w:lang w:val="en-US" w:eastAsia="zh-CN"/>
              </w:rPr>
              <w:t>除尘器收集的除尘灰（S</w:t>
            </w:r>
            <w:r>
              <w:rPr>
                <w:rFonts w:hint="default" w:ascii="Times New Roman" w:hAnsi="Times New Roman" w:cs="Times New Roman"/>
                <w:color w:val="auto"/>
                <w:sz w:val="24"/>
                <w:szCs w:val="24"/>
                <w:highlight w:val="none"/>
                <w:lang w:val="en-US" w:eastAsia="zh-CN"/>
              </w:rPr>
              <w:t>14</w:t>
            </w:r>
            <w:r>
              <w:rPr>
                <w:rFonts w:hint="default" w:ascii="Times New Roman" w:hAnsi="Times New Roman" w:eastAsia="宋体" w:cs="Times New Roman"/>
                <w:color w:val="auto"/>
                <w:sz w:val="24"/>
                <w:szCs w:val="24"/>
                <w:highlight w:val="none"/>
                <w:lang w:val="en-US" w:eastAsia="zh-CN"/>
              </w:rPr>
              <w:t>），收集后回用于生产。</w:t>
            </w:r>
          </w:p>
          <w:p w14:paraId="75A471C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zh-CN" w:eastAsia="zh-CN"/>
              </w:rPr>
              <w:t>②</w:t>
            </w:r>
            <w:r>
              <w:rPr>
                <w:rFonts w:hint="default" w:ascii="Times New Roman" w:hAnsi="Times New Roman" w:eastAsia="宋体" w:cs="Times New Roman"/>
                <w:color w:val="auto"/>
                <w:kern w:val="2"/>
                <w:sz w:val="24"/>
                <w:szCs w:val="24"/>
                <w:highlight w:val="none"/>
                <w:lang w:val="en-US" w:eastAsia="zh-CN" w:bidi="ar-SA"/>
              </w:rPr>
              <w:t>计量</w:t>
            </w:r>
            <w:r>
              <w:rPr>
                <w:rFonts w:hint="default" w:ascii="Times New Roman" w:hAnsi="Times New Roman" w:cs="Times New Roman"/>
                <w:color w:val="auto"/>
                <w:kern w:val="2"/>
                <w:sz w:val="24"/>
                <w:szCs w:val="24"/>
                <w:highlight w:val="none"/>
                <w:lang w:val="en-US" w:eastAsia="zh-CN" w:bidi="ar-SA"/>
              </w:rPr>
              <w:t>上料</w:t>
            </w:r>
          </w:p>
          <w:p w14:paraId="05FE7A6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kern w:val="2"/>
                <w:sz w:val="24"/>
                <w:szCs w:val="24"/>
                <w:highlight w:val="none"/>
                <w:lang w:val="en-US" w:eastAsia="zh-CN" w:bidi="ar-SA"/>
              </w:rPr>
              <w:t>储罐的</w:t>
            </w:r>
            <w:r>
              <w:rPr>
                <w:rFonts w:hint="default" w:ascii="Times New Roman" w:hAnsi="Times New Roman" w:eastAsia="宋体" w:cs="Times New Roman"/>
                <w:color w:val="auto"/>
                <w:kern w:val="2"/>
                <w:sz w:val="24"/>
                <w:szCs w:val="24"/>
                <w:highlight w:val="none"/>
                <w:lang w:val="en-US" w:eastAsia="zh-CN" w:bidi="ar-SA"/>
              </w:rPr>
              <w:t>原料出口设在</w:t>
            </w:r>
            <w:r>
              <w:rPr>
                <w:rFonts w:hint="default" w:ascii="Times New Roman" w:hAnsi="Times New Roman" w:cs="Times New Roman"/>
                <w:color w:val="auto"/>
                <w:kern w:val="2"/>
                <w:sz w:val="24"/>
                <w:szCs w:val="24"/>
                <w:highlight w:val="none"/>
                <w:lang w:val="en-US" w:eastAsia="zh-CN" w:bidi="ar-SA"/>
              </w:rPr>
              <w:t>罐</w:t>
            </w:r>
            <w:r>
              <w:rPr>
                <w:rFonts w:hint="default" w:ascii="Times New Roman" w:hAnsi="Times New Roman" w:eastAsia="宋体" w:cs="Times New Roman"/>
                <w:color w:val="auto"/>
                <w:kern w:val="2"/>
                <w:sz w:val="24"/>
                <w:szCs w:val="24"/>
                <w:highlight w:val="none"/>
                <w:lang w:val="en-US" w:eastAsia="zh-CN" w:bidi="ar-SA"/>
              </w:rPr>
              <w:t>底，</w:t>
            </w:r>
            <w:r>
              <w:rPr>
                <w:rFonts w:hint="default" w:ascii="Times New Roman" w:hAnsi="Times New Roman" w:cs="Times New Roman"/>
                <w:color w:val="auto"/>
                <w:kern w:val="2"/>
                <w:sz w:val="24"/>
                <w:szCs w:val="24"/>
                <w:highlight w:val="none"/>
                <w:lang w:val="en-US" w:eastAsia="zh-CN" w:bidi="ar-SA"/>
              </w:rPr>
              <w:t>按工艺比例</w:t>
            </w:r>
            <w:r>
              <w:rPr>
                <w:rFonts w:hint="default" w:ascii="Times New Roman" w:hAnsi="Times New Roman" w:eastAsia="宋体" w:cs="Times New Roman"/>
                <w:color w:val="auto"/>
                <w:kern w:val="2"/>
                <w:sz w:val="24"/>
                <w:szCs w:val="24"/>
                <w:highlight w:val="none"/>
                <w:lang w:val="en-US" w:eastAsia="zh-CN" w:bidi="ar-SA"/>
              </w:rPr>
              <w:t>经计量称精确计量配比后，由</w:t>
            </w:r>
            <w:r>
              <w:rPr>
                <w:rFonts w:hint="default" w:ascii="Times New Roman" w:hAnsi="Times New Roman" w:cs="Times New Roman"/>
                <w:color w:val="auto"/>
                <w:kern w:val="2"/>
                <w:sz w:val="24"/>
                <w:szCs w:val="24"/>
                <w:highlight w:val="none"/>
                <w:lang w:val="en-US" w:eastAsia="zh-CN" w:bidi="ar-SA"/>
              </w:rPr>
              <w:t>密闭管道</w:t>
            </w:r>
            <w:r>
              <w:rPr>
                <w:rFonts w:hint="default" w:ascii="Times New Roman" w:hAnsi="Times New Roman" w:eastAsia="宋体" w:cs="Times New Roman"/>
                <w:color w:val="auto"/>
                <w:kern w:val="2"/>
                <w:sz w:val="24"/>
                <w:szCs w:val="24"/>
                <w:highlight w:val="none"/>
                <w:lang w:val="en-US" w:eastAsia="zh-CN" w:bidi="ar-SA"/>
              </w:rPr>
              <w:t>输送</w:t>
            </w:r>
            <w:r>
              <w:rPr>
                <w:rFonts w:hint="default" w:ascii="Times New Roman" w:hAnsi="Times New Roman" w:cs="Times New Roman"/>
                <w:color w:val="auto"/>
                <w:kern w:val="2"/>
                <w:sz w:val="24"/>
                <w:szCs w:val="24"/>
                <w:highlight w:val="none"/>
                <w:lang w:val="en-US" w:eastAsia="zh-CN" w:bidi="ar-SA"/>
              </w:rPr>
              <w:t>至砂浆成套生产设备的搅拌仓</w:t>
            </w:r>
            <w:r>
              <w:rPr>
                <w:rFonts w:hint="default" w:ascii="Times New Roman" w:hAnsi="Times New Roman" w:eastAsia="宋体" w:cs="Times New Roman"/>
                <w:color w:val="auto"/>
                <w:kern w:val="2"/>
                <w:sz w:val="24"/>
                <w:szCs w:val="24"/>
                <w:highlight w:val="none"/>
                <w:lang w:val="en-US" w:eastAsia="zh-CN" w:bidi="ar-SA"/>
              </w:rPr>
              <w:t>内。</w:t>
            </w:r>
            <w:r>
              <w:rPr>
                <w:rFonts w:hint="default" w:ascii="Times New Roman" w:hAnsi="Times New Roman" w:eastAsia="宋体" w:cs="Times New Roman"/>
                <w:color w:val="auto"/>
                <w:sz w:val="24"/>
                <w:szCs w:val="24"/>
                <w:highlight w:val="none"/>
                <w:lang w:val="en-US" w:eastAsia="zh-CN"/>
              </w:rPr>
              <w:t>水由水泵泵入搅拌仓。</w:t>
            </w:r>
          </w:p>
          <w:p w14:paraId="72082EA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废气污染源为上料废气（G13），集气管道收集后和其他生产废气一同引至布袋除尘器处理，再经1根15m排气筒排放；噪声污染源为砂浆成套生产设备产生的噪声（N15），采取基础减振、厂房隔声等措施降噪。固体废物为除尘器收集的除尘灰（S15），收集后回用于生产。</w:t>
            </w:r>
          </w:p>
          <w:p w14:paraId="27E83DD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eastAsia="zh-CN"/>
              </w:rPr>
              <w:t>③</w:t>
            </w:r>
            <w:r>
              <w:rPr>
                <w:rFonts w:hint="default" w:ascii="Times New Roman" w:hAnsi="Times New Roman" w:eastAsia="宋体" w:cs="Times New Roman"/>
                <w:color w:val="auto"/>
                <w:sz w:val="24"/>
                <w:szCs w:val="24"/>
                <w:highlight w:val="none"/>
                <w:lang w:val="en-US" w:eastAsia="zh-CN"/>
              </w:rPr>
              <w:t>搅拌</w:t>
            </w:r>
          </w:p>
          <w:p w14:paraId="786366B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搅拌仓内物料搅拌至均匀。</w:t>
            </w:r>
          </w:p>
          <w:p w14:paraId="7D43823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废气污染源为搅拌废气（G14），集气管道收集后和其他生产废气一同引至布袋除尘器处理，再经1根15m排气筒排放；噪声污染源为砂浆成套生产设备产生的噪声（N16），采取基础减振、厂房隔声等措施降噪。固体废物为除尘器收集的除尘灰（S16），收集后回用于生产。</w:t>
            </w:r>
          </w:p>
          <w:p w14:paraId="7102F3C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eastAsia="zh-CN"/>
              </w:rPr>
              <w:t>④</w:t>
            </w:r>
            <w:r>
              <w:rPr>
                <w:rFonts w:hint="default" w:ascii="Times New Roman" w:hAnsi="Times New Roman" w:eastAsia="宋体" w:cs="Times New Roman"/>
                <w:color w:val="auto"/>
                <w:sz w:val="24"/>
                <w:szCs w:val="24"/>
                <w:highlight w:val="none"/>
                <w:lang w:val="en-US" w:eastAsia="zh-CN"/>
              </w:rPr>
              <w:t>入库待售</w:t>
            </w:r>
          </w:p>
          <w:p w14:paraId="669B858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搅拌后的成品进行</w:t>
            </w:r>
            <w:r>
              <w:rPr>
                <w:rFonts w:hint="eastAsia" w:cs="Times New Roman"/>
                <w:color w:val="auto"/>
                <w:sz w:val="24"/>
                <w:szCs w:val="24"/>
                <w:highlight w:val="none"/>
                <w:lang w:val="en-US" w:eastAsia="zh-CN"/>
              </w:rPr>
              <w:t>人工</w:t>
            </w:r>
            <w:r>
              <w:rPr>
                <w:rFonts w:hint="default" w:ascii="Times New Roman" w:hAnsi="Times New Roman" w:eastAsia="宋体" w:cs="Times New Roman"/>
                <w:color w:val="auto"/>
                <w:sz w:val="24"/>
                <w:szCs w:val="24"/>
                <w:highlight w:val="none"/>
                <w:lang w:val="en-US" w:eastAsia="zh-CN"/>
              </w:rPr>
              <w:t>包装，入库待售。</w:t>
            </w:r>
          </w:p>
          <w:p w14:paraId="051A7CE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）其他产污节点</w:t>
            </w:r>
          </w:p>
          <w:p w14:paraId="1019CF8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zh-CN" w:eastAsia="zh-CN"/>
              </w:rPr>
            </w:pPr>
            <w:r>
              <w:rPr>
                <w:rFonts w:hint="default" w:ascii="Times New Roman" w:hAnsi="Times New Roman" w:eastAsia="宋体" w:cs="Times New Roman"/>
                <w:color w:val="auto"/>
                <w:sz w:val="24"/>
                <w:szCs w:val="24"/>
                <w:highlight w:val="none"/>
                <w:lang w:val="zh-CN" w:eastAsia="zh-CN"/>
              </w:rPr>
              <w:t>布袋除尘器定期更换布袋产生的废布袋（</w:t>
            </w:r>
            <w:r>
              <w:rPr>
                <w:rFonts w:hint="default" w:ascii="Times New Roman" w:hAnsi="Times New Roman" w:eastAsia="宋体" w:cs="Times New Roman"/>
                <w:color w:val="auto"/>
                <w:sz w:val="24"/>
                <w:szCs w:val="24"/>
                <w:highlight w:val="none"/>
                <w:lang w:val="en-US" w:eastAsia="zh-CN"/>
              </w:rPr>
              <w:t>S1</w:t>
            </w:r>
            <w:r>
              <w:rPr>
                <w:rFonts w:hint="default" w:ascii="Times New Roman" w:hAnsi="Times New Roman"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val="zh-CN" w:eastAsia="zh-CN"/>
              </w:rPr>
              <w:t>），收集后外售。职工生活产生的生活垃圾（</w:t>
            </w:r>
            <w:r>
              <w:rPr>
                <w:rFonts w:hint="default" w:ascii="Times New Roman" w:hAnsi="Times New Roman" w:eastAsia="宋体" w:cs="Times New Roman"/>
                <w:color w:val="auto"/>
                <w:sz w:val="24"/>
                <w:szCs w:val="24"/>
                <w:highlight w:val="none"/>
                <w:lang w:val="en-US" w:eastAsia="zh-CN"/>
              </w:rPr>
              <w:t>S1</w:t>
            </w:r>
            <w:r>
              <w:rPr>
                <w:rFonts w:hint="default"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zh-CN" w:eastAsia="zh-CN"/>
              </w:rPr>
              <w:t>），收集后送环卫部门处理。职工生活产生的生活污水（</w:t>
            </w:r>
            <w:r>
              <w:rPr>
                <w:rFonts w:hint="default" w:ascii="Times New Roman" w:hAnsi="Times New Roman" w:eastAsia="宋体" w:cs="Times New Roman"/>
                <w:color w:val="auto"/>
                <w:sz w:val="24"/>
                <w:szCs w:val="24"/>
                <w:highlight w:val="none"/>
                <w:lang w:val="en-US" w:eastAsia="zh-CN"/>
              </w:rPr>
              <w:t>W5</w:t>
            </w:r>
            <w:r>
              <w:rPr>
                <w:rFonts w:hint="default" w:ascii="Times New Roman" w:hAnsi="Times New Roman" w:eastAsia="宋体" w:cs="Times New Roman"/>
                <w:color w:val="auto"/>
                <w:sz w:val="24"/>
                <w:szCs w:val="24"/>
                <w:highlight w:val="none"/>
                <w:lang w:val="zh-CN" w:eastAsia="zh-CN"/>
              </w:rPr>
              <w:t>），厂区</w:t>
            </w:r>
            <w:r>
              <w:rPr>
                <w:rFonts w:hint="default" w:ascii="Times New Roman" w:hAnsi="Times New Roman" w:eastAsia="宋体" w:cs="Times New Roman"/>
                <w:color w:val="auto"/>
                <w:sz w:val="24"/>
                <w:szCs w:val="24"/>
                <w:highlight w:val="none"/>
                <w:lang w:val="en-US" w:eastAsia="zh-CN"/>
              </w:rPr>
              <w:t>设置化粪池，定期清掏处理。</w:t>
            </w:r>
          </w:p>
          <w:p w14:paraId="3C2E32AB">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color w:val="auto"/>
                <w:sz w:val="24"/>
                <w:highlight w:val="none"/>
              </w:rPr>
              <mc:AlternateContent>
                <mc:Choice Requires="wpg">
                  <w:drawing>
                    <wp:anchor distT="0" distB="0" distL="114300" distR="114300" simplePos="0" relativeHeight="251661312" behindDoc="0" locked="0" layoutInCell="1" allowOverlap="1">
                      <wp:simplePos x="0" y="0"/>
                      <wp:positionH relativeFrom="column">
                        <wp:posOffset>66040</wp:posOffset>
                      </wp:positionH>
                      <wp:positionV relativeFrom="paragraph">
                        <wp:posOffset>-43412410</wp:posOffset>
                      </wp:positionV>
                      <wp:extent cx="4814570" cy="1193165"/>
                      <wp:effectExtent l="5080" t="0" r="0" b="6350"/>
                      <wp:wrapNone/>
                      <wp:docPr id="180" name="组合 180"/>
                      <wp:cNvGraphicFramePr/>
                      <a:graphic xmlns:a="http://schemas.openxmlformats.org/drawingml/2006/main">
                        <a:graphicData uri="http://schemas.microsoft.com/office/word/2010/wordprocessingGroup">
                          <wpg:wgp>
                            <wpg:cNvGrpSpPr/>
                            <wpg:grpSpPr>
                              <a:xfrm>
                                <a:off x="0" y="0"/>
                                <a:ext cx="4814570" cy="1193165"/>
                                <a:chOff x="2791" y="397825"/>
                                <a:chExt cx="7582" cy="1879"/>
                              </a:xfrm>
                            </wpg:grpSpPr>
                            <wps:wsp>
                              <wps:cNvPr id="30" name="文本框 125"/>
                              <wps:cNvSpPr txBox="1"/>
                              <wps:spPr>
                                <a:xfrm>
                                  <a:off x="2821" y="398250"/>
                                  <a:ext cx="972" cy="40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5AF3EF2C">
                                    <w:pPr>
                                      <w:jc w:val="center"/>
                                      <w:rPr>
                                        <w:rFonts w:hint="eastAsia" w:eastAsia="宋体"/>
                                        <w:lang w:val="en-US" w:eastAsia="zh-CN"/>
                                      </w:rPr>
                                    </w:pPr>
                                    <w:r>
                                      <w:rPr>
                                        <w:rFonts w:hint="eastAsia"/>
                                        <w:lang w:val="en-US" w:eastAsia="zh-CN"/>
                                      </w:rPr>
                                      <w:t>原材料</w:t>
                                    </w:r>
                                  </w:p>
                                </w:txbxContent>
                              </wps:txbx>
                              <wps:bodyPr lIns="0" tIns="45720" rIns="0" bIns="45720" upright="1"/>
                            </wps:wsp>
                            <wps:wsp>
                              <wps:cNvPr id="31" name="文本框 127"/>
                              <wps:cNvSpPr txBox="1"/>
                              <wps:spPr>
                                <a:xfrm>
                                  <a:off x="4317" y="398262"/>
                                  <a:ext cx="972" cy="40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554EA437">
                                    <w:pPr>
                                      <w:jc w:val="center"/>
                                      <w:rPr>
                                        <w:rFonts w:hint="default" w:eastAsia="宋体"/>
                                        <w:lang w:val="en-US" w:eastAsia="zh-CN"/>
                                      </w:rPr>
                                    </w:pPr>
                                    <w:r>
                                      <w:rPr>
                                        <w:rFonts w:hint="eastAsia"/>
                                        <w:lang w:val="en-US" w:eastAsia="zh-CN"/>
                                      </w:rPr>
                                      <w:t>锤破</w:t>
                                    </w:r>
                                  </w:p>
                                </w:txbxContent>
                              </wps:txbx>
                              <wps:bodyPr lIns="0" tIns="45720" rIns="0" bIns="45720" upright="1"/>
                            </wps:wsp>
                            <wps:wsp>
                              <wps:cNvPr id="32" name="文本框 128"/>
                              <wps:cNvSpPr txBox="1"/>
                              <wps:spPr>
                                <a:xfrm>
                                  <a:off x="5815" y="398291"/>
                                  <a:ext cx="1040" cy="40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690AC0C5">
                                    <w:pPr>
                                      <w:jc w:val="center"/>
                                      <w:rPr>
                                        <w:rFonts w:hint="default" w:eastAsia="宋体"/>
                                        <w:lang w:val="en-US" w:eastAsia="zh-CN"/>
                                      </w:rPr>
                                    </w:pPr>
                                    <w:r>
                                      <w:rPr>
                                        <w:rFonts w:hint="eastAsia"/>
                                        <w:lang w:val="en-US" w:eastAsia="zh-CN"/>
                                      </w:rPr>
                                      <w:t>加料仓</w:t>
                                    </w:r>
                                  </w:p>
                                </w:txbxContent>
                              </wps:txbx>
                              <wps:bodyPr lIns="0" tIns="45720" rIns="0" bIns="45720" upright="1"/>
                            </wps:wsp>
                            <wps:wsp>
                              <wps:cNvPr id="33" name="文本框 129"/>
                              <wps:cNvSpPr txBox="1"/>
                              <wps:spPr>
                                <a:xfrm>
                                  <a:off x="9106" y="398275"/>
                                  <a:ext cx="1182" cy="40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4B96B011">
                                    <w:pPr>
                                      <w:jc w:val="center"/>
                                      <w:rPr>
                                        <w:rFonts w:hint="default" w:eastAsia="宋体"/>
                                        <w:lang w:val="en-US" w:eastAsia="zh-CN"/>
                                      </w:rPr>
                                    </w:pPr>
                                    <w:r>
                                      <w:rPr>
                                        <w:rFonts w:hint="eastAsia"/>
                                        <w:lang w:val="en-US" w:eastAsia="zh-CN"/>
                                      </w:rPr>
                                      <w:t>雷蒙磨</w:t>
                                    </w:r>
                                  </w:p>
                                </w:txbxContent>
                              </wps:txbx>
                              <wps:bodyPr lIns="0" tIns="45720" rIns="0" bIns="45720" upright="1"/>
                            </wps:wsp>
                            <wps:wsp>
                              <wps:cNvPr id="35" name="文本框 130"/>
                              <wps:cNvSpPr txBox="1"/>
                              <wps:spPr>
                                <a:xfrm>
                                  <a:off x="4241" y="397830"/>
                                  <a:ext cx="1077" cy="409"/>
                                </a:xfrm>
                                <a:prstGeom prst="rect">
                                  <a:avLst/>
                                </a:prstGeom>
                                <a:noFill/>
                                <a:ln w="6350">
                                  <a:noFill/>
                                </a:ln>
                              </wps:spPr>
                              <wps:txbx>
                                <w:txbxContent>
                                  <w:p w14:paraId="46F8E246">
                                    <w:pPr>
                                      <w:jc w:val="center"/>
                                      <w:rPr>
                                        <w:rFonts w:hint="default" w:eastAsia="宋体"/>
                                        <w:lang w:val="en-US" w:eastAsia="zh-CN"/>
                                      </w:rPr>
                                    </w:pPr>
                                    <w:r>
                                      <w:rPr>
                                        <w:rFonts w:hint="eastAsia"/>
                                        <w:lang w:val="en-US" w:eastAsia="zh-CN"/>
                                      </w:rPr>
                                      <w:t>G、N</w:t>
                                    </w:r>
                                  </w:p>
                                </w:txbxContent>
                              </wps:txbx>
                              <wps:bodyPr lIns="0" tIns="45720" rIns="0" bIns="45720" upright="1"/>
                            </wps:wsp>
                            <wps:wsp>
                              <wps:cNvPr id="36" name="文本框 131"/>
                              <wps:cNvSpPr txBox="1"/>
                              <wps:spPr>
                                <a:xfrm>
                                  <a:off x="5606" y="397825"/>
                                  <a:ext cx="1422" cy="409"/>
                                </a:xfrm>
                                <a:prstGeom prst="rect">
                                  <a:avLst/>
                                </a:prstGeom>
                                <a:noFill/>
                                <a:ln w="6350">
                                  <a:noFill/>
                                </a:ln>
                              </wps:spPr>
                              <wps:txbx>
                                <w:txbxContent>
                                  <w:p w14:paraId="2FF5BCE0">
                                    <w:pPr>
                                      <w:jc w:val="center"/>
                                      <w:rPr>
                                        <w:rFonts w:hint="default" w:eastAsia="宋体"/>
                                        <w:lang w:val="en-US" w:eastAsia="zh-CN"/>
                                      </w:rPr>
                                    </w:pPr>
                                    <w:r>
                                      <w:rPr>
                                        <w:rFonts w:hint="eastAsia"/>
                                        <w:lang w:val="en-US" w:eastAsia="zh-CN"/>
                                      </w:rPr>
                                      <w:t>G、N</w:t>
                                    </w:r>
                                  </w:p>
                                </w:txbxContent>
                              </wps:txbx>
                              <wps:bodyPr lIns="0" tIns="45720" rIns="0" bIns="45720" upright="1"/>
                            </wps:wsp>
                            <wps:wsp>
                              <wps:cNvPr id="37" name="直接箭头连接符 132"/>
                              <wps:cNvCnPr/>
                              <wps:spPr>
                                <a:xfrm>
                                  <a:off x="5278" y="398486"/>
                                  <a:ext cx="534" cy="6"/>
                                </a:xfrm>
                                <a:prstGeom prst="straightConnector1">
                                  <a:avLst/>
                                </a:prstGeom>
                                <a:ln w="9525" cap="flat" cmpd="sng">
                                  <a:solidFill>
                                    <a:srgbClr val="000000"/>
                                  </a:solidFill>
                                  <a:prstDash val="solid"/>
                                  <a:round/>
                                  <a:headEnd type="none" w="med" len="med"/>
                                  <a:tailEnd type="triangle" w="med" len="med"/>
                                </a:ln>
                              </wps:spPr>
                              <wps:bodyPr/>
                            </wps:wsp>
                            <wps:wsp>
                              <wps:cNvPr id="38" name="直接箭头连接符 133"/>
                              <wps:cNvCnPr/>
                              <wps:spPr>
                                <a:xfrm>
                                  <a:off x="6868" y="398486"/>
                                  <a:ext cx="534" cy="6"/>
                                </a:xfrm>
                                <a:prstGeom prst="straightConnector1">
                                  <a:avLst/>
                                </a:prstGeom>
                                <a:ln w="9525" cap="flat" cmpd="sng">
                                  <a:solidFill>
                                    <a:srgbClr val="000000"/>
                                  </a:solidFill>
                                  <a:prstDash val="solid"/>
                                  <a:round/>
                                  <a:headEnd type="none" w="med" len="med"/>
                                  <a:tailEnd type="triangle" w="med" len="med"/>
                                </a:ln>
                              </wps:spPr>
                              <wps:bodyPr/>
                            </wps:wsp>
                            <wps:wsp>
                              <wps:cNvPr id="39" name="直接箭头连接符 135"/>
                              <wps:cNvCnPr/>
                              <wps:spPr>
                                <a:xfrm>
                                  <a:off x="8593" y="398486"/>
                                  <a:ext cx="534" cy="6"/>
                                </a:xfrm>
                                <a:prstGeom prst="straightConnector1">
                                  <a:avLst/>
                                </a:prstGeom>
                                <a:ln w="9525" cap="flat" cmpd="sng">
                                  <a:solidFill>
                                    <a:srgbClr val="000000"/>
                                  </a:solidFill>
                                  <a:prstDash val="solid"/>
                                  <a:round/>
                                  <a:headEnd type="none" w="med" len="med"/>
                                  <a:tailEnd type="triangle" w="med" len="med"/>
                                </a:ln>
                              </wps:spPr>
                              <wps:bodyPr/>
                            </wps:wsp>
                            <wps:wsp>
                              <wps:cNvPr id="40" name="文本框 136"/>
                              <wps:cNvSpPr txBox="1"/>
                              <wps:spPr>
                                <a:xfrm>
                                  <a:off x="9061" y="399175"/>
                                  <a:ext cx="1182" cy="40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207D572A">
                                    <w:pPr>
                                      <w:jc w:val="center"/>
                                      <w:rPr>
                                        <w:rFonts w:hint="default" w:eastAsia="宋体"/>
                                        <w:lang w:val="en-US" w:eastAsia="zh-CN"/>
                                      </w:rPr>
                                    </w:pPr>
                                    <w:r>
                                      <w:rPr>
                                        <w:rFonts w:hint="eastAsia"/>
                                        <w:lang w:val="en-US" w:eastAsia="zh-CN"/>
                                      </w:rPr>
                                      <w:t>加料仓</w:t>
                                    </w:r>
                                  </w:p>
                                </w:txbxContent>
                              </wps:txbx>
                              <wps:bodyPr lIns="0" tIns="45720" rIns="0" bIns="45720" upright="1"/>
                            </wps:wsp>
                            <wps:wsp>
                              <wps:cNvPr id="41" name="直接箭头连接符 137"/>
                              <wps:cNvCnPr/>
                              <wps:spPr>
                                <a:xfrm flipH="1">
                                  <a:off x="9698" y="398696"/>
                                  <a:ext cx="0" cy="494"/>
                                </a:xfrm>
                                <a:prstGeom prst="straightConnector1">
                                  <a:avLst/>
                                </a:prstGeom>
                                <a:ln w="9525" cap="flat" cmpd="sng">
                                  <a:solidFill>
                                    <a:srgbClr val="000000"/>
                                  </a:solidFill>
                                  <a:prstDash val="solid"/>
                                  <a:round/>
                                  <a:headEnd type="none" w="med" len="med"/>
                                  <a:tailEnd type="triangle" w="med" len="med"/>
                                </a:ln>
                              </wps:spPr>
                              <wps:bodyPr/>
                            </wps:wsp>
                            <wps:wsp>
                              <wps:cNvPr id="42" name="文本框 138"/>
                              <wps:cNvSpPr txBox="1"/>
                              <wps:spPr>
                                <a:xfrm>
                                  <a:off x="6046" y="399295"/>
                                  <a:ext cx="1182" cy="40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17290C39">
                                    <w:pPr>
                                      <w:jc w:val="center"/>
                                      <w:rPr>
                                        <w:rFonts w:hint="default" w:eastAsia="宋体"/>
                                        <w:lang w:val="en-US" w:eastAsia="zh-CN"/>
                                      </w:rPr>
                                    </w:pPr>
                                    <w:r>
                                      <w:rPr>
                                        <w:rFonts w:hint="eastAsia"/>
                                        <w:lang w:val="en-US" w:eastAsia="zh-CN"/>
                                      </w:rPr>
                                      <w:t>提升机</w:t>
                                    </w:r>
                                  </w:p>
                                </w:txbxContent>
                              </wps:txbx>
                              <wps:bodyPr lIns="0" tIns="45720" rIns="0" bIns="45720" upright="1"/>
                            </wps:wsp>
                            <wps:wsp>
                              <wps:cNvPr id="43" name="直接箭头连接符 139"/>
                              <wps:cNvCnPr/>
                              <wps:spPr>
                                <a:xfrm flipH="1" flipV="1">
                                  <a:off x="5476" y="399505"/>
                                  <a:ext cx="567" cy="1"/>
                                </a:xfrm>
                                <a:prstGeom prst="straightConnector1">
                                  <a:avLst/>
                                </a:prstGeom>
                                <a:ln w="9525" cap="flat" cmpd="sng">
                                  <a:solidFill>
                                    <a:srgbClr val="000000"/>
                                  </a:solidFill>
                                  <a:prstDash val="solid"/>
                                  <a:round/>
                                  <a:headEnd type="none" w="med" len="med"/>
                                  <a:tailEnd type="triangle" w="med" len="med"/>
                                </a:ln>
                              </wps:spPr>
                              <wps:bodyPr/>
                            </wps:wsp>
                            <wps:wsp>
                              <wps:cNvPr id="44" name="文本框 140"/>
                              <wps:cNvSpPr txBox="1"/>
                              <wps:spPr>
                                <a:xfrm>
                                  <a:off x="4291" y="399265"/>
                                  <a:ext cx="1182" cy="40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2364BFEB">
                                    <w:pPr>
                                      <w:jc w:val="center"/>
                                      <w:rPr>
                                        <w:rFonts w:hint="default" w:eastAsia="宋体"/>
                                        <w:lang w:val="en-US" w:eastAsia="zh-CN"/>
                                      </w:rPr>
                                    </w:pPr>
                                    <w:r>
                                      <w:rPr>
                                        <w:rFonts w:hint="eastAsia" w:eastAsia="宋体"/>
                                        <w:lang w:val="en-US" w:eastAsia="zh-CN"/>
                                      </w:rPr>
                                      <w:t>成品仓</w:t>
                                    </w:r>
                                  </w:p>
                                </w:txbxContent>
                              </wps:txbx>
                              <wps:bodyPr lIns="0" tIns="45720" rIns="0" bIns="45720" upright="1"/>
                            </wps:wsp>
                            <wps:wsp>
                              <wps:cNvPr id="45" name="直接箭头连接符 141"/>
                              <wps:cNvCnPr/>
                              <wps:spPr>
                                <a:xfrm flipH="1">
                                  <a:off x="3766" y="399446"/>
                                  <a:ext cx="507" cy="14"/>
                                </a:xfrm>
                                <a:prstGeom prst="straightConnector1">
                                  <a:avLst/>
                                </a:prstGeom>
                                <a:ln w="9525" cap="flat" cmpd="sng">
                                  <a:solidFill>
                                    <a:srgbClr val="000000"/>
                                  </a:solidFill>
                                  <a:prstDash val="solid"/>
                                  <a:round/>
                                  <a:headEnd type="none" w="med" len="med"/>
                                  <a:tailEnd type="triangle" w="med" len="med"/>
                                </a:ln>
                              </wps:spPr>
                              <wps:bodyPr/>
                            </wps:wsp>
                            <wps:wsp>
                              <wps:cNvPr id="46" name="文本框 142"/>
                              <wps:cNvSpPr txBox="1"/>
                              <wps:spPr>
                                <a:xfrm>
                                  <a:off x="2791" y="399195"/>
                                  <a:ext cx="972" cy="40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10598885">
                                    <w:pPr>
                                      <w:jc w:val="center"/>
                                      <w:rPr>
                                        <w:rFonts w:hint="default" w:eastAsia="宋体"/>
                                        <w:lang w:val="en-US" w:eastAsia="zh-CN"/>
                                      </w:rPr>
                                    </w:pPr>
                                    <w:r>
                                      <w:rPr>
                                        <w:rFonts w:hint="eastAsia"/>
                                        <w:lang w:val="en-US" w:eastAsia="zh-CN"/>
                                      </w:rPr>
                                      <w:t>外运</w:t>
                                    </w:r>
                                  </w:p>
                                </w:txbxContent>
                              </wps:txbx>
                              <wps:bodyPr lIns="0" tIns="45720" rIns="0" bIns="45720" upright="1"/>
                            </wps:wsp>
                            <wps:wsp>
                              <wps:cNvPr id="49" name="文本框 143"/>
                              <wps:cNvSpPr txBox="1"/>
                              <wps:spPr>
                                <a:xfrm>
                                  <a:off x="8891" y="397870"/>
                                  <a:ext cx="1422" cy="409"/>
                                </a:xfrm>
                                <a:prstGeom prst="rect">
                                  <a:avLst/>
                                </a:prstGeom>
                                <a:noFill/>
                                <a:ln w="6350">
                                  <a:noFill/>
                                </a:ln>
                              </wps:spPr>
                              <wps:txbx>
                                <w:txbxContent>
                                  <w:p w14:paraId="0E978C91">
                                    <w:pPr>
                                      <w:jc w:val="center"/>
                                      <w:rPr>
                                        <w:rFonts w:hint="default" w:eastAsia="宋体"/>
                                        <w:lang w:val="en-US" w:eastAsia="zh-CN"/>
                                      </w:rPr>
                                    </w:pPr>
                                    <w:r>
                                      <w:rPr>
                                        <w:rFonts w:hint="eastAsia"/>
                                        <w:lang w:val="en-US" w:eastAsia="zh-CN"/>
                                      </w:rPr>
                                      <w:t>G、N、S</w:t>
                                    </w:r>
                                  </w:p>
                                </w:txbxContent>
                              </wps:txbx>
                              <wps:bodyPr lIns="0" tIns="45720" rIns="0" bIns="45720" upright="1"/>
                            </wps:wsp>
                            <wps:wsp>
                              <wps:cNvPr id="51" name="文本框 144"/>
                              <wps:cNvSpPr txBox="1"/>
                              <wps:spPr>
                                <a:xfrm>
                                  <a:off x="8951" y="398800"/>
                                  <a:ext cx="1422" cy="409"/>
                                </a:xfrm>
                                <a:prstGeom prst="rect">
                                  <a:avLst/>
                                </a:prstGeom>
                                <a:noFill/>
                                <a:ln w="6350">
                                  <a:noFill/>
                                </a:ln>
                              </wps:spPr>
                              <wps:txbx>
                                <w:txbxContent>
                                  <w:p w14:paraId="0F228B8E">
                                    <w:pPr>
                                      <w:jc w:val="center"/>
                                      <w:rPr>
                                        <w:rFonts w:hint="default" w:eastAsia="宋体"/>
                                        <w:lang w:val="en-US" w:eastAsia="zh-CN"/>
                                      </w:rPr>
                                    </w:pPr>
                                    <w:r>
                                      <w:rPr>
                                        <w:rFonts w:hint="eastAsia"/>
                                        <w:lang w:val="en-US" w:eastAsia="zh-CN"/>
                                      </w:rPr>
                                      <w:t>G、N</w:t>
                                    </w:r>
                                  </w:p>
                                </w:txbxContent>
                              </wps:txbx>
                              <wps:bodyPr lIns="0" tIns="45720" rIns="0" bIns="45720" upright="1"/>
                            </wps:wsp>
                            <wps:wsp>
                              <wps:cNvPr id="52" name="文本框 145"/>
                              <wps:cNvSpPr txBox="1"/>
                              <wps:spPr>
                                <a:xfrm>
                                  <a:off x="5981" y="398875"/>
                                  <a:ext cx="1422" cy="409"/>
                                </a:xfrm>
                                <a:prstGeom prst="rect">
                                  <a:avLst/>
                                </a:prstGeom>
                                <a:noFill/>
                                <a:ln w="6350">
                                  <a:noFill/>
                                </a:ln>
                              </wps:spPr>
                              <wps:txbx>
                                <w:txbxContent>
                                  <w:p w14:paraId="4430B8B4">
                                    <w:pPr>
                                      <w:jc w:val="center"/>
                                      <w:rPr>
                                        <w:rFonts w:hint="default" w:eastAsia="宋体"/>
                                        <w:lang w:val="en-US" w:eastAsia="zh-CN"/>
                                      </w:rPr>
                                    </w:pPr>
                                    <w:r>
                                      <w:rPr>
                                        <w:rFonts w:hint="eastAsia"/>
                                        <w:lang w:val="en-US" w:eastAsia="zh-CN"/>
                                      </w:rPr>
                                      <w:t>G、N</w:t>
                                    </w:r>
                                  </w:p>
                                </w:txbxContent>
                              </wps:txbx>
                              <wps:bodyPr lIns="0" tIns="45720" rIns="0" bIns="45720" upright="1"/>
                            </wps:wsp>
                            <wps:wsp>
                              <wps:cNvPr id="59" name="文本框 146"/>
                              <wps:cNvSpPr txBox="1"/>
                              <wps:spPr>
                                <a:xfrm>
                                  <a:off x="4226" y="398830"/>
                                  <a:ext cx="1422" cy="409"/>
                                </a:xfrm>
                                <a:prstGeom prst="rect">
                                  <a:avLst/>
                                </a:prstGeom>
                                <a:noFill/>
                                <a:ln w="6350">
                                  <a:noFill/>
                                </a:ln>
                              </wps:spPr>
                              <wps:txbx>
                                <w:txbxContent>
                                  <w:p w14:paraId="2D37EA54">
                                    <w:pPr>
                                      <w:jc w:val="center"/>
                                      <w:rPr>
                                        <w:rFonts w:hint="default" w:eastAsia="宋体"/>
                                        <w:lang w:val="en-US" w:eastAsia="zh-CN"/>
                                      </w:rPr>
                                    </w:pPr>
                                    <w:r>
                                      <w:rPr>
                                        <w:rFonts w:hint="eastAsia"/>
                                        <w:lang w:val="en-US" w:eastAsia="zh-CN"/>
                                      </w:rPr>
                                      <w:t>G、N</w:t>
                                    </w:r>
                                  </w:p>
                                </w:txbxContent>
                              </wps:txbx>
                              <wps:bodyPr lIns="0" tIns="45720" rIns="0" bIns="45720" upright="1"/>
                            </wps:wsp>
                          </wpg:wgp>
                        </a:graphicData>
                      </a:graphic>
                    </wp:anchor>
                  </w:drawing>
                </mc:Choice>
                <mc:Fallback>
                  <w:pict>
                    <v:group id="_x0000_s1026" o:spid="_x0000_s1026" o:spt="203" style="position:absolute;left:0pt;margin-left:5.2pt;margin-top:-3418.3pt;height:93.95pt;width:379.1pt;z-index:251661312;mso-width-relative:page;mso-height-relative:page;" coordorigin="2791,397825" coordsize="7582,1879" o:gfxdata="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">
                      <o:lock v:ext="edit" aspectratio="f"/>
                      <v:shape id="文本框 125" o:spid="_x0000_s1026" o:spt="202" type="#_x0000_t202" style="position:absolute;left:2821;top:398250;height:409;width:972;" fillcolor="#FFFFFF" filled="t" stroked="t" coordsize="21600,21600" o:gfxdata="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D6Jme5AAAA2wAA&#10;AA8AAAAAAAAAAQAgAAAAIgAAAGRycy9kb3ducmV2LnhtbFBLAQIUABQAAAAIAIdO4kAzLwWeOwAA&#10;ADkAAAAQAAAAAAAAAAEAIAAAAAgBAABkcnMvc2hhcGV4bWwueG1sUEsFBgAAAAAGAAYAWwEAALID&#10;AAAAAA==&#10;">
                        <v:fill on="t" focussize="0,0"/>
                        <v:stroke weight="0.5pt" color="#000000" joinstyle="round"/>
                        <v:imagedata o:title=""/>
                        <o:lock v:ext="edit" aspectratio="f"/>
                        <v:textbox inset="0mm,1.27mm,0mm,1.27mm">
                          <w:txbxContent>
                            <w:p w14:paraId="5AF3EF2C">
                              <w:pPr>
                                <w:jc w:val="center"/>
                                <w:rPr>
                                  <w:rFonts w:hint="eastAsia" w:eastAsia="宋体"/>
                                  <w:lang w:val="en-US" w:eastAsia="zh-CN"/>
                                </w:rPr>
                              </w:pPr>
                              <w:r>
                                <w:rPr>
                                  <w:rFonts w:hint="eastAsia"/>
                                  <w:lang w:val="en-US" w:eastAsia="zh-CN"/>
                                </w:rPr>
                                <w:t>原材料</w:t>
                              </w:r>
                            </w:p>
                          </w:txbxContent>
                        </v:textbox>
                      </v:shape>
                      <v:shape id="文本框 127" o:spid="_x0000_s1026" o:spt="202" type="#_x0000_t202" style="position:absolute;left:4317;top:398262;height:409;width:972;" fillcolor="#FFFFFF" filled="t" stroked="t" coordsize="21600,21600" o:gfxdata="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toP8vQAA&#10;ANsAAAAPAAAAAAAAAAEAIAAAACIAAABkcnMvZG93bnJldi54bWxQSwECFAAUAAAACACHTuJAMy8F&#10;njsAAAA5AAAAEAAAAAAAAAABACAAAAAMAQAAZHJzL3NoYXBleG1sLnhtbFBLBQYAAAAABgAGAFsB&#10;AAC2AwAAAAA=&#10;">
                        <v:fill on="t" focussize="0,0"/>
                        <v:stroke weight="0.5pt" color="#000000" joinstyle="round"/>
                        <v:imagedata o:title=""/>
                        <o:lock v:ext="edit" aspectratio="f"/>
                        <v:textbox inset="0mm,1.27mm,0mm,1.27mm">
                          <w:txbxContent>
                            <w:p w14:paraId="554EA437">
                              <w:pPr>
                                <w:jc w:val="center"/>
                                <w:rPr>
                                  <w:rFonts w:hint="default" w:eastAsia="宋体"/>
                                  <w:lang w:val="en-US" w:eastAsia="zh-CN"/>
                                </w:rPr>
                              </w:pPr>
                              <w:r>
                                <w:rPr>
                                  <w:rFonts w:hint="eastAsia"/>
                                  <w:lang w:val="en-US" w:eastAsia="zh-CN"/>
                                </w:rPr>
                                <w:t>锤破</w:t>
                              </w:r>
                            </w:p>
                          </w:txbxContent>
                        </v:textbox>
                      </v:shape>
                      <v:shape id="文本框 128" o:spid="_x0000_s1026" o:spt="202" type="#_x0000_t202" style="position:absolute;left:5815;top:398291;height:409;width:1040;" fillcolor="#FFFFFF" filled="t" stroked="t" coordsize="21600,21600" o:gfxdata="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B2LvQAA&#10;ANsAAAAPAAAAAAAAAAEAIAAAACIAAABkcnMvZG93bnJldi54bWxQSwECFAAUAAAACACHTuJAMy8F&#10;njsAAAA5AAAAEAAAAAAAAAABACAAAAAMAQAAZHJzL3NoYXBleG1sLnhtbFBLBQYAAAAABgAGAFsB&#10;AAC2AwAAAAA=&#10;">
                        <v:fill on="t" focussize="0,0"/>
                        <v:stroke weight="0.5pt" color="#000000" joinstyle="round"/>
                        <v:imagedata o:title=""/>
                        <o:lock v:ext="edit" aspectratio="f"/>
                        <v:textbox inset="0mm,1.27mm,0mm,1.27mm">
                          <w:txbxContent>
                            <w:p w14:paraId="690AC0C5">
                              <w:pPr>
                                <w:jc w:val="center"/>
                                <w:rPr>
                                  <w:rFonts w:hint="default" w:eastAsia="宋体"/>
                                  <w:lang w:val="en-US" w:eastAsia="zh-CN"/>
                                </w:rPr>
                              </w:pPr>
                              <w:r>
                                <w:rPr>
                                  <w:rFonts w:hint="eastAsia"/>
                                  <w:lang w:val="en-US" w:eastAsia="zh-CN"/>
                                </w:rPr>
                                <w:t>加料仓</w:t>
                              </w:r>
                            </w:p>
                          </w:txbxContent>
                        </v:textbox>
                      </v:shape>
                      <v:shape id="文本框 129" o:spid="_x0000_s1026" o:spt="202" type="#_x0000_t202" style="position:absolute;left:9106;top:398275;height:409;width:1182;" fillcolor="#FFFFFF" filled="t" stroked="t" coordsize="21600,21600" o:gfxdata="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Ci4EL4A&#10;AADbAAAADwAAAAAAAAABACAAAAAiAAAAZHJzL2Rvd25yZXYueG1sUEsBAhQAFAAAAAgAh07iQDMv&#10;BZ47AAAAOQAAABAAAAAAAAAAAQAgAAAADQEAAGRycy9zaGFwZXhtbC54bWxQSwUGAAAAAAYABgBb&#10;AQAAtwMAAAAA&#10;">
                        <v:fill on="t" focussize="0,0"/>
                        <v:stroke weight="0.5pt" color="#000000" joinstyle="round"/>
                        <v:imagedata o:title=""/>
                        <o:lock v:ext="edit" aspectratio="f"/>
                        <v:textbox inset="0mm,1.27mm,0mm,1.27mm">
                          <w:txbxContent>
                            <w:p w14:paraId="4B96B011">
                              <w:pPr>
                                <w:jc w:val="center"/>
                                <w:rPr>
                                  <w:rFonts w:hint="default" w:eastAsia="宋体"/>
                                  <w:lang w:val="en-US" w:eastAsia="zh-CN"/>
                                </w:rPr>
                              </w:pPr>
                              <w:r>
                                <w:rPr>
                                  <w:rFonts w:hint="eastAsia"/>
                                  <w:lang w:val="en-US" w:eastAsia="zh-CN"/>
                                </w:rPr>
                                <w:t>雷蒙磨</w:t>
                              </w:r>
                            </w:p>
                          </w:txbxContent>
                        </v:textbox>
                      </v:shape>
                      <v:shape id="文本框 130" o:spid="_x0000_s1026" o:spt="202" type="#_x0000_t202" style="position:absolute;left:4241;top:397830;height:409;width:1077;" filled="f" stroked="f" coordsize="21600,21600" o:gfxdata="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fIm+7sAAADb&#10;AAAADwAAAAAAAAABACAAAAAiAAAAZHJzL2Rvd25yZXYueG1sUEsBAhQAFAAAAAgAh07iQDMvBZ47&#10;AAAAOQAAABAAAAAAAAAAAQAgAAAACgEAAGRycy9zaGFwZXhtbC54bWxQSwUGAAAAAAYABgBbAQAA&#10;tAMAAAAA&#10;">
                        <v:fill on="f" focussize="0,0"/>
                        <v:stroke on="f" weight="0.5pt"/>
                        <v:imagedata o:title=""/>
                        <o:lock v:ext="edit" aspectratio="f"/>
                        <v:textbox inset="0mm,1.27mm,0mm,1.27mm">
                          <w:txbxContent>
                            <w:p w14:paraId="46F8E246">
                              <w:pPr>
                                <w:jc w:val="center"/>
                                <w:rPr>
                                  <w:rFonts w:hint="default" w:eastAsia="宋体"/>
                                  <w:lang w:val="en-US" w:eastAsia="zh-CN"/>
                                </w:rPr>
                              </w:pPr>
                              <w:r>
                                <w:rPr>
                                  <w:rFonts w:hint="eastAsia"/>
                                  <w:lang w:val="en-US" w:eastAsia="zh-CN"/>
                                </w:rPr>
                                <w:t>G、N</w:t>
                              </w:r>
                            </w:p>
                          </w:txbxContent>
                        </v:textbox>
                      </v:shape>
                      <v:shape id="文本框 131" o:spid="_x0000_s1026" o:spt="202" type="#_x0000_t202" style="position:absolute;left:5606;top:397825;height:409;width:1422;" filled="f" stroked="f" coordsize="21600,21600" o:gfxdata="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ILiMvQAA&#10;ANsAAAAPAAAAAAAAAAEAIAAAACIAAABkcnMvZG93bnJldi54bWxQSwECFAAUAAAACACHTuJAMy8F&#10;njsAAAA5AAAAEAAAAAAAAAABACAAAAAMAQAAZHJzL3NoYXBleG1sLnhtbFBLBQYAAAAABgAGAFsB&#10;AAC2AwAAAAA=&#10;">
                        <v:fill on="f" focussize="0,0"/>
                        <v:stroke on="f" weight="0.5pt"/>
                        <v:imagedata o:title=""/>
                        <o:lock v:ext="edit" aspectratio="f"/>
                        <v:textbox inset="0mm,1.27mm,0mm,1.27mm">
                          <w:txbxContent>
                            <w:p w14:paraId="2FF5BCE0">
                              <w:pPr>
                                <w:jc w:val="center"/>
                                <w:rPr>
                                  <w:rFonts w:hint="default" w:eastAsia="宋体"/>
                                  <w:lang w:val="en-US" w:eastAsia="zh-CN"/>
                                </w:rPr>
                              </w:pPr>
                              <w:r>
                                <w:rPr>
                                  <w:rFonts w:hint="eastAsia"/>
                                  <w:lang w:val="en-US" w:eastAsia="zh-CN"/>
                                </w:rPr>
                                <w:t>G、N</w:t>
                              </w:r>
                            </w:p>
                          </w:txbxContent>
                        </v:textbox>
                      </v:shape>
                      <v:shape id="直接箭头连接符 132" o:spid="_x0000_s1026" o:spt="32" type="#_x0000_t32" style="position:absolute;left:5278;top:398486;height:6;width:534;" filled="f" stroked="t" coordsize="21600,21600" o:gfxdata="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9At7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直接箭头连接符 133" o:spid="_x0000_s1026" o:spt="32" type="#_x0000_t32" style="position:absolute;left:6868;top:398486;height:6;width:534;" filled="f" stroked="t" coordsize="21600,21600" o:gfxdata="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5n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直接箭头连接符 135" o:spid="_x0000_s1026" o:spt="32" type="#_x0000_t32" style="position:absolute;left:8593;top:398486;height:6;width:534;" filled="f" stroked="t" coordsize="21600,21600" o:gfxdata="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McB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文本框 136" o:spid="_x0000_s1026" o:spt="202" type="#_x0000_t202" style="position:absolute;left:9061;top:399175;height:409;width:1182;" fillcolor="#FFFFFF" filled="t" stroked="t" coordsize="21600,21600" o:gfxdata="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j8VRq5AAAA2wAA&#10;AA8AAAAAAAAAAQAgAAAAIgAAAGRycy9kb3ducmV2LnhtbFBLAQIUABQAAAAIAIdO4kAzLwWeOwAA&#10;ADkAAAAQAAAAAAAAAAEAIAAAAAgBAABkcnMvc2hhcGV4bWwueG1sUEsFBgAAAAAGAAYAWwEAALID&#10;AAAAAA==&#10;">
                        <v:fill on="t" focussize="0,0"/>
                        <v:stroke weight="0.5pt" color="#000000" joinstyle="round"/>
                        <v:imagedata o:title=""/>
                        <o:lock v:ext="edit" aspectratio="f"/>
                        <v:textbox inset="0mm,1.27mm,0mm,1.27mm">
                          <w:txbxContent>
                            <w:p w14:paraId="207D572A">
                              <w:pPr>
                                <w:jc w:val="center"/>
                                <w:rPr>
                                  <w:rFonts w:hint="default" w:eastAsia="宋体"/>
                                  <w:lang w:val="en-US" w:eastAsia="zh-CN"/>
                                </w:rPr>
                              </w:pPr>
                              <w:r>
                                <w:rPr>
                                  <w:rFonts w:hint="eastAsia"/>
                                  <w:lang w:val="en-US" w:eastAsia="zh-CN"/>
                                </w:rPr>
                                <w:t>加料仓</w:t>
                              </w:r>
                            </w:p>
                          </w:txbxContent>
                        </v:textbox>
                      </v:shape>
                      <v:shape id="直接箭头连接符 137" o:spid="_x0000_s1026" o:spt="32" type="#_x0000_t32" style="position:absolute;left:9698;top:398696;flip:x;height:494;width:0;" filled="f" stroked="t" coordsize="21600,21600" o:gfxdata="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AjbS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文本框 138" o:spid="_x0000_s1026" o:spt="202" type="#_x0000_t202" style="position:absolute;left:6046;top:399295;height:409;width:1182;" fillcolor="#FFFFFF" filled="t" stroked="t" coordsize="21600,21600" o:gfxdata="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Ym72vQAA&#10;ANsAAAAPAAAAAAAAAAEAIAAAACIAAABkcnMvZG93bnJldi54bWxQSwECFAAUAAAACACHTuJAMy8F&#10;njsAAAA5AAAAEAAAAAAAAAABACAAAAAMAQAAZHJzL3NoYXBleG1sLnhtbFBLBQYAAAAABgAGAFsB&#10;AAC2AwAAAAA=&#10;">
                        <v:fill on="t" focussize="0,0"/>
                        <v:stroke weight="0.5pt" color="#000000" joinstyle="round"/>
                        <v:imagedata o:title=""/>
                        <o:lock v:ext="edit" aspectratio="f"/>
                        <v:textbox inset="0mm,1.27mm,0mm,1.27mm">
                          <w:txbxContent>
                            <w:p w14:paraId="17290C39">
                              <w:pPr>
                                <w:jc w:val="center"/>
                                <w:rPr>
                                  <w:rFonts w:hint="default" w:eastAsia="宋体"/>
                                  <w:lang w:val="en-US" w:eastAsia="zh-CN"/>
                                </w:rPr>
                              </w:pPr>
                              <w:r>
                                <w:rPr>
                                  <w:rFonts w:hint="eastAsia"/>
                                  <w:lang w:val="en-US" w:eastAsia="zh-CN"/>
                                </w:rPr>
                                <w:t>提升机</w:t>
                              </w:r>
                            </w:p>
                          </w:txbxContent>
                        </v:textbox>
                      </v:shape>
                      <v:shape id="直接箭头连接符 139" o:spid="_x0000_s1026" o:spt="32" type="#_x0000_t32" style="position:absolute;left:5476;top:399505;flip:x y;height:1;width:567;" filled="f" stroked="t" coordsize="21600,21600" o:gfxdata="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3ZR7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文本框 140" o:spid="_x0000_s1026" o:spt="202" type="#_x0000_t202" style="position:absolute;left:4291;top:399265;height:409;width:1182;" fillcolor="#FFFFFF" filled="t" stroked="t" coordsize="21600,21600" o:gfxdata="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8dTGb4A&#10;AADbAAAADwAAAAAAAAABACAAAAAiAAAAZHJzL2Rvd25yZXYueG1sUEsBAhQAFAAAAAgAh07iQDMv&#10;BZ47AAAAOQAAABAAAAAAAAAAAQAgAAAADQEAAGRycy9zaGFwZXhtbC54bWxQSwUGAAAAAAYABgBb&#10;AQAAtwMAAAAA&#10;">
                        <v:fill on="t" focussize="0,0"/>
                        <v:stroke weight="0.5pt" color="#000000" joinstyle="round"/>
                        <v:imagedata o:title=""/>
                        <o:lock v:ext="edit" aspectratio="f"/>
                        <v:textbox inset="0mm,1.27mm,0mm,1.27mm">
                          <w:txbxContent>
                            <w:p w14:paraId="2364BFEB">
                              <w:pPr>
                                <w:jc w:val="center"/>
                                <w:rPr>
                                  <w:rFonts w:hint="default" w:eastAsia="宋体"/>
                                  <w:lang w:val="en-US" w:eastAsia="zh-CN"/>
                                </w:rPr>
                              </w:pPr>
                              <w:r>
                                <w:rPr>
                                  <w:rFonts w:hint="eastAsia" w:eastAsia="宋体"/>
                                  <w:lang w:val="en-US" w:eastAsia="zh-CN"/>
                                </w:rPr>
                                <w:t>成品仓</w:t>
                              </w:r>
                            </w:p>
                          </w:txbxContent>
                        </v:textbox>
                      </v:shape>
                      <v:shape id="直接箭头连接符 141" o:spid="_x0000_s1026" o:spt="32" type="#_x0000_t32" style="position:absolute;left:3766;top:399446;flip:x;height:14;width:507;" filled="f" stroked="t" coordsize="21600,21600" o:gfxdata="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OTDR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文本框 142" o:spid="_x0000_s1026" o:spt="202" type="#_x0000_t202" style="position:absolute;left:2791;top:399195;height:409;width:972;" fillcolor="#FFFFFF" filled="t" stroked="t" coordsize="21600,21600" o:gfxdata="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ZaPW8AAAA&#10;2wAAAA8AAAAAAAAAAQAgAAAAIgAAAGRycy9kb3ducmV2LnhtbFBLAQIUABQAAAAIAIdO4kAzLwWe&#10;OwAAADkAAAAQAAAAAAAAAAEAIAAAAAsBAABkcnMvc2hhcGV4bWwueG1sUEsFBgAAAAAGAAYAWwEA&#10;ALUDAAAAAA==&#10;">
                        <v:fill on="t" focussize="0,0"/>
                        <v:stroke weight="0.5pt" color="#000000" joinstyle="round"/>
                        <v:imagedata o:title=""/>
                        <o:lock v:ext="edit" aspectratio="f"/>
                        <v:textbox inset="0mm,1.27mm,0mm,1.27mm">
                          <w:txbxContent>
                            <w:p w14:paraId="10598885">
                              <w:pPr>
                                <w:jc w:val="center"/>
                                <w:rPr>
                                  <w:rFonts w:hint="default" w:eastAsia="宋体"/>
                                  <w:lang w:val="en-US" w:eastAsia="zh-CN"/>
                                </w:rPr>
                              </w:pPr>
                              <w:r>
                                <w:rPr>
                                  <w:rFonts w:hint="eastAsia"/>
                                  <w:lang w:val="en-US" w:eastAsia="zh-CN"/>
                                </w:rPr>
                                <w:t>外运</w:t>
                              </w:r>
                            </w:p>
                          </w:txbxContent>
                        </v:textbox>
                      </v:shape>
                      <v:shape id="文本框 143" o:spid="_x0000_s1026" o:spt="202" type="#_x0000_t202" style="position:absolute;left:8891;top:397870;height:409;width:1422;" filled="f" stroked="f" coordsize="21600,21600" o:gfxdata="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uV+DvQAA&#10;ANsAAAAPAAAAAAAAAAEAIAAAACIAAABkcnMvZG93bnJldi54bWxQSwECFAAUAAAACACHTuJAMy8F&#10;njsAAAA5AAAAEAAAAAAAAAABACAAAAAMAQAAZHJzL3NoYXBleG1sLnhtbFBLBQYAAAAABgAGAFsB&#10;AAC2AwAAAAA=&#10;">
                        <v:fill on="f" focussize="0,0"/>
                        <v:stroke on="f" weight="0.5pt"/>
                        <v:imagedata o:title=""/>
                        <o:lock v:ext="edit" aspectratio="f"/>
                        <v:textbox inset="0mm,1.27mm,0mm,1.27mm">
                          <w:txbxContent>
                            <w:p w14:paraId="0E978C91">
                              <w:pPr>
                                <w:jc w:val="center"/>
                                <w:rPr>
                                  <w:rFonts w:hint="default" w:eastAsia="宋体"/>
                                  <w:lang w:val="en-US" w:eastAsia="zh-CN"/>
                                </w:rPr>
                              </w:pPr>
                              <w:r>
                                <w:rPr>
                                  <w:rFonts w:hint="eastAsia"/>
                                  <w:lang w:val="en-US" w:eastAsia="zh-CN"/>
                                </w:rPr>
                                <w:t>G、N、S</w:t>
                              </w:r>
                            </w:p>
                          </w:txbxContent>
                        </v:textbox>
                      </v:shape>
                      <v:shape id="文本框 144" o:spid="_x0000_s1026" o:spt="202" type="#_x0000_t202" style="position:absolute;left:8951;top:398800;height:409;width:1422;" filled="f" stroked="f" coordsize="21600,21600" o:gfxdata="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xbFWLsAAADb&#10;AAAADwAAAAAAAAABACAAAAAiAAAAZHJzL2Rvd25yZXYueG1sUEsBAhQAFAAAAAgAh07iQDMvBZ47&#10;AAAAOQAAABAAAAAAAAAAAQAgAAAACgEAAGRycy9zaGFwZXhtbC54bWxQSwUGAAAAAAYABgBbAQAA&#10;tAMAAAAA&#10;">
                        <v:fill on="f" focussize="0,0"/>
                        <v:stroke on="f" weight="0.5pt"/>
                        <v:imagedata o:title=""/>
                        <o:lock v:ext="edit" aspectratio="f"/>
                        <v:textbox inset="0mm,1.27mm,0mm,1.27mm">
                          <w:txbxContent>
                            <w:p w14:paraId="0F228B8E">
                              <w:pPr>
                                <w:jc w:val="center"/>
                                <w:rPr>
                                  <w:rFonts w:hint="default" w:eastAsia="宋体"/>
                                  <w:lang w:val="en-US" w:eastAsia="zh-CN"/>
                                </w:rPr>
                              </w:pPr>
                              <w:r>
                                <w:rPr>
                                  <w:rFonts w:hint="eastAsia"/>
                                  <w:lang w:val="en-US" w:eastAsia="zh-CN"/>
                                </w:rPr>
                                <w:t>G、N</w:t>
                              </w:r>
                            </w:p>
                          </w:txbxContent>
                        </v:textbox>
                      </v:shape>
                      <v:shape id="文本框 145" o:spid="_x0000_s1026" o:spt="202" type="#_x0000_t202" style="position:absolute;left:5981;top:398875;height:409;width:1422;" filled="f" stroked="f" coordsize="21600,21600" o:gfxdata="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xFsvugAAANsA&#10;AAAPAAAAAAAAAAEAIAAAACIAAABkcnMvZG93bnJldi54bWxQSwECFAAUAAAACACHTuJAMy8FnjsA&#10;AAA5AAAAEAAAAAAAAAABACAAAAAJAQAAZHJzL3NoYXBleG1sLnhtbFBLBQYAAAAABgAGAFsBAACz&#10;AwAAAAA=&#10;">
                        <v:fill on="f" focussize="0,0"/>
                        <v:stroke on="f" weight="0.5pt"/>
                        <v:imagedata o:title=""/>
                        <o:lock v:ext="edit" aspectratio="f"/>
                        <v:textbox inset="0mm,1.27mm,0mm,1.27mm">
                          <w:txbxContent>
                            <w:p w14:paraId="4430B8B4">
                              <w:pPr>
                                <w:jc w:val="center"/>
                                <w:rPr>
                                  <w:rFonts w:hint="default" w:eastAsia="宋体"/>
                                  <w:lang w:val="en-US" w:eastAsia="zh-CN"/>
                                </w:rPr>
                              </w:pPr>
                              <w:r>
                                <w:rPr>
                                  <w:rFonts w:hint="eastAsia"/>
                                  <w:lang w:val="en-US" w:eastAsia="zh-CN"/>
                                </w:rPr>
                                <w:t>G、N</w:t>
                              </w:r>
                            </w:p>
                          </w:txbxContent>
                        </v:textbox>
                      </v:shape>
                      <v:shape id="文本框 146" o:spid="_x0000_s1026" o:spt="202" type="#_x0000_t202" style="position:absolute;left:4226;top:398830;height:409;width:1422;" filled="f" stroked="f" coordsize="21600,21600" o:gfxdata="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YMlevQAA&#10;ANsAAAAPAAAAAAAAAAEAIAAAACIAAABkcnMvZG93bnJldi54bWxQSwECFAAUAAAACACHTuJAMy8F&#10;njsAAAA5AAAAEAAAAAAAAAABACAAAAAMAQAAZHJzL3NoYXBleG1sLnhtbFBLBQYAAAAABgAGAFsB&#10;AAC2AwAAAAA=&#10;">
                        <v:fill on="f" focussize="0,0"/>
                        <v:stroke on="f" weight="0.5pt"/>
                        <v:imagedata o:title=""/>
                        <o:lock v:ext="edit" aspectratio="f"/>
                        <v:textbox inset="0mm,1.27mm,0mm,1.27mm">
                          <w:txbxContent>
                            <w:p w14:paraId="2D37EA54">
                              <w:pPr>
                                <w:jc w:val="center"/>
                                <w:rPr>
                                  <w:rFonts w:hint="default" w:eastAsia="宋体"/>
                                  <w:lang w:val="en-US" w:eastAsia="zh-CN"/>
                                </w:rPr>
                              </w:pPr>
                              <w:r>
                                <w:rPr>
                                  <w:rFonts w:hint="eastAsia"/>
                                  <w:lang w:val="en-US" w:eastAsia="zh-CN"/>
                                </w:rPr>
                                <w:t>G、N</w:t>
                              </w:r>
                            </w:p>
                          </w:txbxContent>
                        </v:textbox>
                      </v:shape>
                    </v:group>
                  </w:pict>
                </mc:Fallback>
              </mc:AlternateContent>
            </w:r>
            <w:r>
              <w:rPr>
                <w:rFonts w:hint="default" w:ascii="Times New Roman" w:hAnsi="Times New Roman" w:cs="Times New Roman"/>
                <w:b/>
                <w:color w:val="auto"/>
                <w:sz w:val="24"/>
                <w:szCs w:val="24"/>
                <w:highlight w:val="none"/>
              </w:rPr>
              <w:t>表</w:t>
            </w:r>
            <w:r>
              <w:rPr>
                <w:rFonts w:hint="default" w:ascii="Times New Roman" w:hAnsi="Times New Roman" w:cs="Times New Roman"/>
                <w:b/>
                <w:color w:val="auto"/>
                <w:sz w:val="24"/>
                <w:szCs w:val="24"/>
                <w:highlight w:val="none"/>
                <w:lang w:val="en-US" w:eastAsia="zh-CN"/>
              </w:rPr>
              <w:t>2-</w:t>
            </w:r>
            <w:r>
              <w:rPr>
                <w:rFonts w:hint="eastAsia" w:cs="Times New Roman"/>
                <w:b/>
                <w:color w:val="auto"/>
                <w:sz w:val="24"/>
                <w:szCs w:val="24"/>
                <w:highlight w:val="none"/>
                <w:lang w:val="en-US" w:eastAsia="zh-CN"/>
              </w:rPr>
              <w:t xml:space="preserve">6  </w:t>
            </w:r>
            <w:r>
              <w:rPr>
                <w:rFonts w:hint="default" w:ascii="Times New Roman" w:hAnsi="Times New Roman" w:cs="Times New Roman"/>
                <w:b/>
                <w:color w:val="auto"/>
                <w:sz w:val="24"/>
                <w:szCs w:val="24"/>
                <w:highlight w:val="none"/>
                <w:lang w:val="en-US" w:eastAsia="zh-CN"/>
              </w:rPr>
              <w:t xml:space="preserve"> 项目</w:t>
            </w:r>
            <w:r>
              <w:rPr>
                <w:rFonts w:hint="default" w:ascii="Times New Roman" w:hAnsi="Times New Roman" w:cs="Times New Roman"/>
                <w:b/>
                <w:color w:val="auto"/>
                <w:sz w:val="24"/>
                <w:szCs w:val="24"/>
                <w:highlight w:val="none"/>
              </w:rPr>
              <w:t>主要污染源及治理措施情况一览表</w:t>
            </w:r>
          </w:p>
          <w:tbl>
            <w:tblPr>
              <w:tblStyle w:val="40"/>
              <w:tblW w:w="49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527"/>
              <w:gridCol w:w="831"/>
              <w:gridCol w:w="1997"/>
              <w:gridCol w:w="1565"/>
              <w:gridCol w:w="1169"/>
              <w:gridCol w:w="696"/>
              <w:gridCol w:w="824"/>
            </w:tblGrid>
            <w:tr w14:paraId="4435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46" w:type="pct"/>
                  <w:noWrap w:val="0"/>
                  <w:tcMar>
                    <w:left w:w="0" w:type="dxa"/>
                    <w:right w:w="0" w:type="dxa"/>
                  </w:tcMar>
                  <w:vAlign w:val="center"/>
                </w:tcPr>
                <w:p w14:paraId="62E4E66B">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类别</w:t>
                  </w:r>
                </w:p>
              </w:tc>
              <w:tc>
                <w:tcPr>
                  <w:tcW w:w="546" w:type="pct"/>
                  <w:noWrap w:val="0"/>
                  <w:tcMar>
                    <w:left w:w="0" w:type="dxa"/>
                    <w:right w:w="0" w:type="dxa"/>
                  </w:tcMar>
                  <w:vAlign w:val="center"/>
                </w:tcPr>
                <w:p w14:paraId="492909E8">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节点</w:t>
                  </w:r>
                </w:p>
              </w:tc>
              <w:tc>
                <w:tcPr>
                  <w:tcW w:w="1312" w:type="pct"/>
                  <w:noWrap w:val="0"/>
                  <w:tcMar>
                    <w:left w:w="0" w:type="dxa"/>
                    <w:right w:w="0" w:type="dxa"/>
                  </w:tcMar>
                  <w:vAlign w:val="center"/>
                </w:tcPr>
                <w:p w14:paraId="5CA959A5">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排污节点</w:t>
                  </w:r>
                </w:p>
              </w:tc>
              <w:tc>
                <w:tcPr>
                  <w:tcW w:w="1028" w:type="pct"/>
                  <w:noWrap w:val="0"/>
                  <w:tcMar>
                    <w:left w:w="0" w:type="dxa"/>
                    <w:right w:w="0" w:type="dxa"/>
                  </w:tcMar>
                  <w:vAlign w:val="center"/>
                </w:tcPr>
                <w:p w14:paraId="3BC3D98B">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主要污染物</w:t>
                  </w:r>
                </w:p>
              </w:tc>
              <w:tc>
                <w:tcPr>
                  <w:tcW w:w="768" w:type="pct"/>
                  <w:noWrap w:val="0"/>
                  <w:tcMar>
                    <w:left w:w="0" w:type="dxa"/>
                    <w:right w:w="0" w:type="dxa"/>
                  </w:tcMar>
                  <w:vAlign w:val="center"/>
                </w:tcPr>
                <w:p w14:paraId="63640179">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排放规律</w:t>
                  </w:r>
                </w:p>
              </w:tc>
              <w:tc>
                <w:tcPr>
                  <w:tcW w:w="998" w:type="pct"/>
                  <w:gridSpan w:val="2"/>
                  <w:noWrap w:val="0"/>
                  <w:tcMar>
                    <w:left w:w="0" w:type="dxa"/>
                    <w:right w:w="0" w:type="dxa"/>
                  </w:tcMar>
                  <w:vAlign w:val="center"/>
                </w:tcPr>
                <w:p w14:paraId="182D5232">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处理情况及去向</w:t>
                  </w:r>
                </w:p>
              </w:tc>
            </w:tr>
            <w:tr w14:paraId="3DE7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0" w:hRule="atLeast"/>
                <w:jc w:val="center"/>
              </w:trPr>
              <w:tc>
                <w:tcPr>
                  <w:tcW w:w="346" w:type="pct"/>
                  <w:vMerge w:val="restart"/>
                  <w:noWrap w:val="0"/>
                  <w:tcMar>
                    <w:left w:w="0" w:type="dxa"/>
                    <w:right w:w="0" w:type="dxa"/>
                  </w:tcMar>
                  <w:vAlign w:val="center"/>
                </w:tcPr>
                <w:p w14:paraId="34D3E9C4">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废气</w:t>
                  </w:r>
                </w:p>
              </w:tc>
              <w:tc>
                <w:tcPr>
                  <w:tcW w:w="546" w:type="pct"/>
                  <w:tcBorders>
                    <w:bottom w:val="single" w:color="auto" w:sz="4" w:space="0"/>
                  </w:tcBorders>
                  <w:shd w:val="clear" w:color="auto" w:fill="auto"/>
                  <w:noWrap w:val="0"/>
                  <w:tcMar>
                    <w:left w:w="0" w:type="dxa"/>
                    <w:right w:w="0" w:type="dxa"/>
                  </w:tcMar>
                  <w:vAlign w:val="center"/>
                </w:tcPr>
                <w:p w14:paraId="016B7E0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1、</w:t>
                  </w: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6、</w:t>
                  </w: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11</w:t>
                  </w:r>
                </w:p>
              </w:tc>
              <w:tc>
                <w:tcPr>
                  <w:tcW w:w="1312" w:type="pct"/>
                  <w:shd w:val="clear" w:color="auto" w:fill="auto"/>
                  <w:noWrap w:val="0"/>
                  <w:tcMar>
                    <w:left w:w="0" w:type="dxa"/>
                    <w:right w:w="0" w:type="dxa"/>
                  </w:tcMar>
                  <w:vAlign w:val="center"/>
                </w:tcPr>
                <w:p w14:paraId="05D79DB4">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eastAsia="宋体" w:cs="Times New Roman"/>
                      <w:color w:val="auto"/>
                      <w:kern w:val="0"/>
                      <w:sz w:val="21"/>
                      <w:szCs w:val="18"/>
                      <w:highlight w:val="none"/>
                      <w:lang w:eastAsia="zh-CN"/>
                    </w:rPr>
                    <w:t>车</w:t>
                  </w:r>
                  <w:r>
                    <w:rPr>
                      <w:rFonts w:hint="default" w:ascii="Times New Roman" w:hAnsi="Times New Roman" w:eastAsia="宋体" w:cs="Times New Roman"/>
                      <w:color w:val="auto"/>
                      <w:kern w:val="0"/>
                      <w:sz w:val="21"/>
                      <w:szCs w:val="18"/>
                      <w:highlight w:val="none"/>
                      <w:lang w:val="en-US" w:eastAsia="zh-CN"/>
                    </w:rPr>
                    <w:t>辆运输扬尘</w:t>
                  </w:r>
                </w:p>
              </w:tc>
              <w:tc>
                <w:tcPr>
                  <w:tcW w:w="1028" w:type="pct"/>
                  <w:shd w:val="clear" w:color="auto" w:fill="auto"/>
                  <w:noWrap w:val="0"/>
                  <w:tcMar>
                    <w:left w:w="0" w:type="dxa"/>
                    <w:right w:w="0" w:type="dxa"/>
                  </w:tcMar>
                  <w:vAlign w:val="center"/>
                </w:tcPr>
                <w:p w14:paraId="1467A174">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颗粒物</w:t>
                  </w:r>
                </w:p>
              </w:tc>
              <w:tc>
                <w:tcPr>
                  <w:tcW w:w="768" w:type="pct"/>
                  <w:tcBorders>
                    <w:bottom w:val="single" w:color="auto" w:sz="4" w:space="0"/>
                  </w:tcBorders>
                  <w:shd w:val="clear" w:color="auto" w:fill="auto"/>
                  <w:noWrap w:val="0"/>
                  <w:tcMar>
                    <w:left w:w="0" w:type="dxa"/>
                    <w:right w:w="0" w:type="dxa"/>
                  </w:tcMar>
                  <w:vAlign w:val="center"/>
                </w:tcPr>
                <w:p w14:paraId="15EE6567">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eastAsia="宋体" w:cs="Times New Roman"/>
                      <w:color w:val="auto"/>
                      <w:kern w:val="0"/>
                      <w:sz w:val="21"/>
                      <w:szCs w:val="18"/>
                      <w:highlight w:val="none"/>
                      <w:lang w:val="en-US" w:eastAsia="zh-CN"/>
                    </w:rPr>
                    <w:t>连续</w:t>
                  </w:r>
                </w:p>
              </w:tc>
              <w:tc>
                <w:tcPr>
                  <w:tcW w:w="998" w:type="pct"/>
                  <w:gridSpan w:val="2"/>
                  <w:shd w:val="clear" w:color="auto" w:fill="auto"/>
                  <w:noWrap w:val="0"/>
                  <w:tcMar>
                    <w:left w:w="0" w:type="dxa"/>
                    <w:right w:w="0" w:type="dxa"/>
                  </w:tcMar>
                  <w:vAlign w:val="center"/>
                </w:tcPr>
                <w:p w14:paraId="398054F1">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eastAsia="宋体" w:cs="Times New Roman"/>
                      <w:color w:val="auto"/>
                      <w:kern w:val="0"/>
                      <w:sz w:val="21"/>
                      <w:szCs w:val="18"/>
                      <w:highlight w:val="none"/>
                      <w:lang w:val="en-US" w:eastAsia="zh-CN"/>
                    </w:rPr>
                    <w:t>车辆加盖苫布、道路硬化、定期清扫、依托园区共用洗车装置冲洗</w:t>
                  </w:r>
                </w:p>
              </w:tc>
            </w:tr>
            <w:tr w14:paraId="3718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0" w:hRule="atLeast"/>
                <w:jc w:val="center"/>
              </w:trPr>
              <w:tc>
                <w:tcPr>
                  <w:tcW w:w="346" w:type="pct"/>
                  <w:vMerge w:val="continue"/>
                  <w:noWrap w:val="0"/>
                  <w:tcMar>
                    <w:left w:w="0" w:type="dxa"/>
                    <w:right w:w="0" w:type="dxa"/>
                  </w:tcMar>
                  <w:vAlign w:val="center"/>
                </w:tcPr>
                <w:p w14:paraId="62D3289B">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tcBorders>
                    <w:bottom w:val="single" w:color="auto" w:sz="4" w:space="0"/>
                  </w:tcBorders>
                  <w:shd w:val="clear" w:color="auto" w:fill="auto"/>
                  <w:noWrap w:val="0"/>
                  <w:tcMar>
                    <w:left w:w="0" w:type="dxa"/>
                    <w:right w:w="0" w:type="dxa"/>
                  </w:tcMar>
                  <w:vAlign w:val="center"/>
                </w:tcPr>
                <w:p w14:paraId="21853373">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2、</w:t>
                  </w: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7、</w:t>
                  </w: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12</w:t>
                  </w:r>
                </w:p>
              </w:tc>
              <w:tc>
                <w:tcPr>
                  <w:tcW w:w="1312" w:type="pct"/>
                  <w:shd w:val="clear" w:color="auto" w:fill="auto"/>
                  <w:noWrap w:val="0"/>
                  <w:tcMar>
                    <w:left w:w="0" w:type="dxa"/>
                    <w:right w:w="0" w:type="dxa"/>
                  </w:tcMar>
                  <w:vAlign w:val="center"/>
                </w:tcPr>
                <w:p w14:paraId="2DE7F1D0">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储罐呼吸</w:t>
                  </w:r>
                </w:p>
              </w:tc>
              <w:tc>
                <w:tcPr>
                  <w:tcW w:w="1028" w:type="pct"/>
                  <w:vMerge w:val="restart"/>
                  <w:noWrap w:val="0"/>
                  <w:tcMar>
                    <w:left w:w="0" w:type="dxa"/>
                    <w:right w:w="0" w:type="dxa"/>
                  </w:tcMar>
                  <w:vAlign w:val="center"/>
                </w:tcPr>
                <w:p w14:paraId="649A1F4E">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cs="Times New Roman"/>
                      <w:color w:val="auto"/>
                      <w:kern w:val="0"/>
                      <w:sz w:val="21"/>
                      <w:szCs w:val="18"/>
                      <w:highlight w:val="none"/>
                      <w:lang w:val="en-US" w:eastAsia="zh-CN"/>
                    </w:rPr>
                    <w:t>颗粒物</w:t>
                  </w:r>
                </w:p>
              </w:tc>
              <w:tc>
                <w:tcPr>
                  <w:tcW w:w="768" w:type="pct"/>
                  <w:tcBorders>
                    <w:bottom w:val="single" w:color="auto" w:sz="4" w:space="0"/>
                  </w:tcBorders>
                  <w:noWrap w:val="0"/>
                  <w:tcMar>
                    <w:left w:w="0" w:type="dxa"/>
                    <w:right w:w="0" w:type="dxa"/>
                  </w:tcMar>
                  <w:vAlign w:val="center"/>
                </w:tcPr>
                <w:p w14:paraId="369584ED">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连续</w:t>
                  </w:r>
                </w:p>
              </w:tc>
              <w:tc>
                <w:tcPr>
                  <w:tcW w:w="457" w:type="pct"/>
                  <w:noWrap w:val="0"/>
                  <w:tcMar>
                    <w:left w:w="0" w:type="dxa"/>
                    <w:right w:w="0" w:type="dxa"/>
                  </w:tcMar>
                  <w:vAlign w:val="center"/>
                </w:tcPr>
                <w:p w14:paraId="696FFA55">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cs="Times New Roman"/>
                      <w:color w:val="auto"/>
                      <w:kern w:val="0"/>
                      <w:sz w:val="21"/>
                      <w:szCs w:val="18"/>
                      <w:highlight w:val="none"/>
                      <w:lang w:val="en-US" w:eastAsia="zh-CN"/>
                    </w:rPr>
                    <w:t>集气管道+罐顶除尘器</w:t>
                  </w:r>
                </w:p>
              </w:tc>
              <w:tc>
                <w:tcPr>
                  <w:tcW w:w="541" w:type="pct"/>
                  <w:vMerge w:val="restart"/>
                  <w:noWrap w:val="0"/>
                  <w:tcMar>
                    <w:left w:w="0" w:type="dxa"/>
                    <w:right w:w="0" w:type="dxa"/>
                  </w:tcMar>
                  <w:vAlign w:val="center"/>
                </w:tcPr>
                <w:p w14:paraId="3C84B518">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布袋除尘器</w:t>
                  </w:r>
                  <w:r>
                    <w:rPr>
                      <w:rFonts w:hint="default" w:ascii="Times New Roman" w:hAnsi="Times New Roman" w:eastAsia="宋体" w:cs="Times New Roman"/>
                      <w:color w:val="auto"/>
                      <w:kern w:val="0"/>
                      <w:sz w:val="21"/>
                      <w:szCs w:val="18"/>
                      <w:highlight w:val="none"/>
                    </w:rPr>
                    <w:t>+15m排气筒DA001</w:t>
                  </w:r>
                </w:p>
              </w:tc>
            </w:tr>
            <w:tr w14:paraId="204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4" w:hRule="atLeast"/>
                <w:jc w:val="center"/>
              </w:trPr>
              <w:tc>
                <w:tcPr>
                  <w:tcW w:w="346" w:type="pct"/>
                  <w:vMerge w:val="continue"/>
                  <w:noWrap w:val="0"/>
                  <w:tcMar>
                    <w:left w:w="0" w:type="dxa"/>
                    <w:right w:w="0" w:type="dxa"/>
                  </w:tcMar>
                  <w:vAlign w:val="center"/>
                </w:tcPr>
                <w:p w14:paraId="530E7DB7">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tcBorders>
                    <w:bottom w:val="single" w:color="auto" w:sz="4" w:space="0"/>
                  </w:tcBorders>
                  <w:shd w:val="clear" w:color="auto" w:fill="auto"/>
                  <w:noWrap w:val="0"/>
                  <w:tcMar>
                    <w:left w:w="0" w:type="dxa"/>
                    <w:right w:w="0" w:type="dxa"/>
                  </w:tcMar>
                  <w:vAlign w:val="center"/>
                </w:tcPr>
                <w:p w14:paraId="32DD104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3、</w:t>
                  </w: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8、</w:t>
                  </w: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13</w:t>
                  </w:r>
                </w:p>
              </w:tc>
              <w:tc>
                <w:tcPr>
                  <w:tcW w:w="1312" w:type="pct"/>
                  <w:shd w:val="clear" w:color="auto" w:fill="auto"/>
                  <w:noWrap w:val="0"/>
                  <w:tcMar>
                    <w:left w:w="0" w:type="dxa"/>
                    <w:right w:w="0" w:type="dxa"/>
                  </w:tcMar>
                  <w:vAlign w:val="center"/>
                </w:tcPr>
                <w:p w14:paraId="15879E0E">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上料</w:t>
                  </w:r>
                  <w:r>
                    <w:rPr>
                      <w:rFonts w:hint="default" w:ascii="Times New Roman" w:hAnsi="Times New Roman" w:eastAsia="宋体" w:cs="Times New Roman"/>
                      <w:color w:val="auto"/>
                      <w:kern w:val="0"/>
                      <w:sz w:val="21"/>
                      <w:szCs w:val="18"/>
                      <w:highlight w:val="none"/>
                      <w:lang w:val="en-US" w:eastAsia="zh-CN"/>
                    </w:rPr>
                    <w:t>工序</w:t>
                  </w:r>
                </w:p>
              </w:tc>
              <w:tc>
                <w:tcPr>
                  <w:tcW w:w="1028" w:type="pct"/>
                  <w:vMerge w:val="continue"/>
                  <w:noWrap w:val="0"/>
                  <w:tcMar>
                    <w:left w:w="0" w:type="dxa"/>
                    <w:right w:w="0" w:type="dxa"/>
                  </w:tcMar>
                  <w:vAlign w:val="center"/>
                </w:tcPr>
                <w:p w14:paraId="28B6CDA3">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768" w:type="pct"/>
                  <w:tcBorders>
                    <w:bottom w:val="single" w:color="auto" w:sz="4" w:space="0"/>
                  </w:tcBorders>
                  <w:noWrap w:val="0"/>
                  <w:tcMar>
                    <w:left w:w="0" w:type="dxa"/>
                    <w:right w:w="0" w:type="dxa"/>
                  </w:tcMar>
                  <w:vAlign w:val="center"/>
                </w:tcPr>
                <w:p w14:paraId="04FDAAA2">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连续</w:t>
                  </w:r>
                </w:p>
              </w:tc>
              <w:tc>
                <w:tcPr>
                  <w:tcW w:w="457" w:type="pct"/>
                  <w:vMerge w:val="restart"/>
                  <w:noWrap w:val="0"/>
                  <w:tcMar>
                    <w:left w:w="0" w:type="dxa"/>
                    <w:right w:w="0" w:type="dxa"/>
                  </w:tcMar>
                  <w:vAlign w:val="center"/>
                </w:tcPr>
                <w:p w14:paraId="47EF5EC4">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集气</w:t>
                  </w:r>
                  <w:r>
                    <w:rPr>
                      <w:rFonts w:hint="default" w:ascii="Times New Roman" w:hAnsi="Times New Roman" w:cs="Times New Roman"/>
                      <w:color w:val="auto"/>
                      <w:kern w:val="0"/>
                      <w:sz w:val="21"/>
                      <w:szCs w:val="18"/>
                      <w:highlight w:val="none"/>
                      <w:lang w:val="en-US" w:eastAsia="zh-CN"/>
                    </w:rPr>
                    <w:t>管道</w:t>
                  </w:r>
                </w:p>
              </w:tc>
              <w:tc>
                <w:tcPr>
                  <w:tcW w:w="541" w:type="pct"/>
                  <w:vMerge w:val="continue"/>
                  <w:noWrap w:val="0"/>
                  <w:tcMar>
                    <w:left w:w="0" w:type="dxa"/>
                    <w:right w:w="0" w:type="dxa"/>
                  </w:tcMar>
                  <w:vAlign w:val="center"/>
                </w:tcPr>
                <w:p w14:paraId="6C7843B4">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r>
            <w:tr w14:paraId="5DE7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46" w:type="pct"/>
                  <w:vMerge w:val="continue"/>
                  <w:noWrap w:val="0"/>
                  <w:tcMar>
                    <w:left w:w="0" w:type="dxa"/>
                    <w:right w:w="0" w:type="dxa"/>
                  </w:tcMar>
                  <w:vAlign w:val="center"/>
                </w:tcPr>
                <w:p w14:paraId="3513C204">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366CB73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G4、</w:t>
                  </w: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9、</w:t>
                  </w: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14</w:t>
                  </w:r>
                </w:p>
              </w:tc>
              <w:tc>
                <w:tcPr>
                  <w:tcW w:w="1312" w:type="pct"/>
                  <w:shd w:val="clear" w:color="auto" w:fill="auto"/>
                  <w:noWrap w:val="0"/>
                  <w:tcMar>
                    <w:left w:w="0" w:type="dxa"/>
                    <w:right w:w="0" w:type="dxa"/>
                  </w:tcMar>
                  <w:vAlign w:val="center"/>
                </w:tcPr>
                <w:p w14:paraId="5D28FB13">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搅拌</w:t>
                  </w:r>
                  <w:r>
                    <w:rPr>
                      <w:rFonts w:hint="default" w:ascii="Times New Roman" w:hAnsi="Times New Roman" w:eastAsia="宋体" w:cs="Times New Roman"/>
                      <w:color w:val="auto"/>
                      <w:kern w:val="0"/>
                      <w:sz w:val="21"/>
                      <w:szCs w:val="18"/>
                      <w:highlight w:val="none"/>
                      <w:lang w:val="en-US" w:eastAsia="zh-CN"/>
                    </w:rPr>
                    <w:t>工序</w:t>
                  </w:r>
                </w:p>
              </w:tc>
              <w:tc>
                <w:tcPr>
                  <w:tcW w:w="1028" w:type="pct"/>
                  <w:vMerge w:val="continue"/>
                  <w:noWrap w:val="0"/>
                  <w:tcMar>
                    <w:left w:w="0" w:type="dxa"/>
                    <w:right w:w="0" w:type="dxa"/>
                  </w:tcMar>
                  <w:vAlign w:val="center"/>
                </w:tcPr>
                <w:p w14:paraId="0021913D">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768" w:type="pct"/>
                  <w:noWrap w:val="0"/>
                  <w:tcMar>
                    <w:left w:w="0" w:type="dxa"/>
                    <w:right w:w="0" w:type="dxa"/>
                  </w:tcMar>
                  <w:vAlign w:val="center"/>
                </w:tcPr>
                <w:p w14:paraId="2CF88F9C">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连续</w:t>
                  </w:r>
                </w:p>
              </w:tc>
              <w:tc>
                <w:tcPr>
                  <w:tcW w:w="457" w:type="pct"/>
                  <w:vMerge w:val="continue"/>
                  <w:noWrap w:val="0"/>
                  <w:tcMar>
                    <w:left w:w="0" w:type="dxa"/>
                    <w:right w:w="0" w:type="dxa"/>
                  </w:tcMar>
                  <w:vAlign w:val="center"/>
                </w:tcPr>
                <w:p w14:paraId="41061645">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1" w:type="pct"/>
                  <w:vMerge w:val="continue"/>
                  <w:noWrap w:val="0"/>
                  <w:tcMar>
                    <w:left w:w="0" w:type="dxa"/>
                    <w:right w:w="0" w:type="dxa"/>
                  </w:tcMar>
                  <w:vAlign w:val="center"/>
                </w:tcPr>
                <w:p w14:paraId="15DD9329">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r>
            <w:tr w14:paraId="6B6F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69" w:hRule="atLeast"/>
                <w:jc w:val="center"/>
              </w:trPr>
              <w:tc>
                <w:tcPr>
                  <w:tcW w:w="346" w:type="pct"/>
                  <w:vMerge w:val="continue"/>
                  <w:noWrap w:val="0"/>
                  <w:tcMar>
                    <w:left w:w="0" w:type="dxa"/>
                    <w:right w:w="0" w:type="dxa"/>
                  </w:tcMar>
                  <w:vAlign w:val="center"/>
                </w:tcPr>
                <w:p w14:paraId="5E981729">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145CBA1B">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G10</w:t>
                  </w:r>
                </w:p>
              </w:tc>
              <w:tc>
                <w:tcPr>
                  <w:tcW w:w="1312" w:type="pct"/>
                  <w:shd w:val="clear" w:color="auto" w:fill="auto"/>
                  <w:noWrap w:val="0"/>
                  <w:tcMar>
                    <w:left w:w="0" w:type="dxa"/>
                    <w:right w:w="0" w:type="dxa"/>
                  </w:tcMar>
                  <w:vAlign w:val="center"/>
                </w:tcPr>
                <w:p w14:paraId="297C28A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分装</w:t>
                  </w:r>
                  <w:r>
                    <w:rPr>
                      <w:rFonts w:hint="default" w:ascii="Times New Roman" w:hAnsi="Times New Roman" w:eastAsia="宋体" w:cs="Times New Roman"/>
                      <w:color w:val="auto"/>
                      <w:kern w:val="0"/>
                      <w:sz w:val="21"/>
                      <w:szCs w:val="18"/>
                      <w:highlight w:val="none"/>
                      <w:lang w:val="en-US" w:eastAsia="zh-CN"/>
                    </w:rPr>
                    <w:t>工序</w:t>
                  </w:r>
                </w:p>
              </w:tc>
              <w:tc>
                <w:tcPr>
                  <w:tcW w:w="1028" w:type="pct"/>
                  <w:vMerge w:val="continue"/>
                  <w:noWrap w:val="0"/>
                  <w:tcMar>
                    <w:left w:w="0" w:type="dxa"/>
                    <w:right w:w="0" w:type="dxa"/>
                  </w:tcMar>
                  <w:vAlign w:val="center"/>
                </w:tcPr>
                <w:p w14:paraId="0C3F7CA6">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768" w:type="pct"/>
                  <w:noWrap w:val="0"/>
                  <w:tcMar>
                    <w:left w:w="0" w:type="dxa"/>
                    <w:right w:w="0" w:type="dxa"/>
                  </w:tcMar>
                  <w:vAlign w:val="center"/>
                </w:tcPr>
                <w:p w14:paraId="784194FF">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连续</w:t>
                  </w:r>
                </w:p>
              </w:tc>
              <w:tc>
                <w:tcPr>
                  <w:tcW w:w="457" w:type="pct"/>
                  <w:noWrap w:val="0"/>
                  <w:tcMar>
                    <w:left w:w="0" w:type="dxa"/>
                    <w:right w:w="0" w:type="dxa"/>
                  </w:tcMar>
                  <w:vAlign w:val="center"/>
                </w:tcPr>
                <w:p w14:paraId="18B23FF5">
                  <w:pPr>
                    <w:spacing w:line="300" w:lineRule="exact"/>
                    <w:ind w:firstLine="0" w:firstLineChars="0"/>
                    <w:jc w:val="center"/>
                    <w:rPr>
                      <w:rFonts w:hint="default" w:ascii="Times New Roman" w:hAnsi="Times New Roman" w:eastAsia="宋体" w:cs="Times New Roman"/>
                      <w:color w:val="auto"/>
                      <w:kern w:val="0"/>
                      <w:sz w:val="21"/>
                      <w:szCs w:val="18"/>
                      <w:highlight w:val="none"/>
                      <w:lang w:eastAsia="zh-CN"/>
                    </w:rPr>
                  </w:pPr>
                  <w:r>
                    <w:rPr>
                      <w:rFonts w:hint="default" w:ascii="Times New Roman" w:hAnsi="Times New Roman" w:cs="Times New Roman"/>
                      <w:color w:val="auto"/>
                      <w:kern w:val="0"/>
                      <w:sz w:val="21"/>
                      <w:szCs w:val="18"/>
                      <w:highlight w:val="none"/>
                      <w:lang w:eastAsia="zh-CN"/>
                    </w:rPr>
                    <w:t>集气罩</w:t>
                  </w:r>
                </w:p>
              </w:tc>
              <w:tc>
                <w:tcPr>
                  <w:tcW w:w="541" w:type="pct"/>
                  <w:vMerge w:val="continue"/>
                  <w:noWrap w:val="0"/>
                  <w:tcMar>
                    <w:left w:w="0" w:type="dxa"/>
                    <w:right w:w="0" w:type="dxa"/>
                  </w:tcMar>
                  <w:vAlign w:val="center"/>
                </w:tcPr>
                <w:p w14:paraId="67FE75F2">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r>
            <w:tr w14:paraId="04686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41" w:hRule="atLeast"/>
                <w:jc w:val="center"/>
              </w:trPr>
              <w:tc>
                <w:tcPr>
                  <w:tcW w:w="346" w:type="pct"/>
                  <w:vMerge w:val="continue"/>
                  <w:noWrap w:val="0"/>
                  <w:tcMar>
                    <w:left w:w="0" w:type="dxa"/>
                    <w:right w:w="0" w:type="dxa"/>
                  </w:tcMar>
                  <w:vAlign w:val="center"/>
                </w:tcPr>
                <w:p w14:paraId="7158EE42">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3709FC92">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5</w:t>
                  </w:r>
                </w:p>
              </w:tc>
              <w:tc>
                <w:tcPr>
                  <w:tcW w:w="1312" w:type="pct"/>
                  <w:shd w:val="clear" w:color="auto" w:fill="auto"/>
                  <w:noWrap w:val="0"/>
                  <w:tcMar>
                    <w:left w:w="0" w:type="dxa"/>
                    <w:right w:w="0" w:type="dxa"/>
                  </w:tcMar>
                  <w:vAlign w:val="center"/>
                </w:tcPr>
                <w:p w14:paraId="22565A2A">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bidi="ar-SA"/>
                    </w:rPr>
                    <w:t>焊接废气</w:t>
                  </w:r>
                </w:p>
              </w:tc>
              <w:tc>
                <w:tcPr>
                  <w:tcW w:w="1028" w:type="pct"/>
                  <w:shd w:val="clear" w:color="auto" w:fill="auto"/>
                  <w:noWrap w:val="0"/>
                  <w:tcMar>
                    <w:left w:w="0" w:type="dxa"/>
                    <w:right w:w="0" w:type="dxa"/>
                  </w:tcMar>
                  <w:vAlign w:val="center"/>
                </w:tcPr>
                <w:p w14:paraId="7C6E92C5">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颗粒物</w:t>
                  </w:r>
                </w:p>
              </w:tc>
              <w:tc>
                <w:tcPr>
                  <w:tcW w:w="768" w:type="pct"/>
                  <w:shd w:val="clear" w:color="auto" w:fill="auto"/>
                  <w:noWrap w:val="0"/>
                  <w:tcMar>
                    <w:left w:w="0" w:type="dxa"/>
                    <w:right w:w="0" w:type="dxa"/>
                  </w:tcMar>
                  <w:vAlign w:val="center"/>
                </w:tcPr>
                <w:p w14:paraId="7218DEE8">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eastAsia="zh-CN"/>
                    </w:rPr>
                    <w:t>连续</w:t>
                  </w:r>
                </w:p>
              </w:tc>
              <w:tc>
                <w:tcPr>
                  <w:tcW w:w="998" w:type="pct"/>
                  <w:gridSpan w:val="2"/>
                  <w:shd w:val="clear" w:color="auto" w:fill="auto"/>
                  <w:noWrap w:val="0"/>
                  <w:tcMar>
                    <w:left w:w="0" w:type="dxa"/>
                    <w:right w:w="0" w:type="dxa"/>
                  </w:tcMar>
                  <w:vAlign w:val="center"/>
                </w:tcPr>
                <w:p w14:paraId="1D045FC3">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cs="Times New Roman"/>
                      <w:color w:val="auto"/>
                      <w:kern w:val="0"/>
                      <w:sz w:val="21"/>
                      <w:szCs w:val="18"/>
                      <w:highlight w:val="none"/>
                      <w:lang w:eastAsia="zh-CN"/>
                    </w:rPr>
                    <w:t>移动式焊烟净化器</w:t>
                  </w:r>
                  <w:r>
                    <w:rPr>
                      <w:rFonts w:hint="default" w:ascii="Times New Roman" w:hAnsi="Times New Roman" w:cs="Times New Roman"/>
                      <w:color w:val="auto"/>
                      <w:kern w:val="0"/>
                      <w:sz w:val="21"/>
                      <w:szCs w:val="18"/>
                      <w:highlight w:val="none"/>
                      <w:lang w:val="en-US" w:eastAsia="zh-CN"/>
                    </w:rPr>
                    <w:t>+无组织排放</w:t>
                  </w:r>
                </w:p>
              </w:tc>
            </w:tr>
            <w:tr w14:paraId="44D2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346" w:type="pct"/>
                  <w:vMerge w:val="restart"/>
                  <w:noWrap w:val="0"/>
                  <w:tcMar>
                    <w:left w:w="0" w:type="dxa"/>
                    <w:right w:w="0" w:type="dxa"/>
                  </w:tcMar>
                  <w:vAlign w:val="center"/>
                </w:tcPr>
                <w:p w14:paraId="5854560E">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废水</w:t>
                  </w:r>
                </w:p>
              </w:tc>
              <w:tc>
                <w:tcPr>
                  <w:tcW w:w="546" w:type="pct"/>
                  <w:noWrap w:val="0"/>
                  <w:tcMar>
                    <w:left w:w="0" w:type="dxa"/>
                    <w:right w:w="0" w:type="dxa"/>
                  </w:tcMar>
                  <w:vAlign w:val="center"/>
                </w:tcPr>
                <w:p w14:paraId="1AE7C58A">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W1、</w:t>
                  </w:r>
                  <w:r>
                    <w:rPr>
                      <w:rFonts w:hint="default" w:ascii="Times New Roman" w:hAnsi="Times New Roman" w:eastAsia="宋体" w:cs="Times New Roman"/>
                      <w:color w:val="auto"/>
                      <w:kern w:val="0"/>
                      <w:sz w:val="21"/>
                      <w:szCs w:val="18"/>
                      <w:highlight w:val="none"/>
                    </w:rPr>
                    <w:t>W</w:t>
                  </w:r>
                  <w:r>
                    <w:rPr>
                      <w:rFonts w:hint="default" w:ascii="Times New Roman" w:hAnsi="Times New Roman" w:cs="Times New Roman"/>
                      <w:color w:val="auto"/>
                      <w:kern w:val="0"/>
                      <w:sz w:val="21"/>
                      <w:szCs w:val="18"/>
                      <w:highlight w:val="none"/>
                      <w:lang w:val="en-US" w:eastAsia="zh-CN"/>
                    </w:rPr>
                    <w:t>3、</w:t>
                  </w:r>
                  <w:r>
                    <w:rPr>
                      <w:rFonts w:hint="default" w:ascii="Times New Roman" w:hAnsi="Times New Roman" w:eastAsia="宋体" w:cs="Times New Roman"/>
                      <w:color w:val="auto"/>
                      <w:kern w:val="0"/>
                      <w:sz w:val="21"/>
                      <w:szCs w:val="18"/>
                      <w:highlight w:val="none"/>
                    </w:rPr>
                    <w:t>W</w:t>
                  </w:r>
                  <w:r>
                    <w:rPr>
                      <w:rFonts w:hint="default" w:ascii="Times New Roman" w:hAnsi="Times New Roman" w:cs="Times New Roman"/>
                      <w:color w:val="auto"/>
                      <w:kern w:val="0"/>
                      <w:sz w:val="21"/>
                      <w:szCs w:val="18"/>
                      <w:highlight w:val="none"/>
                      <w:lang w:val="en-US" w:eastAsia="zh-CN"/>
                    </w:rPr>
                    <w:t>4</w:t>
                  </w:r>
                </w:p>
              </w:tc>
              <w:tc>
                <w:tcPr>
                  <w:tcW w:w="1312" w:type="pct"/>
                  <w:noWrap w:val="0"/>
                  <w:tcMar>
                    <w:left w:w="0" w:type="dxa"/>
                    <w:right w:w="0" w:type="dxa"/>
                  </w:tcMar>
                  <w:vAlign w:val="center"/>
                </w:tcPr>
                <w:p w14:paraId="27FD9611">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车辆冲洗废水</w:t>
                  </w:r>
                </w:p>
              </w:tc>
              <w:tc>
                <w:tcPr>
                  <w:tcW w:w="1028" w:type="pct"/>
                  <w:noWrap w:val="0"/>
                  <w:tcMar>
                    <w:left w:w="0" w:type="dxa"/>
                    <w:right w:w="0" w:type="dxa"/>
                  </w:tcMar>
                  <w:vAlign w:val="center"/>
                </w:tcPr>
                <w:p w14:paraId="58D2D0BB">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SS</w:t>
                  </w:r>
                </w:p>
              </w:tc>
              <w:tc>
                <w:tcPr>
                  <w:tcW w:w="768" w:type="pct"/>
                  <w:noWrap w:val="0"/>
                  <w:tcMar>
                    <w:left w:w="0" w:type="dxa"/>
                    <w:right w:w="0" w:type="dxa"/>
                  </w:tcMar>
                  <w:vAlign w:val="center"/>
                </w:tcPr>
                <w:p w14:paraId="2C7A34F5">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间断</w:t>
                  </w:r>
                </w:p>
              </w:tc>
              <w:tc>
                <w:tcPr>
                  <w:tcW w:w="998" w:type="pct"/>
                  <w:gridSpan w:val="2"/>
                  <w:noWrap w:val="0"/>
                  <w:tcMar>
                    <w:left w:w="0" w:type="dxa"/>
                    <w:right w:w="0" w:type="dxa"/>
                  </w:tcMar>
                  <w:vAlign w:val="center"/>
                </w:tcPr>
                <w:p w14:paraId="031A205B">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沉淀池沉淀后循环利用</w:t>
                  </w:r>
                </w:p>
              </w:tc>
            </w:tr>
            <w:tr w14:paraId="7D0DA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346" w:type="pct"/>
                  <w:vMerge w:val="continue"/>
                  <w:noWrap w:val="0"/>
                  <w:tcMar>
                    <w:left w:w="0" w:type="dxa"/>
                    <w:right w:w="0" w:type="dxa"/>
                  </w:tcMar>
                  <w:vAlign w:val="center"/>
                </w:tcPr>
                <w:p w14:paraId="72A69514">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7B42D2AD">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W2</w:t>
                  </w:r>
                </w:p>
              </w:tc>
              <w:tc>
                <w:tcPr>
                  <w:tcW w:w="1312" w:type="pct"/>
                  <w:shd w:val="clear" w:color="auto" w:fill="auto"/>
                  <w:noWrap w:val="0"/>
                  <w:tcMar>
                    <w:left w:w="0" w:type="dxa"/>
                    <w:right w:w="0" w:type="dxa"/>
                  </w:tcMar>
                  <w:vAlign w:val="center"/>
                </w:tcPr>
                <w:p w14:paraId="53E83981">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模具冲洗废水</w:t>
                  </w:r>
                </w:p>
              </w:tc>
              <w:tc>
                <w:tcPr>
                  <w:tcW w:w="1028" w:type="pct"/>
                  <w:shd w:val="clear" w:color="auto" w:fill="auto"/>
                  <w:noWrap w:val="0"/>
                  <w:tcMar>
                    <w:left w:w="0" w:type="dxa"/>
                    <w:right w:w="0" w:type="dxa"/>
                  </w:tcMar>
                  <w:vAlign w:val="center"/>
                </w:tcPr>
                <w:p w14:paraId="1F81A037">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SS</w:t>
                  </w:r>
                </w:p>
              </w:tc>
              <w:tc>
                <w:tcPr>
                  <w:tcW w:w="768" w:type="pct"/>
                  <w:shd w:val="clear" w:color="auto" w:fill="auto"/>
                  <w:noWrap w:val="0"/>
                  <w:tcMar>
                    <w:left w:w="0" w:type="dxa"/>
                    <w:right w:w="0" w:type="dxa"/>
                  </w:tcMar>
                  <w:vAlign w:val="center"/>
                </w:tcPr>
                <w:p w14:paraId="0D7594DD">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间断</w:t>
                  </w:r>
                </w:p>
              </w:tc>
              <w:tc>
                <w:tcPr>
                  <w:tcW w:w="998" w:type="pct"/>
                  <w:gridSpan w:val="2"/>
                  <w:shd w:val="clear" w:color="auto" w:fill="auto"/>
                  <w:noWrap w:val="0"/>
                  <w:tcMar>
                    <w:left w:w="0" w:type="dxa"/>
                    <w:right w:w="0" w:type="dxa"/>
                  </w:tcMar>
                  <w:vAlign w:val="center"/>
                </w:tcPr>
                <w:p w14:paraId="77A10D0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沉淀池沉淀后循环利用</w:t>
                  </w:r>
                </w:p>
              </w:tc>
            </w:tr>
            <w:tr w14:paraId="7EAAD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346" w:type="pct"/>
                  <w:vMerge w:val="continue"/>
                  <w:noWrap w:val="0"/>
                  <w:tcMar>
                    <w:left w:w="0" w:type="dxa"/>
                    <w:right w:w="0" w:type="dxa"/>
                  </w:tcMar>
                  <w:vAlign w:val="center"/>
                </w:tcPr>
                <w:p w14:paraId="1D1BBD35">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2554BEAE">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W</w:t>
                  </w:r>
                  <w:r>
                    <w:rPr>
                      <w:rFonts w:hint="default" w:ascii="Times New Roman" w:hAnsi="Times New Roman" w:cs="Times New Roman"/>
                      <w:color w:val="auto"/>
                      <w:kern w:val="0"/>
                      <w:sz w:val="21"/>
                      <w:szCs w:val="18"/>
                      <w:highlight w:val="none"/>
                      <w:lang w:val="en-US" w:eastAsia="zh-CN"/>
                    </w:rPr>
                    <w:t>5</w:t>
                  </w:r>
                </w:p>
              </w:tc>
              <w:tc>
                <w:tcPr>
                  <w:tcW w:w="1312" w:type="pct"/>
                  <w:shd w:val="clear" w:color="auto" w:fill="auto"/>
                  <w:noWrap w:val="0"/>
                  <w:tcMar>
                    <w:left w:w="0" w:type="dxa"/>
                    <w:right w:w="0" w:type="dxa"/>
                  </w:tcMar>
                  <w:vAlign w:val="center"/>
                </w:tcPr>
                <w:p w14:paraId="6DF42EC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生活污水</w:t>
                  </w:r>
                </w:p>
              </w:tc>
              <w:tc>
                <w:tcPr>
                  <w:tcW w:w="1028" w:type="pct"/>
                  <w:shd w:val="clear" w:color="auto" w:fill="auto"/>
                  <w:noWrap w:val="0"/>
                  <w:tcMar>
                    <w:left w:w="0" w:type="dxa"/>
                    <w:right w:w="0" w:type="dxa"/>
                  </w:tcMar>
                  <w:vAlign w:val="center"/>
                </w:tcPr>
                <w:p w14:paraId="37AE10E0">
                  <w:pPr>
                    <w:spacing w:line="300" w:lineRule="exact"/>
                    <w:ind w:firstLine="0" w:firstLineChars="0"/>
                    <w:jc w:val="center"/>
                    <w:rPr>
                      <w:rFonts w:hint="default" w:ascii="Times New Roman" w:hAnsi="Times New Roman" w:eastAsia="宋体" w:cs="Times New Roman"/>
                      <w:color w:val="auto"/>
                      <w:kern w:val="0"/>
                      <w:sz w:val="21"/>
                      <w:szCs w:val="18"/>
                      <w:highlight w:val="none"/>
                      <w:vertAlign w:val="subscript"/>
                      <w:lang w:val="en-US" w:eastAsia="zh-CN" w:bidi="ar-SA"/>
                    </w:rPr>
                  </w:pPr>
                  <w:r>
                    <w:rPr>
                      <w:rFonts w:hint="default" w:ascii="Times New Roman" w:hAnsi="Times New Roman" w:cs="Times New Roman"/>
                      <w:color w:val="auto"/>
                      <w:kern w:val="0"/>
                      <w:sz w:val="21"/>
                      <w:szCs w:val="18"/>
                      <w:highlight w:val="none"/>
                      <w:lang w:val="en-US" w:eastAsia="zh-CN"/>
                    </w:rPr>
                    <w:t>pH、</w:t>
                  </w:r>
                  <w:r>
                    <w:rPr>
                      <w:rFonts w:hint="default" w:ascii="Times New Roman" w:hAnsi="Times New Roman" w:eastAsia="宋体" w:cs="Times New Roman"/>
                      <w:color w:val="auto"/>
                      <w:kern w:val="0"/>
                      <w:sz w:val="21"/>
                      <w:szCs w:val="18"/>
                      <w:highlight w:val="none"/>
                    </w:rPr>
                    <w:t>COD、NH</w:t>
                  </w:r>
                  <w:r>
                    <w:rPr>
                      <w:rFonts w:hint="default" w:ascii="Times New Roman" w:hAnsi="Times New Roman" w:eastAsia="宋体" w:cs="Times New Roman"/>
                      <w:color w:val="auto"/>
                      <w:kern w:val="0"/>
                      <w:sz w:val="21"/>
                      <w:szCs w:val="18"/>
                      <w:highlight w:val="none"/>
                      <w:vertAlign w:val="subscript"/>
                    </w:rPr>
                    <w:t>3</w:t>
                  </w:r>
                  <w:r>
                    <w:rPr>
                      <w:rFonts w:hint="default" w:ascii="Times New Roman" w:hAnsi="Times New Roman" w:eastAsia="宋体" w:cs="Times New Roman"/>
                      <w:color w:val="auto"/>
                      <w:kern w:val="0"/>
                      <w:sz w:val="21"/>
                      <w:szCs w:val="18"/>
                      <w:highlight w:val="none"/>
                    </w:rPr>
                    <w:t>-N、SS</w:t>
                  </w:r>
                  <w:r>
                    <w:rPr>
                      <w:rFonts w:hint="default" w:ascii="Times New Roman" w:hAnsi="Times New Roman" w:cs="Times New Roman"/>
                      <w:color w:val="auto"/>
                      <w:kern w:val="0"/>
                      <w:sz w:val="21"/>
                      <w:szCs w:val="18"/>
                      <w:highlight w:val="none"/>
                      <w:lang w:eastAsia="zh-CN"/>
                    </w:rPr>
                    <w:t>、</w:t>
                  </w:r>
                  <w:r>
                    <w:rPr>
                      <w:rFonts w:hint="default" w:ascii="Times New Roman" w:hAnsi="Times New Roman" w:cs="Times New Roman"/>
                      <w:color w:val="auto"/>
                      <w:kern w:val="0"/>
                      <w:sz w:val="21"/>
                      <w:szCs w:val="18"/>
                      <w:highlight w:val="none"/>
                      <w:lang w:val="en-US" w:eastAsia="zh-CN"/>
                    </w:rPr>
                    <w:t>BOD</w:t>
                  </w:r>
                  <w:r>
                    <w:rPr>
                      <w:rFonts w:hint="default" w:ascii="Times New Roman" w:hAnsi="Times New Roman" w:cs="Times New Roman"/>
                      <w:color w:val="auto"/>
                      <w:kern w:val="0"/>
                      <w:sz w:val="21"/>
                      <w:szCs w:val="18"/>
                      <w:highlight w:val="none"/>
                      <w:vertAlign w:val="subscript"/>
                      <w:lang w:val="en-US" w:eastAsia="zh-CN"/>
                    </w:rPr>
                    <w:t>5</w:t>
                  </w:r>
                </w:p>
              </w:tc>
              <w:tc>
                <w:tcPr>
                  <w:tcW w:w="768" w:type="pct"/>
                  <w:shd w:val="clear" w:color="auto" w:fill="auto"/>
                  <w:noWrap w:val="0"/>
                  <w:tcMar>
                    <w:left w:w="0" w:type="dxa"/>
                    <w:right w:w="0" w:type="dxa"/>
                  </w:tcMar>
                  <w:vAlign w:val="center"/>
                </w:tcPr>
                <w:p w14:paraId="08C555F9">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间断</w:t>
                  </w:r>
                </w:p>
              </w:tc>
              <w:tc>
                <w:tcPr>
                  <w:tcW w:w="998" w:type="pct"/>
                  <w:gridSpan w:val="2"/>
                  <w:shd w:val="clear" w:color="auto" w:fill="auto"/>
                  <w:noWrap w:val="0"/>
                  <w:tcMar>
                    <w:left w:w="0" w:type="dxa"/>
                    <w:right w:w="0" w:type="dxa"/>
                  </w:tcMar>
                  <w:vAlign w:val="center"/>
                </w:tcPr>
                <w:p w14:paraId="781AAEA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设置</w:t>
                  </w:r>
                  <w:r>
                    <w:rPr>
                      <w:rFonts w:hint="default" w:ascii="Times New Roman" w:hAnsi="Times New Roman" w:eastAsia="宋体" w:cs="Times New Roman"/>
                      <w:color w:val="auto"/>
                      <w:kern w:val="0"/>
                      <w:sz w:val="21"/>
                      <w:szCs w:val="18"/>
                      <w:highlight w:val="none"/>
                      <w:lang w:val="en-US" w:eastAsia="zh-CN"/>
                    </w:rPr>
                    <w:t>化粪池，</w:t>
                  </w:r>
                  <w:r>
                    <w:rPr>
                      <w:rFonts w:hint="default" w:ascii="Times New Roman" w:hAnsi="Times New Roman" w:cs="Times New Roman"/>
                      <w:color w:val="auto"/>
                      <w:kern w:val="0"/>
                      <w:sz w:val="21"/>
                      <w:szCs w:val="18"/>
                      <w:highlight w:val="none"/>
                      <w:lang w:val="en-US" w:eastAsia="zh-CN"/>
                    </w:rPr>
                    <w:t>定期</w:t>
                  </w:r>
                  <w:r>
                    <w:rPr>
                      <w:rFonts w:hint="default" w:ascii="Times New Roman" w:hAnsi="Times New Roman" w:eastAsia="宋体" w:cs="Times New Roman"/>
                      <w:color w:val="auto"/>
                      <w:kern w:val="0"/>
                      <w:sz w:val="21"/>
                      <w:szCs w:val="18"/>
                      <w:highlight w:val="none"/>
                      <w:lang w:val="en-US" w:eastAsia="zh-CN"/>
                    </w:rPr>
                    <w:t>清掏</w:t>
                  </w:r>
                  <w:r>
                    <w:rPr>
                      <w:rFonts w:hint="default" w:ascii="Times New Roman" w:hAnsi="Times New Roman" w:cs="Times New Roman"/>
                      <w:color w:val="auto"/>
                      <w:kern w:val="0"/>
                      <w:sz w:val="21"/>
                      <w:szCs w:val="18"/>
                      <w:highlight w:val="none"/>
                      <w:lang w:val="en-US" w:eastAsia="zh-CN"/>
                    </w:rPr>
                    <w:t>处理</w:t>
                  </w:r>
                </w:p>
              </w:tc>
            </w:tr>
            <w:tr w14:paraId="22BD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 w:hRule="atLeast"/>
                <w:jc w:val="center"/>
              </w:trPr>
              <w:tc>
                <w:tcPr>
                  <w:tcW w:w="346" w:type="pct"/>
                  <w:noWrap w:val="0"/>
                  <w:tcMar>
                    <w:left w:w="0" w:type="dxa"/>
                    <w:right w:w="0" w:type="dxa"/>
                  </w:tcMar>
                  <w:vAlign w:val="center"/>
                </w:tcPr>
                <w:p w14:paraId="7EDF5365">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噪声</w:t>
                  </w:r>
                </w:p>
              </w:tc>
              <w:tc>
                <w:tcPr>
                  <w:tcW w:w="546" w:type="pct"/>
                  <w:noWrap w:val="0"/>
                  <w:tcMar>
                    <w:left w:w="0" w:type="dxa"/>
                    <w:right w:w="0" w:type="dxa"/>
                  </w:tcMar>
                  <w:vAlign w:val="center"/>
                </w:tcPr>
                <w:p w14:paraId="0EEDC13B">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N</w:t>
                  </w:r>
                </w:p>
              </w:tc>
              <w:tc>
                <w:tcPr>
                  <w:tcW w:w="1312" w:type="pct"/>
                  <w:noWrap w:val="0"/>
                  <w:tcMar>
                    <w:left w:w="0" w:type="dxa"/>
                    <w:right w:w="0" w:type="dxa"/>
                  </w:tcMar>
                  <w:vAlign w:val="center"/>
                </w:tcPr>
                <w:p w14:paraId="5FBF827C">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eastAsia="宋体" w:cs="Times New Roman"/>
                      <w:color w:val="auto"/>
                      <w:kern w:val="0"/>
                      <w:sz w:val="21"/>
                      <w:szCs w:val="18"/>
                      <w:highlight w:val="none"/>
                      <w:lang w:val="en-US" w:eastAsia="zh-CN"/>
                    </w:rPr>
                    <w:t>生产设备、风机</w:t>
                  </w:r>
                </w:p>
              </w:tc>
              <w:tc>
                <w:tcPr>
                  <w:tcW w:w="1028" w:type="pct"/>
                  <w:noWrap w:val="0"/>
                  <w:tcMar>
                    <w:left w:w="0" w:type="dxa"/>
                    <w:right w:w="0" w:type="dxa"/>
                  </w:tcMar>
                  <w:vAlign w:val="center"/>
                </w:tcPr>
                <w:p w14:paraId="54D15F6D">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A声级</w:t>
                  </w:r>
                </w:p>
              </w:tc>
              <w:tc>
                <w:tcPr>
                  <w:tcW w:w="768" w:type="pct"/>
                  <w:noWrap w:val="0"/>
                  <w:tcMar>
                    <w:left w:w="0" w:type="dxa"/>
                    <w:right w:w="0" w:type="dxa"/>
                  </w:tcMar>
                  <w:vAlign w:val="center"/>
                </w:tcPr>
                <w:p w14:paraId="59F89957">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连续</w:t>
                  </w:r>
                </w:p>
              </w:tc>
              <w:tc>
                <w:tcPr>
                  <w:tcW w:w="998" w:type="pct"/>
                  <w:gridSpan w:val="2"/>
                  <w:noWrap w:val="0"/>
                  <w:tcMar>
                    <w:left w:w="0" w:type="dxa"/>
                    <w:right w:w="0" w:type="dxa"/>
                  </w:tcMar>
                  <w:vAlign w:val="center"/>
                </w:tcPr>
                <w:p w14:paraId="5E62F020">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选用低噪设备、基础减振、厂房隔声</w:t>
                  </w:r>
                </w:p>
              </w:tc>
            </w:tr>
            <w:tr w14:paraId="6FAC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 w:hRule="atLeast"/>
                <w:jc w:val="center"/>
              </w:trPr>
              <w:tc>
                <w:tcPr>
                  <w:tcW w:w="346" w:type="pct"/>
                  <w:vMerge w:val="restart"/>
                  <w:noWrap w:val="0"/>
                  <w:tcMar>
                    <w:left w:w="0" w:type="dxa"/>
                    <w:right w:w="0" w:type="dxa"/>
                  </w:tcMar>
                  <w:vAlign w:val="center"/>
                </w:tcPr>
                <w:p w14:paraId="1B6FE142">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固废</w:t>
                  </w:r>
                </w:p>
              </w:tc>
              <w:tc>
                <w:tcPr>
                  <w:tcW w:w="546" w:type="pct"/>
                  <w:noWrap w:val="0"/>
                  <w:tcMar>
                    <w:left w:w="0" w:type="dxa"/>
                    <w:right w:w="0" w:type="dxa"/>
                  </w:tcMar>
                  <w:vAlign w:val="center"/>
                </w:tcPr>
                <w:p w14:paraId="2F592895">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S1、S7、S13</w:t>
                  </w:r>
                </w:p>
              </w:tc>
              <w:tc>
                <w:tcPr>
                  <w:tcW w:w="1312" w:type="pct"/>
                  <w:shd w:val="clear" w:color="auto" w:fill="auto"/>
                  <w:noWrap w:val="0"/>
                  <w:tcMar>
                    <w:left w:w="0" w:type="dxa"/>
                    <w:right w:w="0" w:type="dxa"/>
                  </w:tcMar>
                  <w:vAlign w:val="center"/>
                </w:tcPr>
                <w:p w14:paraId="3A362E14">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沉淀池（车辆冲洗）</w:t>
                  </w:r>
                </w:p>
              </w:tc>
              <w:tc>
                <w:tcPr>
                  <w:tcW w:w="1028" w:type="pct"/>
                  <w:shd w:val="clear" w:color="auto" w:fill="auto"/>
                  <w:noWrap w:val="0"/>
                  <w:tcMar>
                    <w:left w:w="0" w:type="dxa"/>
                    <w:right w:w="0" w:type="dxa"/>
                  </w:tcMar>
                  <w:vAlign w:val="center"/>
                </w:tcPr>
                <w:p w14:paraId="3E101EC1">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底泥</w:t>
                  </w:r>
                </w:p>
              </w:tc>
              <w:tc>
                <w:tcPr>
                  <w:tcW w:w="768" w:type="pct"/>
                  <w:shd w:val="clear" w:color="auto" w:fill="auto"/>
                  <w:noWrap w:val="0"/>
                  <w:tcMar>
                    <w:left w:w="0" w:type="dxa"/>
                    <w:right w:w="0" w:type="dxa"/>
                  </w:tcMar>
                  <w:vAlign w:val="center"/>
                </w:tcPr>
                <w:p w14:paraId="754DFB90">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间歇</w:t>
                  </w:r>
                </w:p>
              </w:tc>
              <w:tc>
                <w:tcPr>
                  <w:tcW w:w="998" w:type="pct"/>
                  <w:gridSpan w:val="2"/>
                  <w:shd w:val="clear" w:color="auto" w:fill="auto"/>
                  <w:noWrap w:val="0"/>
                  <w:tcMar>
                    <w:left w:w="0" w:type="dxa"/>
                    <w:right w:w="0" w:type="dxa"/>
                  </w:tcMar>
                  <w:vAlign w:val="center"/>
                </w:tcPr>
                <w:p w14:paraId="278355AD">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收集后外售</w:t>
                  </w:r>
                </w:p>
              </w:tc>
            </w:tr>
            <w:tr w14:paraId="06E6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 w:hRule="atLeast"/>
                <w:jc w:val="center"/>
              </w:trPr>
              <w:tc>
                <w:tcPr>
                  <w:tcW w:w="346" w:type="pct"/>
                  <w:vMerge w:val="continue"/>
                  <w:noWrap w:val="0"/>
                  <w:tcMar>
                    <w:left w:w="0" w:type="dxa"/>
                    <w:right w:w="0" w:type="dxa"/>
                  </w:tcMar>
                  <w:vAlign w:val="center"/>
                </w:tcPr>
                <w:p w14:paraId="47890BCA">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31916D53">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S2、S8、S14</w:t>
                  </w:r>
                </w:p>
              </w:tc>
              <w:tc>
                <w:tcPr>
                  <w:tcW w:w="1312" w:type="pct"/>
                  <w:shd w:val="clear" w:color="auto" w:fill="auto"/>
                  <w:noWrap w:val="0"/>
                  <w:tcMar>
                    <w:left w:w="0" w:type="dxa"/>
                    <w:right w:w="0" w:type="dxa"/>
                  </w:tcMar>
                  <w:vAlign w:val="center"/>
                </w:tcPr>
                <w:p w14:paraId="1D355969">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仓顶除尘器</w:t>
                  </w:r>
                </w:p>
              </w:tc>
              <w:tc>
                <w:tcPr>
                  <w:tcW w:w="1028" w:type="pct"/>
                  <w:shd w:val="clear" w:color="auto" w:fill="auto"/>
                  <w:noWrap w:val="0"/>
                  <w:tcMar>
                    <w:left w:w="0" w:type="dxa"/>
                    <w:right w:w="0" w:type="dxa"/>
                  </w:tcMar>
                  <w:vAlign w:val="center"/>
                </w:tcPr>
                <w:p w14:paraId="636E1A5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除尘灰</w:t>
                  </w:r>
                </w:p>
              </w:tc>
              <w:tc>
                <w:tcPr>
                  <w:tcW w:w="768" w:type="pct"/>
                  <w:shd w:val="clear" w:color="auto" w:fill="auto"/>
                  <w:noWrap w:val="0"/>
                  <w:tcMar>
                    <w:left w:w="0" w:type="dxa"/>
                    <w:right w:w="0" w:type="dxa"/>
                  </w:tcMar>
                  <w:vAlign w:val="center"/>
                </w:tcPr>
                <w:p w14:paraId="3C24FE2E">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间歇</w:t>
                  </w:r>
                </w:p>
              </w:tc>
              <w:tc>
                <w:tcPr>
                  <w:tcW w:w="998" w:type="pct"/>
                  <w:gridSpan w:val="2"/>
                  <w:shd w:val="clear" w:color="auto" w:fill="auto"/>
                  <w:noWrap w:val="0"/>
                  <w:tcMar>
                    <w:left w:w="0" w:type="dxa"/>
                    <w:right w:w="0" w:type="dxa"/>
                  </w:tcMar>
                  <w:vAlign w:val="center"/>
                </w:tcPr>
                <w:p w14:paraId="44845B28">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收集回用于生产</w:t>
                  </w:r>
                </w:p>
              </w:tc>
            </w:tr>
            <w:tr w14:paraId="155C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 w:hRule="atLeast"/>
                <w:jc w:val="center"/>
              </w:trPr>
              <w:tc>
                <w:tcPr>
                  <w:tcW w:w="346" w:type="pct"/>
                  <w:vMerge w:val="continue"/>
                  <w:noWrap w:val="0"/>
                  <w:tcMar>
                    <w:left w:w="0" w:type="dxa"/>
                    <w:right w:w="0" w:type="dxa"/>
                  </w:tcMar>
                  <w:vAlign w:val="center"/>
                </w:tcPr>
                <w:p w14:paraId="01CDD771">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2051542E">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S3、S4、S9、S10、S11、S15、S16</w:t>
                  </w:r>
                </w:p>
              </w:tc>
              <w:tc>
                <w:tcPr>
                  <w:tcW w:w="1312" w:type="pct"/>
                  <w:shd w:val="clear" w:color="auto" w:fill="auto"/>
                  <w:noWrap w:val="0"/>
                  <w:tcMar>
                    <w:left w:w="0" w:type="dxa"/>
                    <w:right w:w="0" w:type="dxa"/>
                  </w:tcMar>
                  <w:vAlign w:val="center"/>
                </w:tcPr>
                <w:p w14:paraId="506A4E57">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布袋除尘器</w:t>
                  </w:r>
                </w:p>
              </w:tc>
              <w:tc>
                <w:tcPr>
                  <w:tcW w:w="1028" w:type="pct"/>
                  <w:shd w:val="clear" w:color="auto" w:fill="auto"/>
                  <w:noWrap w:val="0"/>
                  <w:tcMar>
                    <w:left w:w="0" w:type="dxa"/>
                    <w:right w:w="0" w:type="dxa"/>
                  </w:tcMar>
                  <w:vAlign w:val="center"/>
                </w:tcPr>
                <w:p w14:paraId="708EAE2E">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除尘灰</w:t>
                  </w:r>
                </w:p>
              </w:tc>
              <w:tc>
                <w:tcPr>
                  <w:tcW w:w="768" w:type="pct"/>
                  <w:shd w:val="clear" w:color="auto" w:fill="auto"/>
                  <w:noWrap w:val="0"/>
                  <w:tcMar>
                    <w:left w:w="0" w:type="dxa"/>
                    <w:right w:w="0" w:type="dxa"/>
                  </w:tcMar>
                  <w:vAlign w:val="center"/>
                </w:tcPr>
                <w:p w14:paraId="6D8731D9">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间歇</w:t>
                  </w:r>
                </w:p>
              </w:tc>
              <w:tc>
                <w:tcPr>
                  <w:tcW w:w="998" w:type="pct"/>
                  <w:gridSpan w:val="2"/>
                  <w:shd w:val="clear" w:color="auto" w:fill="auto"/>
                  <w:noWrap w:val="0"/>
                  <w:tcMar>
                    <w:left w:w="0" w:type="dxa"/>
                    <w:right w:w="0" w:type="dxa"/>
                  </w:tcMar>
                  <w:vAlign w:val="center"/>
                </w:tcPr>
                <w:p w14:paraId="0AD5D945">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收集回用于生产</w:t>
                  </w:r>
                </w:p>
              </w:tc>
            </w:tr>
            <w:tr w14:paraId="1A0F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 w:hRule="atLeast"/>
                <w:jc w:val="center"/>
              </w:trPr>
              <w:tc>
                <w:tcPr>
                  <w:tcW w:w="346" w:type="pct"/>
                  <w:vMerge w:val="continue"/>
                  <w:noWrap w:val="0"/>
                  <w:tcMar>
                    <w:left w:w="0" w:type="dxa"/>
                    <w:right w:w="0" w:type="dxa"/>
                  </w:tcMar>
                  <w:vAlign w:val="center"/>
                </w:tcPr>
                <w:p w14:paraId="374CDD30">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371D64C1">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S5</w:t>
                  </w:r>
                </w:p>
              </w:tc>
              <w:tc>
                <w:tcPr>
                  <w:tcW w:w="1312" w:type="pct"/>
                  <w:shd w:val="clear" w:color="auto" w:fill="auto"/>
                  <w:noWrap w:val="0"/>
                  <w:tcMar>
                    <w:left w:w="0" w:type="dxa"/>
                    <w:right w:w="0" w:type="dxa"/>
                  </w:tcMar>
                  <w:vAlign w:val="center"/>
                </w:tcPr>
                <w:p w14:paraId="37B26841">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焊接工序</w:t>
                  </w:r>
                </w:p>
              </w:tc>
              <w:tc>
                <w:tcPr>
                  <w:tcW w:w="1028" w:type="pct"/>
                  <w:shd w:val="clear" w:color="auto" w:fill="auto"/>
                  <w:noWrap w:val="0"/>
                  <w:tcMar>
                    <w:left w:w="0" w:type="dxa"/>
                    <w:right w:w="0" w:type="dxa"/>
                  </w:tcMar>
                  <w:vAlign w:val="center"/>
                </w:tcPr>
                <w:p w14:paraId="284AF2BC">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废焊材</w:t>
                  </w:r>
                </w:p>
              </w:tc>
              <w:tc>
                <w:tcPr>
                  <w:tcW w:w="768" w:type="pct"/>
                  <w:shd w:val="clear" w:color="auto" w:fill="auto"/>
                  <w:noWrap w:val="0"/>
                  <w:tcMar>
                    <w:left w:w="0" w:type="dxa"/>
                    <w:right w:w="0" w:type="dxa"/>
                  </w:tcMar>
                  <w:vAlign w:val="center"/>
                </w:tcPr>
                <w:p w14:paraId="2AFB13BE">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间歇</w:t>
                  </w:r>
                </w:p>
              </w:tc>
              <w:tc>
                <w:tcPr>
                  <w:tcW w:w="998" w:type="pct"/>
                  <w:gridSpan w:val="2"/>
                  <w:shd w:val="clear" w:color="auto" w:fill="auto"/>
                  <w:noWrap w:val="0"/>
                  <w:tcMar>
                    <w:left w:w="0" w:type="dxa"/>
                    <w:right w:w="0" w:type="dxa"/>
                  </w:tcMar>
                  <w:vAlign w:val="center"/>
                </w:tcPr>
                <w:p w14:paraId="5DA50098">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收集后外售</w:t>
                  </w:r>
                </w:p>
              </w:tc>
            </w:tr>
            <w:tr w14:paraId="41D2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 w:hRule="atLeast"/>
                <w:jc w:val="center"/>
              </w:trPr>
              <w:tc>
                <w:tcPr>
                  <w:tcW w:w="346" w:type="pct"/>
                  <w:vMerge w:val="continue"/>
                  <w:noWrap w:val="0"/>
                  <w:tcMar>
                    <w:left w:w="0" w:type="dxa"/>
                    <w:right w:w="0" w:type="dxa"/>
                  </w:tcMar>
                  <w:vAlign w:val="center"/>
                </w:tcPr>
                <w:p w14:paraId="6CB1260A">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6E405AA0">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S6</w:t>
                  </w:r>
                </w:p>
              </w:tc>
              <w:tc>
                <w:tcPr>
                  <w:tcW w:w="1312" w:type="pct"/>
                  <w:shd w:val="clear" w:color="auto" w:fill="auto"/>
                  <w:noWrap w:val="0"/>
                  <w:tcMar>
                    <w:left w:w="0" w:type="dxa"/>
                    <w:right w:w="0" w:type="dxa"/>
                  </w:tcMar>
                  <w:vAlign w:val="center"/>
                </w:tcPr>
                <w:p w14:paraId="004540CD">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沉淀池（固定模具冲洗）</w:t>
                  </w:r>
                </w:p>
              </w:tc>
              <w:tc>
                <w:tcPr>
                  <w:tcW w:w="1028" w:type="pct"/>
                  <w:shd w:val="clear" w:color="auto" w:fill="auto"/>
                  <w:noWrap w:val="0"/>
                  <w:tcMar>
                    <w:left w:w="0" w:type="dxa"/>
                    <w:right w:w="0" w:type="dxa"/>
                  </w:tcMar>
                  <w:vAlign w:val="center"/>
                </w:tcPr>
                <w:p w14:paraId="04D46B7F">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底泥</w:t>
                  </w:r>
                </w:p>
              </w:tc>
              <w:tc>
                <w:tcPr>
                  <w:tcW w:w="768" w:type="pct"/>
                  <w:shd w:val="clear" w:color="auto" w:fill="auto"/>
                  <w:noWrap w:val="0"/>
                  <w:tcMar>
                    <w:left w:w="0" w:type="dxa"/>
                    <w:right w:w="0" w:type="dxa"/>
                  </w:tcMar>
                  <w:vAlign w:val="center"/>
                </w:tcPr>
                <w:p w14:paraId="4A7E0E57">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间歇</w:t>
                  </w:r>
                </w:p>
              </w:tc>
              <w:tc>
                <w:tcPr>
                  <w:tcW w:w="998" w:type="pct"/>
                  <w:gridSpan w:val="2"/>
                  <w:shd w:val="clear" w:color="auto" w:fill="auto"/>
                  <w:noWrap w:val="0"/>
                  <w:tcMar>
                    <w:left w:w="0" w:type="dxa"/>
                    <w:right w:w="0" w:type="dxa"/>
                  </w:tcMar>
                  <w:vAlign w:val="center"/>
                </w:tcPr>
                <w:p w14:paraId="28205B8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收集后外售</w:t>
                  </w:r>
                </w:p>
              </w:tc>
            </w:tr>
            <w:tr w14:paraId="42ED9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 w:hRule="atLeast"/>
                <w:jc w:val="center"/>
              </w:trPr>
              <w:tc>
                <w:tcPr>
                  <w:tcW w:w="346" w:type="pct"/>
                  <w:vMerge w:val="continue"/>
                  <w:noWrap w:val="0"/>
                  <w:tcMar>
                    <w:left w:w="0" w:type="dxa"/>
                    <w:right w:w="0" w:type="dxa"/>
                  </w:tcMar>
                  <w:vAlign w:val="center"/>
                </w:tcPr>
                <w:p w14:paraId="71ADD601">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32699AF5">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S12</w:t>
                  </w:r>
                </w:p>
              </w:tc>
              <w:tc>
                <w:tcPr>
                  <w:tcW w:w="1312" w:type="pct"/>
                  <w:shd w:val="clear" w:color="auto" w:fill="auto"/>
                  <w:noWrap w:val="0"/>
                  <w:tcMar>
                    <w:left w:w="0" w:type="dxa"/>
                    <w:right w:w="0" w:type="dxa"/>
                  </w:tcMar>
                  <w:vAlign w:val="center"/>
                </w:tcPr>
                <w:p w14:paraId="63C028DB">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分装</w:t>
                  </w:r>
                </w:p>
              </w:tc>
              <w:tc>
                <w:tcPr>
                  <w:tcW w:w="1028" w:type="pct"/>
                  <w:shd w:val="clear" w:color="auto" w:fill="auto"/>
                  <w:noWrap w:val="0"/>
                  <w:tcMar>
                    <w:left w:w="0" w:type="dxa"/>
                    <w:right w:w="0" w:type="dxa"/>
                  </w:tcMar>
                  <w:vAlign w:val="center"/>
                </w:tcPr>
                <w:p w14:paraId="3B1687CC">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废包装袋</w:t>
                  </w:r>
                </w:p>
              </w:tc>
              <w:tc>
                <w:tcPr>
                  <w:tcW w:w="768" w:type="pct"/>
                  <w:shd w:val="clear" w:color="auto" w:fill="auto"/>
                  <w:noWrap w:val="0"/>
                  <w:tcMar>
                    <w:left w:w="0" w:type="dxa"/>
                    <w:right w:w="0" w:type="dxa"/>
                  </w:tcMar>
                  <w:vAlign w:val="center"/>
                </w:tcPr>
                <w:p w14:paraId="0126D6CE">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间歇</w:t>
                  </w:r>
                </w:p>
              </w:tc>
              <w:tc>
                <w:tcPr>
                  <w:tcW w:w="998" w:type="pct"/>
                  <w:gridSpan w:val="2"/>
                  <w:shd w:val="clear" w:color="auto" w:fill="auto"/>
                  <w:noWrap w:val="0"/>
                  <w:tcMar>
                    <w:left w:w="0" w:type="dxa"/>
                    <w:right w:w="0" w:type="dxa"/>
                  </w:tcMar>
                  <w:vAlign w:val="center"/>
                </w:tcPr>
                <w:p w14:paraId="1BDC7B92">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收集后外售</w:t>
                  </w:r>
                </w:p>
              </w:tc>
            </w:tr>
            <w:tr w14:paraId="76BE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 w:hRule="atLeast"/>
                <w:jc w:val="center"/>
              </w:trPr>
              <w:tc>
                <w:tcPr>
                  <w:tcW w:w="346" w:type="pct"/>
                  <w:vMerge w:val="continue"/>
                  <w:noWrap w:val="0"/>
                  <w:tcMar>
                    <w:left w:w="0" w:type="dxa"/>
                    <w:right w:w="0" w:type="dxa"/>
                  </w:tcMar>
                  <w:vAlign w:val="center"/>
                </w:tcPr>
                <w:p w14:paraId="1738D75C">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5B8337BC">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S17</w:t>
                  </w:r>
                </w:p>
              </w:tc>
              <w:tc>
                <w:tcPr>
                  <w:tcW w:w="1312" w:type="pct"/>
                  <w:shd w:val="clear" w:color="auto" w:fill="auto"/>
                  <w:noWrap w:val="0"/>
                  <w:tcMar>
                    <w:left w:w="0" w:type="dxa"/>
                    <w:right w:w="0" w:type="dxa"/>
                  </w:tcMar>
                  <w:vAlign w:val="center"/>
                </w:tcPr>
                <w:p w14:paraId="3035369A">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布袋除尘器</w:t>
                  </w:r>
                </w:p>
              </w:tc>
              <w:tc>
                <w:tcPr>
                  <w:tcW w:w="1028" w:type="pct"/>
                  <w:shd w:val="clear" w:color="auto" w:fill="auto"/>
                  <w:noWrap w:val="0"/>
                  <w:tcMar>
                    <w:left w:w="0" w:type="dxa"/>
                    <w:right w:w="0" w:type="dxa"/>
                  </w:tcMar>
                  <w:vAlign w:val="center"/>
                </w:tcPr>
                <w:p w14:paraId="73DA4395">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废布袋</w:t>
                  </w:r>
                </w:p>
              </w:tc>
              <w:tc>
                <w:tcPr>
                  <w:tcW w:w="768" w:type="pct"/>
                  <w:shd w:val="clear" w:color="auto" w:fill="auto"/>
                  <w:noWrap w:val="0"/>
                  <w:tcMar>
                    <w:left w:w="0" w:type="dxa"/>
                    <w:right w:w="0" w:type="dxa"/>
                  </w:tcMar>
                  <w:vAlign w:val="center"/>
                </w:tcPr>
                <w:p w14:paraId="5CF1CE4B">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间歇</w:t>
                  </w:r>
                </w:p>
              </w:tc>
              <w:tc>
                <w:tcPr>
                  <w:tcW w:w="998" w:type="pct"/>
                  <w:gridSpan w:val="2"/>
                  <w:shd w:val="clear" w:color="auto" w:fill="auto"/>
                  <w:noWrap w:val="0"/>
                  <w:tcMar>
                    <w:left w:w="0" w:type="dxa"/>
                    <w:right w:w="0" w:type="dxa"/>
                  </w:tcMar>
                  <w:vAlign w:val="center"/>
                </w:tcPr>
                <w:p w14:paraId="04BB47C8">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收集后外售</w:t>
                  </w:r>
                </w:p>
              </w:tc>
            </w:tr>
            <w:tr w14:paraId="5C1F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09" w:hRule="atLeast"/>
                <w:jc w:val="center"/>
              </w:trPr>
              <w:tc>
                <w:tcPr>
                  <w:tcW w:w="346" w:type="pct"/>
                  <w:vMerge w:val="continue"/>
                  <w:noWrap w:val="0"/>
                  <w:tcMar>
                    <w:left w:w="0" w:type="dxa"/>
                    <w:right w:w="0" w:type="dxa"/>
                  </w:tcMar>
                  <w:vAlign w:val="center"/>
                </w:tcPr>
                <w:p w14:paraId="2C4000ED">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noWrap w:val="0"/>
                  <w:tcMar>
                    <w:left w:w="0" w:type="dxa"/>
                    <w:right w:w="0" w:type="dxa"/>
                  </w:tcMar>
                  <w:vAlign w:val="center"/>
                </w:tcPr>
                <w:p w14:paraId="210CBC3B">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S18</w:t>
                  </w:r>
                </w:p>
              </w:tc>
              <w:tc>
                <w:tcPr>
                  <w:tcW w:w="1312" w:type="pct"/>
                  <w:noWrap w:val="0"/>
                  <w:tcMar>
                    <w:left w:w="0" w:type="dxa"/>
                    <w:right w:w="0" w:type="dxa"/>
                  </w:tcMar>
                  <w:vAlign w:val="center"/>
                </w:tcPr>
                <w:p w14:paraId="5D0CD1C3">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职工生活</w:t>
                  </w:r>
                </w:p>
              </w:tc>
              <w:tc>
                <w:tcPr>
                  <w:tcW w:w="1028" w:type="pct"/>
                  <w:noWrap w:val="0"/>
                  <w:tcMar>
                    <w:left w:w="0" w:type="dxa"/>
                    <w:right w:w="0" w:type="dxa"/>
                  </w:tcMar>
                  <w:vAlign w:val="center"/>
                </w:tcPr>
                <w:p w14:paraId="383EA76B">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eastAsia="宋体" w:cs="Times New Roman"/>
                      <w:color w:val="auto"/>
                      <w:kern w:val="0"/>
                      <w:sz w:val="21"/>
                      <w:szCs w:val="18"/>
                      <w:highlight w:val="none"/>
                      <w:lang w:val="en-US" w:eastAsia="zh-CN"/>
                    </w:rPr>
                    <w:t>生活垃圾</w:t>
                  </w:r>
                </w:p>
              </w:tc>
              <w:tc>
                <w:tcPr>
                  <w:tcW w:w="768" w:type="pct"/>
                  <w:noWrap w:val="0"/>
                  <w:tcMar>
                    <w:left w:w="0" w:type="dxa"/>
                    <w:right w:w="0" w:type="dxa"/>
                  </w:tcMar>
                  <w:vAlign w:val="center"/>
                </w:tcPr>
                <w:p w14:paraId="24EB214B">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间歇</w:t>
                  </w:r>
                </w:p>
              </w:tc>
              <w:tc>
                <w:tcPr>
                  <w:tcW w:w="998" w:type="pct"/>
                  <w:gridSpan w:val="2"/>
                  <w:noWrap w:val="0"/>
                  <w:tcMar>
                    <w:left w:w="0" w:type="dxa"/>
                    <w:right w:w="0" w:type="dxa"/>
                  </w:tcMar>
                  <w:vAlign w:val="center"/>
                </w:tcPr>
                <w:p w14:paraId="4E496731">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收集后送环卫部门处理</w:t>
                  </w:r>
                </w:p>
              </w:tc>
            </w:tr>
          </w:tbl>
          <w:p w14:paraId="12852416">
            <w:pPr>
              <w:pStyle w:val="51"/>
              <w:ind w:firstLine="0" w:firstLineChars="0"/>
              <w:rPr>
                <w:rFonts w:hint="default" w:ascii="Times New Roman" w:hAnsi="Times New Roman" w:cs="Times New Roman"/>
                <w:b/>
                <w:bCs/>
                <w:color w:val="auto"/>
                <w:szCs w:val="32"/>
                <w:highlight w:val="none"/>
              </w:rPr>
            </w:pPr>
          </w:p>
        </w:tc>
      </w:tr>
      <w:tr w14:paraId="497426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632" w:type="dxa"/>
            <w:vAlign w:val="center"/>
          </w:tcPr>
          <w:p w14:paraId="3797EBF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与项目有关的原有环境污染问题</w:t>
            </w:r>
          </w:p>
        </w:tc>
        <w:tc>
          <w:tcPr>
            <w:tcW w:w="7890" w:type="dxa"/>
          </w:tcPr>
          <w:p w14:paraId="2F528BC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16590B7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4936666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经现场踏勘，本项目为新建项目，无原有污染情况及主要环境问题。</w:t>
            </w:r>
          </w:p>
          <w:p w14:paraId="03F094F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0128F86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1F96FB9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34EF9DB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6E1DF6E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4418807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15E2D7A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48E5BDA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2EA5442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4A0AA0D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71DDEB9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421913E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0C58C6E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661085C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6331C40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tc>
      </w:tr>
    </w:tbl>
    <w:p w14:paraId="38005A1E">
      <w:pPr>
        <w:pStyle w:val="36"/>
        <w:jc w:val="center"/>
        <w:rPr>
          <w:rFonts w:hint="default" w:ascii="Times New Roman" w:hAnsi="Times New Roman" w:eastAsia="黑体" w:cs="Times New Roman"/>
          <w:snapToGrid w:val="0"/>
          <w:color w:val="auto"/>
          <w:sz w:val="36"/>
          <w:szCs w:val="36"/>
          <w:highlight w:val="none"/>
        </w:rPr>
        <w:sectPr>
          <w:pgSz w:w="11906" w:h="16838"/>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p>
    <w:p w14:paraId="560C77E4">
      <w:pPr>
        <w:pStyle w:val="36"/>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三、区域环境质量现状、环境保护目标及评价标准</w:t>
      </w:r>
    </w:p>
    <w:tbl>
      <w:tblPr>
        <w:tblStyle w:val="4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4"/>
        <w:gridCol w:w="8607"/>
      </w:tblGrid>
      <w:tr w14:paraId="410D88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tcBorders>
              <w:tl2br w:val="nil"/>
              <w:tr2bl w:val="nil"/>
            </w:tcBorders>
            <w:vAlign w:val="center"/>
          </w:tcPr>
          <w:p w14:paraId="3FC9E9D8">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区</w:t>
            </w:r>
          </w:p>
          <w:p w14:paraId="5B137012">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域</w:t>
            </w:r>
          </w:p>
          <w:p w14:paraId="20821649">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环</w:t>
            </w:r>
          </w:p>
          <w:p w14:paraId="4BC7720E">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境</w:t>
            </w:r>
          </w:p>
          <w:p w14:paraId="40D24159">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质</w:t>
            </w:r>
          </w:p>
          <w:p w14:paraId="57D9EA49">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量</w:t>
            </w:r>
          </w:p>
          <w:p w14:paraId="131C4726">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现</w:t>
            </w:r>
          </w:p>
          <w:p w14:paraId="55E98721">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状</w:t>
            </w:r>
          </w:p>
        </w:tc>
        <w:tc>
          <w:tcPr>
            <w:tcW w:w="8200" w:type="dxa"/>
            <w:tcBorders>
              <w:tl2br w:val="nil"/>
              <w:tr2bl w:val="nil"/>
            </w:tcBorders>
            <w:vAlign w:val="center"/>
          </w:tcPr>
          <w:p w14:paraId="044C4D91">
            <w:pPr>
              <w:keepNext w:val="0"/>
              <w:keepLines w:val="0"/>
              <w:pageBreakBefore w:val="0"/>
              <w:widowControl w:val="0"/>
              <w:kinsoku/>
              <w:wordWrap/>
              <w:overflowPunct/>
              <w:topLinePunct w:val="0"/>
              <w:bidi w:val="0"/>
              <w:snapToGrid/>
              <w:spacing w:line="360" w:lineRule="auto"/>
              <w:ind w:firstLine="482" w:firstLineChars="200"/>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1、空气环境质量现状</w:t>
            </w:r>
          </w:p>
          <w:p w14:paraId="72FE17E2">
            <w:pPr>
              <w:pStyle w:val="115"/>
              <w:keepNext w:val="0"/>
              <w:keepLines w:val="0"/>
              <w:pageBreakBefore w:val="0"/>
              <w:widowControl w:val="0"/>
              <w:kinsoku/>
              <w:wordWrap/>
              <w:overflowPunct/>
              <w:topLinePunct w:val="0"/>
              <w:bidi w:val="0"/>
              <w:snapToGrid/>
              <w:spacing w:line="360" w:lineRule="auto"/>
              <w:ind w:firstLine="48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（1）区域环境空气质量现状达标性分析</w:t>
            </w:r>
          </w:p>
          <w:p w14:paraId="50964D61">
            <w:pPr>
              <w:keepNext w:val="0"/>
              <w:keepLines w:val="0"/>
              <w:pageBreakBefore w:val="0"/>
              <w:widowControl w:val="0"/>
              <w:kinsoku/>
              <w:wordWrap/>
              <w:overflowPunct/>
              <w:topLinePunct w:val="0"/>
              <w:autoSpaceDE w:val="0"/>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根据《环境空气质量标准》（GB3095-2012）</w:t>
            </w:r>
            <w:r>
              <w:rPr>
                <w:rFonts w:hint="default" w:ascii="Times New Roman" w:hAnsi="Times New Roman" w:eastAsia="宋体" w:cs="Times New Roman"/>
                <w:snapToGrid w:val="0"/>
                <w:color w:val="auto"/>
                <w:kern w:val="0"/>
                <w:sz w:val="24"/>
                <w:szCs w:val="24"/>
                <w:highlight w:val="none"/>
              </w:rPr>
              <w:t>及其修改单（生态环境部公告2018年第29号）相关要求</w:t>
            </w:r>
            <w:r>
              <w:rPr>
                <w:rFonts w:hint="default" w:ascii="Times New Roman" w:hAnsi="Times New Roman" w:eastAsia="宋体" w:cs="Times New Roman"/>
                <w:color w:val="auto"/>
                <w:sz w:val="24"/>
                <w:szCs w:val="24"/>
                <w:highlight w:val="none"/>
              </w:rPr>
              <w:t>，本项目所在区域为二类环境空气质量功能区。根据</w:t>
            </w:r>
            <w:r>
              <w:rPr>
                <w:rFonts w:hint="default" w:ascii="Times New Roman" w:hAnsi="Times New Roman" w:eastAsia="宋体" w:cs="Times New Roman"/>
                <w:color w:val="auto"/>
                <w:sz w:val="24"/>
                <w:szCs w:val="24"/>
                <w:highlight w:val="none"/>
                <w:lang w:val="en-US" w:eastAsia="zh-CN"/>
              </w:rPr>
              <w:t>202</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年6月发布的</w:t>
            </w:r>
            <w:r>
              <w:rPr>
                <w:rFonts w:hint="default" w:ascii="Times New Roman" w:hAnsi="Times New Roman" w:eastAsia="宋体" w:cs="Times New Roman"/>
                <w:color w:val="auto"/>
                <w:spacing w:val="0"/>
                <w:sz w:val="24"/>
                <w:highlight w:val="none"/>
                <w:lang w:eastAsia="zh-CN"/>
              </w:rPr>
              <w:t>《</w:t>
            </w:r>
            <w:r>
              <w:rPr>
                <w:rFonts w:hint="default" w:ascii="Times New Roman" w:hAnsi="Times New Roman" w:eastAsia="宋体" w:cs="Times New Roman"/>
                <w:color w:val="auto"/>
                <w:spacing w:val="0"/>
                <w:sz w:val="24"/>
                <w:highlight w:val="none"/>
                <w:lang w:val="en-US" w:eastAsia="zh-CN"/>
              </w:rPr>
              <w:t>202</w:t>
            </w:r>
            <w:r>
              <w:rPr>
                <w:rFonts w:hint="default" w:ascii="Times New Roman" w:hAnsi="Times New Roman" w:cs="Times New Roman"/>
                <w:color w:val="auto"/>
                <w:spacing w:val="0"/>
                <w:sz w:val="24"/>
                <w:highlight w:val="none"/>
                <w:lang w:val="en-US" w:eastAsia="zh-CN"/>
              </w:rPr>
              <w:t>4</w:t>
            </w:r>
            <w:r>
              <w:rPr>
                <w:rFonts w:hint="default" w:ascii="Times New Roman" w:hAnsi="Times New Roman" w:eastAsia="宋体" w:cs="Times New Roman"/>
                <w:color w:val="auto"/>
                <w:spacing w:val="0"/>
                <w:sz w:val="24"/>
                <w:highlight w:val="none"/>
                <w:lang w:val="en-US" w:eastAsia="zh-CN"/>
              </w:rPr>
              <w:t>年石家庄市生态环境状况公报</w:t>
            </w:r>
            <w:r>
              <w:rPr>
                <w:rFonts w:hint="default" w:ascii="Times New Roman" w:hAnsi="Times New Roman" w:eastAsia="宋体" w:cs="Times New Roman"/>
                <w:color w:val="auto"/>
                <w:spacing w:val="0"/>
                <w:sz w:val="24"/>
                <w:highlight w:val="none"/>
                <w:lang w:eastAsia="zh-CN"/>
              </w:rPr>
              <w:t>》</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项目</w:t>
            </w:r>
            <w:r>
              <w:rPr>
                <w:rFonts w:hint="default" w:ascii="Times New Roman" w:hAnsi="Times New Roman" w:eastAsia="宋体" w:cs="Times New Roman"/>
                <w:color w:val="auto"/>
                <w:sz w:val="24"/>
                <w:szCs w:val="24"/>
                <w:highlight w:val="none"/>
              </w:rPr>
              <w:t>区域环境空气质量现状评价</w:t>
            </w:r>
            <w:r>
              <w:rPr>
                <w:rFonts w:hint="default" w:ascii="Times New Roman" w:hAnsi="Times New Roman" w:eastAsia="宋体" w:cs="Times New Roman"/>
                <w:color w:val="auto"/>
                <w:sz w:val="24"/>
                <w:szCs w:val="24"/>
                <w:highlight w:val="none"/>
                <w:lang w:eastAsia="zh-CN"/>
              </w:rPr>
              <w:t>如下</w:t>
            </w:r>
            <w:r>
              <w:rPr>
                <w:rFonts w:hint="default" w:ascii="Times New Roman" w:hAnsi="Times New Roman" w:eastAsia="宋体" w:cs="Times New Roman"/>
                <w:color w:val="auto"/>
                <w:sz w:val="24"/>
                <w:szCs w:val="24"/>
                <w:highlight w:val="none"/>
              </w:rPr>
              <w:t>。</w:t>
            </w:r>
          </w:p>
          <w:p w14:paraId="5F6212E4">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表3-1  基本污染物环境质量现状</w:t>
            </w:r>
          </w:p>
          <w:tbl>
            <w:tblPr>
              <w:tblStyle w:val="40"/>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888"/>
              <w:gridCol w:w="1201"/>
              <w:gridCol w:w="1216"/>
              <w:gridCol w:w="1241"/>
              <w:gridCol w:w="914"/>
            </w:tblGrid>
            <w:tr w14:paraId="69E1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580" w:type="pct"/>
                  <w:vMerge w:val="restart"/>
                  <w:noWrap w:val="0"/>
                  <w:vAlign w:val="center"/>
                </w:tcPr>
                <w:p w14:paraId="66684264">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污染物</w:t>
                  </w:r>
                </w:p>
              </w:tc>
              <w:tc>
                <w:tcPr>
                  <w:tcW w:w="1710" w:type="pct"/>
                  <w:vMerge w:val="restart"/>
                  <w:noWrap w:val="0"/>
                  <w:vAlign w:val="center"/>
                </w:tcPr>
                <w:p w14:paraId="56DF3F95">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年评价指标</w:t>
                  </w:r>
                </w:p>
              </w:tc>
              <w:tc>
                <w:tcPr>
                  <w:tcW w:w="711" w:type="pct"/>
                  <w:vMerge w:val="restart"/>
                  <w:noWrap w:val="0"/>
                  <w:vAlign w:val="center"/>
                </w:tcPr>
                <w:p w14:paraId="2DE3F589">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评价标准/（µg/m</w:t>
                  </w:r>
                  <w:r>
                    <w:rPr>
                      <w:rFonts w:hint="default" w:ascii="Times New Roman" w:hAnsi="Times New Roman" w:eastAsia="宋体" w:cs="Times New Roman"/>
                      <w:b/>
                      <w:bCs/>
                      <w:color w:val="auto"/>
                      <w:kern w:val="2"/>
                      <w:sz w:val="21"/>
                      <w:szCs w:val="21"/>
                      <w:highlight w:val="none"/>
                      <w:vertAlign w:val="superscript"/>
                      <w:lang w:val="en-US" w:eastAsia="zh-CN" w:bidi="ar-SA"/>
                    </w:rPr>
                    <w:t>3</w:t>
                  </w:r>
                  <w:r>
                    <w:rPr>
                      <w:rFonts w:hint="default" w:ascii="Times New Roman" w:hAnsi="Times New Roman" w:eastAsia="宋体" w:cs="Times New Roman"/>
                      <w:b/>
                      <w:bCs/>
                      <w:color w:val="auto"/>
                      <w:kern w:val="2"/>
                      <w:sz w:val="21"/>
                      <w:szCs w:val="21"/>
                      <w:highlight w:val="none"/>
                      <w:lang w:val="en-US" w:eastAsia="zh-CN" w:bidi="ar-SA"/>
                    </w:rPr>
                    <w:t>）</w:t>
                  </w:r>
                </w:p>
              </w:tc>
              <w:tc>
                <w:tcPr>
                  <w:tcW w:w="720" w:type="pct"/>
                  <w:vMerge w:val="restart"/>
                  <w:noWrap w:val="0"/>
                  <w:vAlign w:val="center"/>
                </w:tcPr>
                <w:p w14:paraId="43B29152">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现状浓度（µg/m</w:t>
                  </w:r>
                  <w:r>
                    <w:rPr>
                      <w:rFonts w:hint="default" w:ascii="Times New Roman" w:hAnsi="Times New Roman" w:eastAsia="宋体" w:cs="Times New Roman"/>
                      <w:b/>
                      <w:bCs/>
                      <w:color w:val="auto"/>
                      <w:kern w:val="2"/>
                      <w:sz w:val="21"/>
                      <w:szCs w:val="21"/>
                      <w:highlight w:val="none"/>
                      <w:vertAlign w:val="superscript"/>
                      <w:lang w:val="en-US" w:eastAsia="zh-CN" w:bidi="ar-SA"/>
                    </w:rPr>
                    <w:t>3</w:t>
                  </w:r>
                  <w:r>
                    <w:rPr>
                      <w:rFonts w:hint="default" w:ascii="Times New Roman" w:hAnsi="Times New Roman" w:eastAsia="宋体" w:cs="Times New Roman"/>
                      <w:b/>
                      <w:bCs/>
                      <w:color w:val="auto"/>
                      <w:kern w:val="2"/>
                      <w:sz w:val="21"/>
                      <w:szCs w:val="21"/>
                      <w:highlight w:val="none"/>
                      <w:lang w:val="en-US" w:eastAsia="zh-CN" w:bidi="ar-SA"/>
                    </w:rPr>
                    <w:t>）</w:t>
                  </w:r>
                </w:p>
              </w:tc>
              <w:tc>
                <w:tcPr>
                  <w:tcW w:w="735" w:type="pct"/>
                  <w:vMerge w:val="restart"/>
                  <w:noWrap w:val="0"/>
                  <w:vAlign w:val="center"/>
                </w:tcPr>
                <w:p w14:paraId="04FC236D">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最大浓度占标率/%</w:t>
                  </w:r>
                </w:p>
              </w:tc>
              <w:tc>
                <w:tcPr>
                  <w:tcW w:w="541" w:type="pct"/>
                  <w:vMerge w:val="restart"/>
                  <w:noWrap w:val="0"/>
                  <w:vAlign w:val="center"/>
                </w:tcPr>
                <w:p w14:paraId="08033072">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达标情况</w:t>
                  </w:r>
                </w:p>
              </w:tc>
            </w:tr>
            <w:tr w14:paraId="0E17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80" w:type="pct"/>
                  <w:vMerge w:val="continue"/>
                  <w:noWrap w:val="0"/>
                  <w:vAlign w:val="center"/>
                </w:tcPr>
                <w:p w14:paraId="311D7262">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710" w:type="pct"/>
                  <w:vMerge w:val="continue"/>
                  <w:noWrap w:val="0"/>
                  <w:vAlign w:val="center"/>
                </w:tcPr>
                <w:p w14:paraId="060009FA">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711" w:type="pct"/>
                  <w:vMerge w:val="continue"/>
                  <w:noWrap w:val="0"/>
                  <w:vAlign w:val="center"/>
                </w:tcPr>
                <w:p w14:paraId="166F1CF0">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720" w:type="pct"/>
                  <w:vMerge w:val="continue"/>
                  <w:noWrap w:val="0"/>
                  <w:vAlign w:val="center"/>
                </w:tcPr>
                <w:p w14:paraId="0F23D939">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735" w:type="pct"/>
                  <w:vMerge w:val="continue"/>
                  <w:noWrap w:val="0"/>
                  <w:vAlign w:val="center"/>
                </w:tcPr>
                <w:p w14:paraId="1B7431AE">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41" w:type="pct"/>
                  <w:vMerge w:val="continue"/>
                  <w:noWrap w:val="0"/>
                  <w:vAlign w:val="center"/>
                </w:tcPr>
                <w:p w14:paraId="39DA3E11">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14:paraId="0335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14:paraId="38669BB0">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SO</w:t>
                  </w:r>
                  <w:r>
                    <w:rPr>
                      <w:rFonts w:hint="default" w:ascii="Times New Roman" w:hAnsi="Times New Roman" w:eastAsia="宋体" w:cs="Times New Roman"/>
                      <w:color w:val="auto"/>
                      <w:kern w:val="2"/>
                      <w:sz w:val="21"/>
                      <w:szCs w:val="21"/>
                      <w:highlight w:val="none"/>
                      <w:vertAlign w:val="subscript"/>
                      <w:lang w:val="en-US" w:eastAsia="zh-CN" w:bidi="ar-SA"/>
                    </w:rPr>
                    <w:t>2</w:t>
                  </w:r>
                </w:p>
              </w:tc>
              <w:tc>
                <w:tcPr>
                  <w:tcW w:w="1710" w:type="pct"/>
                  <w:noWrap w:val="0"/>
                  <w:vAlign w:val="center"/>
                </w:tcPr>
                <w:p w14:paraId="0180AB6E">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年平均质量浓度</w:t>
                  </w:r>
                </w:p>
              </w:tc>
              <w:tc>
                <w:tcPr>
                  <w:tcW w:w="711" w:type="pct"/>
                  <w:noWrap w:val="0"/>
                  <w:vAlign w:val="center"/>
                </w:tcPr>
                <w:p w14:paraId="427A23E7">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6"/>
                      <w:sz w:val="21"/>
                      <w:szCs w:val="21"/>
                      <w:highlight w:val="none"/>
                    </w:rPr>
                    <w:t>60</w:t>
                  </w:r>
                </w:p>
              </w:tc>
              <w:tc>
                <w:tcPr>
                  <w:tcW w:w="720" w:type="pct"/>
                  <w:noWrap w:val="0"/>
                  <w:vAlign w:val="center"/>
                </w:tcPr>
                <w:p w14:paraId="16A07F9A">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cs="Times New Roman"/>
                      <w:color w:val="auto"/>
                      <w:spacing w:val="-6"/>
                      <w:sz w:val="21"/>
                      <w:szCs w:val="21"/>
                      <w:highlight w:val="none"/>
                      <w:lang w:val="en-US" w:eastAsia="zh-CN"/>
                    </w:rPr>
                    <w:t>5</w:t>
                  </w:r>
                </w:p>
              </w:tc>
              <w:tc>
                <w:tcPr>
                  <w:tcW w:w="735" w:type="pct"/>
                  <w:noWrap w:val="0"/>
                  <w:vAlign w:val="center"/>
                </w:tcPr>
                <w:p w14:paraId="015E31BF">
                  <w:pPr>
                    <w:keepNext w:val="0"/>
                    <w:keepLines w:val="0"/>
                    <w:pageBreakBefore w:val="0"/>
                    <w:widowControl w:val="0"/>
                    <w:suppressLineNumbers w:val="0"/>
                    <w:kinsoku/>
                    <w:wordWrap/>
                    <w:overflowPunct/>
                    <w:topLinePunct w:val="0"/>
                    <w:autoSpaceDE w:val="0"/>
                    <w:autoSpaceDN w:val="0"/>
                    <w:bidi w:val="0"/>
                    <w:snapToGrid/>
                    <w:spacing w:line="360" w:lineRule="exact"/>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cs="Times New Roman"/>
                      <w:color w:val="auto"/>
                      <w:spacing w:val="-6"/>
                      <w:sz w:val="21"/>
                      <w:szCs w:val="21"/>
                      <w:highlight w:val="none"/>
                      <w:lang w:val="en-US" w:eastAsia="zh-CN"/>
                    </w:rPr>
                    <w:t>8.3</w:t>
                  </w:r>
                </w:p>
              </w:tc>
              <w:tc>
                <w:tcPr>
                  <w:tcW w:w="541" w:type="pct"/>
                  <w:noWrap w:val="0"/>
                  <w:vAlign w:val="center"/>
                </w:tcPr>
                <w:p w14:paraId="38CACC67">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达标</w:t>
                  </w:r>
                </w:p>
              </w:tc>
            </w:tr>
            <w:tr w14:paraId="1B4B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14:paraId="40F9038B">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NO</w:t>
                  </w:r>
                  <w:r>
                    <w:rPr>
                      <w:rFonts w:hint="default" w:ascii="Times New Roman" w:hAnsi="Times New Roman" w:eastAsia="宋体" w:cs="Times New Roman"/>
                      <w:color w:val="auto"/>
                      <w:kern w:val="2"/>
                      <w:sz w:val="21"/>
                      <w:szCs w:val="21"/>
                      <w:highlight w:val="none"/>
                      <w:vertAlign w:val="subscript"/>
                      <w:lang w:val="en-US" w:eastAsia="zh-CN" w:bidi="ar-SA"/>
                    </w:rPr>
                    <w:t>2</w:t>
                  </w:r>
                </w:p>
              </w:tc>
              <w:tc>
                <w:tcPr>
                  <w:tcW w:w="1710" w:type="pct"/>
                  <w:noWrap w:val="0"/>
                  <w:vAlign w:val="center"/>
                </w:tcPr>
                <w:p w14:paraId="1330B709">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年平均质量浓度</w:t>
                  </w:r>
                </w:p>
              </w:tc>
              <w:tc>
                <w:tcPr>
                  <w:tcW w:w="711" w:type="pct"/>
                  <w:noWrap w:val="0"/>
                  <w:vAlign w:val="center"/>
                </w:tcPr>
                <w:p w14:paraId="3D443DAF">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6"/>
                      <w:sz w:val="21"/>
                      <w:szCs w:val="21"/>
                      <w:highlight w:val="none"/>
                    </w:rPr>
                    <w:t>40</w:t>
                  </w:r>
                </w:p>
              </w:tc>
              <w:tc>
                <w:tcPr>
                  <w:tcW w:w="720" w:type="pct"/>
                  <w:noWrap w:val="0"/>
                  <w:vAlign w:val="center"/>
                </w:tcPr>
                <w:p w14:paraId="73E90339">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cs="Times New Roman"/>
                      <w:color w:val="auto"/>
                      <w:spacing w:val="-6"/>
                      <w:sz w:val="21"/>
                      <w:szCs w:val="21"/>
                      <w:highlight w:val="none"/>
                      <w:lang w:val="en-US" w:eastAsia="zh-CN"/>
                    </w:rPr>
                    <w:t>27</w:t>
                  </w:r>
                </w:p>
              </w:tc>
              <w:tc>
                <w:tcPr>
                  <w:tcW w:w="735" w:type="pct"/>
                  <w:noWrap w:val="0"/>
                  <w:vAlign w:val="center"/>
                </w:tcPr>
                <w:p w14:paraId="0A343E02">
                  <w:pPr>
                    <w:keepNext w:val="0"/>
                    <w:keepLines w:val="0"/>
                    <w:pageBreakBefore w:val="0"/>
                    <w:widowControl w:val="0"/>
                    <w:suppressLineNumbers w:val="0"/>
                    <w:kinsoku/>
                    <w:wordWrap/>
                    <w:overflowPunct/>
                    <w:topLinePunct w:val="0"/>
                    <w:autoSpaceDE w:val="0"/>
                    <w:autoSpaceDN w:val="0"/>
                    <w:bidi w:val="0"/>
                    <w:snapToGrid/>
                    <w:spacing w:line="360" w:lineRule="exact"/>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cs="Times New Roman"/>
                      <w:color w:val="auto"/>
                      <w:spacing w:val="-6"/>
                      <w:sz w:val="21"/>
                      <w:szCs w:val="21"/>
                      <w:highlight w:val="none"/>
                      <w:lang w:val="en-US" w:eastAsia="zh-CN"/>
                    </w:rPr>
                    <w:t>67.5</w:t>
                  </w:r>
                </w:p>
              </w:tc>
              <w:tc>
                <w:tcPr>
                  <w:tcW w:w="541" w:type="pct"/>
                  <w:noWrap w:val="0"/>
                  <w:vAlign w:val="center"/>
                </w:tcPr>
                <w:p w14:paraId="3E59B244">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达标</w:t>
                  </w:r>
                </w:p>
              </w:tc>
            </w:tr>
            <w:tr w14:paraId="1453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14:paraId="5DCF28E1">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PM</w:t>
                  </w:r>
                  <w:r>
                    <w:rPr>
                      <w:rFonts w:hint="default" w:ascii="Times New Roman" w:hAnsi="Times New Roman" w:eastAsia="宋体" w:cs="Times New Roman"/>
                      <w:color w:val="auto"/>
                      <w:kern w:val="2"/>
                      <w:sz w:val="21"/>
                      <w:szCs w:val="21"/>
                      <w:highlight w:val="none"/>
                      <w:vertAlign w:val="subscript"/>
                      <w:lang w:val="en-US" w:eastAsia="zh-CN" w:bidi="ar-SA"/>
                    </w:rPr>
                    <w:t>10</w:t>
                  </w:r>
                </w:p>
              </w:tc>
              <w:tc>
                <w:tcPr>
                  <w:tcW w:w="1710" w:type="pct"/>
                  <w:noWrap w:val="0"/>
                  <w:vAlign w:val="center"/>
                </w:tcPr>
                <w:p w14:paraId="7532C550">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年平均质量浓度</w:t>
                  </w:r>
                </w:p>
              </w:tc>
              <w:tc>
                <w:tcPr>
                  <w:tcW w:w="711" w:type="pct"/>
                  <w:noWrap w:val="0"/>
                  <w:vAlign w:val="center"/>
                </w:tcPr>
                <w:p w14:paraId="0D1DFB60">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6"/>
                      <w:sz w:val="21"/>
                      <w:szCs w:val="21"/>
                      <w:highlight w:val="none"/>
                    </w:rPr>
                    <w:t>70</w:t>
                  </w:r>
                </w:p>
              </w:tc>
              <w:tc>
                <w:tcPr>
                  <w:tcW w:w="720" w:type="pct"/>
                  <w:noWrap w:val="0"/>
                  <w:vAlign w:val="center"/>
                </w:tcPr>
                <w:p w14:paraId="7E53DAC6">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78</w:t>
                  </w:r>
                </w:p>
              </w:tc>
              <w:tc>
                <w:tcPr>
                  <w:tcW w:w="735" w:type="pct"/>
                  <w:noWrap w:val="0"/>
                  <w:vAlign w:val="center"/>
                </w:tcPr>
                <w:p w14:paraId="41753F37">
                  <w:pPr>
                    <w:keepNext w:val="0"/>
                    <w:keepLines w:val="0"/>
                    <w:pageBreakBefore w:val="0"/>
                    <w:widowControl w:val="0"/>
                    <w:suppressLineNumbers w:val="0"/>
                    <w:kinsoku/>
                    <w:wordWrap/>
                    <w:overflowPunct/>
                    <w:topLinePunct w:val="0"/>
                    <w:autoSpaceDE w:val="0"/>
                    <w:autoSpaceDN w:val="0"/>
                    <w:bidi w:val="0"/>
                    <w:snapToGrid/>
                    <w:spacing w:line="360" w:lineRule="exact"/>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111.4</w:t>
                  </w:r>
                </w:p>
              </w:tc>
              <w:tc>
                <w:tcPr>
                  <w:tcW w:w="541" w:type="pct"/>
                  <w:noWrap w:val="0"/>
                  <w:vAlign w:val="center"/>
                </w:tcPr>
                <w:p w14:paraId="642272A7">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不达标</w:t>
                  </w:r>
                </w:p>
              </w:tc>
            </w:tr>
            <w:tr w14:paraId="1862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14:paraId="057BD31C">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PM</w:t>
                  </w:r>
                  <w:r>
                    <w:rPr>
                      <w:rFonts w:hint="default" w:ascii="Times New Roman" w:hAnsi="Times New Roman" w:eastAsia="宋体" w:cs="Times New Roman"/>
                      <w:color w:val="auto"/>
                      <w:kern w:val="2"/>
                      <w:sz w:val="21"/>
                      <w:szCs w:val="21"/>
                      <w:highlight w:val="none"/>
                      <w:vertAlign w:val="subscript"/>
                      <w:lang w:val="en-US" w:eastAsia="zh-CN" w:bidi="ar-SA"/>
                    </w:rPr>
                    <w:t>2.5</w:t>
                  </w:r>
                </w:p>
              </w:tc>
              <w:tc>
                <w:tcPr>
                  <w:tcW w:w="1710" w:type="pct"/>
                  <w:noWrap w:val="0"/>
                  <w:vAlign w:val="center"/>
                </w:tcPr>
                <w:p w14:paraId="41D2FE6D">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年平均质量浓度</w:t>
                  </w:r>
                </w:p>
              </w:tc>
              <w:tc>
                <w:tcPr>
                  <w:tcW w:w="711" w:type="pct"/>
                  <w:noWrap w:val="0"/>
                  <w:vAlign w:val="center"/>
                </w:tcPr>
                <w:p w14:paraId="1E303011">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6"/>
                      <w:sz w:val="21"/>
                      <w:szCs w:val="21"/>
                      <w:highlight w:val="none"/>
                    </w:rPr>
                    <w:t>35</w:t>
                  </w:r>
                </w:p>
              </w:tc>
              <w:tc>
                <w:tcPr>
                  <w:tcW w:w="720" w:type="pct"/>
                  <w:noWrap w:val="0"/>
                  <w:vAlign w:val="center"/>
                </w:tcPr>
                <w:p w14:paraId="0495BA13">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4</w:t>
                  </w:r>
                  <w:r>
                    <w:rPr>
                      <w:rFonts w:hint="default" w:ascii="Times New Roman" w:hAnsi="Times New Roman" w:cs="Times New Roman"/>
                      <w:color w:val="auto"/>
                      <w:spacing w:val="-6"/>
                      <w:sz w:val="21"/>
                      <w:szCs w:val="21"/>
                      <w:highlight w:val="none"/>
                      <w:lang w:val="en-US" w:eastAsia="zh-CN"/>
                    </w:rPr>
                    <w:t>5</w:t>
                  </w:r>
                </w:p>
              </w:tc>
              <w:tc>
                <w:tcPr>
                  <w:tcW w:w="735" w:type="pct"/>
                  <w:noWrap w:val="0"/>
                  <w:vAlign w:val="center"/>
                </w:tcPr>
                <w:p w14:paraId="298DA032">
                  <w:pPr>
                    <w:keepNext w:val="0"/>
                    <w:keepLines w:val="0"/>
                    <w:pageBreakBefore w:val="0"/>
                    <w:widowControl w:val="0"/>
                    <w:suppressLineNumbers w:val="0"/>
                    <w:kinsoku/>
                    <w:wordWrap/>
                    <w:overflowPunct/>
                    <w:topLinePunct w:val="0"/>
                    <w:autoSpaceDE w:val="0"/>
                    <w:autoSpaceDN w:val="0"/>
                    <w:bidi w:val="0"/>
                    <w:snapToGrid/>
                    <w:spacing w:line="360" w:lineRule="exact"/>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12</w:t>
                  </w:r>
                  <w:r>
                    <w:rPr>
                      <w:rFonts w:hint="default" w:ascii="Times New Roman" w:hAnsi="Times New Roman" w:cs="Times New Roman"/>
                      <w:color w:val="auto"/>
                      <w:spacing w:val="-6"/>
                      <w:sz w:val="21"/>
                      <w:szCs w:val="21"/>
                      <w:highlight w:val="none"/>
                      <w:lang w:val="en-US" w:eastAsia="zh-CN"/>
                    </w:rPr>
                    <w:t>8.6</w:t>
                  </w:r>
                </w:p>
              </w:tc>
              <w:tc>
                <w:tcPr>
                  <w:tcW w:w="541" w:type="pct"/>
                  <w:noWrap w:val="0"/>
                  <w:vAlign w:val="center"/>
                </w:tcPr>
                <w:p w14:paraId="19E27222">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不达标</w:t>
                  </w:r>
                </w:p>
              </w:tc>
            </w:tr>
            <w:tr w14:paraId="4FDE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14:paraId="3ABCC653">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CO</w:t>
                  </w:r>
                </w:p>
              </w:tc>
              <w:tc>
                <w:tcPr>
                  <w:tcW w:w="1710" w:type="pct"/>
                  <w:noWrap w:val="0"/>
                  <w:vAlign w:val="center"/>
                </w:tcPr>
                <w:p w14:paraId="36F0A194">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24小时平均第95位百分位数</w:t>
                  </w:r>
                </w:p>
              </w:tc>
              <w:tc>
                <w:tcPr>
                  <w:tcW w:w="711" w:type="pct"/>
                  <w:noWrap w:val="0"/>
                  <w:vAlign w:val="center"/>
                </w:tcPr>
                <w:p w14:paraId="0EE6D4C4">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6"/>
                      <w:sz w:val="21"/>
                      <w:szCs w:val="21"/>
                      <w:highlight w:val="none"/>
                    </w:rPr>
                    <w:t>4000</w:t>
                  </w:r>
                </w:p>
              </w:tc>
              <w:tc>
                <w:tcPr>
                  <w:tcW w:w="720" w:type="pct"/>
                  <w:noWrap w:val="0"/>
                  <w:vAlign w:val="center"/>
                </w:tcPr>
                <w:p w14:paraId="732CC2ED">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1</w:t>
                  </w:r>
                  <w:r>
                    <w:rPr>
                      <w:rFonts w:hint="default" w:ascii="Times New Roman" w:hAnsi="Times New Roman" w:cs="Times New Roman"/>
                      <w:color w:val="auto"/>
                      <w:spacing w:val="-6"/>
                      <w:sz w:val="21"/>
                      <w:szCs w:val="21"/>
                      <w:highlight w:val="none"/>
                      <w:lang w:val="en-US" w:eastAsia="zh-CN"/>
                    </w:rPr>
                    <w:t>2</w:t>
                  </w:r>
                  <w:r>
                    <w:rPr>
                      <w:rFonts w:hint="default" w:ascii="Times New Roman" w:hAnsi="Times New Roman" w:eastAsia="宋体" w:cs="Times New Roman"/>
                      <w:color w:val="auto"/>
                      <w:spacing w:val="-6"/>
                      <w:sz w:val="21"/>
                      <w:szCs w:val="21"/>
                      <w:highlight w:val="none"/>
                      <w:lang w:val="en-US" w:eastAsia="zh-CN"/>
                    </w:rPr>
                    <w:t>00</w:t>
                  </w:r>
                </w:p>
              </w:tc>
              <w:tc>
                <w:tcPr>
                  <w:tcW w:w="735" w:type="pct"/>
                  <w:noWrap w:val="0"/>
                  <w:vAlign w:val="center"/>
                </w:tcPr>
                <w:p w14:paraId="1AF70220">
                  <w:pPr>
                    <w:keepNext w:val="0"/>
                    <w:keepLines w:val="0"/>
                    <w:pageBreakBefore w:val="0"/>
                    <w:widowControl w:val="0"/>
                    <w:suppressLineNumbers w:val="0"/>
                    <w:kinsoku/>
                    <w:wordWrap/>
                    <w:overflowPunct/>
                    <w:topLinePunct w:val="0"/>
                    <w:autoSpaceDE w:val="0"/>
                    <w:autoSpaceDN w:val="0"/>
                    <w:bidi w:val="0"/>
                    <w:snapToGrid/>
                    <w:spacing w:line="360" w:lineRule="exact"/>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3</w:t>
                  </w:r>
                  <w:r>
                    <w:rPr>
                      <w:rFonts w:hint="default" w:ascii="Times New Roman" w:hAnsi="Times New Roman" w:cs="Times New Roman"/>
                      <w:color w:val="auto"/>
                      <w:spacing w:val="-6"/>
                      <w:sz w:val="21"/>
                      <w:szCs w:val="21"/>
                      <w:highlight w:val="none"/>
                      <w:lang w:val="en-US" w:eastAsia="zh-CN"/>
                    </w:rPr>
                    <w:t>0</w:t>
                  </w:r>
                </w:p>
              </w:tc>
              <w:tc>
                <w:tcPr>
                  <w:tcW w:w="541" w:type="pct"/>
                  <w:noWrap w:val="0"/>
                  <w:vAlign w:val="center"/>
                </w:tcPr>
                <w:p w14:paraId="7CB931A9">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达标</w:t>
                  </w:r>
                </w:p>
              </w:tc>
            </w:tr>
            <w:tr w14:paraId="1776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580" w:type="pct"/>
                  <w:noWrap w:val="0"/>
                  <w:vAlign w:val="center"/>
                </w:tcPr>
                <w:p w14:paraId="0B70F596">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O</w:t>
                  </w:r>
                  <w:r>
                    <w:rPr>
                      <w:rFonts w:hint="default" w:ascii="Times New Roman" w:hAnsi="Times New Roman" w:eastAsia="宋体" w:cs="Times New Roman"/>
                      <w:color w:val="auto"/>
                      <w:kern w:val="2"/>
                      <w:sz w:val="21"/>
                      <w:szCs w:val="21"/>
                      <w:highlight w:val="none"/>
                      <w:vertAlign w:val="subscript"/>
                      <w:lang w:val="en-US" w:eastAsia="zh-CN" w:bidi="ar-SA"/>
                    </w:rPr>
                    <w:t>3</w:t>
                  </w:r>
                </w:p>
              </w:tc>
              <w:tc>
                <w:tcPr>
                  <w:tcW w:w="1710" w:type="pct"/>
                  <w:noWrap w:val="0"/>
                  <w:vAlign w:val="center"/>
                </w:tcPr>
                <w:p w14:paraId="3053D0E6">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8小时平均第90位百分位数</w:t>
                  </w:r>
                </w:p>
              </w:tc>
              <w:tc>
                <w:tcPr>
                  <w:tcW w:w="711" w:type="pct"/>
                  <w:noWrap w:val="0"/>
                  <w:vAlign w:val="center"/>
                </w:tcPr>
                <w:p w14:paraId="3CA002E3">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6"/>
                      <w:sz w:val="21"/>
                      <w:szCs w:val="21"/>
                      <w:highlight w:val="none"/>
                    </w:rPr>
                    <w:t>160</w:t>
                  </w:r>
                </w:p>
              </w:tc>
              <w:tc>
                <w:tcPr>
                  <w:tcW w:w="720" w:type="pct"/>
                  <w:noWrap w:val="0"/>
                  <w:vAlign w:val="center"/>
                </w:tcPr>
                <w:p w14:paraId="05CE7455">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18</w:t>
                  </w:r>
                  <w:r>
                    <w:rPr>
                      <w:rFonts w:hint="default" w:ascii="Times New Roman" w:hAnsi="Times New Roman" w:cs="Times New Roman"/>
                      <w:color w:val="auto"/>
                      <w:spacing w:val="-6"/>
                      <w:sz w:val="21"/>
                      <w:szCs w:val="21"/>
                      <w:highlight w:val="none"/>
                      <w:lang w:val="en-US" w:eastAsia="zh-CN"/>
                    </w:rPr>
                    <w:t>2</w:t>
                  </w:r>
                </w:p>
              </w:tc>
              <w:tc>
                <w:tcPr>
                  <w:tcW w:w="735" w:type="pct"/>
                  <w:noWrap w:val="0"/>
                  <w:vAlign w:val="center"/>
                </w:tcPr>
                <w:p w14:paraId="029D5388">
                  <w:pPr>
                    <w:keepNext w:val="0"/>
                    <w:keepLines w:val="0"/>
                    <w:pageBreakBefore w:val="0"/>
                    <w:widowControl w:val="0"/>
                    <w:suppressLineNumbers w:val="0"/>
                    <w:kinsoku/>
                    <w:wordWrap/>
                    <w:overflowPunct/>
                    <w:topLinePunct w:val="0"/>
                    <w:autoSpaceDE w:val="0"/>
                    <w:autoSpaceDN w:val="0"/>
                    <w:bidi w:val="0"/>
                    <w:snapToGrid/>
                    <w:spacing w:line="360" w:lineRule="exact"/>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11</w:t>
                  </w:r>
                  <w:r>
                    <w:rPr>
                      <w:rFonts w:hint="default" w:ascii="Times New Roman" w:hAnsi="Times New Roman" w:cs="Times New Roman"/>
                      <w:color w:val="auto"/>
                      <w:spacing w:val="-6"/>
                      <w:sz w:val="21"/>
                      <w:szCs w:val="21"/>
                      <w:highlight w:val="none"/>
                      <w:lang w:val="en-US" w:eastAsia="zh-CN"/>
                    </w:rPr>
                    <w:t>3.8</w:t>
                  </w:r>
                </w:p>
              </w:tc>
              <w:tc>
                <w:tcPr>
                  <w:tcW w:w="541" w:type="pct"/>
                  <w:noWrap w:val="0"/>
                  <w:vAlign w:val="center"/>
                </w:tcPr>
                <w:p w14:paraId="1340FCFF">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不达标</w:t>
                  </w:r>
                </w:p>
              </w:tc>
            </w:tr>
          </w:tbl>
          <w:p w14:paraId="0E7AFFC7">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eastAsia="宋体" w:cs="Times New Roman"/>
                <w:snapToGrid w:val="0"/>
                <w:color w:val="auto"/>
                <w:kern w:val="0"/>
                <w:sz w:val="24"/>
                <w:szCs w:val="24"/>
                <w:highlight w:val="none"/>
              </w:rPr>
              <w:t>根据环境公报的结果，项目所在区域中的</w:t>
            </w:r>
            <w:r>
              <w:rPr>
                <w:rFonts w:hint="default" w:ascii="Times New Roman" w:hAnsi="Times New Roman" w:eastAsia="宋体" w:cs="Times New Roman"/>
                <w:color w:val="auto"/>
                <w:sz w:val="24"/>
                <w:szCs w:val="24"/>
                <w:highlight w:val="none"/>
              </w:rPr>
              <w:t>NO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napToGrid w:val="0"/>
                <w:color w:val="auto"/>
                <w:kern w:val="0"/>
                <w:sz w:val="24"/>
                <w:szCs w:val="24"/>
                <w:highlight w:val="none"/>
              </w:rPr>
              <w:t>CO、</w:t>
            </w:r>
            <w:r>
              <w:rPr>
                <w:rFonts w:hint="default" w:ascii="Times New Roman" w:hAnsi="Times New Roman" w:eastAsia="宋体" w:cs="Times New Roman"/>
                <w:color w:val="auto"/>
                <w:sz w:val="24"/>
                <w:szCs w:val="24"/>
                <w:highlight w:val="none"/>
              </w:rPr>
              <w:t>SO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snapToGrid w:val="0"/>
                <w:color w:val="auto"/>
                <w:kern w:val="0"/>
                <w:sz w:val="24"/>
                <w:szCs w:val="24"/>
                <w:highlight w:val="none"/>
              </w:rPr>
              <w:t>达标且满足</w:t>
            </w:r>
            <w:r>
              <w:rPr>
                <w:rFonts w:hint="default" w:ascii="Times New Roman" w:hAnsi="Times New Roman" w:eastAsia="宋体" w:cs="Times New Roman"/>
                <w:color w:val="auto"/>
                <w:sz w:val="24"/>
                <w:szCs w:val="24"/>
                <w:highlight w:val="none"/>
              </w:rPr>
              <w:t>《环境空气质量标准》（GB3095-2012）中</w:t>
            </w:r>
            <w:r>
              <w:rPr>
                <w:rFonts w:hint="default" w:ascii="Times New Roman" w:hAnsi="Times New Roman" w:eastAsia="宋体" w:cs="Times New Roman"/>
                <w:color w:val="auto"/>
                <w:sz w:val="24"/>
                <w:szCs w:val="24"/>
                <w:highlight w:val="none"/>
                <w:lang w:eastAsia="zh-CN"/>
              </w:rPr>
              <w:t>及其修改单中</w:t>
            </w:r>
            <w:r>
              <w:rPr>
                <w:rFonts w:hint="default" w:ascii="Times New Roman" w:hAnsi="Times New Roman" w:eastAsia="宋体" w:cs="Times New Roman"/>
                <w:color w:val="auto"/>
                <w:sz w:val="24"/>
                <w:szCs w:val="24"/>
                <w:highlight w:val="none"/>
              </w:rPr>
              <w:t>表1二级标准要求。不达标的因子有PM</w:t>
            </w:r>
            <w:r>
              <w:rPr>
                <w:rFonts w:hint="default" w:ascii="Times New Roman" w:hAnsi="Times New Roman" w:eastAsia="宋体" w:cs="Times New Roman"/>
                <w:color w:val="auto"/>
                <w:sz w:val="24"/>
                <w:szCs w:val="24"/>
                <w:highlight w:val="none"/>
                <w:vertAlign w:val="subscript"/>
              </w:rPr>
              <w:t>10</w:t>
            </w:r>
            <w:r>
              <w:rPr>
                <w:rFonts w:hint="default" w:ascii="Times New Roman" w:hAnsi="Times New Roman" w:eastAsia="宋体" w:cs="Times New Roman"/>
                <w:color w:val="auto"/>
                <w:sz w:val="24"/>
                <w:szCs w:val="24"/>
                <w:highlight w:val="none"/>
              </w:rPr>
              <w:t>，PM</w:t>
            </w:r>
            <w:r>
              <w:rPr>
                <w:rFonts w:hint="default" w:ascii="Times New Roman" w:hAnsi="Times New Roman" w:eastAsia="宋体" w:cs="Times New Roman"/>
                <w:color w:val="auto"/>
                <w:sz w:val="24"/>
                <w:szCs w:val="24"/>
                <w:highlight w:val="none"/>
                <w:vertAlign w:val="subscript"/>
              </w:rPr>
              <w:t>2.5</w:t>
            </w:r>
            <w:r>
              <w:rPr>
                <w:rFonts w:hint="default" w:ascii="Times New Roman" w:hAnsi="Times New Roman" w:eastAsia="宋体" w:cs="Times New Roman"/>
                <w:color w:val="auto"/>
                <w:sz w:val="24"/>
                <w:szCs w:val="24"/>
                <w:highlight w:val="none"/>
              </w:rPr>
              <w:t>，O</w:t>
            </w:r>
            <w:r>
              <w:rPr>
                <w:rFonts w:hint="default" w:ascii="Times New Roman" w:hAnsi="Times New Roman" w:eastAsia="宋体" w:cs="Times New Roman"/>
                <w:color w:val="auto"/>
                <w:sz w:val="24"/>
                <w:szCs w:val="24"/>
                <w:highlight w:val="none"/>
                <w:vertAlign w:val="subscript"/>
              </w:rPr>
              <w:t>3</w:t>
            </w:r>
            <w:r>
              <w:rPr>
                <w:rFonts w:hint="default" w:ascii="Times New Roman" w:hAnsi="Times New Roman" w:eastAsia="宋体" w:cs="Times New Roman"/>
                <w:color w:val="auto"/>
                <w:sz w:val="24"/>
                <w:szCs w:val="24"/>
                <w:highlight w:val="none"/>
              </w:rPr>
              <w:t>，本项目所在</w:t>
            </w:r>
            <w:r>
              <w:rPr>
                <w:rFonts w:hint="default" w:ascii="Times New Roman" w:hAnsi="Times New Roman" w:eastAsia="宋体" w:cs="Times New Roman"/>
                <w:color w:val="auto"/>
                <w:sz w:val="24"/>
                <w:szCs w:val="24"/>
                <w:highlight w:val="none"/>
                <w:lang w:val="en-US" w:eastAsia="zh-CN"/>
              </w:rPr>
              <w:t>区域</w:t>
            </w:r>
            <w:r>
              <w:rPr>
                <w:rFonts w:hint="default" w:ascii="Times New Roman" w:hAnsi="Times New Roman" w:eastAsia="宋体" w:cs="Times New Roman"/>
                <w:color w:val="auto"/>
                <w:sz w:val="24"/>
                <w:szCs w:val="24"/>
                <w:highlight w:val="none"/>
              </w:rPr>
              <w:t>为不达标区</w:t>
            </w:r>
            <w:r>
              <w:rPr>
                <w:rFonts w:hint="default" w:ascii="Times New Roman" w:hAnsi="Times New Roman" w:cs="Times New Roman"/>
                <w:color w:val="auto"/>
                <w:kern w:val="0"/>
                <w:sz w:val="24"/>
                <w:highlight w:val="none"/>
                <w:lang w:val="en-US" w:eastAsia="zh-CN"/>
              </w:rPr>
              <w:t>。</w:t>
            </w:r>
          </w:p>
          <w:p w14:paraId="43970DB7">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为改善环境空气质量，当地政府大力推进环保政策等工作的实施，本项目所在区域的空气质量会逐年好转。</w:t>
            </w:r>
          </w:p>
          <w:p w14:paraId="46A7E6E0">
            <w:pPr>
              <w:pStyle w:val="115"/>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（2）其他污染物环境质量现状数据</w:t>
            </w:r>
          </w:p>
          <w:p w14:paraId="61657E56">
            <w:pPr>
              <w:pStyle w:val="115"/>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Cs/>
                <w:color w:val="auto"/>
                <w:highlight w:val="none"/>
              </w:rPr>
              <w:t>根据《建设项目环境影响报告表编制技术指南（污染影响类）（试行）》中的规定：“排放国家、地方环境空气质量标准中有标准限值要求的特征污染物时，引用建设项目周边5千米范围仅近3年的现有监测数据”。</w:t>
            </w:r>
          </w:p>
          <w:p w14:paraId="754EDC23">
            <w:pPr>
              <w:pStyle w:val="115"/>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本项目排放国家、地方环境空气质量标准中有标准限值要求的特征污染物为TSP</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执行《环境空气质量标准》（GB3095-2012）及其修改单中二级标准。本项目特征污染物TSP现状检测数据</w:t>
            </w:r>
            <w:r>
              <w:rPr>
                <w:rFonts w:hint="default" w:ascii="Times New Roman" w:hAnsi="Times New Roman" w:eastAsia="宋体" w:cs="Times New Roman"/>
                <w:color w:val="auto"/>
                <w:highlight w:val="none"/>
                <w:lang w:val="en-US" w:eastAsia="zh-CN"/>
              </w:rPr>
              <w:t>引用</w:t>
            </w:r>
            <w:r>
              <w:rPr>
                <w:rFonts w:hint="default" w:ascii="Times New Roman" w:hAnsi="Times New Roman" w:eastAsia="宋体" w:cs="Times New Roman"/>
                <w:color w:val="auto"/>
                <w:highlight w:val="none"/>
              </w:rPr>
              <w:t>河北正润环境科技有限公司</w:t>
            </w:r>
            <w:r>
              <w:rPr>
                <w:rFonts w:hint="default" w:ascii="Times New Roman" w:hAnsi="Times New Roman" w:eastAsia="宋体" w:cs="Times New Roman"/>
                <w:color w:val="auto"/>
                <w:highlight w:val="none"/>
                <w:lang w:val="en-US" w:eastAsia="zh-CN"/>
              </w:rPr>
              <w:t>于2024年5月14日出具的《河北石家庄矿区工业园区总体发展规划环境影响评价环境质量现状监测》</w:t>
            </w:r>
            <w:r>
              <w:rPr>
                <w:rFonts w:hint="default" w:ascii="Times New Roman" w:hAnsi="Times New Roman" w:cs="Times New Roman"/>
                <w:color w:val="auto"/>
                <w:highlight w:val="none"/>
                <w:lang w:val="en-US" w:eastAsia="zh-CN"/>
              </w:rPr>
              <w:t>（云环检字[2023]第0932号）</w:t>
            </w:r>
            <w:r>
              <w:rPr>
                <w:rFonts w:hint="default" w:ascii="Times New Roman" w:hAnsi="Times New Roman" w:eastAsia="宋体" w:cs="Times New Roman"/>
                <w:color w:val="auto"/>
                <w:highlight w:val="none"/>
              </w:rPr>
              <w:t>，</w:t>
            </w:r>
            <w:r>
              <w:rPr>
                <w:rFonts w:hint="default" w:ascii="Times New Roman" w:hAnsi="Times New Roman" w:cs="Times New Roman"/>
                <w:color w:val="auto"/>
                <w:highlight w:val="none"/>
                <w:lang w:eastAsia="zh-CN"/>
              </w:rPr>
              <w:t>监测</w:t>
            </w:r>
            <w:r>
              <w:rPr>
                <w:rFonts w:hint="default" w:ascii="Times New Roman" w:hAnsi="Times New Roman" w:eastAsia="宋体" w:cs="Times New Roman"/>
                <w:color w:val="auto"/>
                <w:highlight w:val="none"/>
              </w:rPr>
              <w:t>时间为202</w:t>
            </w:r>
            <w:r>
              <w:rPr>
                <w:rFonts w:hint="default" w:ascii="Times New Roman" w:hAnsi="Times New Roman" w:cs="Times New Roman"/>
                <w:color w:val="auto"/>
                <w:highlight w:val="none"/>
                <w:lang w:val="en-US" w:eastAsia="zh-CN"/>
              </w:rPr>
              <w:t>3</w:t>
            </w:r>
            <w:r>
              <w:rPr>
                <w:rFonts w:hint="default" w:ascii="Times New Roman" w:hAnsi="Times New Roman" w:eastAsia="宋体" w:cs="Times New Roman"/>
                <w:color w:val="auto"/>
                <w:highlight w:val="none"/>
              </w:rPr>
              <w:t>年</w:t>
            </w:r>
            <w:r>
              <w:rPr>
                <w:rFonts w:hint="default" w:ascii="Times New Roman" w:hAnsi="Times New Roman" w:cs="Times New Roman"/>
                <w:color w:val="auto"/>
                <w:highlight w:val="none"/>
                <w:lang w:val="en-US" w:eastAsia="zh-CN"/>
              </w:rPr>
              <w:t>11</w:t>
            </w:r>
            <w:r>
              <w:rPr>
                <w:rFonts w:hint="default" w:ascii="Times New Roman" w:hAnsi="Times New Roman" w:eastAsia="宋体" w:cs="Times New Roman"/>
                <w:color w:val="auto"/>
                <w:highlight w:val="none"/>
              </w:rPr>
              <w:t>月</w:t>
            </w:r>
            <w:r>
              <w:rPr>
                <w:rFonts w:hint="default" w:ascii="Times New Roman" w:hAnsi="Times New Roman" w:cs="Times New Roman"/>
                <w:color w:val="auto"/>
                <w:highlight w:val="none"/>
                <w:lang w:val="en-US" w:eastAsia="zh-CN"/>
              </w:rPr>
              <w:t>15</w:t>
            </w:r>
            <w:r>
              <w:rPr>
                <w:rFonts w:hint="default" w:ascii="Times New Roman" w:hAnsi="Times New Roman" w:eastAsia="宋体" w:cs="Times New Roman"/>
                <w:color w:val="auto"/>
                <w:highlight w:val="none"/>
              </w:rPr>
              <w:t>日~</w:t>
            </w:r>
            <w:r>
              <w:rPr>
                <w:rFonts w:hint="default" w:ascii="Times New Roman" w:hAnsi="Times New Roman" w:cs="Times New Roman"/>
                <w:color w:val="auto"/>
                <w:highlight w:val="none"/>
                <w:lang w:val="en-US" w:eastAsia="zh-CN"/>
              </w:rPr>
              <w:t>11</w:t>
            </w:r>
            <w:r>
              <w:rPr>
                <w:rFonts w:hint="default" w:ascii="Times New Roman" w:hAnsi="Times New Roman" w:eastAsia="宋体" w:cs="Times New Roman"/>
                <w:color w:val="auto"/>
                <w:highlight w:val="none"/>
              </w:rPr>
              <w:t>月</w:t>
            </w:r>
            <w:r>
              <w:rPr>
                <w:rFonts w:hint="default" w:ascii="Times New Roman" w:hAnsi="Times New Roman" w:cs="Times New Roman"/>
                <w:color w:val="auto"/>
                <w:highlight w:val="none"/>
                <w:lang w:val="en-US" w:eastAsia="zh-CN"/>
              </w:rPr>
              <w:t>21</w:t>
            </w:r>
            <w:r>
              <w:rPr>
                <w:rFonts w:hint="default" w:ascii="Times New Roman" w:hAnsi="Times New Roman" w:eastAsia="宋体" w:cs="Times New Roman"/>
                <w:color w:val="auto"/>
                <w:highlight w:val="none"/>
              </w:rPr>
              <w:t>日，</w:t>
            </w:r>
            <w:r>
              <w:rPr>
                <w:rFonts w:hint="default" w:ascii="Times New Roman" w:hAnsi="Times New Roman" w:eastAsia="宋体" w:cs="Times New Roman"/>
                <w:color w:val="auto"/>
                <w:kern w:val="0"/>
                <w:highlight w:val="none"/>
              </w:rPr>
              <w:t>监测点位为</w:t>
            </w:r>
            <w:r>
              <w:rPr>
                <w:rFonts w:hint="default" w:ascii="Times New Roman" w:hAnsi="Times New Roman" w:cs="Times New Roman"/>
                <w:color w:val="auto"/>
                <w:kern w:val="0"/>
                <w:highlight w:val="none"/>
                <w:lang w:val="en-US" w:eastAsia="zh-CN"/>
              </w:rPr>
              <w:t>刘赵</w:t>
            </w:r>
            <w:r>
              <w:rPr>
                <w:rFonts w:hint="default" w:ascii="Times New Roman" w:hAnsi="Times New Roman" w:eastAsia="宋体" w:cs="Times New Roman"/>
                <w:color w:val="auto"/>
                <w:highlight w:val="none"/>
                <w:lang w:val="en-US" w:eastAsia="zh-CN"/>
              </w:rPr>
              <w:t>村</w:t>
            </w:r>
            <w:r>
              <w:rPr>
                <w:rFonts w:hint="default" w:ascii="Times New Roman" w:hAnsi="Times New Roman" w:eastAsia="宋体" w:cs="Times New Roman"/>
                <w:color w:val="auto"/>
                <w:kern w:val="0"/>
                <w:highlight w:val="none"/>
              </w:rPr>
              <w:t>，位于本项目</w:t>
            </w:r>
            <w:r>
              <w:rPr>
                <w:rFonts w:hint="default" w:ascii="Times New Roman" w:hAnsi="Times New Roman" w:cs="Times New Roman"/>
                <w:color w:val="auto"/>
                <w:kern w:val="0"/>
                <w:highlight w:val="none"/>
                <w:lang w:val="en-US" w:eastAsia="zh-CN"/>
              </w:rPr>
              <w:t>西</w:t>
            </w:r>
            <w:r>
              <w:rPr>
                <w:rFonts w:hint="default" w:ascii="Times New Roman" w:hAnsi="Times New Roman" w:eastAsia="宋体" w:cs="Times New Roman"/>
                <w:color w:val="auto"/>
                <w:highlight w:val="none"/>
                <w:lang w:val="en-US" w:eastAsia="zh-CN"/>
              </w:rPr>
              <w:t>侧</w:t>
            </w:r>
            <w:r>
              <w:rPr>
                <w:rFonts w:hint="default" w:ascii="Times New Roman" w:hAnsi="Times New Roman" w:eastAsia="宋体" w:cs="Times New Roman"/>
                <w:color w:val="auto"/>
                <w:highlight w:val="none"/>
              </w:rPr>
              <w:t>约</w:t>
            </w:r>
            <w:r>
              <w:rPr>
                <w:rFonts w:hint="default" w:ascii="Times New Roman" w:hAnsi="Times New Roman" w:cs="Times New Roman"/>
                <w:color w:val="auto"/>
                <w:highlight w:val="none"/>
                <w:lang w:val="en-US" w:eastAsia="zh-CN"/>
              </w:rPr>
              <w:t>1550</w:t>
            </w:r>
            <w:r>
              <w:rPr>
                <w:rFonts w:hint="default" w:ascii="Times New Roman" w:hAnsi="Times New Roman" w:eastAsia="宋体" w:cs="Times New Roman"/>
                <w:color w:val="auto"/>
                <w:highlight w:val="none"/>
              </w:rPr>
              <w:t>m。引用现有监测数据满足报告表编制技术指南要求。具体见表3-2。</w:t>
            </w:r>
          </w:p>
          <w:p w14:paraId="4548661A">
            <w:pPr>
              <w:spacing w:line="520" w:lineRule="exact"/>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表3-2  TSP监测数据一览表</w:t>
            </w:r>
          </w:p>
          <w:tbl>
            <w:tblPr>
              <w:tblStyle w:val="40"/>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1503"/>
              <w:gridCol w:w="1079"/>
              <w:gridCol w:w="920"/>
              <w:gridCol w:w="985"/>
              <w:gridCol w:w="1396"/>
              <w:gridCol w:w="1039"/>
              <w:gridCol w:w="689"/>
              <w:gridCol w:w="762"/>
            </w:tblGrid>
            <w:tr w14:paraId="5A5B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897" w:type="pct"/>
                  <w:noWrap w:val="0"/>
                  <w:vAlign w:val="center"/>
                </w:tcPr>
                <w:p w14:paraId="4CF205B4">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监测点名称</w:t>
                  </w:r>
                  <w:r>
                    <w:rPr>
                      <w:rFonts w:hint="default" w:ascii="Times New Roman" w:hAnsi="Times New Roman" w:cs="Times New Roman"/>
                      <w:b w:val="0"/>
                      <w:bCs w:val="0"/>
                      <w:color w:val="auto"/>
                      <w:sz w:val="21"/>
                      <w:szCs w:val="21"/>
                      <w:highlight w:val="none"/>
                      <w:lang w:val="en-US" w:eastAsia="zh-CN"/>
                    </w:rPr>
                    <w:t>及采样日期</w:t>
                  </w:r>
                </w:p>
              </w:tc>
              <w:tc>
                <w:tcPr>
                  <w:tcW w:w="644" w:type="pct"/>
                  <w:noWrap w:val="0"/>
                  <w:vAlign w:val="center"/>
                </w:tcPr>
                <w:p w14:paraId="60007FD2">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监测因子</w:t>
                  </w:r>
                </w:p>
              </w:tc>
              <w:tc>
                <w:tcPr>
                  <w:tcW w:w="549" w:type="pct"/>
                  <w:noWrap w:val="0"/>
                  <w:vAlign w:val="center"/>
                </w:tcPr>
                <w:p w14:paraId="133D96D7">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平均时间</w:t>
                  </w:r>
                </w:p>
              </w:tc>
              <w:tc>
                <w:tcPr>
                  <w:tcW w:w="588" w:type="pct"/>
                  <w:noWrap w:val="0"/>
                  <w:vAlign w:val="center"/>
                </w:tcPr>
                <w:p w14:paraId="0415B5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评价标准</w:t>
                  </w:r>
                  <w:r>
                    <w:rPr>
                      <w:rFonts w:hint="default" w:ascii="Times New Roman" w:hAnsi="Times New Roman" w:cs="Times New Roman"/>
                      <w:b w:val="0"/>
                      <w:bCs w:val="0"/>
                      <w:color w:val="auto"/>
                      <w:kern w:val="0"/>
                      <w:sz w:val="20"/>
                      <w:szCs w:val="20"/>
                      <w:highlight w:val="none"/>
                      <w:lang w:val="en-US" w:eastAsia="zh-CN" w:bidi="ar"/>
                    </w:rPr>
                    <w:t>m</w:t>
                  </w:r>
                  <w:r>
                    <w:rPr>
                      <w:rFonts w:hint="default" w:ascii="Times New Roman" w:hAnsi="Times New Roman" w:eastAsia="宋体" w:cs="Times New Roman"/>
                      <w:b w:val="0"/>
                      <w:bCs w:val="0"/>
                      <w:color w:val="auto"/>
                      <w:kern w:val="0"/>
                      <w:sz w:val="20"/>
                      <w:szCs w:val="20"/>
                      <w:highlight w:val="none"/>
                      <w:lang w:val="en-US" w:eastAsia="zh-CN" w:bidi="ar"/>
                    </w:rPr>
                    <w:t>g</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p>
              </w:tc>
              <w:tc>
                <w:tcPr>
                  <w:tcW w:w="833" w:type="pct"/>
                  <w:noWrap w:val="0"/>
                  <w:vAlign w:val="center"/>
                </w:tcPr>
                <w:p w14:paraId="638DFEB1">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监测浓度范围</w:t>
                  </w:r>
                  <w:r>
                    <w:rPr>
                      <w:rFonts w:hint="default" w:ascii="Times New Roman" w:hAnsi="Times New Roman" w:cs="Times New Roman"/>
                      <w:b w:val="0"/>
                      <w:bCs w:val="0"/>
                      <w:color w:val="auto"/>
                      <w:kern w:val="0"/>
                      <w:sz w:val="20"/>
                      <w:szCs w:val="20"/>
                      <w:highlight w:val="none"/>
                      <w:lang w:val="en-US" w:eastAsia="zh-CN" w:bidi="ar"/>
                    </w:rPr>
                    <w:t>m</w:t>
                  </w:r>
                  <w:r>
                    <w:rPr>
                      <w:rFonts w:hint="default" w:ascii="Times New Roman" w:hAnsi="Times New Roman" w:eastAsia="宋体" w:cs="Times New Roman"/>
                      <w:b w:val="0"/>
                      <w:bCs w:val="0"/>
                      <w:color w:val="auto"/>
                      <w:kern w:val="0"/>
                      <w:sz w:val="20"/>
                      <w:szCs w:val="20"/>
                      <w:highlight w:val="none"/>
                      <w:lang w:val="en-US" w:eastAsia="zh-CN" w:bidi="ar"/>
                    </w:rPr>
                    <w:t>g</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p>
              </w:tc>
              <w:tc>
                <w:tcPr>
                  <w:tcW w:w="620" w:type="pct"/>
                  <w:noWrap w:val="0"/>
                  <w:vAlign w:val="center"/>
                </w:tcPr>
                <w:p w14:paraId="12FB103A">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最大浓度占标率%</w:t>
                  </w:r>
                </w:p>
              </w:tc>
              <w:tc>
                <w:tcPr>
                  <w:tcW w:w="411" w:type="pct"/>
                  <w:noWrap w:val="0"/>
                  <w:vAlign w:val="center"/>
                </w:tcPr>
                <w:p w14:paraId="0A53D248">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超标率%</w:t>
                  </w:r>
                </w:p>
              </w:tc>
              <w:tc>
                <w:tcPr>
                  <w:tcW w:w="455" w:type="pct"/>
                  <w:noWrap w:val="0"/>
                  <w:vAlign w:val="center"/>
                </w:tcPr>
                <w:p w14:paraId="6D1FD6F3">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达标情况</w:t>
                  </w:r>
                </w:p>
              </w:tc>
            </w:tr>
            <w:tr w14:paraId="61D8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897" w:type="pct"/>
                  <w:noWrap w:val="0"/>
                  <w:vAlign w:val="center"/>
                </w:tcPr>
                <w:p w14:paraId="1BD1533A">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刘赵村</w:t>
                  </w:r>
                </w:p>
                <w:p w14:paraId="5D3A4CCF">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color w:val="auto"/>
                      <w:sz w:val="21"/>
                      <w:szCs w:val="21"/>
                      <w:highlight w:val="none"/>
                    </w:rPr>
                    <w:t>202</w:t>
                  </w:r>
                  <w:r>
                    <w:rPr>
                      <w:rFonts w:hint="default" w:ascii="Times New Roman" w:hAns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年</w:t>
                  </w:r>
                  <w:r>
                    <w:rPr>
                      <w:rFonts w:hint="default" w:ascii="Times New Roman" w:hAnsi="Times New Roman" w:cs="Times New Roman"/>
                      <w:color w:val="auto"/>
                      <w:sz w:val="21"/>
                      <w:szCs w:val="21"/>
                      <w:highlight w:val="none"/>
                      <w:lang w:val="en-US" w:eastAsia="zh-CN"/>
                    </w:rPr>
                    <w:t>11</w:t>
                  </w:r>
                  <w:r>
                    <w:rPr>
                      <w:rFonts w:hint="default" w:ascii="Times New Roman" w:hAnsi="Times New Roman" w:eastAsia="宋体" w:cs="Times New Roman"/>
                      <w:color w:val="auto"/>
                      <w:sz w:val="21"/>
                      <w:szCs w:val="21"/>
                      <w:highlight w:val="none"/>
                    </w:rPr>
                    <w:t>月</w:t>
                  </w:r>
                  <w:r>
                    <w:rPr>
                      <w:rFonts w:hint="default" w:ascii="Times New Roman" w:hAnsi="Times New Roman"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rPr>
                    <w:t>日~</w:t>
                  </w:r>
                  <w:r>
                    <w:rPr>
                      <w:rFonts w:hint="default" w:ascii="Times New Roman" w:hAnsi="Times New Roman" w:cs="Times New Roman"/>
                      <w:color w:val="auto"/>
                      <w:sz w:val="21"/>
                      <w:szCs w:val="21"/>
                      <w:highlight w:val="none"/>
                      <w:lang w:val="en-US" w:eastAsia="zh-CN"/>
                    </w:rPr>
                    <w:t>11</w:t>
                  </w:r>
                  <w:r>
                    <w:rPr>
                      <w:rFonts w:hint="default" w:ascii="Times New Roman" w:hAnsi="Times New Roman" w:eastAsia="宋体" w:cs="Times New Roman"/>
                      <w:color w:val="auto"/>
                      <w:sz w:val="21"/>
                      <w:szCs w:val="21"/>
                      <w:highlight w:val="none"/>
                    </w:rPr>
                    <w:t>月</w:t>
                  </w:r>
                  <w:r>
                    <w:rPr>
                      <w:rFonts w:hint="default" w:ascii="Times New Roman" w:hAnsi="Times New Roman" w:cs="Times New Roman"/>
                      <w:color w:val="auto"/>
                      <w:sz w:val="21"/>
                      <w:szCs w:val="21"/>
                      <w:highlight w:val="none"/>
                      <w:lang w:val="en-US" w:eastAsia="zh-CN"/>
                    </w:rPr>
                    <w:t>21</w:t>
                  </w:r>
                  <w:r>
                    <w:rPr>
                      <w:rFonts w:hint="default" w:ascii="Times New Roman" w:hAnsi="Times New Roman" w:eastAsia="宋体" w:cs="Times New Roman"/>
                      <w:color w:val="auto"/>
                      <w:sz w:val="21"/>
                      <w:szCs w:val="21"/>
                      <w:highlight w:val="none"/>
                    </w:rPr>
                    <w:t>日</w:t>
                  </w:r>
                </w:p>
              </w:tc>
              <w:tc>
                <w:tcPr>
                  <w:tcW w:w="644" w:type="pct"/>
                  <w:shd w:val="clear" w:color="auto" w:fill="auto"/>
                  <w:noWrap w:val="0"/>
                  <w:vAlign w:val="center"/>
                </w:tcPr>
                <w:p w14:paraId="6DD4E024">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lang w:val="en-US" w:eastAsia="zh-CN"/>
                    </w:rPr>
                    <w:t>TSP</w:t>
                  </w:r>
                </w:p>
              </w:tc>
              <w:tc>
                <w:tcPr>
                  <w:tcW w:w="549" w:type="pct"/>
                  <w:shd w:val="clear" w:color="auto" w:fill="auto"/>
                  <w:noWrap w:val="0"/>
                  <w:vAlign w:val="center"/>
                </w:tcPr>
                <w:p w14:paraId="0589A3DD">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lang w:val="en-US" w:eastAsia="zh-CN"/>
                    </w:rPr>
                    <w:t>24</w:t>
                  </w:r>
                  <w:r>
                    <w:rPr>
                      <w:rFonts w:hint="default" w:ascii="Times New Roman" w:hAnsi="Times New Roman" w:eastAsia="宋体" w:cs="Times New Roman"/>
                      <w:b w:val="0"/>
                      <w:bCs w:val="0"/>
                      <w:color w:val="auto"/>
                      <w:sz w:val="21"/>
                      <w:szCs w:val="21"/>
                      <w:highlight w:val="none"/>
                      <w:lang w:val="en-US" w:eastAsia="zh-CN"/>
                    </w:rPr>
                    <w:t>小时</w:t>
                  </w:r>
                </w:p>
              </w:tc>
              <w:tc>
                <w:tcPr>
                  <w:tcW w:w="588" w:type="pct"/>
                  <w:shd w:val="clear" w:color="auto" w:fill="auto"/>
                  <w:noWrap w:val="0"/>
                  <w:vAlign w:val="center"/>
                </w:tcPr>
                <w:p w14:paraId="32C8730A">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lang w:val="en-US" w:eastAsia="zh-CN"/>
                    </w:rPr>
                    <w:t>0.3</w:t>
                  </w:r>
                </w:p>
              </w:tc>
              <w:tc>
                <w:tcPr>
                  <w:tcW w:w="833" w:type="pct"/>
                  <w:noWrap w:val="0"/>
                  <w:vAlign w:val="center"/>
                </w:tcPr>
                <w:p w14:paraId="404C94F4">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color w:val="auto"/>
                      <w:sz w:val="21"/>
                      <w:szCs w:val="21"/>
                      <w:highlight w:val="none"/>
                    </w:rPr>
                    <w:t>0.</w:t>
                  </w:r>
                  <w:r>
                    <w:rPr>
                      <w:rFonts w:hint="default" w:ascii="Times New Roman" w:hAnsi="Times New Roman" w:cs="Times New Roman"/>
                      <w:color w:val="auto"/>
                      <w:sz w:val="21"/>
                      <w:szCs w:val="21"/>
                      <w:highlight w:val="none"/>
                      <w:lang w:val="en-US" w:eastAsia="zh-CN"/>
                    </w:rPr>
                    <w:t>105</w:t>
                  </w:r>
                  <w:r>
                    <w:rPr>
                      <w:rFonts w:hint="default" w:ascii="Times New Roman" w:hAnsi="Times New Roman" w:eastAsia="宋体" w:cs="Times New Roman"/>
                      <w:color w:val="auto"/>
                      <w:sz w:val="21"/>
                      <w:szCs w:val="21"/>
                      <w:highlight w:val="none"/>
                    </w:rPr>
                    <w:t>~0.</w:t>
                  </w:r>
                  <w:r>
                    <w:rPr>
                      <w:rFonts w:hint="default" w:ascii="Times New Roman" w:hAnsi="Times New Roman" w:cs="Times New Roman"/>
                      <w:color w:val="auto"/>
                      <w:sz w:val="21"/>
                      <w:szCs w:val="21"/>
                      <w:highlight w:val="none"/>
                      <w:lang w:val="en-US" w:eastAsia="zh-CN"/>
                    </w:rPr>
                    <w:t>297</w:t>
                  </w:r>
                </w:p>
              </w:tc>
              <w:tc>
                <w:tcPr>
                  <w:tcW w:w="620" w:type="pct"/>
                  <w:noWrap w:val="0"/>
                  <w:vAlign w:val="center"/>
                </w:tcPr>
                <w:p w14:paraId="49F7CF5C">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35~99</w:t>
                  </w:r>
                </w:p>
              </w:tc>
              <w:tc>
                <w:tcPr>
                  <w:tcW w:w="411" w:type="pct"/>
                  <w:shd w:val="clear" w:color="auto" w:fill="auto"/>
                  <w:noWrap w:val="0"/>
                  <w:vAlign w:val="center"/>
                </w:tcPr>
                <w:p w14:paraId="6E1D5F9A">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c>
                <w:tcPr>
                  <w:tcW w:w="455" w:type="pct"/>
                  <w:shd w:val="clear" w:color="auto" w:fill="auto"/>
                  <w:noWrap w:val="0"/>
                  <w:vAlign w:val="center"/>
                </w:tcPr>
                <w:p w14:paraId="382B3FC7">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达标</w:t>
                  </w:r>
                </w:p>
              </w:tc>
            </w:tr>
          </w:tbl>
          <w:p w14:paraId="183DD360">
            <w:pPr>
              <w:pStyle w:val="115"/>
              <w:keepNext w:val="0"/>
              <w:keepLines w:val="0"/>
              <w:pageBreakBefore w:val="0"/>
              <w:widowControl w:val="0"/>
              <w:kinsoku/>
              <w:wordWrap/>
              <w:overflowPunct/>
              <w:topLinePunct w:val="0"/>
              <w:autoSpaceDE/>
              <w:autoSpaceDN/>
              <w:bidi w:val="0"/>
              <w:adjustRightInd/>
              <w:snapToGrid/>
              <w:spacing w:before="157" w:beforeLines="50" w:line="360" w:lineRule="auto"/>
              <w:ind w:firstLine="48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由上表可知，</w:t>
            </w:r>
            <w:r>
              <w:rPr>
                <w:rFonts w:hint="default" w:ascii="Times New Roman" w:hAnsi="Times New Roman" w:cs="Times New Roman"/>
                <w:bCs/>
                <w:color w:val="auto"/>
                <w:w w:val="100"/>
                <w:kern w:val="2"/>
                <w:sz w:val="24"/>
                <w:szCs w:val="24"/>
                <w:highlight w:val="none"/>
                <w:lang w:val="en-US" w:eastAsia="zh-CN" w:bidi="ar-SA"/>
              </w:rPr>
              <w:t>项目所在区域</w:t>
            </w:r>
            <w:r>
              <w:rPr>
                <w:rFonts w:hint="default" w:ascii="Times New Roman" w:hAnsi="Times New Roman" w:eastAsia="宋体" w:cs="Times New Roman"/>
                <w:bCs/>
                <w:color w:val="auto"/>
                <w:kern w:val="2"/>
                <w:sz w:val="24"/>
                <w:szCs w:val="24"/>
                <w:highlight w:val="none"/>
                <w:lang w:val="en-US" w:eastAsia="zh-CN" w:bidi="ar-SA"/>
              </w:rPr>
              <w:t>评价区域大气中TSP日平均浓度满足《环境空气质量标准》 （GB3095-2012）中二级标准</w:t>
            </w:r>
            <w:r>
              <w:rPr>
                <w:rFonts w:hint="default" w:ascii="Times New Roman" w:hAnsi="Times New Roman" w:eastAsia="宋体" w:cs="Times New Roman"/>
                <w:color w:val="auto"/>
                <w:highlight w:val="none"/>
              </w:rPr>
              <w:t>及其修改单要求。</w:t>
            </w:r>
          </w:p>
          <w:p w14:paraId="395F7B06">
            <w:pPr>
              <w:pStyle w:val="115"/>
              <w:keepNext w:val="0"/>
              <w:keepLines w:val="0"/>
              <w:pageBreakBefore w:val="0"/>
              <w:kinsoku/>
              <w:wordWrap/>
              <w:overflowPunct/>
              <w:topLinePunct w:val="0"/>
              <w:autoSpaceDN/>
              <w:bidi w:val="0"/>
              <w:adjustRightInd/>
              <w:snapToGrid/>
              <w:spacing w:line="360" w:lineRule="auto"/>
              <w:ind w:firstLine="482"/>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rPr>
              <w:t>2、声环境质量现状</w:t>
            </w:r>
          </w:p>
          <w:p w14:paraId="07B5007E">
            <w:pPr>
              <w:pStyle w:val="115"/>
              <w:keepNext w:val="0"/>
              <w:keepLines w:val="0"/>
              <w:pageBreakBefore w:val="0"/>
              <w:kinsoku/>
              <w:wordWrap/>
              <w:overflowPunct/>
              <w:topLinePunct w:val="0"/>
              <w:autoSpaceDN/>
              <w:bidi w:val="0"/>
              <w:adjustRightInd/>
              <w:snapToGrid/>
              <w:spacing w:line="360" w:lineRule="auto"/>
              <w:ind w:firstLine="480"/>
              <w:textAlignment w:val="auto"/>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Cs/>
                <w:color w:val="auto"/>
                <w:sz w:val="24"/>
                <w:highlight w:val="none"/>
                <w:lang w:val="en-US" w:eastAsia="zh-CN"/>
              </w:rPr>
              <w:t>项目厂界外50m范围内不存在声环境保护目标，</w:t>
            </w:r>
            <w:r>
              <w:rPr>
                <w:rFonts w:hint="default" w:ascii="Times New Roman" w:hAnsi="Times New Roman" w:eastAsia="宋体" w:cs="Times New Roman"/>
                <w:color w:val="auto"/>
                <w:kern w:val="0"/>
                <w:position w:val="2"/>
                <w:highlight w:val="none"/>
              </w:rPr>
              <w:t>根据《建设项目环境影响报告表编制技术指南</w:t>
            </w:r>
            <w:r>
              <w:rPr>
                <w:rFonts w:hint="default" w:ascii="Times New Roman" w:hAnsi="Times New Roman" w:eastAsia="宋体" w:cs="Times New Roman"/>
                <w:color w:val="auto"/>
                <w:highlight w:val="none"/>
              </w:rPr>
              <w:t>（污染影响类）（试行）</w:t>
            </w:r>
            <w:r>
              <w:rPr>
                <w:rFonts w:hint="default" w:ascii="Times New Roman" w:hAnsi="Times New Roman" w:eastAsia="宋体" w:cs="Times New Roman"/>
                <w:color w:val="auto"/>
                <w:kern w:val="0"/>
                <w:position w:val="2"/>
                <w:highlight w:val="none"/>
              </w:rPr>
              <w:t>》要求，</w:t>
            </w:r>
            <w:r>
              <w:rPr>
                <w:rFonts w:hint="default" w:ascii="Times New Roman" w:hAnsi="Times New Roman" w:eastAsia="宋体" w:cs="Times New Roman"/>
                <w:color w:val="auto"/>
                <w:highlight w:val="none"/>
              </w:rPr>
              <w:t>不需进行声环境质量现状监测及评价。</w:t>
            </w:r>
            <w:r>
              <w:rPr>
                <w:rFonts w:hint="default" w:ascii="Times New Roman" w:hAnsi="Times New Roman" w:eastAsia="宋体" w:cs="Times New Roman"/>
                <w:bCs/>
                <w:color w:val="auto"/>
                <w:sz w:val="24"/>
                <w:highlight w:val="none"/>
                <w:lang w:val="en-US" w:eastAsia="zh-CN"/>
              </w:rPr>
              <w:t>区域声环境现状符合《声环境质量标准》（GB3096-2008）3类标准要求，声环境质量良好。</w:t>
            </w:r>
            <w:bookmarkStart w:id="3" w:name="_GoBack"/>
            <w:bookmarkEnd w:id="3"/>
          </w:p>
          <w:p w14:paraId="1E404C1B">
            <w:pPr>
              <w:pStyle w:val="115"/>
              <w:keepNext w:val="0"/>
              <w:keepLines w:val="0"/>
              <w:pageBreakBefore w:val="0"/>
              <w:kinsoku/>
              <w:wordWrap/>
              <w:overflowPunct/>
              <w:topLinePunct w:val="0"/>
              <w:autoSpaceDN/>
              <w:bidi w:val="0"/>
              <w:adjustRightInd/>
              <w:snapToGrid/>
              <w:spacing w:line="360" w:lineRule="auto"/>
              <w:ind w:firstLine="482"/>
              <w:textAlignment w:val="auto"/>
              <w:rPr>
                <w:rFonts w:hint="default" w:ascii="Times New Roman" w:hAnsi="Times New Roman" w:eastAsia="宋体" w:cs="Times New Roman"/>
                <w:b/>
                <w:bCs/>
                <w:color w:val="auto"/>
                <w:highlight w:val="none"/>
              </w:rPr>
            </w:pPr>
            <w:r>
              <w:rPr>
                <w:rFonts w:hint="default" w:ascii="Times New Roman" w:hAnsi="Times New Roman" w:cs="Times New Roman"/>
                <w:b/>
                <w:bCs/>
                <w:color w:val="auto"/>
                <w:highlight w:val="none"/>
                <w:lang w:val="en-US" w:eastAsia="zh-CN"/>
              </w:rPr>
              <w:t>3</w:t>
            </w:r>
            <w:r>
              <w:rPr>
                <w:rFonts w:hint="default" w:ascii="Times New Roman" w:hAnsi="Times New Roman" w:eastAsia="宋体" w:cs="Times New Roman"/>
                <w:b/>
                <w:bCs/>
                <w:color w:val="auto"/>
                <w:highlight w:val="none"/>
              </w:rPr>
              <w:t>、地表水环境质量现状</w:t>
            </w:r>
          </w:p>
          <w:p w14:paraId="1012EC12">
            <w:pPr>
              <w:numPr>
                <w:ilvl w:val="0"/>
                <w:numId w:val="0"/>
              </w:numPr>
              <w:autoSpaceDE w:val="0"/>
              <w:autoSpaceDN w:val="0"/>
              <w:adjustRightInd w:val="0"/>
              <w:spacing w:line="360" w:lineRule="auto"/>
              <w:ind w:leftChars="0"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cs="Times New Roman"/>
                <w:bCs/>
                <w:color w:val="auto"/>
                <w:sz w:val="24"/>
                <w:highlight w:val="none"/>
                <w:lang w:eastAsia="zh-CN"/>
              </w:rPr>
              <w:t>根据</w:t>
            </w:r>
            <w:r>
              <w:rPr>
                <w:rFonts w:hint="default" w:ascii="Times New Roman" w:hAnsi="Times New Roman" w:cs="Times New Roman"/>
                <w:bCs/>
                <w:color w:val="auto"/>
                <w:sz w:val="24"/>
                <w:highlight w:val="none"/>
              </w:rPr>
              <w:t>《</w:t>
            </w:r>
            <w:r>
              <w:rPr>
                <w:rFonts w:hint="default" w:ascii="Times New Roman" w:hAnsi="Times New Roman" w:cs="Times New Roman"/>
                <w:bCs/>
                <w:color w:val="auto"/>
                <w:sz w:val="24"/>
                <w:highlight w:val="none"/>
                <w:lang w:eastAsia="zh-CN"/>
              </w:rPr>
              <w:t>2024年石家庄市生态环境状况公报》，</w:t>
            </w:r>
            <w:r>
              <w:rPr>
                <w:rFonts w:hint="default" w:ascii="Times New Roman" w:hAnsi="Times New Roman" w:eastAsia="宋体" w:cs="Times New Roman"/>
                <w:bCs/>
                <w:color w:val="auto"/>
                <w:sz w:val="24"/>
                <w:highlight w:val="none"/>
                <w:lang w:val="en-US" w:eastAsia="zh-CN"/>
              </w:rPr>
              <w:t>2024年，石家庄市地表水环境质量总体保持稳定，水质状况为轻度污染，其中水库水质状况为优，河流(渠)水质状况为轻度污染。全市12个地表水国省考断面中(2个监测断面长期断流无数据)，Ⅰ~Ш类水质断面共计8个，占比80%，IV类水质断面共计2个，占比20%，无V类、劣V类水。</w:t>
            </w:r>
          </w:p>
          <w:p w14:paraId="48EDA019">
            <w:pPr>
              <w:numPr>
                <w:ilvl w:val="0"/>
                <w:numId w:val="0"/>
              </w:numPr>
              <w:autoSpaceDE w:val="0"/>
              <w:autoSpaceDN w:val="0"/>
              <w:adjustRightInd w:val="0"/>
              <w:spacing w:line="360" w:lineRule="auto"/>
              <w:ind w:leftChars="0"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河流(渠)水质状况</w:t>
            </w:r>
            <w:r>
              <w:rPr>
                <w:rFonts w:hint="default" w:ascii="Times New Roman" w:hAnsi="Times New Roman"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绵河-冶河、石津总干渠水质状况为优，槐河和滹沱河水质状况为良好，洨河和汪洋沟水质状况为轻度污染，磁河、午河长期断流无数据。</w:t>
            </w:r>
          </w:p>
          <w:p w14:paraId="70C1012D">
            <w:pPr>
              <w:numPr>
                <w:ilvl w:val="0"/>
                <w:numId w:val="0"/>
              </w:numPr>
              <w:autoSpaceDE w:val="0"/>
              <w:autoSpaceDN w:val="0"/>
              <w:adjustRightInd w:val="0"/>
              <w:spacing w:line="360" w:lineRule="auto"/>
              <w:ind w:leftChars="0" w:firstLine="480" w:firstLineChars="200"/>
              <w:jc w:val="left"/>
              <w:rPr>
                <w:rFonts w:hint="eastAsia"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距</w:t>
            </w:r>
            <w:r>
              <w:rPr>
                <w:rFonts w:hint="eastAsia" w:ascii="Times New Roman" w:hAnsi="Times New Roman" w:eastAsia="宋体" w:cs="Times New Roman"/>
                <w:bCs/>
                <w:color w:val="auto"/>
                <w:sz w:val="24"/>
                <w:highlight w:val="none"/>
                <w:lang w:val="en-US" w:eastAsia="zh-CN"/>
              </w:rPr>
              <w:t>项目</w:t>
            </w:r>
            <w:r>
              <w:rPr>
                <w:rFonts w:hint="default" w:ascii="Times New Roman" w:hAnsi="Times New Roman" w:eastAsia="宋体" w:cs="Times New Roman"/>
                <w:bCs/>
                <w:color w:val="auto"/>
                <w:sz w:val="24"/>
                <w:highlight w:val="none"/>
                <w:lang w:val="en-US" w:eastAsia="zh-CN"/>
              </w:rPr>
              <w:t>最近的河流</w:t>
            </w:r>
            <w:r>
              <w:rPr>
                <w:rFonts w:hint="eastAsia" w:ascii="Times New Roman" w:hAnsi="Times New Roman" w:eastAsia="宋体" w:cs="Times New Roman"/>
                <w:bCs/>
                <w:color w:val="auto"/>
                <w:sz w:val="24"/>
                <w:highlight w:val="none"/>
                <w:lang w:val="en-US" w:eastAsia="zh-CN"/>
              </w:rPr>
              <w:t>为项目东侧3.7km处的冶河，</w:t>
            </w:r>
            <w:r>
              <w:rPr>
                <w:rFonts w:hint="default" w:ascii="Times New Roman" w:hAnsi="Times New Roman" w:eastAsia="宋体" w:cs="Times New Roman"/>
                <w:bCs/>
                <w:color w:val="auto"/>
                <w:sz w:val="24"/>
                <w:highlight w:val="none"/>
                <w:lang w:val="en-US" w:eastAsia="zh-CN"/>
              </w:rPr>
              <w:t>根据《2024年石家庄市生态环境状况公报》</w:t>
            </w:r>
            <w:r>
              <w:rPr>
                <w:rFonts w:hint="eastAsia" w:ascii="Times New Roman" w:hAnsi="Times New Roman" w:eastAsia="宋体"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冶河水质状况为优，达到地表Ⅲ类水以上标准要求</w:t>
            </w:r>
            <w:r>
              <w:rPr>
                <w:rFonts w:hint="eastAsia" w:ascii="Times New Roman" w:hAnsi="Times New Roman" w:eastAsia="宋体" w:cs="Times New Roman"/>
                <w:bCs/>
                <w:color w:val="auto"/>
                <w:sz w:val="24"/>
                <w:highlight w:val="none"/>
                <w:lang w:val="en-US" w:eastAsia="zh-CN"/>
              </w:rPr>
              <w:t>。</w:t>
            </w:r>
          </w:p>
          <w:p w14:paraId="3B2730F1">
            <w:pPr>
              <w:pStyle w:val="115"/>
              <w:keepNext w:val="0"/>
              <w:keepLines w:val="0"/>
              <w:pageBreakBefore w:val="0"/>
              <w:kinsoku/>
              <w:wordWrap/>
              <w:overflowPunct/>
              <w:topLinePunct w:val="0"/>
              <w:autoSpaceDN/>
              <w:bidi w:val="0"/>
              <w:adjustRightInd/>
              <w:snapToGrid/>
              <w:spacing w:line="360" w:lineRule="auto"/>
              <w:ind w:firstLine="482"/>
              <w:textAlignment w:val="auto"/>
              <w:rPr>
                <w:rFonts w:hint="default" w:ascii="Times New Roman" w:hAnsi="Times New Roman" w:eastAsia="宋体" w:cs="Times New Roman"/>
                <w:color w:val="auto"/>
                <w:highlight w:val="none"/>
              </w:rPr>
            </w:pPr>
            <w:r>
              <w:rPr>
                <w:rFonts w:hint="default" w:ascii="Times New Roman" w:hAnsi="Times New Roman" w:cs="Times New Roman"/>
                <w:b/>
                <w:bCs/>
                <w:color w:val="auto"/>
                <w:highlight w:val="none"/>
                <w:lang w:val="en-US" w:eastAsia="zh-CN"/>
              </w:rPr>
              <w:t>4</w:t>
            </w:r>
            <w:r>
              <w:rPr>
                <w:rFonts w:hint="default" w:ascii="Times New Roman" w:hAnsi="Times New Roman" w:eastAsia="宋体" w:cs="Times New Roman"/>
                <w:b/>
                <w:bCs/>
                <w:color w:val="auto"/>
                <w:highlight w:val="none"/>
              </w:rPr>
              <w:t>、地下水</w:t>
            </w:r>
            <w:r>
              <w:rPr>
                <w:rFonts w:hint="default" w:ascii="Times New Roman" w:hAnsi="Times New Roman" w:eastAsia="宋体" w:cs="Times New Roman"/>
                <w:b/>
                <w:bCs/>
                <w:color w:val="auto"/>
                <w:highlight w:val="none"/>
                <w:lang w:eastAsia="zh-CN"/>
              </w:rPr>
              <w:t>、</w:t>
            </w:r>
            <w:r>
              <w:rPr>
                <w:rFonts w:hint="default" w:ascii="Times New Roman" w:hAnsi="Times New Roman" w:eastAsia="宋体" w:cs="Times New Roman"/>
                <w:b/>
                <w:bCs/>
                <w:color w:val="auto"/>
                <w:highlight w:val="none"/>
                <w:lang w:val="en-US" w:eastAsia="zh-CN"/>
              </w:rPr>
              <w:t>土壤</w:t>
            </w:r>
            <w:r>
              <w:rPr>
                <w:rFonts w:hint="default" w:ascii="Times New Roman" w:hAnsi="Times New Roman" w:eastAsia="宋体" w:cs="Times New Roman"/>
                <w:b/>
                <w:bCs/>
                <w:color w:val="auto"/>
                <w:highlight w:val="none"/>
              </w:rPr>
              <w:t>环境质量现状</w:t>
            </w:r>
          </w:p>
          <w:p w14:paraId="0AEE11C5">
            <w:pPr>
              <w:pStyle w:val="115"/>
              <w:keepNext w:val="0"/>
              <w:keepLines w:val="0"/>
              <w:pageBreakBefore w:val="0"/>
              <w:kinsoku/>
              <w:wordWrap/>
              <w:overflowPunct/>
              <w:topLinePunct w:val="0"/>
              <w:autoSpaceDN/>
              <w:bidi w:val="0"/>
              <w:adjustRightInd/>
              <w:snapToGrid/>
              <w:spacing w:line="360" w:lineRule="auto"/>
              <w:ind w:firstLine="48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根据《建设项目环境影响报告表编制技术指南（污染影响类）（试行）》中要求，地下水环境原则上不开展环境质量现状调查。</w:t>
            </w:r>
            <w:r>
              <w:rPr>
                <w:rFonts w:hint="default" w:ascii="Times New Roman" w:hAnsi="Times New Roman" w:eastAsia="宋体" w:cs="Times New Roman"/>
                <w:color w:val="auto"/>
                <w:sz w:val="24"/>
                <w:highlight w:val="none"/>
              </w:rPr>
              <w:t>本项目</w:t>
            </w:r>
            <w:r>
              <w:rPr>
                <w:rFonts w:hint="default" w:ascii="Times New Roman" w:hAnsi="Times New Roman" w:eastAsia="宋体" w:cs="Times New Roman"/>
                <w:color w:val="auto"/>
                <w:sz w:val="24"/>
                <w:highlight w:val="none"/>
                <w:lang w:val="en-US" w:eastAsia="zh-CN"/>
              </w:rPr>
              <w:t>在工业园区内</w:t>
            </w:r>
            <w:r>
              <w:rPr>
                <w:rFonts w:hint="default" w:ascii="Times New Roman" w:hAnsi="Times New Roman" w:cs="Times New Roman"/>
                <w:color w:val="auto"/>
                <w:sz w:val="24"/>
                <w:highlight w:val="none"/>
                <w:lang w:val="en-US" w:eastAsia="zh-CN"/>
              </w:rPr>
              <w:t>建设</w:t>
            </w:r>
            <w:r>
              <w:rPr>
                <w:rFonts w:hint="default" w:ascii="Times New Roman" w:hAnsi="Times New Roman" w:eastAsia="宋体" w:cs="Times New Roman"/>
                <w:color w:val="auto"/>
                <w:sz w:val="24"/>
                <w:highlight w:val="none"/>
              </w:rPr>
              <w:t>，而且</w:t>
            </w:r>
            <w:r>
              <w:rPr>
                <w:rFonts w:hint="default" w:ascii="Times New Roman" w:hAnsi="Times New Roman" w:eastAsia="宋体" w:cs="Times New Roman"/>
                <w:color w:val="auto"/>
                <w:sz w:val="24"/>
                <w:highlight w:val="none"/>
                <w:lang w:val="en-US" w:eastAsia="zh-CN"/>
              </w:rPr>
              <w:t>项目车间</w:t>
            </w:r>
            <w:r>
              <w:rPr>
                <w:rFonts w:hint="default" w:ascii="Times New Roman" w:hAnsi="Times New Roman" w:eastAsia="宋体" w:cs="Times New Roman"/>
                <w:color w:val="auto"/>
                <w:sz w:val="24"/>
                <w:highlight w:val="none"/>
              </w:rPr>
              <w:t>地面均进行水泥浇筑硬化处理。本项目在严格落实本环评所提环保措施及“三同时”制度前提下，不存在地下水及土壤环境污染途径，因此不再对地下水、土壤环境质量现状进行调查。</w:t>
            </w:r>
          </w:p>
          <w:p w14:paraId="747AB29E">
            <w:pPr>
              <w:keepNext w:val="0"/>
              <w:keepLines w:val="0"/>
              <w:pageBreakBefore w:val="0"/>
              <w:kinsoku/>
              <w:wordWrap/>
              <w:overflowPunct/>
              <w:topLinePunct w:val="0"/>
              <w:autoSpaceDN/>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color w:val="auto"/>
                <w:kern w:val="0"/>
                <w:sz w:val="24"/>
                <w:highlight w:val="none"/>
                <w:lang w:val="en-US" w:eastAsia="zh-CN"/>
              </w:rPr>
              <w:t>5</w:t>
            </w:r>
            <w:r>
              <w:rPr>
                <w:rFonts w:hint="default" w:ascii="Times New Roman" w:hAnsi="Times New Roman" w:eastAsia="宋体" w:cs="Times New Roman"/>
                <w:b/>
                <w:color w:val="auto"/>
                <w:kern w:val="0"/>
                <w:sz w:val="24"/>
                <w:highlight w:val="none"/>
              </w:rPr>
              <w:t>、生态环境质量现状</w:t>
            </w:r>
          </w:p>
          <w:p w14:paraId="2C90B08D">
            <w:pPr>
              <w:keepNext w:val="0"/>
              <w:keepLines w:val="0"/>
              <w:pageBreakBefore w:val="0"/>
              <w:kinsoku/>
              <w:wordWrap/>
              <w:overflowPunct/>
              <w:topLinePunct w:val="0"/>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本项目位于河北省石家庄市</w:t>
            </w:r>
            <w:r>
              <w:rPr>
                <w:rFonts w:hint="default" w:ascii="Times New Roman" w:hAnsi="Times New Roman" w:cs="Times New Roman"/>
                <w:color w:val="auto"/>
                <w:sz w:val="24"/>
                <w:highlight w:val="none"/>
                <w:lang w:val="en-US" w:eastAsia="zh-CN"/>
              </w:rPr>
              <w:t>井陉矿区丰达产业园东区7号</w:t>
            </w:r>
            <w:r>
              <w:rPr>
                <w:rFonts w:hint="default" w:ascii="Times New Roman" w:hAnsi="Times New Roman" w:eastAsia="宋体" w:cs="Times New Roman"/>
                <w:color w:val="auto"/>
                <w:sz w:val="24"/>
                <w:highlight w:val="none"/>
              </w:rPr>
              <w:t>，项目位于产业园区内，无需进行生态现状调查。</w:t>
            </w:r>
          </w:p>
          <w:p w14:paraId="10DE2BB2">
            <w:pPr>
              <w:keepNext w:val="0"/>
              <w:keepLines w:val="0"/>
              <w:pageBreakBefore w:val="0"/>
              <w:widowControl/>
              <w:kinsoku/>
              <w:wordWrap/>
              <w:overflowPunct/>
              <w:topLinePunct w:val="0"/>
              <w:autoSpaceDN/>
              <w:bidi w:val="0"/>
              <w:adjustRightInd/>
              <w:snapToGrid/>
              <w:spacing w:line="360" w:lineRule="auto"/>
              <w:ind w:firstLine="482" w:firstLineChars="200"/>
              <w:jc w:val="left"/>
              <w:textAlignment w:val="auto"/>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lang w:val="en-US" w:eastAsia="zh-CN"/>
              </w:rPr>
              <w:t>6</w:t>
            </w:r>
            <w:r>
              <w:rPr>
                <w:rFonts w:hint="default" w:ascii="Times New Roman" w:hAnsi="Times New Roman" w:eastAsia="宋体" w:cs="Times New Roman"/>
                <w:b/>
                <w:color w:val="auto"/>
                <w:kern w:val="0"/>
                <w:sz w:val="24"/>
                <w:highlight w:val="none"/>
              </w:rPr>
              <w:t>、电磁辐射</w:t>
            </w:r>
          </w:p>
          <w:p w14:paraId="64FE55D9">
            <w:pPr>
              <w:pStyle w:val="36"/>
              <w:keepNext w:val="0"/>
              <w:keepLines w:val="0"/>
              <w:pageBreakBefore w:val="0"/>
              <w:widowControl w:val="0"/>
              <w:kinsoku/>
              <w:wordWrap/>
              <w:overflowPunct/>
              <w:topLinePunct w:val="0"/>
              <w:autoSpaceDE w:val="0"/>
              <w:autoSpaceDN/>
              <w:bidi w:val="0"/>
              <w:adjustRightInd/>
              <w:snapToGrid/>
              <w:spacing w:before="0" w:beforeAutospacing="0" w:after="0" w:afterAutospacing="0" w:line="360" w:lineRule="auto"/>
              <w:ind w:firstLine="480" w:firstLineChars="200"/>
              <w:jc w:val="both"/>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4"/>
                <w:highlight w:val="none"/>
              </w:rPr>
              <w:t>本项目不属于电磁辐射类项目，不涉及电磁辐射</w:t>
            </w:r>
            <w:r>
              <w:rPr>
                <w:rFonts w:hint="default" w:ascii="Times New Roman" w:hAnsi="Times New Roman" w:eastAsia="宋体" w:cs="Times New Roman"/>
                <w:color w:val="auto"/>
                <w:szCs w:val="21"/>
                <w:highlight w:val="none"/>
              </w:rPr>
              <w:t>。</w:t>
            </w:r>
          </w:p>
        </w:tc>
      </w:tr>
      <w:tr w14:paraId="43758C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17" w:hRule="atLeast"/>
          <w:jc w:val="center"/>
        </w:trPr>
        <w:tc>
          <w:tcPr>
            <w:tcW w:w="800" w:type="dxa"/>
            <w:tcBorders>
              <w:tl2br w:val="nil"/>
              <w:tr2bl w:val="nil"/>
            </w:tcBorders>
            <w:vAlign w:val="center"/>
          </w:tcPr>
          <w:p w14:paraId="1251955D">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环</w:t>
            </w:r>
          </w:p>
          <w:p w14:paraId="3FC6DA15">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境</w:t>
            </w:r>
          </w:p>
          <w:p w14:paraId="56FC5122">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保</w:t>
            </w:r>
          </w:p>
          <w:p w14:paraId="6DC7ED5E">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护</w:t>
            </w:r>
          </w:p>
          <w:p w14:paraId="01BD5391">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目</w:t>
            </w:r>
          </w:p>
          <w:p w14:paraId="575C3BC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标</w:t>
            </w:r>
          </w:p>
        </w:tc>
        <w:tc>
          <w:tcPr>
            <w:tcW w:w="8200" w:type="dxa"/>
            <w:tcBorders>
              <w:tl2br w:val="nil"/>
              <w:tr2bl w:val="nil"/>
            </w:tcBorders>
            <w:vAlign w:val="center"/>
          </w:tcPr>
          <w:p w14:paraId="357A4B79">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bCs w:val="0"/>
                <w:color w:val="auto"/>
                <w:sz w:val="24"/>
                <w:highlight w:val="none"/>
              </w:rPr>
            </w:pPr>
            <w:r>
              <w:rPr>
                <w:rFonts w:hint="default" w:ascii="Times New Roman" w:hAnsi="Times New Roman" w:eastAsia="宋体" w:cs="Times New Roman"/>
                <w:b/>
                <w:bCs w:val="0"/>
                <w:color w:val="auto"/>
                <w:sz w:val="24"/>
                <w:highlight w:val="none"/>
              </w:rPr>
              <w:t>1、大气环境</w:t>
            </w:r>
          </w:p>
          <w:p w14:paraId="06E2E85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项目厂界外500m范围内无风景名胜区、自然保护区、文化区和农村地区等保护目标。</w:t>
            </w:r>
          </w:p>
          <w:p w14:paraId="34706BC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val="0"/>
                <w:color w:val="auto"/>
                <w:sz w:val="24"/>
                <w:highlight w:val="none"/>
              </w:rPr>
            </w:pPr>
            <w:r>
              <w:rPr>
                <w:rFonts w:hint="default" w:ascii="Times New Roman" w:hAnsi="Times New Roman" w:eastAsia="宋体" w:cs="Times New Roman"/>
                <w:b/>
                <w:bCs w:val="0"/>
                <w:color w:val="auto"/>
                <w:sz w:val="24"/>
                <w:highlight w:val="none"/>
              </w:rPr>
              <w:t>2、声环境</w:t>
            </w:r>
          </w:p>
          <w:p w14:paraId="2CB984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项目厂界外50米范围内不存在声环境保护目标。</w:t>
            </w:r>
          </w:p>
          <w:p w14:paraId="1740DD4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val="0"/>
                <w:color w:val="auto"/>
                <w:sz w:val="24"/>
                <w:highlight w:val="none"/>
              </w:rPr>
            </w:pPr>
            <w:r>
              <w:rPr>
                <w:rFonts w:hint="default" w:ascii="Times New Roman" w:hAnsi="Times New Roman" w:eastAsia="宋体" w:cs="Times New Roman"/>
                <w:b/>
                <w:bCs w:val="0"/>
                <w:color w:val="auto"/>
                <w:sz w:val="24"/>
                <w:highlight w:val="none"/>
              </w:rPr>
              <w:t>3、地下水环境</w:t>
            </w:r>
          </w:p>
          <w:p w14:paraId="3812BB6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本项目厂界外500米范围内不存在地下水集中式饮用水水源和热水、矿泉水、温泉等特殊地下水资源。</w:t>
            </w:r>
          </w:p>
          <w:p w14:paraId="54F6BC1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snapToGrid w:val="0"/>
                <w:color w:val="auto"/>
                <w:sz w:val="24"/>
                <w:szCs w:val="24"/>
                <w:highlight w:val="none"/>
                <w:lang w:eastAsia="zh-CN"/>
              </w:rPr>
            </w:pPr>
            <w:r>
              <w:rPr>
                <w:rFonts w:hint="default" w:ascii="Times New Roman" w:hAnsi="Times New Roman" w:eastAsia="宋体" w:cs="Times New Roman"/>
                <w:b/>
                <w:snapToGrid w:val="0"/>
                <w:color w:val="auto"/>
                <w:sz w:val="24"/>
                <w:szCs w:val="24"/>
                <w:highlight w:val="none"/>
                <w:lang w:eastAsia="zh-CN"/>
              </w:rPr>
              <w:t>4、生态环境</w:t>
            </w:r>
          </w:p>
          <w:p w14:paraId="7F9B269F">
            <w:pPr>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eastAsia="宋体" w:cs="Times New Roman"/>
                <w:bCs/>
                <w:color w:val="auto"/>
                <w:sz w:val="24"/>
                <w:highlight w:val="none"/>
              </w:rPr>
              <w:t>项目用地范围内无生态环境保护目标</w:t>
            </w:r>
            <w:r>
              <w:rPr>
                <w:rFonts w:hint="default" w:ascii="Times New Roman" w:hAnsi="Times New Roman" w:eastAsia="宋体" w:cs="Times New Roman"/>
                <w:bCs/>
                <w:color w:val="auto"/>
                <w:sz w:val="24"/>
                <w:szCs w:val="21"/>
                <w:highlight w:val="none"/>
              </w:rPr>
              <w:t>。</w:t>
            </w:r>
          </w:p>
          <w:p w14:paraId="34A829A2">
            <w:pPr>
              <w:pStyle w:val="51"/>
              <w:ind w:firstLine="0" w:firstLineChars="0"/>
              <w:rPr>
                <w:rFonts w:hint="default" w:ascii="Times New Roman" w:hAnsi="Times New Roman" w:cs="Times New Roman"/>
                <w:color w:val="auto"/>
                <w:highlight w:val="none"/>
              </w:rPr>
            </w:pPr>
          </w:p>
        </w:tc>
      </w:tr>
      <w:tr w14:paraId="2A31D4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tcBorders>
              <w:tl2br w:val="nil"/>
              <w:tr2bl w:val="nil"/>
            </w:tcBorders>
            <w:tcMar>
              <w:left w:w="28" w:type="dxa"/>
              <w:right w:w="28" w:type="dxa"/>
            </w:tcMar>
            <w:vAlign w:val="center"/>
          </w:tcPr>
          <w:p w14:paraId="7EDACC66">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污染</w:t>
            </w:r>
          </w:p>
          <w:p w14:paraId="250B581A">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物排</w:t>
            </w:r>
          </w:p>
          <w:p w14:paraId="2B7175A1">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放控</w:t>
            </w:r>
          </w:p>
          <w:p w14:paraId="375A13E9">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制标</w:t>
            </w:r>
          </w:p>
          <w:p w14:paraId="2C881BC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准</w:t>
            </w:r>
          </w:p>
        </w:tc>
        <w:tc>
          <w:tcPr>
            <w:tcW w:w="8200" w:type="dxa"/>
            <w:tcBorders>
              <w:tl2br w:val="nil"/>
              <w:tr2bl w:val="nil"/>
            </w:tcBorders>
            <w:vAlign w:val="center"/>
          </w:tcPr>
          <w:p w14:paraId="2CB2DD2D">
            <w:pPr>
              <w:pStyle w:val="60"/>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施工期：</w:t>
            </w:r>
          </w:p>
          <w:p w14:paraId="0686BF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1、废气</w:t>
            </w:r>
          </w:p>
          <w:p w14:paraId="574646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w:t>
            </w:r>
            <w:r>
              <w:rPr>
                <w:rFonts w:hint="default" w:ascii="Times New Roman" w:hAnsi="Times New Roman" w:cs="Times New Roman"/>
                <w:color w:val="auto"/>
                <w:sz w:val="24"/>
                <w:highlight w:val="none"/>
                <w:lang w:eastAsia="zh-CN"/>
              </w:rPr>
              <w:t>期</w:t>
            </w:r>
            <w:r>
              <w:rPr>
                <w:rFonts w:hint="default" w:ascii="Times New Roman" w:hAnsi="Times New Roman" w:cs="Times New Roman"/>
                <w:color w:val="auto"/>
                <w:sz w:val="24"/>
                <w:highlight w:val="none"/>
              </w:rPr>
              <w:t>扬尘排放执行《施工场地扬尘排放标准》(DB13/2934-2019)表1扬尘排放浓度限值。</w:t>
            </w:r>
          </w:p>
          <w:p w14:paraId="2A0633B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center"/>
              <w:textAlignment w:val="auto"/>
              <w:rPr>
                <w:rFonts w:hint="default" w:ascii="Times New Roman" w:hAnsi="Times New Roman" w:cs="Times New Roman"/>
                <w:b/>
                <w:bCs/>
                <w:color w:val="auto"/>
                <w:sz w:val="24"/>
                <w:highlight w:val="none"/>
              </w:rPr>
            </w:pPr>
          </w:p>
          <w:p w14:paraId="2A630A6D">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center"/>
              <w:textAlignment w:val="auto"/>
              <w:rPr>
                <w:rFonts w:hint="default" w:ascii="Times New Roman" w:hAnsi="Times New Roman" w:cs="Times New Roman"/>
                <w:b/>
                <w:bCs/>
                <w:color w:val="auto"/>
                <w:sz w:val="24"/>
                <w:highlight w:val="none"/>
              </w:rPr>
            </w:pPr>
          </w:p>
          <w:p w14:paraId="5DF9F3B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center"/>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表3-</w:t>
            </w:r>
            <w:r>
              <w:rPr>
                <w:rFonts w:hint="default" w:ascii="Times New Roman" w:hAnsi="Times New Roman" w:cs="Times New Roman"/>
                <w:b/>
                <w:bCs/>
                <w:color w:val="auto"/>
                <w:sz w:val="24"/>
                <w:highlight w:val="none"/>
                <w:lang w:val="en-US" w:eastAsia="zh-CN"/>
              </w:rPr>
              <w:t>3</w:t>
            </w:r>
            <w:r>
              <w:rPr>
                <w:rFonts w:hint="default" w:ascii="Times New Roman" w:hAnsi="Times New Roman" w:cs="Times New Roman"/>
                <w:b/>
                <w:bCs/>
                <w:color w:val="auto"/>
                <w:sz w:val="24"/>
                <w:highlight w:val="none"/>
              </w:rPr>
              <w:t xml:space="preserve">   扬尘排放标准值</w:t>
            </w:r>
          </w:p>
          <w:tbl>
            <w:tblPr>
              <w:tblStyle w:val="40"/>
              <w:tblW w:w="4998"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1076"/>
              <w:gridCol w:w="1654"/>
              <w:gridCol w:w="1583"/>
              <w:gridCol w:w="4055"/>
            </w:tblGrid>
            <w:tr w14:paraId="6D4D498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40" w:hRule="atLeast"/>
                <w:jc w:val="center"/>
              </w:trPr>
              <w:tc>
                <w:tcPr>
                  <w:tcW w:w="643" w:type="pct"/>
                  <w:tcBorders>
                    <w:tl2br w:val="nil"/>
                    <w:tr2bl w:val="nil"/>
                  </w:tcBorders>
                  <w:vAlign w:val="center"/>
                </w:tcPr>
                <w:p w14:paraId="4869A6F3">
                  <w:pPr>
                    <w:pStyle w:val="61"/>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控制项目</w:t>
                  </w:r>
                </w:p>
              </w:tc>
              <w:tc>
                <w:tcPr>
                  <w:tcW w:w="988" w:type="pct"/>
                  <w:tcBorders>
                    <w:tl2br w:val="nil"/>
                    <w:tr2bl w:val="nil"/>
                  </w:tcBorders>
                  <w:vAlign w:val="center"/>
                </w:tcPr>
                <w:p w14:paraId="12A1D9D9">
                  <w:pPr>
                    <w:pStyle w:val="61"/>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监控点浓度限值</w:t>
                  </w:r>
                  <w:r>
                    <w:rPr>
                      <w:rFonts w:hint="default" w:ascii="Times New Roman" w:hAnsi="Times New Roman" w:cs="Times New Roman"/>
                      <w:color w:val="auto"/>
                      <w:szCs w:val="21"/>
                      <w:highlight w:val="none"/>
                      <w:vertAlign w:val="superscript"/>
                    </w:rPr>
                    <w:t>a</w:t>
                  </w:r>
                  <w:r>
                    <w:rPr>
                      <w:rFonts w:hint="default" w:ascii="Times New Roman" w:hAnsi="Times New Roman" w:cs="Times New Roman"/>
                      <w:color w:val="auto"/>
                      <w:szCs w:val="21"/>
                      <w:highlight w:val="none"/>
                    </w:rPr>
                    <w:t>（μg/m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w:t>
                  </w:r>
                </w:p>
              </w:tc>
              <w:tc>
                <w:tcPr>
                  <w:tcW w:w="946" w:type="pct"/>
                  <w:tcBorders>
                    <w:right w:val="single" w:color="auto" w:sz="4" w:space="0"/>
                    <w:tl2br w:val="nil"/>
                    <w:tr2bl w:val="nil"/>
                  </w:tcBorders>
                  <w:vAlign w:val="center"/>
                </w:tcPr>
                <w:p w14:paraId="75339D43">
                  <w:pPr>
                    <w:pStyle w:val="61"/>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达标判定依据（次/天）</w:t>
                  </w:r>
                </w:p>
              </w:tc>
              <w:tc>
                <w:tcPr>
                  <w:tcW w:w="2421" w:type="pct"/>
                  <w:tcBorders>
                    <w:left w:val="single" w:color="auto" w:sz="4" w:space="0"/>
                    <w:tl2br w:val="nil"/>
                    <w:tr2bl w:val="nil"/>
                  </w:tcBorders>
                  <w:vAlign w:val="center"/>
                </w:tcPr>
                <w:p w14:paraId="0B049F42">
                  <w:pPr>
                    <w:pStyle w:val="61"/>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Cs w:val="21"/>
                      <w:highlight w:val="none"/>
                      <w:lang w:eastAsia="zh-CN"/>
                    </w:rPr>
                    <w:t>执行标准</w:t>
                  </w:r>
                </w:p>
              </w:tc>
            </w:tr>
            <w:tr w14:paraId="7B9839B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43" w:type="pct"/>
                  <w:tcBorders>
                    <w:tl2br w:val="nil"/>
                    <w:tr2bl w:val="nil"/>
                  </w:tcBorders>
                  <w:vAlign w:val="center"/>
                </w:tcPr>
                <w:p w14:paraId="1174BDD5">
                  <w:pPr>
                    <w:pStyle w:val="61"/>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PM</w:t>
                  </w:r>
                  <w:r>
                    <w:rPr>
                      <w:rFonts w:hint="default" w:ascii="Times New Roman" w:hAnsi="Times New Roman" w:cs="Times New Roman"/>
                      <w:color w:val="auto"/>
                      <w:szCs w:val="21"/>
                      <w:highlight w:val="none"/>
                      <w:vertAlign w:val="subscript"/>
                    </w:rPr>
                    <w:t>10</w:t>
                  </w:r>
                </w:p>
              </w:tc>
              <w:tc>
                <w:tcPr>
                  <w:tcW w:w="988" w:type="pct"/>
                  <w:tcBorders>
                    <w:tl2br w:val="nil"/>
                    <w:tr2bl w:val="nil"/>
                  </w:tcBorders>
                  <w:vAlign w:val="center"/>
                </w:tcPr>
                <w:p w14:paraId="2713576F">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80</w:t>
                  </w:r>
                </w:p>
              </w:tc>
              <w:tc>
                <w:tcPr>
                  <w:tcW w:w="946" w:type="pct"/>
                  <w:tcBorders>
                    <w:right w:val="single" w:color="auto" w:sz="4" w:space="0"/>
                    <w:tl2br w:val="nil"/>
                    <w:tr2bl w:val="nil"/>
                  </w:tcBorders>
                  <w:vAlign w:val="center"/>
                </w:tcPr>
                <w:p w14:paraId="71D2E7C9">
                  <w:pPr>
                    <w:pStyle w:val="61"/>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2421" w:type="pct"/>
                  <w:tcBorders>
                    <w:left w:val="single" w:color="auto" w:sz="4" w:space="0"/>
                    <w:tl2br w:val="nil"/>
                    <w:tr2bl w:val="nil"/>
                  </w:tcBorders>
                  <w:vAlign w:val="center"/>
                </w:tcPr>
                <w:p w14:paraId="7CE3C59A">
                  <w:pPr>
                    <w:pStyle w:val="61"/>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《施工场地扬尘排放标准》(DB13/2934-2019)表1扬尘排放浓度限值</w:t>
                  </w:r>
                </w:p>
              </w:tc>
            </w:tr>
            <w:tr w14:paraId="4573E4D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000" w:type="pct"/>
                  <w:gridSpan w:val="4"/>
                  <w:tcBorders>
                    <w:tl2br w:val="nil"/>
                    <w:tr2bl w:val="nil"/>
                  </w:tcBorders>
                  <w:vAlign w:val="center"/>
                </w:tcPr>
                <w:p w14:paraId="43E2EFB8">
                  <w:pPr>
                    <w:pStyle w:val="61"/>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vertAlign w:val="superscript"/>
                    </w:rPr>
                    <w:t>a</w:t>
                  </w:r>
                  <w:r>
                    <w:rPr>
                      <w:rFonts w:hint="default" w:ascii="Times New Roman" w:hAnsi="Times New Roman" w:cs="Times New Roman"/>
                      <w:color w:val="auto"/>
                      <w:szCs w:val="21"/>
                      <w:highlight w:val="none"/>
                    </w:rPr>
                    <w:t>指监测点PM</w:t>
                  </w:r>
                  <w:r>
                    <w:rPr>
                      <w:rFonts w:hint="default" w:ascii="Times New Roman" w:hAnsi="Times New Roman" w:cs="Times New Roman"/>
                      <w:color w:val="auto"/>
                      <w:szCs w:val="21"/>
                      <w:highlight w:val="none"/>
                      <w:vertAlign w:val="subscript"/>
                    </w:rPr>
                    <w:t>10</w:t>
                  </w:r>
                  <w:r>
                    <w:rPr>
                      <w:rFonts w:hint="default" w:ascii="Times New Roman" w:hAnsi="Times New Roman" w:cs="Times New Roman"/>
                      <w:color w:val="auto"/>
                      <w:szCs w:val="21"/>
                      <w:highlight w:val="none"/>
                    </w:rPr>
                    <w:t>小时平均浓度实测值与同时段所属县（市、区）PM</w:t>
                  </w:r>
                  <w:r>
                    <w:rPr>
                      <w:rFonts w:hint="default" w:ascii="Times New Roman" w:hAnsi="Times New Roman" w:cs="Times New Roman"/>
                      <w:color w:val="auto"/>
                      <w:szCs w:val="21"/>
                      <w:highlight w:val="none"/>
                      <w:vertAlign w:val="subscript"/>
                    </w:rPr>
                    <w:t>10</w:t>
                  </w:r>
                  <w:r>
                    <w:rPr>
                      <w:rFonts w:hint="default" w:ascii="Times New Roman" w:hAnsi="Times New Roman" w:cs="Times New Roman"/>
                      <w:color w:val="auto"/>
                      <w:szCs w:val="21"/>
                      <w:highlight w:val="none"/>
                    </w:rPr>
                    <w:t>小时平均浓度的差值。当县（市、区）PM</w:t>
                  </w:r>
                  <w:r>
                    <w:rPr>
                      <w:rFonts w:hint="default" w:ascii="Times New Roman" w:hAnsi="Times New Roman" w:cs="Times New Roman"/>
                      <w:color w:val="auto"/>
                      <w:szCs w:val="21"/>
                      <w:highlight w:val="none"/>
                      <w:vertAlign w:val="subscript"/>
                    </w:rPr>
                    <w:t>10</w:t>
                  </w:r>
                  <w:r>
                    <w:rPr>
                      <w:rFonts w:hint="default" w:ascii="Times New Roman" w:hAnsi="Times New Roman" w:cs="Times New Roman"/>
                      <w:color w:val="auto"/>
                      <w:szCs w:val="21"/>
                      <w:highlight w:val="none"/>
                    </w:rPr>
                    <w:t>小时平均浓度值大于150µg/m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时，以150µg/m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计。</w:t>
                  </w:r>
                </w:p>
              </w:tc>
            </w:tr>
          </w:tbl>
          <w:p w14:paraId="26C068A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、噪声</w:t>
            </w:r>
          </w:p>
          <w:p w14:paraId="7E05960C">
            <w:pPr>
              <w:pStyle w:val="115"/>
              <w:keepNext w:val="0"/>
              <w:keepLines w:val="0"/>
              <w:pageBreakBefore w:val="0"/>
              <w:kinsoku/>
              <w:wordWrap/>
              <w:overflowPunct/>
              <w:topLinePunct w:val="0"/>
              <w:autoSpaceDN/>
              <w:bidi w:val="0"/>
              <w:adjustRightInd/>
              <w:snapToGrid/>
              <w:spacing w:line="360" w:lineRule="auto"/>
              <w:ind w:firstLine="48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本项目施工期噪声执行《建筑施工场界环境噪声排放标准》（GB 12523-2011）表1标准</w:t>
            </w:r>
            <w:r>
              <w:rPr>
                <w:rFonts w:hint="default" w:ascii="Times New Roman" w:hAnsi="Times New Roman" w:eastAsia="宋体" w:cs="Times New Roman"/>
                <w:color w:val="auto"/>
                <w:highlight w:val="none"/>
                <w:lang w:eastAsia="zh-CN"/>
              </w:rPr>
              <w:t>及《</w:t>
            </w:r>
            <w:r>
              <w:rPr>
                <w:rFonts w:hint="default" w:ascii="Times New Roman" w:hAnsi="Times New Roman" w:eastAsia="宋体" w:cs="Times New Roman"/>
                <w:color w:val="auto"/>
                <w:highlight w:val="none"/>
                <w:lang w:val="en-US" w:eastAsia="zh-CN"/>
              </w:rPr>
              <w:t>建筑施工噪声排放标准</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GB 12523-20</w:t>
            </w:r>
            <w:r>
              <w:rPr>
                <w:rFonts w:hint="default" w:ascii="Times New Roman" w:hAnsi="Times New Roman" w:eastAsia="宋体" w:cs="Times New Roman"/>
                <w:color w:val="auto"/>
                <w:highlight w:val="none"/>
                <w:lang w:val="en-US" w:eastAsia="zh-CN"/>
              </w:rPr>
              <w:t>25</w:t>
            </w:r>
            <w:r>
              <w:rPr>
                <w:rFonts w:hint="default" w:ascii="Times New Roman" w:hAnsi="Times New Roman" w:eastAsia="宋体" w:cs="Times New Roman"/>
                <w:color w:val="auto"/>
                <w:highlight w:val="none"/>
                <w:lang w:eastAsia="zh-CN"/>
              </w:rPr>
              <w:t>）中相关规定（本标准自202</w:t>
            </w:r>
            <w:r>
              <w:rPr>
                <w:rFonts w:hint="default"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lang w:eastAsia="zh-CN"/>
              </w:rPr>
              <w:t>年</w:t>
            </w:r>
            <w:r>
              <w:rPr>
                <w:rFonts w:hint="default"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lang w:eastAsia="zh-CN"/>
              </w:rPr>
              <w:t>月1日起实施）</w:t>
            </w:r>
            <w:r>
              <w:rPr>
                <w:rFonts w:hint="default" w:ascii="Times New Roman" w:hAnsi="Times New Roman" w:eastAsia="宋体" w:cs="Times New Roman"/>
                <w:color w:val="auto"/>
                <w:highlight w:val="none"/>
              </w:rPr>
              <w:t>表1标准。具体标准值见表3-</w:t>
            </w:r>
            <w:r>
              <w:rPr>
                <w:rFonts w:hint="default"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rPr>
              <w:t>。</w:t>
            </w:r>
          </w:p>
          <w:p w14:paraId="41B1C47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center"/>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表3-</w:t>
            </w:r>
            <w:r>
              <w:rPr>
                <w:rFonts w:hint="default" w:ascii="Times New Roman" w:hAnsi="Times New Roman"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rPr>
              <w:t xml:space="preserve">   建筑施工场界环境噪声排放限值</w:t>
            </w:r>
          </w:p>
          <w:tbl>
            <w:tblPr>
              <w:tblStyle w:val="40"/>
              <w:tblW w:w="4991" w:type="pct"/>
              <w:tblInd w:w="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233"/>
              <w:gridCol w:w="1293"/>
              <w:gridCol w:w="1835"/>
            </w:tblGrid>
            <w:tr w14:paraId="6938C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rPr>
              <w:tc>
                <w:tcPr>
                  <w:tcW w:w="3128" w:type="pct"/>
                  <w:tcBorders>
                    <w:right w:val="single" w:color="auto" w:sz="4" w:space="0"/>
                    <w:tl2br w:val="nil"/>
                    <w:tr2bl w:val="nil"/>
                  </w:tcBorders>
                  <w:vAlign w:val="center"/>
                </w:tcPr>
                <w:p w14:paraId="35E0CC39">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lang w:eastAsia="zh-CN"/>
                    </w:rPr>
                    <w:t>标准</w:t>
                  </w:r>
                </w:p>
              </w:tc>
              <w:tc>
                <w:tcPr>
                  <w:tcW w:w="773" w:type="pct"/>
                  <w:tcBorders>
                    <w:left w:val="single" w:color="auto" w:sz="4" w:space="0"/>
                    <w:tl2br w:val="nil"/>
                    <w:tr2bl w:val="nil"/>
                  </w:tcBorders>
                  <w:shd w:val="clear" w:color="auto" w:fill="auto"/>
                  <w:vAlign w:val="center"/>
                </w:tcPr>
                <w:p w14:paraId="563BB3D5">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eastAsia="宋体" w:cs="Times New Roman"/>
                      <w:b w:val="0"/>
                      <w:bCs w:val="0"/>
                      <w:snapToGrid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rPr>
                    <w:t>昼间</w:t>
                  </w:r>
                </w:p>
              </w:tc>
              <w:tc>
                <w:tcPr>
                  <w:tcW w:w="1097" w:type="pct"/>
                  <w:tcBorders>
                    <w:tl2br w:val="nil"/>
                    <w:tr2bl w:val="nil"/>
                  </w:tcBorders>
                  <w:vAlign w:val="center"/>
                </w:tcPr>
                <w:p w14:paraId="615AFD21">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夜间</w:t>
                  </w:r>
                </w:p>
              </w:tc>
            </w:tr>
            <w:tr w14:paraId="71BF8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3128" w:type="pct"/>
                  <w:tcBorders>
                    <w:right w:val="single" w:color="auto" w:sz="4" w:space="0"/>
                    <w:tl2br w:val="nil"/>
                    <w:tr2bl w:val="nil"/>
                  </w:tcBorders>
                  <w:vAlign w:val="center"/>
                </w:tcPr>
                <w:p w14:paraId="32B8240D">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color w:val="auto"/>
                      <w:highlight w:val="none"/>
                    </w:rPr>
                    <w:t>《建筑施工场界环境噪声排放标准》（GB 12523-2011）</w:t>
                  </w:r>
                </w:p>
              </w:tc>
              <w:tc>
                <w:tcPr>
                  <w:tcW w:w="773" w:type="pct"/>
                  <w:tcBorders>
                    <w:left w:val="single" w:color="auto" w:sz="4" w:space="0"/>
                    <w:tl2br w:val="nil"/>
                    <w:tr2bl w:val="nil"/>
                  </w:tcBorders>
                  <w:shd w:val="clear" w:color="auto" w:fill="auto"/>
                  <w:vAlign w:val="center"/>
                </w:tcPr>
                <w:p w14:paraId="755FABC2">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eastAsia="宋体" w:cs="Times New Roman"/>
                      <w:b w:val="0"/>
                      <w:bCs w:val="0"/>
                      <w:snapToGrid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rPr>
                    <w:t>70dB</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A</w:t>
                  </w:r>
                  <w:r>
                    <w:rPr>
                      <w:rFonts w:hint="default" w:ascii="Times New Roman" w:hAnsi="Times New Roman" w:cs="Times New Roman"/>
                      <w:b w:val="0"/>
                      <w:bCs w:val="0"/>
                      <w:color w:val="auto"/>
                      <w:sz w:val="21"/>
                      <w:szCs w:val="21"/>
                      <w:highlight w:val="none"/>
                      <w:lang w:eastAsia="zh-CN"/>
                    </w:rPr>
                    <w:t>）</w:t>
                  </w:r>
                </w:p>
              </w:tc>
              <w:tc>
                <w:tcPr>
                  <w:tcW w:w="1097" w:type="pct"/>
                  <w:tcBorders>
                    <w:tl2br w:val="nil"/>
                    <w:tr2bl w:val="nil"/>
                  </w:tcBorders>
                  <w:vAlign w:val="center"/>
                </w:tcPr>
                <w:p w14:paraId="5F4B9431">
                  <w:pPr>
                    <w:keepNext w:val="0"/>
                    <w:keepLines w:val="0"/>
                    <w:pageBreakBefore w:val="0"/>
                    <w:widowControl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55dB</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A</w:t>
                  </w:r>
                  <w:r>
                    <w:rPr>
                      <w:rFonts w:hint="default" w:ascii="Times New Roman" w:hAnsi="Times New Roman" w:cs="Times New Roman"/>
                      <w:b w:val="0"/>
                      <w:bCs w:val="0"/>
                      <w:color w:val="auto"/>
                      <w:sz w:val="21"/>
                      <w:szCs w:val="21"/>
                      <w:highlight w:val="none"/>
                      <w:lang w:eastAsia="zh-CN"/>
                    </w:rPr>
                    <w:t>）</w:t>
                  </w:r>
                </w:p>
              </w:tc>
            </w:tr>
            <w:tr w14:paraId="098EA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3128" w:type="pct"/>
                  <w:tcBorders>
                    <w:right w:val="single" w:color="auto" w:sz="4" w:space="0"/>
                    <w:tl2br w:val="nil"/>
                    <w:tr2bl w:val="nil"/>
                  </w:tcBorders>
                  <w:vAlign w:val="center"/>
                </w:tcPr>
                <w:p w14:paraId="7B2B8F0B">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cs="Times New Roman"/>
                      <w:b w:val="0"/>
                      <w:bCs w:val="0"/>
                      <w:color w:val="auto"/>
                      <w:sz w:val="21"/>
                      <w:szCs w:val="21"/>
                      <w:highlight w:val="none"/>
                    </w:rPr>
                  </w:pP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建筑施工噪声排放标准</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GB 12523-20</w:t>
                  </w:r>
                  <w:r>
                    <w:rPr>
                      <w:rFonts w:hint="default" w:ascii="Times New Roman" w:hAnsi="Times New Roman" w:eastAsia="宋体" w:cs="Times New Roman"/>
                      <w:color w:val="auto"/>
                      <w:highlight w:val="none"/>
                      <w:lang w:val="en-US" w:eastAsia="zh-CN"/>
                    </w:rPr>
                    <w:t>25</w:t>
                  </w:r>
                  <w:r>
                    <w:rPr>
                      <w:rFonts w:hint="default" w:ascii="Times New Roman" w:hAnsi="Times New Roman" w:eastAsia="宋体" w:cs="Times New Roman"/>
                      <w:color w:val="auto"/>
                      <w:highlight w:val="none"/>
                      <w:lang w:eastAsia="zh-CN"/>
                    </w:rPr>
                    <w:t>）</w:t>
                  </w:r>
                </w:p>
              </w:tc>
              <w:tc>
                <w:tcPr>
                  <w:tcW w:w="773" w:type="pct"/>
                  <w:tcBorders>
                    <w:left w:val="single" w:color="auto" w:sz="4" w:space="0"/>
                    <w:tl2br w:val="nil"/>
                    <w:tr2bl w:val="nil"/>
                  </w:tcBorders>
                  <w:shd w:val="clear" w:color="auto" w:fill="auto"/>
                  <w:vAlign w:val="center"/>
                </w:tcPr>
                <w:p w14:paraId="00F607E0">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eastAsia="宋体" w:cs="Times New Roman"/>
                      <w:b w:val="0"/>
                      <w:bCs w:val="0"/>
                      <w:snapToGrid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rPr>
                    <w:t>70dB</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A</w:t>
                  </w:r>
                  <w:r>
                    <w:rPr>
                      <w:rFonts w:hint="default" w:ascii="Times New Roman" w:hAnsi="Times New Roman" w:cs="Times New Roman"/>
                      <w:b w:val="0"/>
                      <w:bCs w:val="0"/>
                      <w:color w:val="auto"/>
                      <w:sz w:val="21"/>
                      <w:szCs w:val="21"/>
                      <w:highlight w:val="none"/>
                      <w:lang w:eastAsia="zh-CN"/>
                    </w:rPr>
                    <w:t>）</w:t>
                  </w:r>
                </w:p>
              </w:tc>
              <w:tc>
                <w:tcPr>
                  <w:tcW w:w="1097" w:type="pct"/>
                  <w:tcBorders>
                    <w:tl2br w:val="nil"/>
                    <w:tr2bl w:val="nil"/>
                  </w:tcBorders>
                  <w:shd w:val="clear" w:color="auto" w:fill="auto"/>
                  <w:vAlign w:val="center"/>
                </w:tcPr>
                <w:p w14:paraId="28C704E8">
                  <w:pPr>
                    <w:keepNext w:val="0"/>
                    <w:keepLines w:val="0"/>
                    <w:pageBreakBefore w:val="0"/>
                    <w:widowControl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sz w:val="21"/>
                      <w:szCs w:val="21"/>
                      <w:highlight w:val="none"/>
                    </w:rPr>
                    <w:t>55dB</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A</w:t>
                  </w:r>
                  <w:r>
                    <w:rPr>
                      <w:rFonts w:hint="default" w:ascii="Times New Roman" w:hAnsi="Times New Roman" w:cs="Times New Roman"/>
                      <w:b w:val="0"/>
                      <w:bCs w:val="0"/>
                      <w:color w:val="auto"/>
                      <w:sz w:val="21"/>
                      <w:szCs w:val="21"/>
                      <w:highlight w:val="none"/>
                      <w:lang w:eastAsia="zh-CN"/>
                    </w:rPr>
                    <w:t>）</w:t>
                  </w:r>
                </w:p>
              </w:tc>
            </w:tr>
            <w:tr w14:paraId="7E936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3128" w:type="pct"/>
                  <w:tcBorders>
                    <w:right w:val="single" w:color="auto" w:sz="4" w:space="0"/>
                    <w:tl2br w:val="nil"/>
                    <w:tr2bl w:val="nil"/>
                  </w:tcBorders>
                  <w:vAlign w:val="center"/>
                </w:tcPr>
                <w:p w14:paraId="5E594B9D">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lang w:eastAsia="zh-CN"/>
                    </w:rPr>
                    <w:t>本项目</w:t>
                  </w:r>
                </w:p>
              </w:tc>
              <w:tc>
                <w:tcPr>
                  <w:tcW w:w="773" w:type="pct"/>
                  <w:tcBorders>
                    <w:left w:val="single" w:color="auto" w:sz="4" w:space="0"/>
                    <w:tl2br w:val="nil"/>
                    <w:tr2bl w:val="nil"/>
                  </w:tcBorders>
                  <w:shd w:val="clear" w:color="auto" w:fill="auto"/>
                  <w:vAlign w:val="center"/>
                </w:tcPr>
                <w:p w14:paraId="4D7B1583">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eastAsia="宋体" w:cs="Times New Roman"/>
                      <w:b w:val="0"/>
                      <w:bCs w:val="0"/>
                      <w:snapToGrid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rPr>
                    <w:t>70dB</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A</w:t>
                  </w:r>
                  <w:r>
                    <w:rPr>
                      <w:rFonts w:hint="default" w:ascii="Times New Roman" w:hAnsi="Times New Roman" w:cs="Times New Roman"/>
                      <w:b w:val="0"/>
                      <w:bCs w:val="0"/>
                      <w:color w:val="auto"/>
                      <w:sz w:val="21"/>
                      <w:szCs w:val="21"/>
                      <w:highlight w:val="none"/>
                      <w:lang w:eastAsia="zh-CN"/>
                    </w:rPr>
                    <w:t>）</w:t>
                  </w:r>
                </w:p>
              </w:tc>
              <w:tc>
                <w:tcPr>
                  <w:tcW w:w="1097" w:type="pct"/>
                  <w:tcBorders>
                    <w:tl2br w:val="nil"/>
                    <w:tr2bl w:val="nil"/>
                  </w:tcBorders>
                  <w:shd w:val="clear" w:color="auto" w:fill="auto"/>
                  <w:vAlign w:val="center"/>
                </w:tcPr>
                <w:p w14:paraId="69B4FF6C">
                  <w:pPr>
                    <w:keepNext w:val="0"/>
                    <w:keepLines w:val="0"/>
                    <w:pageBreakBefore w:val="0"/>
                    <w:widowControl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sz w:val="21"/>
                      <w:szCs w:val="21"/>
                      <w:highlight w:val="none"/>
                    </w:rPr>
                    <w:t>55dB</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A</w:t>
                  </w:r>
                  <w:r>
                    <w:rPr>
                      <w:rFonts w:hint="default" w:ascii="Times New Roman" w:hAnsi="Times New Roman" w:cs="Times New Roman"/>
                      <w:b w:val="0"/>
                      <w:bCs w:val="0"/>
                      <w:color w:val="auto"/>
                      <w:sz w:val="21"/>
                      <w:szCs w:val="21"/>
                      <w:highlight w:val="none"/>
                      <w:lang w:eastAsia="zh-CN"/>
                    </w:rPr>
                    <w:t>）</w:t>
                  </w:r>
                </w:p>
              </w:tc>
            </w:tr>
          </w:tbl>
          <w:p w14:paraId="7D08FBD1">
            <w:pPr>
              <w:pStyle w:val="78"/>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运营期：</w:t>
            </w:r>
          </w:p>
          <w:p w14:paraId="0EFF7CC0">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宋体" w:cs="Times New Roman"/>
                <w:b/>
                <w:snapToGrid w:val="0"/>
                <w:color w:val="auto"/>
                <w:sz w:val="24"/>
                <w:szCs w:val="24"/>
                <w:highlight w:val="none"/>
                <w:lang w:eastAsia="zh-CN"/>
              </w:rPr>
            </w:pPr>
            <w:r>
              <w:rPr>
                <w:rFonts w:hint="default" w:ascii="Times New Roman" w:hAnsi="Times New Roman" w:eastAsia="宋体" w:cs="Times New Roman"/>
                <w:b/>
                <w:snapToGrid w:val="0"/>
                <w:color w:val="auto"/>
                <w:sz w:val="24"/>
                <w:szCs w:val="24"/>
                <w:highlight w:val="none"/>
                <w:lang w:eastAsia="zh-CN"/>
              </w:rPr>
              <w:t>1、废气</w:t>
            </w:r>
          </w:p>
          <w:p w14:paraId="49BCEBEF">
            <w:pPr>
              <w:pStyle w:val="36"/>
              <w:widowControl w:val="0"/>
              <w:autoSpaceDE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项目运营期生产过程中产生的大气污染物为</w:t>
            </w:r>
            <w:r>
              <w:rPr>
                <w:rFonts w:hint="default" w:ascii="Times New Roman" w:hAnsi="Times New Roman" w:eastAsia="宋体" w:cs="Times New Roman"/>
                <w:color w:val="auto"/>
                <w:sz w:val="24"/>
                <w:szCs w:val="24"/>
                <w:highlight w:val="none"/>
                <w:lang w:val="en-US" w:eastAsia="zh-CN"/>
              </w:rPr>
              <w:t>颗粒物</w:t>
            </w:r>
            <w:r>
              <w:rPr>
                <w:rFonts w:hint="default" w:ascii="Times New Roman" w:hAnsi="Times New Roman" w:eastAsia="宋体" w:cs="Times New Roman"/>
                <w:color w:val="auto"/>
                <w:sz w:val="24"/>
                <w:szCs w:val="24"/>
                <w:highlight w:val="none"/>
                <w:lang w:eastAsia="zh-CN"/>
              </w:rPr>
              <w:t>。</w:t>
            </w:r>
          </w:p>
          <w:p w14:paraId="74AC17FA">
            <w:pPr>
              <w:pStyle w:val="36"/>
              <w:widowControl w:val="0"/>
              <w:autoSpaceDE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颗粒物</w:t>
            </w:r>
            <w:r>
              <w:rPr>
                <w:rFonts w:hint="default" w:ascii="Times New Roman" w:hAnsi="Times New Roman" w:cs="Times New Roman"/>
                <w:color w:val="auto"/>
                <w:sz w:val="24"/>
                <w:szCs w:val="24"/>
                <w:highlight w:val="none"/>
                <w:lang w:eastAsia="zh-CN"/>
              </w:rPr>
              <w:t>有组织</w:t>
            </w:r>
            <w:r>
              <w:rPr>
                <w:rFonts w:hint="default" w:ascii="Times New Roman" w:hAnsi="Times New Roman" w:eastAsia="宋体" w:cs="Times New Roman"/>
                <w:color w:val="auto"/>
                <w:sz w:val="24"/>
                <w:szCs w:val="24"/>
                <w:highlight w:val="none"/>
              </w:rPr>
              <w:t>排放</w:t>
            </w:r>
            <w:r>
              <w:rPr>
                <w:rFonts w:hint="default" w:ascii="Times New Roman" w:hAnsi="Times New Roman" w:eastAsia="宋体" w:cs="Times New Roman"/>
                <w:color w:val="auto"/>
                <w:sz w:val="24"/>
                <w:szCs w:val="24"/>
                <w:highlight w:val="none"/>
                <w:lang w:val="en-US" w:eastAsia="zh-CN"/>
              </w:rPr>
              <w:t>满足《水泥工业大气污染物超低排放标准》(DB13/2167-2020)中表1中水泥仓及其它通风生产设备标准限值；无组织</w:t>
            </w:r>
            <w:r>
              <w:rPr>
                <w:rFonts w:hint="default" w:ascii="Times New Roman" w:hAnsi="Times New Roman" w:eastAsia="宋体" w:cs="Times New Roman"/>
                <w:color w:val="auto"/>
                <w:sz w:val="24"/>
                <w:szCs w:val="24"/>
                <w:highlight w:val="none"/>
              </w:rPr>
              <w:t>排放执行</w:t>
            </w:r>
            <w:r>
              <w:rPr>
                <w:rFonts w:hint="default" w:ascii="Times New Roman" w:hAnsi="Times New Roman" w:eastAsia="宋体" w:cs="Times New Roman"/>
                <w:color w:val="auto"/>
                <w:sz w:val="24"/>
                <w:highlight w:val="none"/>
              </w:rPr>
              <w:t>《水泥工业大气污染物超低排放标准》（DB13/2167-2020）表2大气污染物无组织排放限值</w:t>
            </w:r>
            <w:r>
              <w:rPr>
                <w:rFonts w:hint="default" w:ascii="Times New Roman" w:hAnsi="Times New Roman" w:eastAsia="宋体" w:cs="Times New Roman"/>
                <w:color w:val="auto"/>
                <w:sz w:val="24"/>
                <w:szCs w:val="24"/>
                <w:highlight w:val="none"/>
                <w:lang w:eastAsia="zh-CN"/>
              </w:rPr>
              <w:t>。</w:t>
            </w:r>
          </w:p>
          <w:p w14:paraId="7383358F">
            <w:pPr>
              <w:adjustRightInd w:val="0"/>
              <w:snapToGrid w:val="0"/>
              <w:spacing w:line="360" w:lineRule="auto"/>
              <w:jc w:val="center"/>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表3-</w:t>
            </w:r>
            <w:r>
              <w:rPr>
                <w:rFonts w:hint="default" w:ascii="Times New Roman" w:hAnsi="Times New Roman" w:cs="Times New Roman"/>
                <w:b/>
                <w:bCs/>
                <w:color w:val="auto"/>
                <w:kern w:val="0"/>
                <w:sz w:val="24"/>
                <w:szCs w:val="24"/>
                <w:highlight w:val="none"/>
                <w:lang w:val="en-US" w:eastAsia="zh-CN"/>
              </w:rPr>
              <w:t>5</w:t>
            </w:r>
            <w:r>
              <w:rPr>
                <w:rFonts w:hint="default" w:ascii="Times New Roman" w:hAnsi="Times New Roman" w:eastAsia="宋体" w:cs="Times New Roman"/>
                <w:b/>
                <w:bCs/>
                <w:color w:val="auto"/>
                <w:kern w:val="0"/>
                <w:sz w:val="24"/>
                <w:szCs w:val="24"/>
                <w:highlight w:val="none"/>
                <w:lang w:val="en-US" w:eastAsia="zh-CN"/>
              </w:rPr>
              <w:t xml:space="preserve">  大气污染物排放标准一览表</w:t>
            </w:r>
          </w:p>
          <w:tbl>
            <w:tblPr>
              <w:tblStyle w:val="40"/>
              <w:tblW w:w="50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892"/>
              <w:gridCol w:w="2234"/>
              <w:gridCol w:w="4449"/>
            </w:tblGrid>
            <w:tr w14:paraId="7EC1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049" w:type="pct"/>
                  <w:gridSpan w:val="2"/>
                  <w:noWrap w:val="0"/>
                  <w:vAlign w:val="center"/>
                </w:tcPr>
                <w:p w14:paraId="26015D0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污染物名称</w:t>
                  </w:r>
                </w:p>
              </w:tc>
              <w:tc>
                <w:tcPr>
                  <w:tcW w:w="1320" w:type="pct"/>
                  <w:noWrap w:val="0"/>
                  <w:vAlign w:val="center"/>
                </w:tcPr>
                <w:p w14:paraId="7469008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标准值</w:t>
                  </w:r>
                </w:p>
              </w:tc>
              <w:tc>
                <w:tcPr>
                  <w:tcW w:w="2629" w:type="pct"/>
                  <w:noWrap w:val="0"/>
                  <w:vAlign w:val="center"/>
                </w:tcPr>
                <w:p w14:paraId="4363507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标准来源</w:t>
                  </w:r>
                </w:p>
              </w:tc>
            </w:tr>
            <w:tr w14:paraId="5301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522" w:type="pct"/>
                  <w:noWrap w:val="0"/>
                  <w:vAlign w:val="center"/>
                </w:tcPr>
                <w:p w14:paraId="74035B6D">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有组织</w:t>
                  </w:r>
                </w:p>
              </w:tc>
              <w:tc>
                <w:tcPr>
                  <w:tcW w:w="527" w:type="pct"/>
                  <w:noWrap w:val="0"/>
                  <w:vAlign w:val="center"/>
                </w:tcPr>
                <w:p w14:paraId="2970EF1C">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1320" w:type="pct"/>
                  <w:noWrap w:val="0"/>
                  <w:vAlign w:val="center"/>
                </w:tcPr>
                <w:p w14:paraId="5E6E5A14">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排放浓度≤10mg/m</w:t>
                  </w:r>
                  <w:r>
                    <w:rPr>
                      <w:rFonts w:hint="default" w:ascii="Times New Roman" w:hAnsi="Times New Roman" w:eastAsia="宋体" w:cs="Times New Roman"/>
                      <w:color w:val="auto"/>
                      <w:sz w:val="21"/>
                      <w:szCs w:val="21"/>
                      <w:highlight w:val="none"/>
                      <w:vertAlign w:val="superscript"/>
                      <w:lang w:val="en-US" w:eastAsia="zh-CN"/>
                    </w:rPr>
                    <w:t>3</w:t>
                  </w:r>
                </w:p>
              </w:tc>
              <w:tc>
                <w:tcPr>
                  <w:tcW w:w="2629" w:type="pct"/>
                  <w:noWrap w:val="0"/>
                  <w:vAlign w:val="center"/>
                </w:tcPr>
                <w:p w14:paraId="59E3F577">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Cs w:val="21"/>
                      <w:highlight w:val="none"/>
                    </w:rPr>
                    <w:t>《水泥工业大气污染物超低排放标准》（DB13/2167-2020）</w:t>
                  </w:r>
                  <w:r>
                    <w:rPr>
                      <w:rFonts w:hint="default" w:ascii="Times New Roman" w:hAnsi="Times New Roman" w:eastAsia="宋体" w:cs="Times New Roman"/>
                      <w:color w:val="auto"/>
                      <w:sz w:val="21"/>
                      <w:szCs w:val="21"/>
                      <w:highlight w:val="none"/>
                      <w:lang w:val="en-US" w:eastAsia="zh-CN"/>
                    </w:rPr>
                    <w:t>表1中水泥仓及其它通风生产设备标准限值</w:t>
                  </w:r>
                </w:p>
              </w:tc>
            </w:tr>
            <w:tr w14:paraId="5529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522" w:type="pct"/>
                  <w:noWrap w:val="0"/>
                  <w:vAlign w:val="center"/>
                </w:tcPr>
                <w:p w14:paraId="278D50C0">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无组织</w:t>
                  </w:r>
                </w:p>
              </w:tc>
              <w:tc>
                <w:tcPr>
                  <w:tcW w:w="527" w:type="pct"/>
                  <w:noWrap w:val="0"/>
                  <w:vAlign w:val="center"/>
                </w:tcPr>
                <w:p w14:paraId="4C046333">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eastAsia="宋体" w:cs="Times New Roman"/>
                      <w:color w:val="auto"/>
                      <w:sz w:val="21"/>
                      <w:szCs w:val="21"/>
                      <w:highlight w:val="none"/>
                      <w:lang w:val="en-US" w:eastAsia="zh-CN"/>
                    </w:rPr>
                    <w:t>颗粒物</w:t>
                  </w:r>
                </w:p>
              </w:tc>
              <w:tc>
                <w:tcPr>
                  <w:tcW w:w="1320" w:type="pct"/>
                  <w:shd w:val="clear" w:color="auto" w:fill="auto"/>
                  <w:noWrap w:val="0"/>
                  <w:vAlign w:val="center"/>
                </w:tcPr>
                <w:p w14:paraId="47953EE7">
                  <w:pPr>
                    <w:widowControl/>
                    <w:snapToGrid w:val="0"/>
                    <w:jc w:val="center"/>
                    <w:rPr>
                      <w:rFonts w:hint="default" w:ascii="Times New Roman" w:hAnsi="Times New Roman" w:eastAsia="宋体" w:cs="Times New Roman"/>
                      <w:color w:val="auto"/>
                      <w:kern w:val="2"/>
                      <w:sz w:val="21"/>
                      <w:szCs w:val="22"/>
                      <w:highlight w:val="none"/>
                      <w:lang w:val="en-US" w:eastAsia="zh-CN" w:bidi="ar-SA"/>
                    </w:rPr>
                  </w:pPr>
                  <w:r>
                    <w:rPr>
                      <w:rFonts w:hint="default" w:ascii="Times New Roman" w:hAnsi="Times New Roman" w:eastAsia="宋体" w:cs="Times New Roman"/>
                      <w:color w:val="auto"/>
                      <w:kern w:val="0"/>
                      <w:szCs w:val="21"/>
                      <w:highlight w:val="none"/>
                    </w:rPr>
                    <w:t>0.5mg/m</w:t>
                  </w:r>
                  <w:r>
                    <w:rPr>
                      <w:rFonts w:hint="default" w:ascii="Times New Roman" w:hAnsi="Times New Roman" w:eastAsia="宋体" w:cs="Times New Roman"/>
                      <w:color w:val="auto"/>
                      <w:kern w:val="0"/>
                      <w:szCs w:val="21"/>
                      <w:highlight w:val="none"/>
                      <w:vertAlign w:val="superscript"/>
                    </w:rPr>
                    <w:t>3</w:t>
                  </w:r>
                  <w:r>
                    <w:rPr>
                      <w:rFonts w:hint="default" w:ascii="Times New Roman" w:hAnsi="Times New Roman" w:eastAsia="宋体" w:cs="Times New Roman"/>
                      <w:color w:val="auto"/>
                      <w:kern w:val="0"/>
                      <w:szCs w:val="21"/>
                      <w:highlight w:val="none"/>
                      <w:lang w:val="en-US" w:eastAsia="zh-CN"/>
                    </w:rPr>
                    <w:t>(监控点与参照点总悬浮颗粒物1h浓度值的差值。厂界外 20m 处上风向设参照点，下风向设监控点)</w:t>
                  </w:r>
                </w:p>
              </w:tc>
              <w:tc>
                <w:tcPr>
                  <w:tcW w:w="2629" w:type="pct"/>
                  <w:shd w:val="clear" w:color="auto" w:fill="auto"/>
                  <w:noWrap w:val="0"/>
                  <w:vAlign w:val="center"/>
                </w:tcPr>
                <w:p w14:paraId="110D3B77">
                  <w:pPr>
                    <w:widowControl/>
                    <w:adjustRightInd w:val="0"/>
                    <w:snapToGrid w:val="0"/>
                    <w:spacing w:before="100" w:beforeAutospacing="1" w:after="100" w:afterAutospacing="1"/>
                    <w:jc w:val="center"/>
                    <w:rPr>
                      <w:rFonts w:hint="default" w:ascii="Times New Roman" w:hAnsi="Times New Roman" w:eastAsia="宋体" w:cs="Times New Roman"/>
                      <w:color w:val="auto"/>
                      <w:kern w:val="2"/>
                      <w:sz w:val="21"/>
                      <w:szCs w:val="22"/>
                      <w:highlight w:val="none"/>
                      <w:lang w:val="en-US" w:eastAsia="zh-CN" w:bidi="ar-SA"/>
                    </w:rPr>
                  </w:pPr>
                  <w:r>
                    <w:rPr>
                      <w:rFonts w:hint="default" w:ascii="Times New Roman" w:hAnsi="Times New Roman" w:eastAsia="宋体" w:cs="Times New Roman"/>
                      <w:color w:val="auto"/>
                      <w:szCs w:val="21"/>
                      <w:highlight w:val="none"/>
                    </w:rPr>
                    <w:t>《水泥工业大气污染物超低排放标准》（DB13/2167-2020）表2大气污染物无组织排放限值</w:t>
                  </w:r>
                </w:p>
              </w:tc>
            </w:tr>
          </w:tbl>
          <w:p w14:paraId="5579307D">
            <w:pPr>
              <w:keepNext w:val="0"/>
              <w:keepLines/>
              <w:pageBreakBefore w:val="0"/>
              <w:widowControl/>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、噪声</w:t>
            </w:r>
          </w:p>
          <w:p w14:paraId="30F95AAA">
            <w:pPr>
              <w:keepNext w:val="0"/>
              <w:keepLines/>
              <w:pageBreakBefore w:val="0"/>
              <w:widowControl/>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运营期厂界噪声执行《工业企业厂界环境噪声排放标准》（GB12348-2008）3类标准。</w:t>
            </w:r>
          </w:p>
          <w:p w14:paraId="6626AB94">
            <w:pPr>
              <w:keepNext w:val="0"/>
              <w:keepLines/>
              <w:pageBreakBefore w:val="0"/>
              <w:widowControl/>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表3</w:t>
            </w:r>
            <w:r>
              <w:rPr>
                <w:rFonts w:hint="default" w:ascii="Times New Roman" w:hAnsi="Times New Roman" w:eastAsia="宋体" w:cs="Times New Roman"/>
                <w:b/>
                <w:bCs/>
                <w:color w:val="auto"/>
                <w:sz w:val="24"/>
                <w:highlight w:val="none"/>
                <w:lang w:val="en-US" w:eastAsia="zh-CN"/>
              </w:rPr>
              <w:t>-</w:t>
            </w:r>
            <w:r>
              <w:rPr>
                <w:rFonts w:hint="default" w:ascii="Times New Roman" w:hAnsi="Times New Roman" w:cs="Times New Roman"/>
                <w:b/>
                <w:bCs/>
                <w:color w:val="auto"/>
                <w:sz w:val="24"/>
                <w:highlight w:val="none"/>
                <w:lang w:val="en-US" w:eastAsia="zh-CN"/>
              </w:rPr>
              <w:t>6</w:t>
            </w:r>
            <w:r>
              <w:rPr>
                <w:rFonts w:hint="default" w:ascii="Times New Roman" w:hAnsi="Times New Roman" w:eastAsia="宋体" w:cs="Times New Roman"/>
                <w:b/>
                <w:bCs/>
                <w:color w:val="auto"/>
                <w:sz w:val="24"/>
                <w:highlight w:val="none"/>
              </w:rPr>
              <w:t xml:space="preserve">  噪声排放标准一览表</w:t>
            </w:r>
          </w:p>
          <w:tbl>
            <w:tblPr>
              <w:tblStyle w:val="40"/>
              <w:tblW w:w="505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185"/>
              <w:gridCol w:w="1184"/>
              <w:gridCol w:w="1186"/>
              <w:gridCol w:w="978"/>
              <w:gridCol w:w="3923"/>
            </w:tblGrid>
            <w:tr w14:paraId="667C14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52" w:hRule="atLeast"/>
                <w:jc w:val="center"/>
              </w:trPr>
              <w:tc>
                <w:tcPr>
                  <w:tcW w:w="701" w:type="pct"/>
                  <w:vMerge w:val="restart"/>
                  <w:noWrap w:val="0"/>
                  <w:vAlign w:val="center"/>
                </w:tcPr>
                <w:p w14:paraId="210AA1A4">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b/>
                      <w:bCs/>
                      <w:snapToGrid w:val="0"/>
                      <w:color w:val="auto"/>
                      <w:kern w:val="0"/>
                      <w:szCs w:val="21"/>
                      <w:highlight w:val="none"/>
                    </w:rPr>
                  </w:pPr>
                  <w:r>
                    <w:rPr>
                      <w:rFonts w:hint="default" w:ascii="Times New Roman" w:hAnsi="Times New Roman" w:eastAsia="宋体" w:cs="Times New Roman"/>
                      <w:b/>
                      <w:bCs/>
                      <w:snapToGrid w:val="0"/>
                      <w:color w:val="auto"/>
                      <w:kern w:val="0"/>
                      <w:szCs w:val="21"/>
                      <w:highlight w:val="none"/>
                    </w:rPr>
                    <w:t>时段</w:t>
                  </w:r>
                </w:p>
              </w:tc>
              <w:tc>
                <w:tcPr>
                  <w:tcW w:w="1401" w:type="pct"/>
                  <w:gridSpan w:val="2"/>
                  <w:noWrap w:val="0"/>
                  <w:vAlign w:val="center"/>
                </w:tcPr>
                <w:p w14:paraId="2D7317B4">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b/>
                      <w:bCs/>
                      <w:snapToGrid w:val="0"/>
                      <w:color w:val="auto"/>
                      <w:kern w:val="0"/>
                      <w:szCs w:val="21"/>
                      <w:highlight w:val="none"/>
                    </w:rPr>
                  </w:pPr>
                  <w:r>
                    <w:rPr>
                      <w:rFonts w:hint="default" w:ascii="Times New Roman" w:hAnsi="Times New Roman" w:eastAsia="宋体" w:cs="Times New Roman"/>
                      <w:b/>
                      <w:bCs/>
                      <w:snapToGrid w:val="0"/>
                      <w:color w:val="auto"/>
                      <w:kern w:val="0"/>
                      <w:szCs w:val="21"/>
                      <w:highlight w:val="none"/>
                    </w:rPr>
                    <w:t>标准值</w:t>
                  </w:r>
                </w:p>
              </w:tc>
              <w:tc>
                <w:tcPr>
                  <w:tcW w:w="578" w:type="pct"/>
                  <w:vMerge w:val="restart"/>
                  <w:noWrap w:val="0"/>
                  <w:vAlign w:val="center"/>
                </w:tcPr>
                <w:p w14:paraId="4AD11E22">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b/>
                      <w:bCs/>
                      <w:snapToGrid w:val="0"/>
                      <w:color w:val="auto"/>
                      <w:kern w:val="0"/>
                      <w:szCs w:val="21"/>
                      <w:highlight w:val="none"/>
                    </w:rPr>
                  </w:pPr>
                  <w:r>
                    <w:rPr>
                      <w:rFonts w:hint="default" w:ascii="Times New Roman" w:hAnsi="Times New Roman" w:eastAsia="宋体" w:cs="Times New Roman"/>
                      <w:b/>
                      <w:bCs/>
                      <w:snapToGrid w:val="0"/>
                      <w:color w:val="auto"/>
                      <w:kern w:val="0"/>
                      <w:szCs w:val="21"/>
                      <w:highlight w:val="none"/>
                    </w:rPr>
                    <w:t>单位</w:t>
                  </w:r>
                </w:p>
              </w:tc>
              <w:tc>
                <w:tcPr>
                  <w:tcW w:w="2319" w:type="pct"/>
                  <w:vMerge w:val="restart"/>
                  <w:noWrap w:val="0"/>
                  <w:vAlign w:val="center"/>
                </w:tcPr>
                <w:p w14:paraId="5782457A">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b/>
                      <w:bCs/>
                      <w:snapToGrid w:val="0"/>
                      <w:color w:val="auto"/>
                      <w:kern w:val="0"/>
                      <w:szCs w:val="21"/>
                      <w:highlight w:val="none"/>
                    </w:rPr>
                  </w:pPr>
                  <w:r>
                    <w:rPr>
                      <w:rFonts w:hint="default" w:ascii="Times New Roman" w:hAnsi="Times New Roman" w:eastAsia="宋体" w:cs="Times New Roman"/>
                      <w:b/>
                      <w:bCs/>
                      <w:snapToGrid w:val="0"/>
                      <w:color w:val="auto"/>
                      <w:kern w:val="0"/>
                      <w:szCs w:val="21"/>
                      <w:highlight w:val="none"/>
                    </w:rPr>
                    <w:t>标准来源</w:t>
                  </w:r>
                </w:p>
              </w:tc>
            </w:tr>
            <w:tr w14:paraId="2F46D6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38" w:hRule="atLeast"/>
                <w:jc w:val="center"/>
              </w:trPr>
              <w:tc>
                <w:tcPr>
                  <w:tcW w:w="701" w:type="pct"/>
                  <w:vMerge w:val="continue"/>
                  <w:noWrap w:val="0"/>
                  <w:vAlign w:val="center"/>
                </w:tcPr>
                <w:p w14:paraId="2C0C1DE9">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snapToGrid w:val="0"/>
                      <w:color w:val="auto"/>
                      <w:kern w:val="0"/>
                      <w:szCs w:val="21"/>
                      <w:highlight w:val="none"/>
                    </w:rPr>
                  </w:pPr>
                </w:p>
              </w:tc>
              <w:tc>
                <w:tcPr>
                  <w:tcW w:w="700" w:type="pct"/>
                  <w:noWrap w:val="0"/>
                  <w:vAlign w:val="center"/>
                </w:tcPr>
                <w:p w14:paraId="02008002">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b/>
                      <w:bCs/>
                      <w:snapToGrid w:val="0"/>
                      <w:color w:val="auto"/>
                      <w:kern w:val="0"/>
                      <w:szCs w:val="21"/>
                      <w:highlight w:val="none"/>
                    </w:rPr>
                  </w:pPr>
                  <w:r>
                    <w:rPr>
                      <w:rFonts w:hint="default" w:ascii="Times New Roman" w:hAnsi="Times New Roman" w:eastAsia="宋体" w:cs="Times New Roman"/>
                      <w:b/>
                      <w:bCs/>
                      <w:snapToGrid w:val="0"/>
                      <w:color w:val="auto"/>
                      <w:kern w:val="0"/>
                      <w:szCs w:val="21"/>
                      <w:highlight w:val="none"/>
                    </w:rPr>
                    <w:t>昼间</w:t>
                  </w:r>
                </w:p>
              </w:tc>
              <w:tc>
                <w:tcPr>
                  <w:tcW w:w="701" w:type="pct"/>
                  <w:noWrap w:val="0"/>
                  <w:vAlign w:val="center"/>
                </w:tcPr>
                <w:p w14:paraId="13E7F755">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b/>
                      <w:bCs/>
                      <w:snapToGrid w:val="0"/>
                      <w:color w:val="auto"/>
                      <w:kern w:val="0"/>
                      <w:szCs w:val="21"/>
                      <w:highlight w:val="none"/>
                    </w:rPr>
                  </w:pPr>
                  <w:r>
                    <w:rPr>
                      <w:rFonts w:hint="default" w:ascii="Times New Roman" w:hAnsi="Times New Roman" w:eastAsia="宋体" w:cs="Times New Roman"/>
                      <w:b/>
                      <w:bCs/>
                      <w:snapToGrid w:val="0"/>
                      <w:color w:val="auto"/>
                      <w:kern w:val="0"/>
                      <w:szCs w:val="21"/>
                      <w:highlight w:val="none"/>
                    </w:rPr>
                    <w:t>夜间</w:t>
                  </w:r>
                </w:p>
              </w:tc>
              <w:tc>
                <w:tcPr>
                  <w:tcW w:w="578" w:type="pct"/>
                  <w:vMerge w:val="continue"/>
                  <w:tcBorders>
                    <w:bottom w:val="single" w:color="auto" w:sz="4" w:space="0"/>
                  </w:tcBorders>
                  <w:noWrap w:val="0"/>
                  <w:vAlign w:val="center"/>
                </w:tcPr>
                <w:p w14:paraId="090B5089">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snapToGrid w:val="0"/>
                      <w:color w:val="auto"/>
                      <w:kern w:val="0"/>
                      <w:szCs w:val="21"/>
                      <w:highlight w:val="none"/>
                    </w:rPr>
                  </w:pPr>
                </w:p>
              </w:tc>
              <w:tc>
                <w:tcPr>
                  <w:tcW w:w="2319" w:type="pct"/>
                  <w:vMerge w:val="continue"/>
                  <w:tcBorders>
                    <w:bottom w:val="single" w:color="auto" w:sz="4" w:space="0"/>
                  </w:tcBorders>
                  <w:noWrap w:val="0"/>
                  <w:vAlign w:val="center"/>
                </w:tcPr>
                <w:p w14:paraId="3E0F9FC7">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snapToGrid w:val="0"/>
                      <w:color w:val="auto"/>
                      <w:kern w:val="0"/>
                      <w:szCs w:val="21"/>
                      <w:highlight w:val="none"/>
                    </w:rPr>
                  </w:pPr>
                </w:p>
              </w:tc>
            </w:tr>
            <w:tr w14:paraId="33ADC5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5" w:hRule="atLeast"/>
                <w:jc w:val="center"/>
              </w:trPr>
              <w:tc>
                <w:tcPr>
                  <w:tcW w:w="701" w:type="pct"/>
                  <w:tcBorders>
                    <w:top w:val="single" w:color="auto" w:sz="4" w:space="0"/>
                  </w:tcBorders>
                  <w:noWrap w:val="0"/>
                  <w:vAlign w:val="center"/>
                </w:tcPr>
                <w:p w14:paraId="5468592B">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运营期</w:t>
                  </w:r>
                </w:p>
              </w:tc>
              <w:tc>
                <w:tcPr>
                  <w:tcW w:w="700" w:type="pct"/>
                  <w:tcBorders>
                    <w:top w:val="single" w:color="auto" w:sz="4" w:space="0"/>
                    <w:bottom w:val="single" w:color="auto" w:sz="4" w:space="0"/>
                  </w:tcBorders>
                  <w:noWrap w:val="0"/>
                  <w:vAlign w:val="center"/>
                </w:tcPr>
                <w:p w14:paraId="61BBF409">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65</w:t>
                  </w:r>
                </w:p>
              </w:tc>
              <w:tc>
                <w:tcPr>
                  <w:tcW w:w="701" w:type="pct"/>
                  <w:tcBorders>
                    <w:top w:val="single" w:color="auto" w:sz="4" w:space="0"/>
                    <w:bottom w:val="single" w:color="auto" w:sz="4" w:space="0"/>
                  </w:tcBorders>
                  <w:noWrap w:val="0"/>
                  <w:vAlign w:val="center"/>
                </w:tcPr>
                <w:p w14:paraId="66600F7B">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55</w:t>
                  </w:r>
                </w:p>
              </w:tc>
              <w:tc>
                <w:tcPr>
                  <w:tcW w:w="578" w:type="pct"/>
                  <w:noWrap w:val="0"/>
                  <w:vAlign w:val="center"/>
                </w:tcPr>
                <w:p w14:paraId="477588B2">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dB(A)</w:t>
                  </w:r>
                </w:p>
              </w:tc>
              <w:tc>
                <w:tcPr>
                  <w:tcW w:w="2319" w:type="pct"/>
                  <w:tcBorders>
                    <w:top w:val="single" w:color="auto" w:sz="4" w:space="0"/>
                    <w:bottom w:val="single" w:color="auto" w:sz="4" w:space="0"/>
                  </w:tcBorders>
                  <w:noWrap w:val="0"/>
                  <w:vAlign w:val="center"/>
                </w:tcPr>
                <w:p w14:paraId="28223725">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《工业企业厂界环境噪声排放标准》（GB12348-2008）3类标准</w:t>
                  </w:r>
                </w:p>
              </w:tc>
            </w:tr>
          </w:tbl>
          <w:p w14:paraId="409AE358">
            <w:pPr>
              <w:keepNext w:val="0"/>
              <w:keepLines/>
              <w:pageBreakBefore w:val="0"/>
              <w:widowControl/>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lang w:val="en-US" w:eastAsia="zh-CN"/>
              </w:rPr>
              <w:t>3</w:t>
            </w:r>
            <w:r>
              <w:rPr>
                <w:rFonts w:hint="default" w:ascii="Times New Roman" w:hAnsi="Times New Roman" w:eastAsia="宋体" w:cs="Times New Roman"/>
                <w:b/>
                <w:bCs/>
                <w:color w:val="auto"/>
                <w:kern w:val="0"/>
                <w:sz w:val="24"/>
                <w:highlight w:val="none"/>
              </w:rPr>
              <w:t>、固体废物</w:t>
            </w:r>
          </w:p>
          <w:p w14:paraId="608C3A7E">
            <w:pPr>
              <w:pStyle w:val="78"/>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4"/>
                <w:highlight w:val="none"/>
                <w:lang w:val="en-US" w:eastAsia="zh-CN"/>
              </w:rPr>
              <w:t>本</w:t>
            </w:r>
            <w:r>
              <w:rPr>
                <w:rFonts w:hint="default" w:ascii="Times New Roman" w:hAnsi="Times New Roman" w:eastAsia="宋体" w:cs="Times New Roman"/>
                <w:color w:val="auto"/>
                <w:sz w:val="24"/>
                <w:highlight w:val="none"/>
                <w:lang w:eastAsia="zh-CN"/>
              </w:rPr>
              <w:t>项目一般固体废物处置执行《一般工业固体废物贮存和填埋污染控制标准》（GB18599-2020）中相关规定。</w:t>
            </w:r>
            <w:r>
              <w:rPr>
                <w:rFonts w:hint="default" w:ascii="Times New Roman" w:hAnsi="Times New Roman" w:eastAsia="宋体" w:cs="Times New Roman"/>
                <w:color w:val="auto"/>
                <w:sz w:val="24"/>
                <w:highlight w:val="none"/>
              </w:rPr>
              <w:t>生活垃圾参照执行《中华人民共和国固体废物污染环境防治法》（2020年9月1日起实施）中的相关规定要求。</w:t>
            </w:r>
          </w:p>
          <w:p w14:paraId="0128C1CB">
            <w:pPr>
              <w:rPr>
                <w:rFonts w:hint="default" w:ascii="Times New Roman" w:hAnsi="Times New Roman" w:cs="Times New Roman"/>
                <w:color w:val="auto"/>
                <w:highlight w:val="none"/>
              </w:rPr>
            </w:pPr>
          </w:p>
        </w:tc>
      </w:tr>
      <w:tr w14:paraId="353D6B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tcBorders>
              <w:tl2br w:val="nil"/>
              <w:tr2bl w:val="nil"/>
            </w:tcBorders>
            <w:vAlign w:val="center"/>
          </w:tcPr>
          <w:p w14:paraId="769AF3AB">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总</w:t>
            </w:r>
          </w:p>
          <w:p w14:paraId="2005C3E9">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量</w:t>
            </w:r>
          </w:p>
          <w:p w14:paraId="46C35385">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控</w:t>
            </w:r>
          </w:p>
          <w:p w14:paraId="398F5942">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制</w:t>
            </w:r>
          </w:p>
          <w:p w14:paraId="30C91B89">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指</w:t>
            </w:r>
          </w:p>
          <w:p w14:paraId="5474318D">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标</w:t>
            </w:r>
          </w:p>
        </w:tc>
        <w:tc>
          <w:tcPr>
            <w:tcW w:w="8200" w:type="dxa"/>
            <w:tcBorders>
              <w:tl2br w:val="nil"/>
              <w:tr2bl w:val="nil"/>
            </w:tcBorders>
            <w:vAlign w:val="center"/>
          </w:tcPr>
          <w:p w14:paraId="22853754">
            <w:pPr>
              <w:keepNext w:val="0"/>
              <w:keepLines w:val="0"/>
              <w:pageBreakBefore w:val="0"/>
              <w:widowControl/>
              <w:kinsoku/>
              <w:wordWrap/>
              <w:overflowPunct/>
              <w:topLinePunct w:val="0"/>
              <w:autoSpaceDE/>
              <w:autoSpaceDN/>
              <w:bidi w:val="0"/>
              <w:adjustRightInd/>
              <w:snapToGrid/>
              <w:spacing w:before="157" w:beforeLines="50" w:line="360" w:lineRule="auto"/>
              <w:ind w:firstLine="480" w:firstLineChars="200"/>
              <w:jc w:val="left"/>
              <w:textAlignment w:val="auto"/>
              <w:rPr>
                <w:rFonts w:hint="default" w:ascii="Times New Roman" w:hAnsi="Times New Roman" w:eastAsia="宋体" w:cs="Times New Roman"/>
                <w:color w:val="auto"/>
                <w:kern w:val="0"/>
                <w:sz w:val="24"/>
                <w:highlight w:val="none"/>
                <w:lang w:bidi="ar"/>
              </w:rPr>
            </w:pPr>
            <w:r>
              <w:rPr>
                <w:rFonts w:hint="default" w:ascii="Times New Roman" w:hAnsi="Times New Roman" w:cs="Times New Roman"/>
                <w:color w:val="auto"/>
                <w:sz w:val="24"/>
                <w:highlight w:val="none"/>
              </w:rPr>
              <w:t>根据《关于进一步改革和优化建设项目主要污染物排放总量核定工作的通知》（冀环总</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2014</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283号）</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《河北省主要污染物排污权确权管理 暂行办法》（冀环规范</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2022</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3号）</w:t>
            </w:r>
            <w:r>
              <w:rPr>
                <w:rFonts w:hint="default" w:ascii="Times New Roman" w:hAnsi="Times New Roman" w:cs="Times New Roman"/>
                <w:color w:val="auto"/>
                <w:sz w:val="24"/>
                <w:highlight w:val="none"/>
                <w:lang w:eastAsia="zh-CN"/>
              </w:rPr>
              <w:t>及</w:t>
            </w:r>
            <w:r>
              <w:rPr>
                <w:rFonts w:hint="default" w:ascii="Times New Roman" w:hAnsi="Times New Roman" w:cs="Times New Roman"/>
                <w:color w:val="auto"/>
                <w:sz w:val="24"/>
                <w:highlight w:val="none"/>
              </w:rPr>
              <w:t>《关于深化</w:t>
            </w:r>
            <w:r>
              <w:rPr>
                <w:rFonts w:hint="default" w:ascii="Times New Roman" w:hAnsi="Times New Roman" w:cs="Times New Roman"/>
                <w:color w:val="auto"/>
                <w:sz w:val="24"/>
                <w:highlight w:val="none"/>
              </w:rPr>
              <w:fldChar w:fldCharType="begin"/>
            </w:r>
            <w:r>
              <w:rPr>
                <w:rFonts w:hint="default" w:ascii="Times New Roman" w:hAnsi="Times New Roman" w:cs="Times New Roman"/>
                <w:color w:val="auto"/>
                <w:sz w:val="24"/>
                <w:highlight w:val="none"/>
              </w:rPr>
              <w:instrText xml:space="preserve"> HYPERLINK "https://huanbao.bjx.com.cn/topics/paiwuquanjiaoyi/" \t "https://huanbao.bjx.com.cn/news/20240129/_blank" </w:instrText>
            </w:r>
            <w:r>
              <w:rPr>
                <w:rFonts w:hint="default" w:ascii="Times New Roman" w:hAnsi="Times New Roman" w:cs="Times New Roman"/>
                <w:color w:val="auto"/>
                <w:sz w:val="24"/>
                <w:highlight w:val="none"/>
              </w:rPr>
              <w:fldChar w:fldCharType="separate"/>
            </w:r>
            <w:r>
              <w:rPr>
                <w:rFonts w:hint="default" w:ascii="Times New Roman" w:hAnsi="Times New Roman" w:cs="Times New Roman"/>
                <w:color w:val="auto"/>
                <w:sz w:val="24"/>
                <w:highlight w:val="none"/>
              </w:rPr>
              <w:t>排污权交易</w:t>
            </w:r>
            <w:r>
              <w:rPr>
                <w:rFonts w:hint="default" w:ascii="Times New Roman" w:hAnsi="Times New Roman" w:cs="Times New Roman"/>
                <w:color w:val="auto"/>
                <w:sz w:val="24"/>
                <w:highlight w:val="none"/>
              </w:rPr>
              <w:fldChar w:fldCharType="end"/>
            </w:r>
            <w:r>
              <w:rPr>
                <w:rFonts w:hint="default" w:ascii="Times New Roman" w:hAnsi="Times New Roman" w:cs="Times New Roman"/>
                <w:color w:val="auto"/>
                <w:sz w:val="24"/>
                <w:highlight w:val="none"/>
              </w:rPr>
              <w:t>改革的若干措施》</w:t>
            </w:r>
            <w:r>
              <w:rPr>
                <w:rFonts w:hint="default" w:ascii="Times New Roman" w:hAnsi="Times New Roman" w:cs="Times New Roman"/>
                <w:color w:val="auto"/>
                <w:sz w:val="24"/>
                <w:highlight w:val="none"/>
                <w:lang w:eastAsia="zh-CN"/>
              </w:rPr>
              <w:t>（冀环排污权</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eastAsia="zh-CN"/>
              </w:rPr>
              <w:t>2024</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eastAsia="zh-CN"/>
              </w:rPr>
              <w:t>6号）</w:t>
            </w:r>
            <w:r>
              <w:rPr>
                <w:rFonts w:hint="default" w:ascii="Times New Roman" w:hAnsi="Times New Roman" w:cs="Times New Roman"/>
                <w:color w:val="auto"/>
                <w:sz w:val="24"/>
                <w:highlight w:val="none"/>
              </w:rPr>
              <w:t>，</w:t>
            </w:r>
            <w:r>
              <w:rPr>
                <w:rFonts w:hint="default" w:ascii="Times New Roman" w:hAnsi="Times New Roman" w:cs="Times New Roman"/>
                <w:color w:val="auto"/>
                <w:sz w:val="24"/>
                <w:szCs w:val="24"/>
                <w:highlight w:val="none"/>
              </w:rPr>
              <w:t>根据建设项目污染物排放特征，确定本项目实施总量控制的污染物为</w:t>
            </w:r>
            <w:r>
              <w:rPr>
                <w:rFonts w:hint="default" w:ascii="Times New Roman" w:hAnsi="Times New Roman" w:eastAsia="宋体" w:cs="Times New Roman"/>
                <w:color w:val="auto"/>
                <w:kern w:val="0"/>
                <w:sz w:val="24"/>
                <w:highlight w:val="none"/>
                <w:lang w:bidi="ar"/>
              </w:rPr>
              <w:t>COD、氨氮、SO</w:t>
            </w:r>
            <w:r>
              <w:rPr>
                <w:rFonts w:hint="default" w:ascii="Times New Roman" w:hAnsi="Times New Roman" w:eastAsia="宋体" w:cs="Times New Roman"/>
                <w:color w:val="auto"/>
                <w:kern w:val="0"/>
                <w:sz w:val="24"/>
                <w:highlight w:val="none"/>
                <w:vertAlign w:val="subscript"/>
                <w:lang w:bidi="ar"/>
              </w:rPr>
              <w:t>2</w:t>
            </w:r>
            <w:r>
              <w:rPr>
                <w:rFonts w:hint="default" w:ascii="Times New Roman" w:hAnsi="Times New Roman" w:eastAsia="宋体" w:cs="Times New Roman"/>
                <w:color w:val="auto"/>
                <w:kern w:val="0"/>
                <w:sz w:val="24"/>
                <w:highlight w:val="none"/>
                <w:lang w:bidi="ar"/>
              </w:rPr>
              <w:t>、NOx。</w:t>
            </w:r>
          </w:p>
          <w:p w14:paraId="0CAA85C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bidi="ar"/>
              </w:rPr>
            </w:pPr>
            <w:r>
              <w:rPr>
                <w:rFonts w:hint="default" w:ascii="Times New Roman" w:hAnsi="Times New Roman" w:eastAsia="宋体" w:cs="Times New Roman"/>
                <w:color w:val="auto"/>
                <w:sz w:val="24"/>
                <w:szCs w:val="24"/>
                <w:highlight w:val="none"/>
                <w:lang w:bidi="ar"/>
              </w:rPr>
              <w:t>本项目不涉及SO</w:t>
            </w:r>
            <w:r>
              <w:rPr>
                <w:rFonts w:hint="default" w:ascii="Times New Roman" w:hAnsi="Times New Roman" w:eastAsia="宋体" w:cs="Times New Roman"/>
                <w:color w:val="auto"/>
                <w:sz w:val="24"/>
                <w:szCs w:val="24"/>
                <w:highlight w:val="none"/>
                <w:vertAlign w:val="subscript"/>
                <w:lang w:bidi="ar"/>
              </w:rPr>
              <w:t>2</w:t>
            </w:r>
            <w:r>
              <w:rPr>
                <w:rFonts w:hint="default" w:ascii="Times New Roman" w:hAnsi="Times New Roman" w:eastAsia="宋体" w:cs="Times New Roman"/>
                <w:color w:val="auto"/>
                <w:sz w:val="24"/>
                <w:szCs w:val="24"/>
                <w:highlight w:val="none"/>
                <w:lang w:bidi="ar"/>
              </w:rPr>
              <w:t>、NO</w:t>
            </w:r>
            <w:r>
              <w:rPr>
                <w:rFonts w:hint="default" w:ascii="Times New Roman" w:hAnsi="Times New Roman" w:eastAsia="宋体" w:cs="Times New Roman"/>
                <w:color w:val="auto"/>
                <w:sz w:val="24"/>
                <w:szCs w:val="24"/>
                <w:highlight w:val="none"/>
                <w:vertAlign w:val="subscript"/>
                <w:lang w:eastAsia="zh-CN" w:bidi="ar"/>
              </w:rPr>
              <w:t>X</w:t>
            </w:r>
            <w:r>
              <w:rPr>
                <w:rFonts w:hint="default" w:ascii="Times New Roman" w:hAnsi="Times New Roman" w:eastAsia="宋体" w:cs="Times New Roman"/>
                <w:color w:val="auto"/>
                <w:sz w:val="24"/>
                <w:szCs w:val="24"/>
                <w:highlight w:val="none"/>
                <w:lang w:bidi="ar"/>
              </w:rPr>
              <w:t>排放</w:t>
            </w:r>
            <w:r>
              <w:rPr>
                <w:rFonts w:hint="default" w:ascii="Times New Roman" w:hAnsi="Times New Roman" w:eastAsia="宋体" w:cs="Times New Roman"/>
                <w:color w:val="auto"/>
                <w:kern w:val="0"/>
                <w:sz w:val="24"/>
                <w:highlight w:val="none"/>
                <w:lang w:eastAsia="zh-CN" w:bidi="ar"/>
              </w:rPr>
              <w:t>。</w:t>
            </w:r>
            <w:r>
              <w:rPr>
                <w:rFonts w:hint="default" w:ascii="Times New Roman" w:hAnsi="Times New Roman" w:eastAsia="宋体" w:cs="Times New Roman"/>
                <w:color w:val="auto"/>
                <w:kern w:val="0"/>
                <w:sz w:val="24"/>
                <w:highlight w:val="none"/>
                <w:lang w:bidi="ar"/>
              </w:rPr>
              <w:t>项目</w:t>
            </w:r>
            <w:r>
              <w:rPr>
                <w:rFonts w:hint="default" w:ascii="Times New Roman" w:hAnsi="Times New Roman" w:eastAsia="宋体" w:cs="Times New Roman"/>
                <w:color w:val="auto"/>
                <w:kern w:val="0"/>
                <w:sz w:val="24"/>
                <w:highlight w:val="none"/>
                <w:lang w:val="en-US" w:eastAsia="zh-CN" w:bidi="ar"/>
              </w:rPr>
              <w:t>清洗废水经沉淀池沉淀后回用于生产，不外排；</w:t>
            </w:r>
            <w:r>
              <w:rPr>
                <w:rFonts w:hint="default" w:ascii="Times New Roman" w:hAnsi="Times New Roman" w:eastAsia="宋体" w:cs="Times New Roman"/>
                <w:color w:val="auto"/>
                <w:kern w:val="0"/>
                <w:sz w:val="24"/>
                <w:highlight w:val="none"/>
                <w:lang w:bidi="ar"/>
              </w:rPr>
              <w:t>生活污水进入化粪池处理，定期清掏用作农肥，不外排。</w:t>
            </w:r>
            <w:r>
              <w:rPr>
                <w:rFonts w:hint="default" w:ascii="Times New Roman" w:hAnsi="Times New Roman" w:eastAsia="宋体" w:cs="Times New Roman"/>
                <w:color w:val="auto"/>
                <w:kern w:val="0"/>
                <w:sz w:val="24"/>
                <w:highlight w:val="none"/>
                <w:lang w:eastAsia="zh-CN" w:bidi="ar"/>
              </w:rPr>
              <w:t>因此，本项目</w:t>
            </w:r>
            <w:r>
              <w:rPr>
                <w:rFonts w:hint="default" w:ascii="Times New Roman" w:hAnsi="Times New Roman" w:eastAsia="宋体" w:cs="Times New Roman"/>
                <w:color w:val="auto"/>
                <w:kern w:val="0"/>
                <w:sz w:val="24"/>
                <w:highlight w:val="none"/>
                <w:lang w:bidi="ar"/>
              </w:rPr>
              <w:t>总量</w:t>
            </w:r>
            <w:r>
              <w:rPr>
                <w:rFonts w:hint="default" w:ascii="Times New Roman" w:hAnsi="Times New Roman" w:eastAsia="宋体" w:cs="Times New Roman"/>
                <w:color w:val="auto"/>
                <w:kern w:val="0"/>
                <w:sz w:val="24"/>
                <w:szCs w:val="24"/>
                <w:highlight w:val="none"/>
                <w:lang w:bidi="ar"/>
              </w:rPr>
              <w:t>控制指标为SO</w:t>
            </w:r>
            <w:r>
              <w:rPr>
                <w:rFonts w:hint="default" w:ascii="Times New Roman" w:hAnsi="Times New Roman" w:eastAsia="宋体" w:cs="Times New Roman"/>
                <w:color w:val="auto"/>
                <w:kern w:val="0"/>
                <w:sz w:val="24"/>
                <w:szCs w:val="24"/>
                <w:highlight w:val="none"/>
                <w:vertAlign w:val="subscript"/>
                <w:lang w:bidi="ar"/>
              </w:rPr>
              <w:t>2</w:t>
            </w:r>
            <w:r>
              <w:rPr>
                <w:rFonts w:hint="default" w:ascii="Times New Roman" w:hAnsi="Times New Roman" w:eastAsia="宋体" w:cs="Times New Roman"/>
                <w:color w:val="auto"/>
                <w:kern w:val="0"/>
                <w:sz w:val="24"/>
                <w:szCs w:val="24"/>
                <w:highlight w:val="none"/>
                <w:lang w:bidi="ar"/>
              </w:rPr>
              <w:t>0t/a、NO</w:t>
            </w:r>
            <w:r>
              <w:rPr>
                <w:rFonts w:hint="default" w:ascii="Times New Roman" w:hAnsi="Times New Roman" w:eastAsia="宋体" w:cs="Times New Roman"/>
                <w:color w:val="auto"/>
                <w:kern w:val="0"/>
                <w:sz w:val="24"/>
                <w:szCs w:val="24"/>
                <w:highlight w:val="none"/>
                <w:vertAlign w:val="subscript"/>
                <w:lang w:bidi="ar"/>
              </w:rPr>
              <w:t>x</w:t>
            </w:r>
            <w:r>
              <w:rPr>
                <w:rFonts w:hint="default" w:ascii="Times New Roman" w:hAnsi="Times New Roman" w:eastAsia="宋体" w:cs="Times New Roman"/>
                <w:color w:val="auto"/>
                <w:kern w:val="0"/>
                <w:sz w:val="24"/>
                <w:szCs w:val="24"/>
                <w:highlight w:val="none"/>
                <w:lang w:bidi="ar"/>
              </w:rPr>
              <w:t>0t/a，COD0t/a、氨氮0t/a。</w:t>
            </w:r>
          </w:p>
          <w:p w14:paraId="2358F3E1">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napToGrid w:val="0"/>
                <w:color w:val="auto"/>
                <w:sz w:val="24"/>
                <w:szCs w:val="24"/>
                <w:highlight w:val="none"/>
                <w:lang w:eastAsia="zh-CN"/>
              </w:rPr>
            </w:pPr>
            <w:r>
              <w:rPr>
                <w:rFonts w:hint="default" w:ascii="Times New Roman" w:hAnsi="Times New Roman" w:eastAsia="宋体" w:cs="Times New Roman"/>
                <w:bCs/>
                <w:snapToGrid w:val="0"/>
                <w:color w:val="auto"/>
                <w:sz w:val="24"/>
                <w:szCs w:val="24"/>
                <w:highlight w:val="none"/>
                <w:lang w:eastAsia="zh-CN"/>
              </w:rPr>
              <w:t>综上，</w:t>
            </w:r>
            <w:r>
              <w:rPr>
                <w:rFonts w:hint="default" w:ascii="Times New Roman" w:hAnsi="Times New Roman" w:eastAsia="宋体" w:cs="Times New Roman"/>
                <w:bCs/>
                <w:snapToGrid w:val="0"/>
                <w:color w:val="auto"/>
                <w:sz w:val="24"/>
                <w:szCs w:val="24"/>
                <w:highlight w:val="none"/>
                <w:lang w:val="en-US" w:eastAsia="zh-CN"/>
              </w:rPr>
              <w:t>建设单位</w:t>
            </w:r>
            <w:r>
              <w:rPr>
                <w:rFonts w:hint="default" w:ascii="Times New Roman" w:hAnsi="Times New Roman" w:eastAsia="宋体" w:cs="Times New Roman"/>
                <w:snapToGrid w:val="0"/>
                <w:color w:val="auto"/>
                <w:sz w:val="24"/>
                <w:szCs w:val="24"/>
                <w:highlight w:val="none"/>
              </w:rPr>
              <w:t>污染物总量控制指标为</w:t>
            </w:r>
            <w:r>
              <w:rPr>
                <w:rFonts w:hint="default" w:ascii="Times New Roman" w:hAnsi="Times New Roman" w:eastAsia="宋体" w:cs="Times New Roman"/>
                <w:bCs/>
                <w:snapToGrid w:val="0"/>
                <w:color w:val="auto"/>
                <w:sz w:val="24"/>
                <w:szCs w:val="24"/>
                <w:highlight w:val="none"/>
              </w:rPr>
              <w:t>COD：</w:t>
            </w:r>
            <w:r>
              <w:rPr>
                <w:rFonts w:hint="default" w:ascii="Times New Roman" w:hAnsi="Times New Roman" w:eastAsia="宋体" w:cs="Times New Roman"/>
                <w:bCs/>
                <w:snapToGrid w:val="0"/>
                <w:color w:val="auto"/>
                <w:sz w:val="24"/>
                <w:szCs w:val="24"/>
                <w:highlight w:val="none"/>
                <w:lang w:eastAsia="zh-CN"/>
              </w:rPr>
              <w:t>0</w:t>
            </w:r>
            <w:r>
              <w:rPr>
                <w:rFonts w:hint="default" w:ascii="Times New Roman" w:hAnsi="Times New Roman" w:eastAsia="宋体" w:cs="Times New Roman"/>
                <w:bCs/>
                <w:snapToGrid w:val="0"/>
                <w:color w:val="auto"/>
                <w:sz w:val="24"/>
                <w:szCs w:val="24"/>
                <w:highlight w:val="none"/>
              </w:rPr>
              <w:t>t/a、</w:t>
            </w:r>
            <w:r>
              <w:rPr>
                <w:rFonts w:hint="default" w:ascii="Times New Roman" w:hAnsi="Times New Roman" w:eastAsia="宋体" w:cs="Times New Roman"/>
                <w:bCs/>
                <w:snapToGrid w:val="0"/>
                <w:color w:val="auto"/>
                <w:sz w:val="24"/>
                <w:szCs w:val="24"/>
                <w:highlight w:val="none"/>
                <w:lang w:eastAsia="zh-CN"/>
              </w:rPr>
              <w:t>氨氮</w:t>
            </w:r>
            <w:r>
              <w:rPr>
                <w:rFonts w:hint="default" w:ascii="Times New Roman" w:hAnsi="Times New Roman" w:eastAsia="宋体" w:cs="Times New Roman"/>
                <w:bCs/>
                <w:snapToGrid w:val="0"/>
                <w:color w:val="auto"/>
                <w:sz w:val="24"/>
                <w:szCs w:val="24"/>
                <w:highlight w:val="none"/>
              </w:rPr>
              <w:t>：</w:t>
            </w:r>
            <w:r>
              <w:rPr>
                <w:rFonts w:hint="default" w:ascii="Times New Roman" w:hAnsi="Times New Roman" w:eastAsia="宋体" w:cs="Times New Roman"/>
                <w:bCs/>
                <w:snapToGrid w:val="0"/>
                <w:color w:val="auto"/>
                <w:sz w:val="24"/>
                <w:szCs w:val="24"/>
                <w:highlight w:val="none"/>
                <w:lang w:eastAsia="zh-CN"/>
              </w:rPr>
              <w:t>0</w:t>
            </w:r>
            <w:r>
              <w:rPr>
                <w:rFonts w:hint="default" w:ascii="Times New Roman" w:hAnsi="Times New Roman" w:eastAsia="宋体" w:cs="Times New Roman"/>
                <w:bCs/>
                <w:snapToGrid w:val="0"/>
                <w:color w:val="auto"/>
                <w:sz w:val="24"/>
                <w:szCs w:val="24"/>
                <w:highlight w:val="none"/>
              </w:rPr>
              <w:t>t/a、SO</w:t>
            </w:r>
            <w:r>
              <w:rPr>
                <w:rFonts w:hint="default" w:ascii="Times New Roman" w:hAnsi="Times New Roman" w:eastAsia="宋体" w:cs="Times New Roman"/>
                <w:bCs/>
                <w:snapToGrid w:val="0"/>
                <w:color w:val="auto"/>
                <w:sz w:val="24"/>
                <w:szCs w:val="24"/>
                <w:highlight w:val="none"/>
                <w:vertAlign w:val="subscript"/>
              </w:rPr>
              <w:t>2</w:t>
            </w:r>
            <w:r>
              <w:rPr>
                <w:rFonts w:hint="default" w:ascii="Times New Roman" w:hAnsi="Times New Roman" w:eastAsia="宋体" w:cs="Times New Roman"/>
                <w:bCs/>
                <w:snapToGrid w:val="0"/>
                <w:color w:val="auto"/>
                <w:sz w:val="24"/>
                <w:szCs w:val="24"/>
                <w:highlight w:val="none"/>
              </w:rPr>
              <w:t>：</w:t>
            </w:r>
            <w:r>
              <w:rPr>
                <w:rFonts w:hint="default" w:ascii="Times New Roman" w:hAnsi="Times New Roman" w:eastAsia="宋体" w:cs="Times New Roman"/>
                <w:bCs/>
                <w:snapToGrid w:val="0"/>
                <w:color w:val="auto"/>
                <w:sz w:val="24"/>
                <w:szCs w:val="24"/>
                <w:highlight w:val="none"/>
                <w:lang w:eastAsia="zh-CN"/>
              </w:rPr>
              <w:t>0</w:t>
            </w:r>
            <w:r>
              <w:rPr>
                <w:rFonts w:hint="default" w:ascii="Times New Roman" w:hAnsi="Times New Roman" w:eastAsia="宋体" w:cs="Times New Roman"/>
                <w:bCs/>
                <w:snapToGrid w:val="0"/>
                <w:color w:val="auto"/>
                <w:sz w:val="24"/>
                <w:szCs w:val="24"/>
                <w:highlight w:val="none"/>
              </w:rPr>
              <w:t>t/a、</w:t>
            </w:r>
            <w:r>
              <w:rPr>
                <w:rFonts w:hint="default" w:ascii="Times New Roman" w:hAnsi="Times New Roman" w:eastAsia="宋体" w:cs="Times New Roman"/>
                <w:color w:val="auto"/>
                <w:sz w:val="24"/>
                <w:szCs w:val="24"/>
                <w:highlight w:val="none"/>
                <w:lang w:bidi="ar"/>
              </w:rPr>
              <w:t>NO</w:t>
            </w:r>
            <w:r>
              <w:rPr>
                <w:rFonts w:hint="default" w:ascii="Times New Roman" w:hAnsi="Times New Roman" w:eastAsia="宋体" w:cs="Times New Roman"/>
                <w:color w:val="auto"/>
                <w:sz w:val="24"/>
                <w:szCs w:val="24"/>
                <w:highlight w:val="none"/>
                <w:vertAlign w:val="subscript"/>
                <w:lang w:eastAsia="zh-CN" w:bidi="ar"/>
              </w:rPr>
              <w:t>X</w:t>
            </w:r>
            <w:r>
              <w:rPr>
                <w:rFonts w:hint="default" w:ascii="Times New Roman" w:hAnsi="Times New Roman" w:eastAsia="宋体" w:cs="Times New Roman"/>
                <w:bCs/>
                <w:snapToGrid w:val="0"/>
                <w:color w:val="auto"/>
                <w:sz w:val="24"/>
                <w:szCs w:val="24"/>
                <w:highlight w:val="none"/>
              </w:rPr>
              <w:t>：</w:t>
            </w:r>
            <w:r>
              <w:rPr>
                <w:rFonts w:hint="default" w:ascii="Times New Roman" w:hAnsi="Times New Roman" w:eastAsia="宋体" w:cs="Times New Roman"/>
                <w:bCs/>
                <w:snapToGrid w:val="0"/>
                <w:color w:val="auto"/>
                <w:sz w:val="24"/>
                <w:szCs w:val="24"/>
                <w:highlight w:val="none"/>
                <w:lang w:eastAsia="zh-CN"/>
              </w:rPr>
              <w:t>0</w:t>
            </w:r>
            <w:r>
              <w:rPr>
                <w:rFonts w:hint="default" w:ascii="Times New Roman" w:hAnsi="Times New Roman" w:eastAsia="宋体" w:cs="Times New Roman"/>
                <w:bCs/>
                <w:snapToGrid w:val="0"/>
                <w:color w:val="auto"/>
                <w:sz w:val="24"/>
                <w:szCs w:val="24"/>
                <w:highlight w:val="none"/>
              </w:rPr>
              <w:t>t/a</w:t>
            </w:r>
            <w:r>
              <w:rPr>
                <w:rFonts w:hint="default" w:ascii="Times New Roman" w:hAnsi="Times New Roman" w:eastAsia="宋体" w:cs="Times New Roman"/>
                <w:bCs/>
                <w:snapToGrid w:val="0"/>
                <w:color w:val="auto"/>
                <w:sz w:val="24"/>
                <w:szCs w:val="24"/>
                <w:highlight w:val="none"/>
                <w:lang w:eastAsia="zh-CN"/>
              </w:rPr>
              <w:t>。</w:t>
            </w:r>
          </w:p>
          <w:p w14:paraId="7E6B0214">
            <w:pPr>
              <w:pStyle w:val="2"/>
              <w:rPr>
                <w:rFonts w:hint="default" w:ascii="Times New Roman" w:hAnsi="Times New Roman" w:eastAsia="宋体" w:cs="Times New Roman"/>
                <w:bCs/>
                <w:snapToGrid w:val="0"/>
                <w:color w:val="auto"/>
                <w:sz w:val="24"/>
                <w:szCs w:val="24"/>
                <w:highlight w:val="none"/>
                <w:lang w:eastAsia="zh-CN"/>
              </w:rPr>
            </w:pPr>
          </w:p>
          <w:p w14:paraId="652954B8">
            <w:pPr>
              <w:pStyle w:val="3"/>
              <w:rPr>
                <w:rFonts w:hint="default" w:ascii="Times New Roman" w:hAnsi="Times New Roman" w:eastAsia="宋体" w:cs="Times New Roman"/>
                <w:bCs/>
                <w:snapToGrid w:val="0"/>
                <w:color w:val="auto"/>
                <w:sz w:val="24"/>
                <w:szCs w:val="24"/>
                <w:highlight w:val="none"/>
                <w:lang w:eastAsia="zh-CN"/>
              </w:rPr>
            </w:pPr>
          </w:p>
          <w:p w14:paraId="4399E20A">
            <w:pPr>
              <w:rPr>
                <w:rFonts w:hint="default" w:ascii="Times New Roman" w:hAnsi="Times New Roman" w:eastAsia="宋体" w:cs="Times New Roman"/>
                <w:bCs/>
                <w:snapToGrid w:val="0"/>
                <w:color w:val="auto"/>
                <w:sz w:val="24"/>
                <w:szCs w:val="24"/>
                <w:highlight w:val="none"/>
                <w:lang w:eastAsia="zh-CN"/>
              </w:rPr>
            </w:pPr>
          </w:p>
          <w:p w14:paraId="673061D3">
            <w:pPr>
              <w:pStyle w:val="3"/>
              <w:rPr>
                <w:rFonts w:hint="default" w:ascii="Times New Roman" w:hAnsi="Times New Roman" w:eastAsia="宋体" w:cs="Times New Roman"/>
                <w:bCs/>
                <w:snapToGrid w:val="0"/>
                <w:color w:val="auto"/>
                <w:sz w:val="24"/>
                <w:szCs w:val="24"/>
                <w:highlight w:val="none"/>
                <w:lang w:eastAsia="zh-CN"/>
              </w:rPr>
            </w:pPr>
          </w:p>
          <w:p w14:paraId="1F6EB0EF">
            <w:pPr>
              <w:rPr>
                <w:rFonts w:hint="default" w:ascii="Times New Roman" w:hAnsi="Times New Roman" w:eastAsia="宋体" w:cs="Times New Roman"/>
                <w:bCs/>
                <w:snapToGrid w:val="0"/>
                <w:color w:val="auto"/>
                <w:sz w:val="24"/>
                <w:szCs w:val="24"/>
                <w:highlight w:val="none"/>
                <w:lang w:eastAsia="zh-CN"/>
              </w:rPr>
            </w:pPr>
          </w:p>
          <w:p w14:paraId="0FEDF73D">
            <w:pPr>
              <w:pStyle w:val="2"/>
              <w:rPr>
                <w:rFonts w:hint="default" w:ascii="Times New Roman" w:hAnsi="Times New Roman" w:eastAsia="宋体" w:cs="Times New Roman"/>
                <w:bCs/>
                <w:snapToGrid w:val="0"/>
                <w:color w:val="auto"/>
                <w:sz w:val="24"/>
                <w:szCs w:val="24"/>
                <w:highlight w:val="none"/>
                <w:lang w:eastAsia="zh-CN"/>
              </w:rPr>
            </w:pPr>
          </w:p>
          <w:p w14:paraId="564EC143">
            <w:pPr>
              <w:pStyle w:val="3"/>
              <w:rPr>
                <w:rFonts w:hint="default" w:ascii="Times New Roman" w:hAnsi="Times New Roman" w:eastAsia="宋体" w:cs="Times New Roman"/>
                <w:bCs/>
                <w:snapToGrid w:val="0"/>
                <w:color w:val="auto"/>
                <w:sz w:val="24"/>
                <w:szCs w:val="24"/>
                <w:highlight w:val="none"/>
                <w:lang w:eastAsia="zh-CN"/>
              </w:rPr>
            </w:pPr>
          </w:p>
          <w:p w14:paraId="0E8522B9">
            <w:pPr>
              <w:rPr>
                <w:rFonts w:hint="default" w:ascii="Times New Roman" w:hAnsi="Times New Roman" w:eastAsia="宋体" w:cs="Times New Roman"/>
                <w:bCs/>
                <w:snapToGrid w:val="0"/>
                <w:color w:val="auto"/>
                <w:sz w:val="24"/>
                <w:szCs w:val="24"/>
                <w:highlight w:val="none"/>
                <w:lang w:eastAsia="zh-CN"/>
              </w:rPr>
            </w:pPr>
          </w:p>
          <w:p w14:paraId="50EEA2B2">
            <w:pPr>
              <w:pStyle w:val="2"/>
              <w:rPr>
                <w:rFonts w:hint="default" w:ascii="Times New Roman" w:hAnsi="Times New Roman" w:cs="Times New Roman"/>
                <w:color w:val="auto"/>
                <w:highlight w:val="none"/>
                <w:lang w:eastAsia="zh-CN"/>
              </w:rPr>
            </w:pPr>
          </w:p>
        </w:tc>
      </w:tr>
    </w:tbl>
    <w:p w14:paraId="587C2AB1">
      <w:pPr>
        <w:pStyle w:val="36"/>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6"/>
          <w:szCs w:val="36"/>
          <w:highlight w:val="none"/>
        </w:rPr>
        <w:br w:type="page"/>
      </w:r>
      <w:r>
        <w:rPr>
          <w:rFonts w:hint="default" w:ascii="Times New Roman" w:hAnsi="Times New Roman" w:eastAsia="黑体" w:cs="Times New Roman"/>
          <w:snapToGrid w:val="0"/>
          <w:color w:val="auto"/>
          <w:sz w:val="30"/>
          <w:szCs w:val="30"/>
          <w:highlight w:val="none"/>
        </w:rPr>
        <w:t>四、主要环境影响和保护措施</w:t>
      </w:r>
    </w:p>
    <w:tbl>
      <w:tblPr>
        <w:tblStyle w:val="40"/>
        <w:tblW w:w="90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8253"/>
      </w:tblGrid>
      <w:tr w14:paraId="551BBF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08" w:type="dxa"/>
            <w:tcMar>
              <w:left w:w="28" w:type="dxa"/>
              <w:right w:w="28" w:type="dxa"/>
            </w:tcMar>
            <w:vAlign w:val="center"/>
          </w:tcPr>
          <w:p w14:paraId="41308783">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施工</w:t>
            </w:r>
          </w:p>
          <w:p w14:paraId="250800D2">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期环</w:t>
            </w:r>
          </w:p>
          <w:p w14:paraId="38FC47EE">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境保</w:t>
            </w:r>
          </w:p>
          <w:p w14:paraId="12EEC4A3">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护措</w:t>
            </w:r>
          </w:p>
          <w:p w14:paraId="4227A093">
            <w:pPr>
              <w:pStyle w:val="36"/>
              <w:adjustRightInd w:val="0"/>
              <w:snapToGrid w:val="0"/>
              <w:spacing w:before="0" w:beforeAutospacing="0" w:after="0" w:afterAutospacing="0"/>
              <w:jc w:val="center"/>
              <w:rPr>
                <w:rFonts w:hint="default" w:ascii="Times New Roman" w:hAnsi="Times New Roman" w:cs="Times New Roman"/>
                <w:bCs/>
                <w:color w:val="auto"/>
                <w:kern w:val="2"/>
                <w:sz w:val="21"/>
                <w:szCs w:val="21"/>
                <w:highlight w:val="none"/>
              </w:rPr>
            </w:pPr>
            <w:r>
              <w:rPr>
                <w:rFonts w:hint="default" w:ascii="Times New Roman" w:hAnsi="Times New Roman" w:cs="Times New Roman"/>
                <w:color w:val="auto"/>
                <w:highlight w:val="none"/>
              </w:rPr>
              <w:t>施</w:t>
            </w:r>
          </w:p>
        </w:tc>
        <w:tc>
          <w:tcPr>
            <w:tcW w:w="8253" w:type="dxa"/>
            <w:vAlign w:val="center"/>
          </w:tcPr>
          <w:p w14:paraId="2C19FF3B">
            <w:pPr>
              <w:pageBreakBefore w:val="0"/>
              <w:wordWrap w:val="0"/>
              <w:overflowPunct/>
              <w:topLinePunct w:val="0"/>
              <w:autoSpaceDE w:val="0"/>
              <w:autoSpaceDN w:val="0"/>
              <w:bidi w:val="0"/>
              <w:adjustRightInd w:val="0"/>
              <w:spacing w:after="0" w:line="360" w:lineRule="auto"/>
              <w:ind w:firstLine="480" w:firstLineChars="20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sz w:val="24"/>
                <w:szCs w:val="24"/>
                <w:highlight w:val="none"/>
              </w:rPr>
              <w:t>本项目属于新建项目，新建厂房</w:t>
            </w:r>
            <w:r>
              <w:rPr>
                <w:rFonts w:hint="default" w:ascii="Times New Roman" w:hAnsi="Times New Roman" w:eastAsia="宋体" w:cs="Times New Roman"/>
                <w:color w:val="auto"/>
                <w:kern w:val="0"/>
                <w:sz w:val="24"/>
                <w:szCs w:val="24"/>
                <w:highlight w:val="none"/>
              </w:rPr>
              <w:t>施工期产生的废气污染物为扬尘；施工期污水主要是职工生活污水；噪声主要是建筑施工噪声、拆卸以及设备安装噪声；固废污染源主要是建筑垃圾和生活垃圾。</w:t>
            </w:r>
          </w:p>
          <w:p w14:paraId="0731A617">
            <w:pPr>
              <w:pStyle w:val="36"/>
              <w:pageBreakBefore w:val="0"/>
              <w:wordWrap w:val="0"/>
              <w:overflowPunct/>
              <w:topLinePunct w:val="0"/>
              <w:bidi w:val="0"/>
              <w:spacing w:before="0" w:beforeAutospacing="0" w:after="0" w:afterAutospacing="0" w:line="360" w:lineRule="auto"/>
              <w:ind w:firstLine="482" w:firstLineChars="200"/>
              <w:jc w:val="both"/>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1、大气环境影响分析</w:t>
            </w:r>
          </w:p>
          <w:p w14:paraId="4B77A28C">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（1）施工期扬尘治理措施</w:t>
            </w:r>
          </w:p>
          <w:p w14:paraId="6486DF54">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为有效控制施工期扬尘影响，根据《河北省扬尘污染防治办法》（省政府办公厅，2020年4月1日施行）中有关施工扬尘的管理规定，建设工程施工应当符合下列防尘要求： </w:t>
            </w:r>
          </w:p>
          <w:p w14:paraId="5423D8E3">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（一）在施工现场出入口明显位置设置公示牌，公示施工现场负责人、环保监督员、防尘措施、扬尘监督管理部门、举报投诉电话等信息；</w:t>
            </w:r>
          </w:p>
          <w:p w14:paraId="278248F3">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（二）在施工现场周边设置硬质封闭围挡或者围墙，位于主要路段的，高度不低于2.5米，位于一般路段的，高度不低于1.8米，并在围挡底端设置不低于0.2米的防溢座；</w:t>
            </w:r>
          </w:p>
          <w:p w14:paraId="6AB2BFC8">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（三）对施工现场出入口、场内施工道路、材料加工堆放区、办公区、生活区进行硬化处理，并保持地面整洁；</w:t>
            </w:r>
          </w:p>
          <w:p w14:paraId="2B4CC668">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（四）在施工现场出口处设置车辆清洗设施并配套设置排水、泥浆沉淀设施，车辆冲洗干净后方可驶出；</w:t>
            </w:r>
          </w:p>
          <w:p w14:paraId="72DF1840">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（五）按照规定使用预拌混凝土、预拌砂浆等建筑材料，只能现场搅拌的，应当采取防尘措施；</w:t>
            </w:r>
          </w:p>
          <w:p w14:paraId="0BD8CAF1">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（六）在施工工地内堆放水泥、灰土、砂石、建筑土方等易产生扬尘的粉状、粒状建筑材料的，应当采取密闭或者遮盖等防尘措施，装卸、搬运时应当采取防尘措施；</w:t>
            </w:r>
          </w:p>
          <w:p w14:paraId="4038917C">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（七）建筑垃圾应当及时清运，在场地内堆存的，应当集中堆放并采取密闭或者遮盖等防尘措施；</w:t>
            </w:r>
            <w:r>
              <w:rPr>
                <w:rFonts w:hint="default" w:ascii="Times New Roman" w:hAnsi="Times New Roman" w:eastAsia="宋体" w:cs="Times New Roman"/>
                <w:color w:val="auto"/>
                <w:sz w:val="24"/>
                <w:szCs w:val="24"/>
                <w:highlight w:val="none"/>
                <w:lang w:val="en-US" w:eastAsia="zh-CN"/>
              </w:rPr>
              <w:t xml:space="preserve">  </w:t>
            </w:r>
          </w:p>
          <w:p w14:paraId="7A53D72B">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（八）在施工工地同步安装视频监控设备和扬尘污染物在线监测设备，分别与建设主管部门、生态环境主管部门的监控设备联网，并保证系统正常运行</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发生故障应当在二十四小时内修复；</w:t>
            </w:r>
          </w:p>
          <w:p w14:paraId="09138A07">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堆放易产生扬尘物料的场所，应当符合下列防尘要求：</w:t>
            </w:r>
          </w:p>
          <w:p w14:paraId="07998988">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（一）划分物料区域和道路界限，及时清除散落的物料，保持物料堆放区域和道路整洁；</w:t>
            </w:r>
          </w:p>
          <w:p w14:paraId="37BB3B9F">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（二）场地进行硬化处理，并及时清扫、清洗；</w:t>
            </w:r>
          </w:p>
          <w:p w14:paraId="76C08AE2">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（三）物料堆场周边设置高于堆存物料的围挡、防风网等设施，并采取遮盖、喷淋等防尘措施；</w:t>
            </w:r>
          </w:p>
          <w:p w14:paraId="689A53BA">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（四）露天装卸作业的，应当采取洒水等防尘措施，采用密闭输送设备作业的，在装料、卸料处配备吸尘、喷淋等防尘设施，并保持防尘设施正常使用；</w:t>
            </w:r>
          </w:p>
          <w:p w14:paraId="692E48AF">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（五）出口应当硬化地面并设置车辆清洗保洁设施，车辆冲洗干净后方可驶出；</w:t>
            </w:r>
          </w:p>
          <w:p w14:paraId="4B144F85">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（六）同步安装视频监控设备和扬尘污染物在线监测设备，并与生态环境主管部门及其他负有扬尘污染防治监督管理职责的部门的监控设备联网，保证系统正常运行</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发生故障应当在二十四小时内修复；</w:t>
            </w:r>
          </w:p>
          <w:p w14:paraId="2EDA2081">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此外，扬尘防治还应遵循“扬尘防治八个百分百”：</w:t>
            </w:r>
          </w:p>
          <w:p w14:paraId="66945A0B">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（一）现场封闭管理100%；</w:t>
            </w:r>
          </w:p>
          <w:p w14:paraId="0E414AC0">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（二）现场湿法作业100%；</w:t>
            </w:r>
          </w:p>
          <w:p w14:paraId="4F336FA6">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（三）施工道路硬化100%；</w:t>
            </w:r>
          </w:p>
          <w:p w14:paraId="7CEE7425">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（四）渣土物料覆盖100%；</w:t>
            </w:r>
          </w:p>
          <w:p w14:paraId="46400569">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（五）物料密闭运输100%；</w:t>
            </w:r>
          </w:p>
          <w:p w14:paraId="1C61F91B">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（六）出入车辆清洗100%；</w:t>
            </w:r>
          </w:p>
          <w:p w14:paraId="4B4FD574">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（七）扬尘监控安装100%；</w:t>
            </w:r>
          </w:p>
          <w:p w14:paraId="2B341A82">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（八）工地内非道路移动机械车辆100%达标。</w:t>
            </w:r>
          </w:p>
          <w:p w14:paraId="31B01F33">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除施工扬尘外，禁止在工地内熔融沥青，焚烧油毡、油漆以及其它产生有害、有毒气体和烟尘的物品。</w:t>
            </w:r>
          </w:p>
          <w:p w14:paraId="21F46287">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通过采取以上措施后，可较大限度降低施工废气对环境的影响，场地扬尘排放可以满足《施工场地扬尘排放标准》(DB13/2934-2019)表1扬尘排放浓度限值。</w:t>
            </w:r>
          </w:p>
          <w:p w14:paraId="4BF0471C">
            <w:pPr>
              <w:pStyle w:val="36"/>
              <w:pageBreakBefore w:val="0"/>
              <w:wordWrap w:val="0"/>
              <w:overflowPunct/>
              <w:topLinePunct w:val="0"/>
              <w:bidi w:val="0"/>
              <w:spacing w:before="0" w:beforeAutospacing="0" w:after="0" w:afterAutospacing="0" w:line="360" w:lineRule="auto"/>
              <w:ind w:firstLine="482" w:firstLineChars="200"/>
              <w:jc w:val="both"/>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2、废水影响分析</w:t>
            </w:r>
          </w:p>
          <w:p w14:paraId="627D9375">
            <w:pPr>
              <w:pageBreakBefore w:val="0"/>
              <w:wordWrap w:val="0"/>
              <w:overflowPunct/>
              <w:topLinePunct w:val="0"/>
              <w:bidi w:val="0"/>
              <w:spacing w:after="0" w:line="360" w:lineRule="auto"/>
              <w:ind w:firstLine="477" w:firstLineChars="199"/>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施工期间，建筑工人日常生活产生生活污水。该污水的主要污染因子为COD、BOD</w:t>
            </w:r>
            <w:r>
              <w:rPr>
                <w:rFonts w:hint="default" w:ascii="Times New Roman" w:hAnsi="Times New Roman" w:eastAsia="宋体" w:cs="Times New Roman"/>
                <w:color w:val="auto"/>
                <w:kern w:val="0"/>
                <w:sz w:val="24"/>
                <w:szCs w:val="24"/>
                <w:highlight w:val="none"/>
                <w:vertAlign w:val="subscript"/>
              </w:rPr>
              <w:t>5</w:t>
            </w:r>
            <w:r>
              <w:rPr>
                <w:rFonts w:hint="default" w:ascii="Times New Roman" w:hAnsi="Times New Roman" w:eastAsia="宋体" w:cs="Times New Roman"/>
                <w:color w:val="auto"/>
                <w:kern w:val="0"/>
                <w:sz w:val="24"/>
                <w:szCs w:val="24"/>
                <w:highlight w:val="none"/>
              </w:rPr>
              <w:t>、SS和NH</w:t>
            </w:r>
            <w:r>
              <w:rPr>
                <w:rFonts w:hint="default" w:ascii="Times New Roman" w:hAnsi="Times New Roman" w:eastAsia="宋体" w:cs="Times New Roman"/>
                <w:color w:val="auto"/>
                <w:kern w:val="0"/>
                <w:sz w:val="24"/>
                <w:szCs w:val="24"/>
                <w:highlight w:val="none"/>
                <w:vertAlign w:val="subscript"/>
              </w:rPr>
              <w:t>3</w:t>
            </w:r>
            <w:r>
              <w:rPr>
                <w:rFonts w:hint="default" w:ascii="Times New Roman" w:hAnsi="Times New Roman" w:eastAsia="宋体" w:cs="Times New Roman"/>
                <w:color w:val="auto"/>
                <w:kern w:val="0"/>
                <w:sz w:val="24"/>
                <w:szCs w:val="24"/>
                <w:highlight w:val="none"/>
              </w:rPr>
              <w:t>-N等。由于其排放比较分散且排放量较小，可以用于场地抑尘。</w:t>
            </w:r>
          </w:p>
          <w:p w14:paraId="6D91CAF4">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施工期间，工地施工人员使用防渗旱厕，并且要制定完善的管理措施，</w:t>
            </w:r>
            <w:r>
              <w:rPr>
                <w:rFonts w:hint="default" w:ascii="Times New Roman" w:hAnsi="Times New Roman" w:cs="Times New Roman"/>
                <w:color w:val="auto"/>
                <w:sz w:val="24"/>
                <w:szCs w:val="24"/>
                <w:highlight w:val="none"/>
                <w:lang w:val="en-US" w:eastAsia="zh-CN"/>
              </w:rPr>
              <w:t>定期清掏</w:t>
            </w:r>
            <w:r>
              <w:rPr>
                <w:rFonts w:hint="default" w:ascii="Times New Roman" w:hAnsi="Times New Roman" w:eastAsia="宋体" w:cs="Times New Roman"/>
                <w:color w:val="auto"/>
                <w:sz w:val="24"/>
                <w:szCs w:val="24"/>
                <w:highlight w:val="none"/>
              </w:rPr>
              <w:t>，保证厕所在正常使用的情况下不对环境产生明显影响。</w:t>
            </w:r>
          </w:p>
          <w:p w14:paraId="7EF9D3E7">
            <w:pPr>
              <w:pageBreakBefore w:val="0"/>
              <w:wordWrap w:val="0"/>
              <w:overflowPunct/>
              <w:topLinePunct w:val="0"/>
              <w:autoSpaceDE w:val="0"/>
              <w:autoSpaceDN w:val="0"/>
              <w:bidi w:val="0"/>
              <w:adjustRightInd w:val="0"/>
              <w:spacing w:after="0" w:line="360" w:lineRule="auto"/>
              <w:ind w:firstLine="482" w:firstLineChars="200"/>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3、噪声影响分析</w:t>
            </w:r>
          </w:p>
          <w:p w14:paraId="1FAE481B">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施工期的噪声主要来源于设备拆卸和安装的噪声，结合本工程的施工特点，经类比分析，设备拆卸和安装的噪声产生噪声级值为70~</w:t>
            </w:r>
            <w:r>
              <w:rPr>
                <w:rFonts w:hint="default" w:ascii="Times New Roman" w:hAnsi="Times New Roman" w:eastAsia="宋体" w:cs="Times New Roman"/>
                <w:color w:val="auto"/>
                <w:sz w:val="24"/>
                <w:szCs w:val="24"/>
                <w:highlight w:val="none"/>
                <w:lang w:val="en-US" w:eastAsia="zh-CN"/>
              </w:rPr>
              <w:t>85</w:t>
            </w:r>
            <w:r>
              <w:rPr>
                <w:rFonts w:hint="default" w:ascii="Times New Roman" w:hAnsi="Times New Roman" w:eastAsia="宋体" w:cs="Times New Roman"/>
                <w:color w:val="auto"/>
                <w:sz w:val="24"/>
                <w:szCs w:val="24"/>
                <w:highlight w:val="none"/>
              </w:rPr>
              <w:t>dB(A)。据计算，昼间距离工地60m，夜间距离300m方可满足《建筑施工场界环境噪声排放标准》(GB12523-2011)要求</w:t>
            </w:r>
            <w:r>
              <w:rPr>
                <w:rFonts w:hint="default" w:ascii="Times New Roman" w:hAnsi="Times New Roman" w:eastAsia="宋体" w:cs="Times New Roman"/>
                <w:color w:val="auto"/>
                <w:highlight w:val="none"/>
                <w:lang w:eastAsia="zh-CN"/>
              </w:rPr>
              <w:t>及《</w:t>
            </w:r>
            <w:r>
              <w:rPr>
                <w:rFonts w:hint="default" w:ascii="Times New Roman" w:hAnsi="Times New Roman" w:eastAsia="宋体" w:cs="Times New Roman"/>
                <w:color w:val="auto"/>
                <w:highlight w:val="none"/>
                <w:lang w:val="en-US" w:eastAsia="zh-CN"/>
              </w:rPr>
              <w:t>建筑施工噪声排放标准</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GB 12523-20</w:t>
            </w:r>
            <w:r>
              <w:rPr>
                <w:rFonts w:hint="default" w:ascii="Times New Roman" w:hAnsi="Times New Roman" w:eastAsia="宋体" w:cs="Times New Roman"/>
                <w:color w:val="auto"/>
                <w:highlight w:val="none"/>
                <w:lang w:val="en-US" w:eastAsia="zh-CN"/>
              </w:rPr>
              <w:t>25</w:t>
            </w:r>
            <w:r>
              <w:rPr>
                <w:rFonts w:hint="default" w:ascii="Times New Roman" w:hAnsi="Times New Roman" w:eastAsia="宋体" w:cs="Times New Roman"/>
                <w:color w:val="auto"/>
                <w:highlight w:val="none"/>
                <w:lang w:eastAsia="zh-CN"/>
              </w:rPr>
              <w:t>）中相关规定（本标准自202</w:t>
            </w:r>
            <w:r>
              <w:rPr>
                <w:rFonts w:hint="default"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lang w:eastAsia="zh-CN"/>
              </w:rPr>
              <w:t>年</w:t>
            </w:r>
            <w:r>
              <w:rPr>
                <w:rFonts w:hint="default"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lang w:eastAsia="zh-CN"/>
              </w:rPr>
              <w:t>月1日起实施）</w:t>
            </w:r>
            <w:r>
              <w:rPr>
                <w:rFonts w:hint="default" w:ascii="Times New Roman" w:hAnsi="Times New Roman" w:cs="Times New Roman"/>
                <w:color w:val="auto"/>
                <w:highlight w:val="none"/>
                <w:lang w:eastAsia="zh-CN"/>
              </w:rPr>
              <w:t>要求</w:t>
            </w:r>
            <w:r>
              <w:rPr>
                <w:rFonts w:hint="default" w:ascii="Times New Roman" w:hAnsi="Times New Roman" w:eastAsia="宋体" w:cs="Times New Roman"/>
                <w:color w:val="auto"/>
                <w:sz w:val="24"/>
                <w:szCs w:val="24"/>
                <w:highlight w:val="none"/>
              </w:rPr>
              <w:t>。为最大限度避免和减轻设备安装噪声对周围声环境的不利影响，本评价建议该工程在施工期采取以下噪声控制措施和对策：</w:t>
            </w:r>
          </w:p>
          <w:p w14:paraId="789C4D91">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(1)从声源上控制。要求在装卸机器时使用低噪声机械设备，同时在装卸的过程中施工单位应设专人对机械设备进行定期保养，并对现场员工进行培训，严格按照操作规范使用各类机械。</w:t>
            </w:r>
          </w:p>
          <w:p w14:paraId="61853559">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(2)合理安排时间和进度，避免在敏感时间施工，不准在12：00~14:00、22:00~次日6:00期间使用高噪声设备。</w:t>
            </w:r>
          </w:p>
          <w:p w14:paraId="2C7928A4">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(3)严格按照设备说明书中的要求拆卸和安装，有条件时，可以针对施工人员进行设备安装培训。</w:t>
            </w:r>
          </w:p>
          <w:p w14:paraId="38C15E71">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(4)加强日常监督管理。</w:t>
            </w:r>
          </w:p>
          <w:p w14:paraId="746C4BA4">
            <w:pPr>
              <w:pStyle w:val="36"/>
              <w:pageBreakBefore w:val="0"/>
              <w:wordWrap w:val="0"/>
              <w:overflowPunct/>
              <w:topLinePunct w:val="0"/>
              <w:bidi w:val="0"/>
              <w:spacing w:before="0" w:beforeAutospacing="0" w:after="0" w:afterAutospacing="0" w:line="360" w:lineRule="auto"/>
              <w:ind w:firstLine="482" w:firstLineChars="200"/>
              <w:jc w:val="both"/>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4、固体废物影响分析</w:t>
            </w:r>
          </w:p>
          <w:p w14:paraId="52D16FE6">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施工期产生的固体废物主要为</w:t>
            </w:r>
            <w:r>
              <w:rPr>
                <w:rFonts w:hint="default" w:ascii="Times New Roman" w:hAnsi="Times New Roman" w:eastAsia="宋体" w:cs="Times New Roman"/>
                <w:color w:val="auto"/>
                <w:sz w:val="24"/>
                <w:szCs w:val="24"/>
                <w:highlight w:val="none"/>
                <w:lang w:val="en-US" w:eastAsia="zh-CN"/>
              </w:rPr>
              <w:t>安装</w:t>
            </w:r>
            <w:r>
              <w:rPr>
                <w:rFonts w:hint="default" w:ascii="Times New Roman" w:hAnsi="Times New Roman" w:eastAsia="宋体" w:cs="Times New Roman"/>
                <w:color w:val="auto"/>
                <w:sz w:val="24"/>
                <w:szCs w:val="24"/>
                <w:highlight w:val="none"/>
              </w:rPr>
              <w:t>机器时产生的包装垃圾和职工生活垃圾，包装垃圾可送至回收站进行统一回收处理，严禁乱扔乱放；生活垃圾由环卫部门统一收集和处理，不会对周围环境产生影响，本评价针对施工期固体废物建议采取如下措施：</w:t>
            </w:r>
          </w:p>
          <w:p w14:paraId="6EBAE856">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(1)包装垃圾送至回收站统一回收处理，严禁乱扔乱放；生活垃圾专门放入垃圾收集点、垃圾箱等，严禁乱扔乱放；</w:t>
            </w:r>
          </w:p>
          <w:p w14:paraId="3F3D5A68">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(2)定期清运垃圾，避免超过垃圾箱最大容纳量；</w:t>
            </w:r>
          </w:p>
          <w:p w14:paraId="4C956F8A">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(3)加强日常管理。</w:t>
            </w:r>
          </w:p>
          <w:p w14:paraId="6E37F249">
            <w:pPr>
              <w:autoSpaceDE w:val="0"/>
              <w:autoSpaceDN w:val="0"/>
              <w:adjustRightInd w:val="0"/>
              <w:spacing w:line="430" w:lineRule="exact"/>
              <w:ind w:firstLine="480" w:firstLineChars="200"/>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szCs w:val="24"/>
                <w:highlight w:val="none"/>
              </w:rPr>
              <w:t>综上所述，以上影响随着施工期的结束而结束，对周围环境不会产生明显影响</w:t>
            </w:r>
            <w:r>
              <w:rPr>
                <w:rFonts w:hint="default" w:ascii="Times New Roman" w:hAnsi="Times New Roman" w:cs="Times New Roman"/>
                <w:color w:val="auto"/>
                <w:sz w:val="24"/>
                <w:highlight w:val="none"/>
              </w:rPr>
              <w:t>。</w:t>
            </w:r>
          </w:p>
          <w:p w14:paraId="5B59235F">
            <w:pPr>
              <w:spacing w:line="360" w:lineRule="auto"/>
              <w:contextualSpacing/>
              <w:rPr>
                <w:rFonts w:hint="default" w:ascii="Times New Roman" w:hAnsi="Times New Roman" w:eastAsia="宋体" w:cs="Times New Roman"/>
                <w:color w:val="auto"/>
                <w:highlight w:val="none"/>
                <w:lang w:eastAsia="zh-CN"/>
              </w:rPr>
            </w:pPr>
          </w:p>
          <w:p w14:paraId="57A85CF0">
            <w:pPr>
              <w:pStyle w:val="2"/>
              <w:rPr>
                <w:rFonts w:hint="default" w:ascii="Times New Roman" w:hAnsi="Times New Roman" w:eastAsia="宋体" w:cs="Times New Roman"/>
                <w:color w:val="auto"/>
                <w:highlight w:val="none"/>
                <w:lang w:eastAsia="zh-CN"/>
              </w:rPr>
            </w:pPr>
          </w:p>
          <w:p w14:paraId="6568AD64">
            <w:pPr>
              <w:pStyle w:val="3"/>
              <w:rPr>
                <w:rFonts w:hint="default" w:ascii="Times New Roman" w:hAnsi="Times New Roman" w:eastAsia="宋体" w:cs="Times New Roman"/>
                <w:color w:val="auto"/>
                <w:highlight w:val="none"/>
                <w:lang w:eastAsia="zh-CN"/>
              </w:rPr>
            </w:pPr>
          </w:p>
          <w:p w14:paraId="07685BCB">
            <w:pPr>
              <w:rPr>
                <w:rFonts w:hint="default" w:ascii="Times New Roman" w:hAnsi="Times New Roman" w:eastAsia="宋体" w:cs="Times New Roman"/>
                <w:color w:val="auto"/>
                <w:highlight w:val="none"/>
                <w:lang w:eastAsia="zh-CN"/>
              </w:rPr>
            </w:pPr>
          </w:p>
          <w:p w14:paraId="56E58EE5">
            <w:pPr>
              <w:pStyle w:val="2"/>
              <w:rPr>
                <w:rFonts w:hint="default" w:ascii="Times New Roman" w:hAnsi="Times New Roman" w:eastAsia="宋体" w:cs="Times New Roman"/>
                <w:color w:val="auto"/>
                <w:highlight w:val="none"/>
                <w:lang w:eastAsia="zh-CN"/>
              </w:rPr>
            </w:pPr>
          </w:p>
          <w:p w14:paraId="54A66DB2">
            <w:pPr>
              <w:pStyle w:val="3"/>
              <w:rPr>
                <w:rFonts w:hint="default" w:ascii="Times New Roman" w:hAnsi="Times New Roman" w:eastAsia="宋体" w:cs="Times New Roman"/>
                <w:color w:val="auto"/>
                <w:highlight w:val="none"/>
                <w:lang w:eastAsia="zh-CN"/>
              </w:rPr>
            </w:pPr>
          </w:p>
          <w:p w14:paraId="165E6F55">
            <w:pPr>
              <w:rPr>
                <w:rFonts w:hint="default" w:ascii="Times New Roman" w:hAnsi="Times New Roman" w:eastAsia="宋体" w:cs="Times New Roman"/>
                <w:color w:val="auto"/>
                <w:highlight w:val="none"/>
                <w:lang w:eastAsia="zh-CN"/>
              </w:rPr>
            </w:pPr>
          </w:p>
          <w:p w14:paraId="528B1D84">
            <w:pPr>
              <w:pStyle w:val="2"/>
              <w:rPr>
                <w:rFonts w:hint="default" w:ascii="Times New Roman" w:hAnsi="Times New Roman" w:eastAsia="宋体" w:cs="Times New Roman"/>
                <w:color w:val="auto"/>
                <w:highlight w:val="none"/>
                <w:lang w:eastAsia="zh-CN"/>
              </w:rPr>
            </w:pPr>
          </w:p>
          <w:p w14:paraId="4E2E9F7F">
            <w:pPr>
              <w:pStyle w:val="3"/>
              <w:rPr>
                <w:rFonts w:hint="default" w:ascii="Times New Roman" w:hAnsi="Times New Roman" w:eastAsia="宋体" w:cs="Times New Roman"/>
                <w:color w:val="auto"/>
                <w:highlight w:val="none"/>
                <w:lang w:eastAsia="zh-CN"/>
              </w:rPr>
            </w:pPr>
          </w:p>
          <w:p w14:paraId="22AFAFA2">
            <w:pPr>
              <w:rPr>
                <w:rFonts w:hint="default" w:ascii="Times New Roman" w:hAnsi="Times New Roman" w:eastAsia="宋体" w:cs="Times New Roman"/>
                <w:color w:val="auto"/>
                <w:highlight w:val="none"/>
                <w:lang w:eastAsia="zh-CN"/>
              </w:rPr>
            </w:pPr>
          </w:p>
          <w:p w14:paraId="3D883E88">
            <w:pPr>
              <w:pStyle w:val="2"/>
              <w:rPr>
                <w:rFonts w:hint="default" w:ascii="Times New Roman" w:hAnsi="Times New Roman" w:eastAsia="宋体" w:cs="Times New Roman"/>
                <w:color w:val="auto"/>
                <w:highlight w:val="none"/>
                <w:lang w:eastAsia="zh-CN"/>
              </w:rPr>
            </w:pPr>
          </w:p>
          <w:p w14:paraId="6BE15D99">
            <w:pPr>
              <w:pStyle w:val="3"/>
              <w:rPr>
                <w:rFonts w:hint="default" w:ascii="Times New Roman" w:hAnsi="Times New Roman" w:eastAsia="宋体" w:cs="Times New Roman"/>
                <w:color w:val="auto"/>
                <w:highlight w:val="none"/>
                <w:lang w:eastAsia="zh-CN"/>
              </w:rPr>
            </w:pPr>
          </w:p>
          <w:p w14:paraId="37E7E859">
            <w:pPr>
              <w:rPr>
                <w:rFonts w:hint="default" w:ascii="Times New Roman" w:hAnsi="Times New Roman" w:eastAsia="宋体" w:cs="Times New Roman"/>
                <w:color w:val="auto"/>
                <w:highlight w:val="none"/>
                <w:lang w:eastAsia="zh-CN"/>
              </w:rPr>
            </w:pPr>
          </w:p>
          <w:p w14:paraId="3D21FFB0">
            <w:pPr>
              <w:pStyle w:val="2"/>
              <w:rPr>
                <w:rFonts w:hint="default" w:ascii="Times New Roman" w:hAnsi="Times New Roman" w:eastAsia="宋体" w:cs="Times New Roman"/>
                <w:color w:val="auto"/>
                <w:highlight w:val="none"/>
                <w:lang w:eastAsia="zh-CN"/>
              </w:rPr>
            </w:pPr>
          </w:p>
          <w:p w14:paraId="1998F379">
            <w:pPr>
              <w:pStyle w:val="3"/>
              <w:rPr>
                <w:rFonts w:hint="default" w:ascii="Times New Roman" w:hAnsi="Times New Roman" w:eastAsia="宋体" w:cs="Times New Roman"/>
                <w:color w:val="auto"/>
                <w:highlight w:val="none"/>
                <w:lang w:eastAsia="zh-CN"/>
              </w:rPr>
            </w:pPr>
          </w:p>
          <w:p w14:paraId="35E1EE96">
            <w:pPr>
              <w:rPr>
                <w:rFonts w:hint="default" w:ascii="Times New Roman" w:hAnsi="Times New Roman" w:eastAsia="宋体" w:cs="Times New Roman"/>
                <w:color w:val="auto"/>
                <w:highlight w:val="none"/>
                <w:lang w:eastAsia="zh-CN"/>
              </w:rPr>
            </w:pPr>
          </w:p>
          <w:p w14:paraId="5A99C885">
            <w:pPr>
              <w:pStyle w:val="2"/>
              <w:rPr>
                <w:rFonts w:hint="default" w:ascii="Times New Roman" w:hAnsi="Times New Roman" w:eastAsia="宋体" w:cs="Times New Roman"/>
                <w:color w:val="auto"/>
                <w:highlight w:val="none"/>
                <w:lang w:eastAsia="zh-CN"/>
              </w:rPr>
            </w:pPr>
          </w:p>
          <w:p w14:paraId="2D216E38">
            <w:pPr>
              <w:pStyle w:val="3"/>
              <w:rPr>
                <w:rFonts w:hint="default" w:ascii="Times New Roman" w:hAnsi="Times New Roman" w:eastAsia="宋体" w:cs="Times New Roman"/>
                <w:color w:val="auto"/>
                <w:highlight w:val="none"/>
                <w:lang w:eastAsia="zh-CN"/>
              </w:rPr>
            </w:pPr>
          </w:p>
          <w:p w14:paraId="0B063838">
            <w:pPr>
              <w:rPr>
                <w:rFonts w:hint="default" w:ascii="Times New Roman" w:hAnsi="Times New Roman" w:eastAsia="宋体" w:cs="Times New Roman"/>
                <w:color w:val="auto"/>
                <w:highlight w:val="none"/>
                <w:lang w:eastAsia="zh-CN"/>
              </w:rPr>
            </w:pPr>
          </w:p>
          <w:p w14:paraId="60164C7F">
            <w:pPr>
              <w:pStyle w:val="2"/>
              <w:rPr>
                <w:rFonts w:hint="default" w:ascii="Times New Roman" w:hAnsi="Times New Roman" w:eastAsia="宋体" w:cs="Times New Roman"/>
                <w:color w:val="auto"/>
                <w:highlight w:val="none"/>
                <w:lang w:eastAsia="zh-CN"/>
              </w:rPr>
            </w:pPr>
          </w:p>
          <w:p w14:paraId="124DC79E">
            <w:pPr>
              <w:pStyle w:val="3"/>
              <w:rPr>
                <w:rFonts w:hint="default" w:ascii="Times New Roman" w:hAnsi="Times New Roman" w:eastAsia="宋体" w:cs="Times New Roman"/>
                <w:color w:val="auto"/>
                <w:highlight w:val="none"/>
                <w:lang w:eastAsia="zh-CN"/>
              </w:rPr>
            </w:pPr>
          </w:p>
          <w:p w14:paraId="64C1A35E">
            <w:pPr>
              <w:rPr>
                <w:rFonts w:hint="default" w:ascii="Times New Roman" w:hAnsi="Times New Roman" w:eastAsia="宋体" w:cs="Times New Roman"/>
                <w:color w:val="auto"/>
                <w:highlight w:val="none"/>
                <w:lang w:eastAsia="zh-CN"/>
              </w:rPr>
            </w:pPr>
          </w:p>
          <w:p w14:paraId="29934AE1">
            <w:pPr>
              <w:pStyle w:val="2"/>
              <w:rPr>
                <w:rFonts w:hint="default" w:ascii="Times New Roman" w:hAnsi="Times New Roman" w:eastAsia="宋体" w:cs="Times New Roman"/>
                <w:color w:val="auto"/>
                <w:highlight w:val="none"/>
                <w:lang w:eastAsia="zh-CN"/>
              </w:rPr>
            </w:pPr>
          </w:p>
          <w:p w14:paraId="2137F865">
            <w:pPr>
              <w:pStyle w:val="3"/>
              <w:rPr>
                <w:rFonts w:hint="default" w:ascii="Times New Roman" w:hAnsi="Times New Roman" w:eastAsia="宋体" w:cs="Times New Roman"/>
                <w:color w:val="auto"/>
                <w:highlight w:val="none"/>
                <w:lang w:eastAsia="zh-CN"/>
              </w:rPr>
            </w:pPr>
          </w:p>
          <w:p w14:paraId="56D0B933">
            <w:pPr>
              <w:rPr>
                <w:rFonts w:hint="default" w:ascii="Times New Roman" w:hAnsi="Times New Roman" w:eastAsia="宋体" w:cs="Times New Roman"/>
                <w:color w:val="auto"/>
                <w:highlight w:val="none"/>
                <w:lang w:eastAsia="zh-CN"/>
              </w:rPr>
            </w:pPr>
          </w:p>
          <w:p w14:paraId="122A7AAF">
            <w:pPr>
              <w:pStyle w:val="2"/>
              <w:rPr>
                <w:rFonts w:hint="default" w:ascii="Times New Roman" w:hAnsi="Times New Roman" w:eastAsia="宋体" w:cs="Times New Roman"/>
                <w:color w:val="auto"/>
                <w:highlight w:val="none"/>
                <w:lang w:eastAsia="zh-CN"/>
              </w:rPr>
            </w:pPr>
          </w:p>
          <w:p w14:paraId="23A1B1E6">
            <w:pPr>
              <w:pStyle w:val="3"/>
              <w:rPr>
                <w:rFonts w:hint="default" w:ascii="Times New Roman" w:hAnsi="Times New Roman" w:eastAsia="宋体" w:cs="Times New Roman"/>
                <w:color w:val="auto"/>
                <w:highlight w:val="none"/>
                <w:lang w:eastAsia="zh-CN"/>
              </w:rPr>
            </w:pPr>
          </w:p>
          <w:p w14:paraId="38E4D9C6">
            <w:pPr>
              <w:rPr>
                <w:rFonts w:hint="default" w:ascii="Times New Roman" w:hAnsi="Times New Roman" w:eastAsia="宋体" w:cs="Times New Roman"/>
                <w:color w:val="auto"/>
                <w:highlight w:val="none"/>
                <w:lang w:eastAsia="zh-CN"/>
              </w:rPr>
            </w:pPr>
          </w:p>
          <w:p w14:paraId="37E5188D">
            <w:pPr>
              <w:pStyle w:val="2"/>
              <w:rPr>
                <w:rFonts w:hint="default" w:ascii="Times New Roman" w:hAnsi="Times New Roman" w:eastAsia="宋体" w:cs="Times New Roman"/>
                <w:color w:val="auto"/>
                <w:highlight w:val="none"/>
                <w:lang w:eastAsia="zh-CN"/>
              </w:rPr>
            </w:pPr>
          </w:p>
          <w:p w14:paraId="1EA71467">
            <w:pPr>
              <w:pStyle w:val="3"/>
              <w:rPr>
                <w:rFonts w:hint="default" w:ascii="Times New Roman" w:hAnsi="Times New Roman" w:eastAsia="宋体" w:cs="Times New Roman"/>
                <w:color w:val="auto"/>
                <w:highlight w:val="none"/>
                <w:lang w:eastAsia="zh-CN"/>
              </w:rPr>
            </w:pPr>
          </w:p>
          <w:p w14:paraId="72B49EB2">
            <w:pPr>
              <w:rPr>
                <w:rFonts w:hint="default" w:ascii="Times New Roman" w:hAnsi="Times New Roman" w:eastAsia="宋体" w:cs="Times New Roman"/>
                <w:color w:val="auto"/>
                <w:highlight w:val="none"/>
                <w:lang w:eastAsia="zh-CN"/>
              </w:rPr>
            </w:pPr>
          </w:p>
          <w:p w14:paraId="7DBD2833">
            <w:pPr>
              <w:pStyle w:val="2"/>
              <w:rPr>
                <w:rFonts w:hint="default" w:ascii="Times New Roman" w:hAnsi="Times New Roman" w:eastAsia="宋体" w:cs="Times New Roman"/>
                <w:color w:val="auto"/>
                <w:highlight w:val="none"/>
                <w:lang w:eastAsia="zh-CN"/>
              </w:rPr>
            </w:pPr>
          </w:p>
          <w:p w14:paraId="406080CF">
            <w:pPr>
              <w:pStyle w:val="3"/>
              <w:rPr>
                <w:rFonts w:hint="default" w:ascii="Times New Roman" w:hAnsi="Times New Roman" w:eastAsia="宋体" w:cs="Times New Roman"/>
                <w:color w:val="auto"/>
                <w:highlight w:val="none"/>
                <w:lang w:eastAsia="zh-CN"/>
              </w:rPr>
            </w:pPr>
          </w:p>
          <w:p w14:paraId="078D51E8">
            <w:pPr>
              <w:rPr>
                <w:rFonts w:hint="default" w:ascii="Times New Roman" w:hAnsi="Times New Roman" w:cs="Times New Roman"/>
                <w:color w:val="auto"/>
                <w:highlight w:val="none"/>
                <w:lang w:eastAsia="zh-CN"/>
              </w:rPr>
            </w:pPr>
          </w:p>
        </w:tc>
      </w:tr>
    </w:tbl>
    <w:p w14:paraId="09EAD1F7">
      <w:pPr>
        <w:pStyle w:val="36"/>
        <w:adjustRightInd w:val="0"/>
        <w:snapToGrid w:val="0"/>
        <w:spacing w:before="0" w:beforeAutospacing="0" w:after="0" w:afterAutospacing="0"/>
        <w:jc w:val="center"/>
        <w:rPr>
          <w:rFonts w:hint="default" w:ascii="Times New Roman" w:hAnsi="Times New Roman" w:cs="Times New Roman"/>
          <w:color w:val="auto"/>
          <w:highlight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40"/>
        <w:tblW w:w="90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73"/>
        <w:gridCol w:w="8588"/>
      </w:tblGrid>
      <w:tr w14:paraId="672B09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10" w:hRule="atLeast"/>
          <w:jc w:val="center"/>
        </w:trPr>
        <w:tc>
          <w:tcPr>
            <w:tcW w:w="808" w:type="dxa"/>
            <w:tcBorders>
              <w:left w:val="single" w:color="auto" w:sz="4" w:space="0"/>
              <w:bottom w:val="single" w:color="auto" w:sz="4" w:space="0"/>
            </w:tcBorders>
            <w:tcMar>
              <w:left w:w="28" w:type="dxa"/>
              <w:right w:w="28" w:type="dxa"/>
            </w:tcMar>
            <w:vAlign w:val="center"/>
          </w:tcPr>
          <w:p w14:paraId="2BDFC10C">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运营</w:t>
            </w:r>
          </w:p>
          <w:p w14:paraId="0B9EE1BE">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期环</w:t>
            </w:r>
          </w:p>
          <w:p w14:paraId="225CA234">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境影</w:t>
            </w:r>
          </w:p>
          <w:p w14:paraId="31908365">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响和</w:t>
            </w:r>
          </w:p>
          <w:p w14:paraId="1EEA1269">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保护</w:t>
            </w:r>
          </w:p>
          <w:p w14:paraId="53C9B475">
            <w:pPr>
              <w:pStyle w:val="36"/>
              <w:adjustRightInd w:val="0"/>
              <w:snapToGrid w:val="0"/>
              <w:spacing w:before="0" w:beforeAutospacing="0" w:after="0" w:afterAutospacing="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措施</w:t>
            </w:r>
          </w:p>
        </w:tc>
        <w:tc>
          <w:tcPr>
            <w:tcW w:w="8253" w:type="dxa"/>
            <w:tcBorders>
              <w:bottom w:val="single" w:color="auto" w:sz="4" w:space="0"/>
              <w:right w:val="single" w:color="auto" w:sz="4" w:space="0"/>
            </w:tcBorders>
            <w:vAlign w:val="center"/>
          </w:tcPr>
          <w:p w14:paraId="0D1C1A55">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color w:val="auto"/>
                <w:sz w:val="24"/>
                <w:szCs w:val="24"/>
                <w:highlight w:val="none"/>
              </w:rPr>
            </w:pPr>
            <w:r>
              <w:rPr>
                <w:rFonts w:hint="default" w:ascii="Times New Roman" w:hAnsi="Times New Roman" w:cs="Times New Roman"/>
                <w:b/>
                <w:color w:val="auto"/>
                <w:sz w:val="24"/>
                <w:szCs w:val="24"/>
                <w:highlight w:val="none"/>
                <w:lang w:val="en-US" w:eastAsia="zh-CN"/>
              </w:rPr>
              <w:t>1</w:t>
            </w:r>
            <w:r>
              <w:rPr>
                <w:rFonts w:hint="default" w:ascii="Times New Roman" w:hAnsi="Times New Roman" w:eastAsia="宋体" w:cs="Times New Roman"/>
                <w:b/>
                <w:color w:val="auto"/>
                <w:sz w:val="24"/>
                <w:szCs w:val="24"/>
                <w:highlight w:val="none"/>
              </w:rPr>
              <w:t>、废气</w:t>
            </w:r>
          </w:p>
          <w:p w14:paraId="24DE900F">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auto"/>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cs="Times New Roman"/>
                <w:b/>
                <w:color w:val="auto"/>
                <w:sz w:val="24"/>
                <w:szCs w:val="24"/>
                <w:highlight w:val="none"/>
                <w:lang w:val="en-US" w:eastAsia="zh-CN"/>
              </w:rPr>
              <w:t>（1）</w:t>
            </w:r>
            <w:r>
              <w:rPr>
                <w:rFonts w:hint="default" w:ascii="Times New Roman" w:hAnsi="Times New Roman" w:eastAsia="宋体" w:cs="Times New Roman"/>
                <w:b/>
                <w:color w:val="auto"/>
                <w:sz w:val="24"/>
                <w:szCs w:val="24"/>
                <w:highlight w:val="none"/>
                <w:lang w:eastAsia="zh-CN"/>
              </w:rPr>
              <w:t>废气污染源强分析</w:t>
            </w:r>
          </w:p>
          <w:p w14:paraId="0CBAECEB">
            <w:pPr>
              <w:widowControl/>
              <w:spacing w:line="440" w:lineRule="exact"/>
              <w:ind w:firstLine="480" w:firstLineChars="200"/>
              <w:rPr>
                <w:rFonts w:hint="default" w:ascii="Times New Roman" w:hAnsi="Times New Roman" w:eastAsia="宋体" w:cs="Times New Roman"/>
                <w:color w:val="auto"/>
                <w:kern w:val="0"/>
                <w:sz w:val="24"/>
                <w:szCs w:val="22"/>
                <w:highlight w:val="none"/>
                <w:lang w:eastAsia="zh-CN"/>
              </w:rPr>
            </w:pPr>
            <w:r>
              <w:rPr>
                <w:rFonts w:hint="default" w:ascii="Times New Roman" w:hAnsi="Times New Roman" w:eastAsia="宋体" w:cs="Times New Roman"/>
                <w:color w:val="auto"/>
                <w:sz w:val="24"/>
                <w:highlight w:val="none"/>
              </w:rPr>
              <w:t>本项目运营期</w:t>
            </w:r>
            <w:r>
              <w:rPr>
                <w:rFonts w:hint="default" w:ascii="Times New Roman" w:hAnsi="Times New Roman" w:eastAsia="宋体" w:cs="Times New Roman"/>
                <w:color w:val="auto"/>
                <w:sz w:val="24"/>
                <w:highlight w:val="none"/>
                <w:lang w:eastAsia="zh-CN"/>
              </w:rPr>
              <w:t>有组织废气为储罐呼吸废气</w:t>
            </w:r>
            <w:r>
              <w:rPr>
                <w:rFonts w:hint="default" w:ascii="Times New Roman" w:hAnsi="Times New Roman" w:eastAsia="宋体" w:cs="Times New Roman"/>
                <w:color w:val="auto"/>
                <w:sz w:val="24"/>
                <w:highlight w:val="none"/>
              </w:rPr>
              <w:t>、</w:t>
            </w:r>
            <w:r>
              <w:rPr>
                <w:rFonts w:hint="default" w:ascii="Times New Roman" w:hAnsi="Times New Roman" w:cs="Times New Roman"/>
                <w:color w:val="auto"/>
                <w:sz w:val="24"/>
                <w:highlight w:val="none"/>
                <w:lang w:eastAsia="zh-CN"/>
              </w:rPr>
              <w:t>上料废气、</w:t>
            </w:r>
            <w:r>
              <w:rPr>
                <w:rFonts w:hint="default" w:ascii="Times New Roman" w:hAnsi="Times New Roman" w:eastAsia="宋体" w:cs="Times New Roman"/>
                <w:color w:val="auto"/>
                <w:sz w:val="24"/>
                <w:highlight w:val="none"/>
                <w:lang w:eastAsia="zh-CN"/>
              </w:rPr>
              <w:t>搅拌废气</w:t>
            </w:r>
            <w:r>
              <w:rPr>
                <w:rFonts w:hint="default" w:ascii="Times New Roman" w:hAnsi="Times New Roman" w:cs="Times New Roman"/>
                <w:color w:val="auto"/>
                <w:sz w:val="24"/>
                <w:highlight w:val="none"/>
                <w:lang w:eastAsia="zh-CN"/>
              </w:rPr>
              <w:t>、分装废气</w:t>
            </w:r>
            <w:r>
              <w:rPr>
                <w:rFonts w:hint="default" w:ascii="Times New Roman" w:hAnsi="Times New Roman" w:eastAsia="宋体" w:cs="Times New Roman"/>
                <w:color w:val="auto"/>
                <w:sz w:val="24"/>
                <w:highlight w:val="none"/>
                <w:lang w:eastAsia="zh-CN"/>
              </w:rPr>
              <w:t>，无组织废气为未被收集的少量粉尘、车辆运输扬尘、焊接烟尘。</w:t>
            </w:r>
          </w:p>
          <w:p w14:paraId="1F64C219">
            <w:pPr>
              <w:widowControl/>
              <w:spacing w:line="440" w:lineRule="exact"/>
              <w:ind w:firstLine="480" w:firstLineChars="200"/>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①有组织废气</w:t>
            </w:r>
          </w:p>
          <w:p w14:paraId="4066BB7F">
            <w:pPr>
              <w:widowControl/>
              <w:spacing w:line="440" w:lineRule="exact"/>
              <w:ind w:firstLine="480" w:firstLineChars="200"/>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储罐顶部及隔墙板、石膏砂浆和保温砂浆生产中的搅拌仓设置集气管道，包装机落料点上方设置集气罩，储罐呼吸废气经罐顶除尘器处理后，和上料废气、搅拌废气、分装废气一同引至一套布袋除尘器处理，处理后经1根15m高排气筒（DA001）排放。</w:t>
            </w:r>
          </w:p>
          <w:p w14:paraId="62415148">
            <w:pPr>
              <w:widowControl/>
              <w:spacing w:line="440" w:lineRule="exact"/>
              <w:ind w:firstLine="480" w:firstLineChars="200"/>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②无组织废气</w:t>
            </w:r>
          </w:p>
          <w:p w14:paraId="25597E15">
            <w:pPr>
              <w:widowControl/>
              <w:spacing w:line="440" w:lineRule="exact"/>
              <w:ind w:firstLine="480" w:firstLineChars="200"/>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无组织废气（集气罩未收集废气）：采取车间密闭措施。</w:t>
            </w:r>
          </w:p>
          <w:p w14:paraId="64364FAC">
            <w:pPr>
              <w:widowControl/>
              <w:spacing w:line="440" w:lineRule="exact"/>
              <w:ind w:firstLine="480" w:firstLineChars="200"/>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车辆运输扬尘：采取车辆加盖苫布、道路硬化、定期清扫、进出厂车辆冲洗等控制措施。</w:t>
            </w:r>
          </w:p>
          <w:p w14:paraId="514518B0">
            <w:pPr>
              <w:widowControl/>
              <w:spacing w:line="440" w:lineRule="exact"/>
              <w:ind w:firstLine="480" w:firstLineChars="200"/>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焊接烟尘：经移动焊烟净化器处理后，车间内无组织排放。</w:t>
            </w:r>
          </w:p>
          <w:p w14:paraId="6134ABC1">
            <w:pPr>
              <w:pStyle w:val="120"/>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宋体" w:cs="Times New Roman"/>
                <w:b/>
                <w:bCs/>
                <w:color w:val="auto"/>
                <w:szCs w:val="24"/>
                <w:highlight w:val="none"/>
              </w:rPr>
            </w:pPr>
            <w:r>
              <w:rPr>
                <w:rFonts w:hint="default" w:ascii="Times New Roman" w:hAnsi="Times New Roman" w:eastAsia="宋体" w:cs="Times New Roman"/>
                <w:b/>
                <w:bCs/>
                <w:color w:val="auto"/>
                <w:szCs w:val="24"/>
                <w:highlight w:val="none"/>
              </w:rPr>
              <w:t xml:space="preserve">表4-1    </w:t>
            </w:r>
            <w:r>
              <w:rPr>
                <w:rFonts w:hint="default" w:ascii="Times New Roman" w:hAnsi="Times New Roman" w:eastAsia="宋体" w:cs="Times New Roman"/>
                <w:b/>
                <w:bCs/>
                <w:color w:val="auto"/>
                <w:szCs w:val="24"/>
                <w:highlight w:val="none"/>
                <w:lang w:val="en-US" w:eastAsia="zh-CN"/>
              </w:rPr>
              <w:t>项目</w:t>
            </w:r>
            <w:r>
              <w:rPr>
                <w:rFonts w:hint="default" w:ascii="Times New Roman" w:hAnsi="Times New Roman" w:eastAsia="宋体" w:cs="Times New Roman"/>
                <w:b/>
                <w:bCs/>
                <w:color w:val="auto"/>
                <w:szCs w:val="24"/>
                <w:highlight w:val="none"/>
              </w:rPr>
              <w:t>废气收集、处理、排放方案一览表</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1930"/>
              <w:gridCol w:w="781"/>
              <w:gridCol w:w="746"/>
              <w:gridCol w:w="2175"/>
              <w:gridCol w:w="1124"/>
              <w:gridCol w:w="885"/>
              <w:gridCol w:w="718"/>
            </w:tblGrid>
            <w:tr w14:paraId="3C82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1154" w:type="pct"/>
                  <w:vMerge w:val="restart"/>
                  <w:vAlign w:val="center"/>
                </w:tcPr>
                <w:p w14:paraId="294B0C5D">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产排污环节</w:t>
                  </w:r>
                </w:p>
              </w:tc>
              <w:tc>
                <w:tcPr>
                  <w:tcW w:w="467" w:type="pct"/>
                  <w:vMerge w:val="restart"/>
                  <w:vAlign w:val="center"/>
                </w:tcPr>
                <w:p w14:paraId="34018B87">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污染物种类</w:t>
                  </w:r>
                </w:p>
              </w:tc>
              <w:tc>
                <w:tcPr>
                  <w:tcW w:w="446" w:type="pct"/>
                  <w:vMerge w:val="restart"/>
                  <w:vAlign w:val="center"/>
                </w:tcPr>
                <w:p w14:paraId="526D8AD0">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排放形式</w:t>
                  </w:r>
                </w:p>
              </w:tc>
              <w:tc>
                <w:tcPr>
                  <w:tcW w:w="2501" w:type="pct"/>
                  <w:gridSpan w:val="3"/>
                  <w:vAlign w:val="center"/>
                </w:tcPr>
                <w:p w14:paraId="0587E7E6">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污染防治设施</w:t>
                  </w:r>
                </w:p>
              </w:tc>
              <w:tc>
                <w:tcPr>
                  <w:tcW w:w="429" w:type="pct"/>
                  <w:vMerge w:val="restart"/>
                  <w:vAlign w:val="center"/>
                </w:tcPr>
                <w:p w14:paraId="40F7EE86">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排气筒编号</w:t>
                  </w:r>
                </w:p>
              </w:tc>
            </w:tr>
            <w:tr w14:paraId="0408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6" w:hRule="atLeast"/>
              </w:trPr>
              <w:tc>
                <w:tcPr>
                  <w:tcW w:w="1154" w:type="pct"/>
                  <w:vMerge w:val="continue"/>
                  <w:vAlign w:val="center"/>
                </w:tcPr>
                <w:p w14:paraId="18F965BC">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c>
                <w:tcPr>
                  <w:tcW w:w="467" w:type="pct"/>
                  <w:vMerge w:val="continue"/>
                  <w:vAlign w:val="center"/>
                </w:tcPr>
                <w:p w14:paraId="7D40BFF6">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c>
                <w:tcPr>
                  <w:tcW w:w="446" w:type="pct"/>
                  <w:vMerge w:val="continue"/>
                  <w:vAlign w:val="center"/>
                </w:tcPr>
                <w:p w14:paraId="096B2EF7">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c>
                <w:tcPr>
                  <w:tcW w:w="1972" w:type="pct"/>
                  <w:gridSpan w:val="2"/>
                  <w:vAlign w:val="center"/>
                </w:tcPr>
                <w:p w14:paraId="1CD88862">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污染防治措施名称及工艺</w:t>
                  </w:r>
                </w:p>
              </w:tc>
              <w:tc>
                <w:tcPr>
                  <w:tcW w:w="529" w:type="pct"/>
                  <w:vAlign w:val="center"/>
                </w:tcPr>
                <w:p w14:paraId="4E09361A">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是否为可行技术</w:t>
                  </w:r>
                </w:p>
              </w:tc>
              <w:tc>
                <w:tcPr>
                  <w:tcW w:w="429" w:type="pct"/>
                  <w:vMerge w:val="continue"/>
                  <w:vAlign w:val="center"/>
                </w:tcPr>
                <w:p w14:paraId="77376CF8">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r>
            <w:tr w14:paraId="36CB1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6" w:hRule="atLeast"/>
              </w:trPr>
              <w:tc>
                <w:tcPr>
                  <w:tcW w:w="1154" w:type="pct"/>
                  <w:shd w:val="clear" w:color="auto" w:fill="auto"/>
                  <w:vAlign w:val="center"/>
                </w:tcPr>
                <w:p w14:paraId="568127A2">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储罐</w:t>
                  </w:r>
                </w:p>
              </w:tc>
              <w:tc>
                <w:tcPr>
                  <w:tcW w:w="467" w:type="pct"/>
                  <w:shd w:val="clear" w:color="auto" w:fill="auto"/>
                  <w:vAlign w:val="center"/>
                </w:tcPr>
                <w:p w14:paraId="46EB5204">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颗粒物</w:t>
                  </w:r>
                </w:p>
              </w:tc>
              <w:tc>
                <w:tcPr>
                  <w:tcW w:w="446" w:type="pct"/>
                  <w:shd w:val="clear" w:color="auto" w:fill="auto"/>
                  <w:vAlign w:val="center"/>
                </w:tcPr>
                <w:p w14:paraId="24BC622D">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有组织</w:t>
                  </w:r>
                </w:p>
              </w:tc>
              <w:tc>
                <w:tcPr>
                  <w:tcW w:w="1300" w:type="pct"/>
                  <w:shd w:val="clear" w:color="auto" w:fill="auto"/>
                  <w:vAlign w:val="center"/>
                </w:tcPr>
                <w:p w14:paraId="4538437C">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集气管道(收集效率100%)+8套罐顶除尘器</w:t>
                  </w:r>
                </w:p>
              </w:tc>
              <w:tc>
                <w:tcPr>
                  <w:tcW w:w="672" w:type="pct"/>
                  <w:vMerge w:val="restart"/>
                  <w:shd w:val="clear" w:color="auto" w:fill="auto"/>
                  <w:vAlign w:val="center"/>
                </w:tcPr>
                <w:p w14:paraId="143DDBBF">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eastAsia="zh-CN"/>
                    </w:rPr>
                    <w:t>布袋除尘器</w:t>
                  </w:r>
                  <w:r>
                    <w:rPr>
                      <w:rFonts w:hint="default" w:ascii="Times New Roman" w:hAnsi="Times New Roman" w:eastAsia="宋体" w:cs="Times New Roman"/>
                      <w:bCs/>
                      <w:color w:val="auto"/>
                      <w:sz w:val="21"/>
                      <w:szCs w:val="21"/>
                      <w:highlight w:val="none"/>
                    </w:rPr>
                    <w:t>(处理效率9</w:t>
                  </w:r>
                  <w:r>
                    <w:rPr>
                      <w:rFonts w:hint="default" w:ascii="Times New Roman" w:hAnsi="Times New Roman" w:eastAsia="宋体" w:cs="Times New Roman"/>
                      <w:bCs/>
                      <w:color w:val="auto"/>
                      <w:sz w:val="21"/>
                      <w:szCs w:val="21"/>
                      <w:highlight w:val="none"/>
                      <w:lang w:val="en-US" w:eastAsia="zh-CN"/>
                    </w:rPr>
                    <w:t>9.7</w:t>
                  </w:r>
                  <w:r>
                    <w:rPr>
                      <w:rFonts w:hint="default" w:ascii="Times New Roman" w:hAnsi="Times New Roman" w:eastAsia="宋体" w:cs="Times New Roman"/>
                      <w:bCs/>
                      <w:color w:val="auto"/>
                      <w:sz w:val="21"/>
                      <w:szCs w:val="21"/>
                      <w:highlight w:val="none"/>
                    </w:rPr>
                    <w:t>%)</w:t>
                  </w:r>
                  <w:r>
                    <w:rPr>
                      <w:rFonts w:hint="default" w:ascii="Times New Roman" w:hAnsi="Times New Roman" w:eastAsia="宋体" w:cs="Times New Roman"/>
                      <w:bCs/>
                      <w:color w:val="auto"/>
                      <w:sz w:val="21"/>
                      <w:szCs w:val="21"/>
                      <w:highlight w:val="none"/>
                      <w:lang w:val="en-US" w:eastAsia="zh-CN"/>
                    </w:rPr>
                    <w:t>+1根15m高排气筒</w:t>
                  </w:r>
                </w:p>
              </w:tc>
              <w:tc>
                <w:tcPr>
                  <w:tcW w:w="529" w:type="pct"/>
                  <w:vAlign w:val="center"/>
                </w:tcPr>
                <w:p w14:paraId="668457A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是</w:t>
                  </w:r>
                </w:p>
              </w:tc>
              <w:tc>
                <w:tcPr>
                  <w:tcW w:w="429" w:type="pct"/>
                  <w:vAlign w:val="center"/>
                </w:tcPr>
                <w:p w14:paraId="05FA9D0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DA001</w:t>
                  </w:r>
                </w:p>
              </w:tc>
            </w:tr>
            <w:tr w14:paraId="4AE8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6" w:hRule="atLeast"/>
              </w:trPr>
              <w:tc>
                <w:tcPr>
                  <w:tcW w:w="1154" w:type="pct"/>
                  <w:vAlign w:val="center"/>
                </w:tcPr>
                <w:p w14:paraId="4313F3A4">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搅拌仓</w:t>
                  </w:r>
                  <w:r>
                    <w:rPr>
                      <w:rFonts w:hint="default" w:ascii="Times New Roman" w:hAnsi="Times New Roman" w:cs="Times New Roman"/>
                      <w:bCs/>
                      <w:color w:val="auto"/>
                      <w:sz w:val="21"/>
                      <w:szCs w:val="21"/>
                      <w:highlight w:val="none"/>
                      <w:lang w:val="en-US" w:eastAsia="zh-CN"/>
                    </w:rPr>
                    <w:t>（隔墙板）</w:t>
                  </w:r>
                </w:p>
              </w:tc>
              <w:tc>
                <w:tcPr>
                  <w:tcW w:w="467" w:type="pct"/>
                  <w:vAlign w:val="center"/>
                </w:tcPr>
                <w:p w14:paraId="2E47323E">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颗粒物</w:t>
                  </w:r>
                </w:p>
              </w:tc>
              <w:tc>
                <w:tcPr>
                  <w:tcW w:w="446" w:type="pct"/>
                  <w:vAlign w:val="center"/>
                </w:tcPr>
                <w:p w14:paraId="5DB1EFC8">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有组织</w:t>
                  </w:r>
                </w:p>
              </w:tc>
              <w:tc>
                <w:tcPr>
                  <w:tcW w:w="1300" w:type="pct"/>
                  <w:vAlign w:val="center"/>
                </w:tcPr>
                <w:p w14:paraId="49AE952A">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集气管道(收集效率100%)</w:t>
                  </w:r>
                </w:p>
              </w:tc>
              <w:tc>
                <w:tcPr>
                  <w:tcW w:w="672" w:type="pct"/>
                  <w:vMerge w:val="continue"/>
                  <w:vAlign w:val="center"/>
                </w:tcPr>
                <w:p w14:paraId="3F3DD593">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c>
                <w:tcPr>
                  <w:tcW w:w="529" w:type="pct"/>
                  <w:vAlign w:val="center"/>
                </w:tcPr>
                <w:p w14:paraId="437956F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是</w:t>
                  </w:r>
                </w:p>
              </w:tc>
              <w:tc>
                <w:tcPr>
                  <w:tcW w:w="429" w:type="pct"/>
                  <w:vAlign w:val="center"/>
                </w:tcPr>
                <w:p w14:paraId="45E97A44">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DA001</w:t>
                  </w:r>
                </w:p>
              </w:tc>
            </w:tr>
            <w:tr w14:paraId="5D254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37" w:hRule="atLeast"/>
              </w:trPr>
              <w:tc>
                <w:tcPr>
                  <w:tcW w:w="1154" w:type="pct"/>
                  <w:vAlign w:val="center"/>
                </w:tcPr>
                <w:p w14:paraId="1FAFFE29">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搅拌仓（石膏砂浆）</w:t>
                  </w:r>
                </w:p>
              </w:tc>
              <w:tc>
                <w:tcPr>
                  <w:tcW w:w="467" w:type="pct"/>
                  <w:vAlign w:val="center"/>
                </w:tcPr>
                <w:p w14:paraId="1F8C506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颗粒物</w:t>
                  </w:r>
                </w:p>
              </w:tc>
              <w:tc>
                <w:tcPr>
                  <w:tcW w:w="446" w:type="pct"/>
                  <w:vAlign w:val="center"/>
                </w:tcPr>
                <w:p w14:paraId="1C760E09">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有组织</w:t>
                  </w:r>
                </w:p>
              </w:tc>
              <w:tc>
                <w:tcPr>
                  <w:tcW w:w="1300" w:type="pct"/>
                  <w:vAlign w:val="center"/>
                </w:tcPr>
                <w:p w14:paraId="296F8993">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集气管道(收集效率100%)</w:t>
                  </w:r>
                </w:p>
              </w:tc>
              <w:tc>
                <w:tcPr>
                  <w:tcW w:w="672" w:type="pct"/>
                  <w:vMerge w:val="continue"/>
                  <w:vAlign w:val="center"/>
                </w:tcPr>
                <w:p w14:paraId="44CBF3F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c>
                <w:tcPr>
                  <w:tcW w:w="529" w:type="pct"/>
                  <w:vMerge w:val="restart"/>
                  <w:vAlign w:val="center"/>
                </w:tcPr>
                <w:p w14:paraId="0610C34C">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是</w:t>
                  </w:r>
                </w:p>
              </w:tc>
              <w:tc>
                <w:tcPr>
                  <w:tcW w:w="429" w:type="pct"/>
                  <w:vMerge w:val="restart"/>
                  <w:vAlign w:val="center"/>
                </w:tcPr>
                <w:p w14:paraId="6A79C952">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DA001</w:t>
                  </w:r>
                </w:p>
              </w:tc>
            </w:tr>
            <w:tr w14:paraId="4C23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33" w:hRule="atLeast"/>
              </w:trPr>
              <w:tc>
                <w:tcPr>
                  <w:tcW w:w="1154" w:type="pct"/>
                  <w:vAlign w:val="center"/>
                </w:tcPr>
                <w:p w14:paraId="4789196E">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搅拌仓（防火保温砂浆）</w:t>
                  </w:r>
                </w:p>
              </w:tc>
              <w:tc>
                <w:tcPr>
                  <w:tcW w:w="467" w:type="pct"/>
                  <w:shd w:val="clear" w:color="auto" w:fill="auto"/>
                  <w:vAlign w:val="center"/>
                </w:tcPr>
                <w:p w14:paraId="2A929517">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颗粒物</w:t>
                  </w:r>
                </w:p>
              </w:tc>
              <w:tc>
                <w:tcPr>
                  <w:tcW w:w="446" w:type="pct"/>
                  <w:shd w:val="clear" w:color="auto" w:fill="auto"/>
                  <w:vAlign w:val="center"/>
                </w:tcPr>
                <w:p w14:paraId="7F740E45">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有组织</w:t>
                  </w:r>
                </w:p>
              </w:tc>
              <w:tc>
                <w:tcPr>
                  <w:tcW w:w="1300" w:type="pct"/>
                  <w:shd w:val="clear" w:color="auto" w:fill="auto"/>
                  <w:vAlign w:val="center"/>
                </w:tcPr>
                <w:p w14:paraId="64CC4D3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集气管道(收集效率100%)</w:t>
                  </w:r>
                </w:p>
              </w:tc>
              <w:tc>
                <w:tcPr>
                  <w:tcW w:w="672" w:type="pct"/>
                  <w:vMerge w:val="continue"/>
                  <w:vAlign w:val="center"/>
                </w:tcPr>
                <w:p w14:paraId="38C21023">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c>
                <w:tcPr>
                  <w:tcW w:w="529" w:type="pct"/>
                  <w:vMerge w:val="continue"/>
                  <w:vAlign w:val="center"/>
                </w:tcPr>
                <w:p w14:paraId="65A552E3">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c>
                <w:tcPr>
                  <w:tcW w:w="429" w:type="pct"/>
                  <w:vMerge w:val="continue"/>
                  <w:vAlign w:val="center"/>
                </w:tcPr>
                <w:p w14:paraId="016924F2">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r>
            <w:tr w14:paraId="4F27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6" w:hRule="atLeast"/>
              </w:trPr>
              <w:tc>
                <w:tcPr>
                  <w:tcW w:w="1154" w:type="pct"/>
                  <w:vAlign w:val="center"/>
                </w:tcPr>
                <w:p w14:paraId="7BFBCA4A">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包装机</w:t>
                  </w:r>
                  <w:r>
                    <w:rPr>
                      <w:rFonts w:hint="default" w:ascii="Times New Roman" w:hAnsi="Times New Roman" w:cs="Times New Roman"/>
                      <w:bCs/>
                      <w:color w:val="auto"/>
                      <w:sz w:val="21"/>
                      <w:szCs w:val="21"/>
                      <w:highlight w:val="none"/>
                      <w:lang w:val="en-US" w:eastAsia="zh-CN"/>
                    </w:rPr>
                    <w:t>（石膏砂浆）</w:t>
                  </w:r>
                </w:p>
              </w:tc>
              <w:tc>
                <w:tcPr>
                  <w:tcW w:w="467" w:type="pct"/>
                  <w:vAlign w:val="center"/>
                </w:tcPr>
                <w:p w14:paraId="2A69974E">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颗粒物</w:t>
                  </w:r>
                </w:p>
              </w:tc>
              <w:tc>
                <w:tcPr>
                  <w:tcW w:w="446" w:type="pct"/>
                  <w:vAlign w:val="center"/>
                </w:tcPr>
                <w:p w14:paraId="73CEAB39">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有组织</w:t>
                  </w:r>
                </w:p>
              </w:tc>
              <w:tc>
                <w:tcPr>
                  <w:tcW w:w="1300" w:type="pct"/>
                  <w:vAlign w:val="center"/>
                </w:tcPr>
                <w:p w14:paraId="3547777C">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集气罩（90%）</w:t>
                  </w:r>
                </w:p>
              </w:tc>
              <w:tc>
                <w:tcPr>
                  <w:tcW w:w="672" w:type="pct"/>
                  <w:vMerge w:val="continue"/>
                  <w:vAlign w:val="center"/>
                </w:tcPr>
                <w:p w14:paraId="7AF450B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c>
                <w:tcPr>
                  <w:tcW w:w="529" w:type="pct"/>
                  <w:vAlign w:val="center"/>
                </w:tcPr>
                <w:p w14:paraId="1C6FD22D">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是</w:t>
                  </w:r>
                </w:p>
              </w:tc>
              <w:tc>
                <w:tcPr>
                  <w:tcW w:w="429" w:type="pct"/>
                  <w:vAlign w:val="center"/>
                </w:tcPr>
                <w:p w14:paraId="5734E51E">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DA001</w:t>
                  </w:r>
                </w:p>
              </w:tc>
            </w:tr>
            <w:tr w14:paraId="449E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trPr>
              <w:tc>
                <w:tcPr>
                  <w:tcW w:w="1154" w:type="pct"/>
                  <w:vAlign w:val="center"/>
                </w:tcPr>
                <w:p w14:paraId="58C41AA5">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cs="Times New Roman"/>
                      <w:color w:val="auto"/>
                      <w:sz w:val="21"/>
                      <w:szCs w:val="21"/>
                      <w:highlight w:val="none"/>
                      <w:lang w:eastAsia="zh-CN"/>
                    </w:rPr>
                    <w:t>车间无组织废气（集气罩未收集废气）</w:t>
                  </w:r>
                </w:p>
              </w:tc>
              <w:tc>
                <w:tcPr>
                  <w:tcW w:w="467" w:type="pct"/>
                  <w:vAlign w:val="center"/>
                </w:tcPr>
                <w:p w14:paraId="6806ADE9">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颗粒物</w:t>
                  </w:r>
                </w:p>
              </w:tc>
              <w:tc>
                <w:tcPr>
                  <w:tcW w:w="446" w:type="pct"/>
                  <w:vAlign w:val="center"/>
                </w:tcPr>
                <w:p w14:paraId="6B346D14">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无组织</w:t>
                  </w:r>
                </w:p>
              </w:tc>
              <w:tc>
                <w:tcPr>
                  <w:tcW w:w="1972" w:type="pct"/>
                  <w:gridSpan w:val="2"/>
                  <w:vAlign w:val="center"/>
                </w:tcPr>
                <w:p w14:paraId="59AF5651">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采取车间密闭等措施</w:t>
                  </w:r>
                </w:p>
              </w:tc>
              <w:tc>
                <w:tcPr>
                  <w:tcW w:w="529" w:type="pct"/>
                  <w:vAlign w:val="center"/>
                </w:tcPr>
                <w:p w14:paraId="55A4B9F1">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是</w:t>
                  </w:r>
                </w:p>
              </w:tc>
              <w:tc>
                <w:tcPr>
                  <w:tcW w:w="429" w:type="pct"/>
                  <w:vAlign w:val="center"/>
                </w:tcPr>
                <w:p w14:paraId="3AA74653">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w:t>
                  </w:r>
                </w:p>
              </w:tc>
            </w:tr>
            <w:tr w14:paraId="4F58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07" w:hRule="atLeast"/>
              </w:trPr>
              <w:tc>
                <w:tcPr>
                  <w:tcW w:w="1154" w:type="pct"/>
                  <w:shd w:val="clear" w:color="auto" w:fill="auto"/>
                  <w:vAlign w:val="center"/>
                </w:tcPr>
                <w:p w14:paraId="369FDE96">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eastAsia="zh-CN"/>
                    </w:rPr>
                    <w:t>车辆运输扬尘</w:t>
                  </w:r>
                </w:p>
              </w:tc>
              <w:tc>
                <w:tcPr>
                  <w:tcW w:w="467" w:type="pct"/>
                  <w:shd w:val="clear" w:color="auto" w:fill="auto"/>
                  <w:vAlign w:val="center"/>
                </w:tcPr>
                <w:p w14:paraId="3C595C34">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rPr>
                    <w:t>颗粒物</w:t>
                  </w:r>
                </w:p>
              </w:tc>
              <w:tc>
                <w:tcPr>
                  <w:tcW w:w="446" w:type="pct"/>
                  <w:shd w:val="clear" w:color="auto" w:fill="auto"/>
                  <w:vAlign w:val="center"/>
                </w:tcPr>
                <w:p w14:paraId="126078CC">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rPr>
                    <w:t>无组织</w:t>
                  </w:r>
                </w:p>
              </w:tc>
              <w:tc>
                <w:tcPr>
                  <w:tcW w:w="1972" w:type="pct"/>
                  <w:gridSpan w:val="2"/>
                  <w:shd w:val="clear" w:color="auto" w:fill="auto"/>
                  <w:vAlign w:val="center"/>
                </w:tcPr>
                <w:p w14:paraId="448D0789">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采取车辆加盖苫布、</w:t>
                  </w:r>
                  <w:r>
                    <w:rPr>
                      <w:rFonts w:hint="default" w:ascii="Times New Roman" w:hAnsi="Times New Roman" w:cs="Times New Roman"/>
                      <w:color w:val="auto"/>
                      <w:sz w:val="21"/>
                      <w:szCs w:val="21"/>
                      <w:highlight w:val="none"/>
                      <w:lang w:val="en-US" w:eastAsia="zh-CN"/>
                    </w:rPr>
                    <w:t>道路硬化</w:t>
                  </w:r>
                  <w:r>
                    <w:rPr>
                      <w:rFonts w:hint="default" w:ascii="Times New Roman" w:hAnsi="Times New Roman" w:eastAsia="宋体" w:cs="Times New Roman"/>
                      <w:color w:val="auto"/>
                      <w:sz w:val="21"/>
                      <w:szCs w:val="21"/>
                      <w:highlight w:val="none"/>
                      <w:lang w:val="en-US" w:eastAsia="zh-CN"/>
                    </w:rPr>
                    <w:t>、定期清扫、进出厂车辆冲洗等控制措施。</w:t>
                  </w:r>
                </w:p>
              </w:tc>
              <w:tc>
                <w:tcPr>
                  <w:tcW w:w="529" w:type="pct"/>
                  <w:shd w:val="clear" w:color="auto" w:fill="auto"/>
                  <w:vAlign w:val="center"/>
                </w:tcPr>
                <w:p w14:paraId="353318F3">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rPr>
                    <w:t>是</w:t>
                  </w:r>
                </w:p>
              </w:tc>
              <w:tc>
                <w:tcPr>
                  <w:tcW w:w="429" w:type="pct"/>
                  <w:shd w:val="clear" w:color="auto" w:fill="auto"/>
                  <w:vAlign w:val="center"/>
                </w:tcPr>
                <w:p w14:paraId="72E18BFF">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rPr>
                    <w:t>/</w:t>
                  </w:r>
                </w:p>
              </w:tc>
            </w:tr>
            <w:tr w14:paraId="3B24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84" w:hRule="atLeast"/>
              </w:trPr>
              <w:tc>
                <w:tcPr>
                  <w:tcW w:w="1154" w:type="pct"/>
                  <w:vAlign w:val="center"/>
                </w:tcPr>
                <w:p w14:paraId="4A32C982">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焊接烟尘</w:t>
                  </w:r>
                </w:p>
              </w:tc>
              <w:tc>
                <w:tcPr>
                  <w:tcW w:w="467" w:type="pct"/>
                  <w:vAlign w:val="center"/>
                </w:tcPr>
                <w:p w14:paraId="4DDDD87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bidi="ar-SA"/>
                    </w:rPr>
                    <w:t>颗粒物</w:t>
                  </w:r>
                </w:p>
              </w:tc>
              <w:tc>
                <w:tcPr>
                  <w:tcW w:w="446" w:type="pct"/>
                  <w:vAlign w:val="center"/>
                </w:tcPr>
                <w:p w14:paraId="4E2EC3B7">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bidi="ar-SA"/>
                    </w:rPr>
                    <w:t>无组织</w:t>
                  </w:r>
                </w:p>
              </w:tc>
              <w:tc>
                <w:tcPr>
                  <w:tcW w:w="1972" w:type="pct"/>
                  <w:gridSpan w:val="2"/>
                  <w:vAlign w:val="center"/>
                </w:tcPr>
                <w:p w14:paraId="750CF298">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移动式焊烟净化器</w:t>
                  </w:r>
                </w:p>
              </w:tc>
              <w:tc>
                <w:tcPr>
                  <w:tcW w:w="529" w:type="pct"/>
                  <w:shd w:val="clear" w:color="auto" w:fill="auto"/>
                  <w:vAlign w:val="center"/>
                </w:tcPr>
                <w:p w14:paraId="7261794A">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rPr>
                    <w:t>是</w:t>
                  </w:r>
                </w:p>
              </w:tc>
              <w:tc>
                <w:tcPr>
                  <w:tcW w:w="429" w:type="pct"/>
                  <w:shd w:val="clear" w:color="auto" w:fill="auto"/>
                  <w:vAlign w:val="center"/>
                </w:tcPr>
                <w:p w14:paraId="15E1ED7F">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rPr>
                    <w:t>/</w:t>
                  </w:r>
                </w:p>
              </w:tc>
            </w:tr>
          </w:tbl>
          <w:p w14:paraId="3815F58A">
            <w:pPr>
              <w:pStyle w:val="120"/>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宋体" w:cs="Times New Roman"/>
                <w:b/>
                <w:bCs/>
                <w:color w:val="auto"/>
                <w:szCs w:val="24"/>
                <w:highlight w:val="none"/>
                <w:lang w:val="en-US" w:eastAsia="zh-CN"/>
              </w:rPr>
            </w:pPr>
            <w:r>
              <w:rPr>
                <w:rFonts w:hint="default" w:ascii="Times New Roman" w:hAnsi="Times New Roman" w:eastAsia="宋体" w:cs="Times New Roman"/>
                <w:b/>
                <w:bCs/>
                <w:color w:val="auto"/>
                <w:szCs w:val="24"/>
                <w:highlight w:val="none"/>
                <w:lang w:val="en-US" w:eastAsia="zh-CN"/>
              </w:rPr>
              <w:t>表4-</w:t>
            </w:r>
            <w:r>
              <w:rPr>
                <w:rFonts w:hint="default" w:ascii="Times New Roman" w:hAnsi="Times New Roman" w:cs="Times New Roman"/>
                <w:b/>
                <w:bCs/>
                <w:color w:val="auto"/>
                <w:szCs w:val="24"/>
                <w:highlight w:val="none"/>
                <w:lang w:val="en-US" w:eastAsia="zh-CN"/>
              </w:rPr>
              <w:t>2</w:t>
            </w:r>
            <w:r>
              <w:rPr>
                <w:rFonts w:hint="default" w:ascii="Times New Roman" w:hAnsi="Times New Roman" w:eastAsia="宋体" w:cs="Times New Roman"/>
                <w:b/>
                <w:bCs/>
                <w:color w:val="auto"/>
                <w:szCs w:val="24"/>
                <w:highlight w:val="none"/>
                <w:lang w:val="en-US" w:eastAsia="zh-CN"/>
              </w:rPr>
              <w:t xml:space="preserve">  本项目有组织废气</w:t>
            </w:r>
            <w:r>
              <w:rPr>
                <w:rFonts w:hint="default" w:ascii="Times New Roman" w:hAnsi="Times New Roman" w:eastAsia="宋体" w:cs="Times New Roman"/>
                <w:b/>
                <w:bCs/>
                <w:color w:val="auto"/>
                <w:szCs w:val="24"/>
                <w:highlight w:val="none"/>
              </w:rPr>
              <w:t>产生及排放情况一览表</w:t>
            </w:r>
          </w:p>
          <w:tbl>
            <w:tblPr>
              <w:tblStyle w:val="40"/>
              <w:tblW w:w="499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23" w:type="dxa"/>
                <w:bottom w:w="0" w:type="dxa"/>
                <w:right w:w="23" w:type="dxa"/>
              </w:tblCellMar>
            </w:tblPr>
            <w:tblGrid>
              <w:gridCol w:w="665"/>
              <w:gridCol w:w="603"/>
              <w:gridCol w:w="788"/>
              <w:gridCol w:w="729"/>
              <w:gridCol w:w="684"/>
              <w:gridCol w:w="713"/>
              <w:gridCol w:w="545"/>
              <w:gridCol w:w="897"/>
              <w:gridCol w:w="721"/>
              <w:gridCol w:w="766"/>
              <w:gridCol w:w="637"/>
              <w:gridCol w:w="606"/>
            </w:tblGrid>
            <w:tr w14:paraId="7A50A2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90" w:hRule="atLeast"/>
                <w:jc w:val="center"/>
              </w:trPr>
              <w:tc>
                <w:tcPr>
                  <w:tcW w:w="397" w:type="pct"/>
                  <w:vMerge w:val="restart"/>
                  <w:vAlign w:val="center"/>
                </w:tcPr>
                <w:p w14:paraId="55A85E55">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排气筒</w:t>
                  </w:r>
                </w:p>
              </w:tc>
              <w:tc>
                <w:tcPr>
                  <w:tcW w:w="361" w:type="pct"/>
                  <w:vMerge w:val="restart"/>
                  <w:vAlign w:val="center"/>
                </w:tcPr>
                <w:p w14:paraId="48F8FCBB">
                  <w:pPr>
                    <w:adjustRightInd w:val="0"/>
                    <w:snapToGrid w:val="0"/>
                    <w:spacing w:line="240" w:lineRule="atLeast"/>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产污点</w:t>
                  </w:r>
                </w:p>
              </w:tc>
              <w:tc>
                <w:tcPr>
                  <w:tcW w:w="471" w:type="pct"/>
                  <w:vMerge w:val="restart"/>
                  <w:vAlign w:val="center"/>
                </w:tcPr>
                <w:p w14:paraId="4C143AF5">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w:t>
                  </w:r>
                </w:p>
              </w:tc>
              <w:tc>
                <w:tcPr>
                  <w:tcW w:w="436" w:type="pct"/>
                  <w:vAlign w:val="center"/>
                </w:tcPr>
                <w:p w14:paraId="6539FE0A">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产生</w:t>
                  </w:r>
                </w:p>
                <w:p w14:paraId="19256B77">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浓度</w:t>
                  </w:r>
                </w:p>
              </w:tc>
              <w:tc>
                <w:tcPr>
                  <w:tcW w:w="409" w:type="pct"/>
                  <w:vAlign w:val="center"/>
                </w:tcPr>
                <w:p w14:paraId="48A0C3FC">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产生</w:t>
                  </w:r>
                </w:p>
                <w:p w14:paraId="617BB217">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速率</w:t>
                  </w:r>
                </w:p>
              </w:tc>
              <w:tc>
                <w:tcPr>
                  <w:tcW w:w="752" w:type="pct"/>
                  <w:gridSpan w:val="2"/>
                  <w:vMerge w:val="restart"/>
                  <w:vAlign w:val="center"/>
                </w:tcPr>
                <w:p w14:paraId="1AFF24FC">
                  <w:pPr>
                    <w:adjustRightInd w:val="0"/>
                    <w:snapToGrid w:val="0"/>
                    <w:spacing w:line="240" w:lineRule="atLeast"/>
                    <w:jc w:val="center"/>
                    <w:rPr>
                      <w:rFonts w:hint="default" w:ascii="Times New Roman" w:hAnsi="Times New Roman" w:cs="Times New Roman"/>
                      <w:color w:val="auto"/>
                      <w:spacing w:val="-11"/>
                      <w:sz w:val="21"/>
                      <w:szCs w:val="21"/>
                      <w:highlight w:val="none"/>
                      <w:lang w:val="en-US" w:eastAsia="zh-CN"/>
                    </w:rPr>
                  </w:pPr>
                  <w:r>
                    <w:rPr>
                      <w:rFonts w:hint="default" w:ascii="Times New Roman" w:hAnsi="Times New Roman" w:cs="Times New Roman"/>
                      <w:color w:val="auto"/>
                      <w:spacing w:val="-11"/>
                      <w:sz w:val="21"/>
                      <w:szCs w:val="21"/>
                      <w:highlight w:val="none"/>
                      <w:lang w:val="en-US" w:eastAsia="zh-CN"/>
                    </w:rPr>
                    <w:t>治理</w:t>
                  </w:r>
                </w:p>
                <w:p w14:paraId="03C2B162">
                  <w:pPr>
                    <w:adjustRightInd w:val="0"/>
                    <w:snapToGrid w:val="0"/>
                    <w:spacing w:line="240" w:lineRule="atLeast"/>
                    <w:jc w:val="center"/>
                    <w:rPr>
                      <w:rFonts w:hint="default" w:ascii="Times New Roman" w:hAnsi="Times New Roman" w:cs="Times New Roman"/>
                      <w:color w:val="auto"/>
                      <w:spacing w:val="-11"/>
                      <w:sz w:val="21"/>
                      <w:szCs w:val="21"/>
                      <w:highlight w:val="none"/>
                      <w:lang w:val="en-US" w:eastAsia="zh-CN"/>
                    </w:rPr>
                  </w:pPr>
                  <w:r>
                    <w:rPr>
                      <w:rFonts w:hint="default" w:ascii="Times New Roman" w:hAnsi="Times New Roman" w:cs="Times New Roman"/>
                      <w:color w:val="auto"/>
                      <w:spacing w:val="-11"/>
                      <w:sz w:val="21"/>
                      <w:szCs w:val="21"/>
                      <w:highlight w:val="none"/>
                      <w:lang w:val="en-US" w:eastAsia="zh-CN"/>
                    </w:rPr>
                    <w:t>措施</w:t>
                  </w:r>
                </w:p>
              </w:tc>
              <w:tc>
                <w:tcPr>
                  <w:tcW w:w="536" w:type="pct"/>
                  <w:vMerge w:val="restart"/>
                  <w:vAlign w:val="center"/>
                </w:tcPr>
                <w:p w14:paraId="2CFF177C">
                  <w:pPr>
                    <w:adjustRightInd w:val="0"/>
                    <w:snapToGrid w:val="0"/>
                    <w:spacing w:line="240" w:lineRule="atLeast"/>
                    <w:jc w:val="center"/>
                    <w:rPr>
                      <w:rFonts w:hint="default" w:ascii="Times New Roman" w:hAnsi="Times New Roman" w:eastAsia="宋体" w:cs="Times New Roman"/>
                      <w:color w:val="auto"/>
                      <w:sz w:val="21"/>
                      <w:szCs w:val="21"/>
                      <w:highlight w:val="cyan"/>
                      <w:lang w:val="en-US" w:eastAsia="zh-CN"/>
                    </w:rPr>
                  </w:pPr>
                  <w:r>
                    <w:rPr>
                      <w:rFonts w:hint="default" w:ascii="Times New Roman" w:hAnsi="Times New Roman" w:cs="Times New Roman"/>
                      <w:color w:val="auto"/>
                      <w:sz w:val="21"/>
                      <w:szCs w:val="21"/>
                      <w:highlight w:val="cyan"/>
                    </w:rPr>
                    <w:t>处理效率</w:t>
                  </w:r>
                  <w:r>
                    <w:rPr>
                      <w:rFonts w:hint="default" w:ascii="Times New Roman" w:hAnsi="Times New Roman" w:cs="Times New Roman"/>
                      <w:color w:val="auto"/>
                      <w:sz w:val="21"/>
                      <w:szCs w:val="21"/>
                      <w:highlight w:val="cyan"/>
                      <w:lang w:val="en-US" w:eastAsia="zh-CN"/>
                    </w:rPr>
                    <w:t>%</w:t>
                  </w:r>
                </w:p>
              </w:tc>
              <w:tc>
                <w:tcPr>
                  <w:tcW w:w="431" w:type="pct"/>
                  <w:vAlign w:val="center"/>
                </w:tcPr>
                <w:p w14:paraId="542CCB65">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总排</w:t>
                  </w:r>
                </w:p>
                <w:p w14:paraId="0CB6F104">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风量</w:t>
                  </w:r>
                </w:p>
              </w:tc>
              <w:tc>
                <w:tcPr>
                  <w:tcW w:w="458" w:type="pct"/>
                  <w:vAlign w:val="center"/>
                </w:tcPr>
                <w:p w14:paraId="487CA092">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w:t>
                  </w:r>
                </w:p>
                <w:p w14:paraId="562980E0">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浓度</w:t>
                  </w:r>
                </w:p>
              </w:tc>
              <w:tc>
                <w:tcPr>
                  <w:tcW w:w="381" w:type="pct"/>
                  <w:vAlign w:val="center"/>
                </w:tcPr>
                <w:p w14:paraId="61038423">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w:t>
                  </w:r>
                </w:p>
                <w:p w14:paraId="64AF057A">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速率</w:t>
                  </w:r>
                </w:p>
              </w:tc>
              <w:tc>
                <w:tcPr>
                  <w:tcW w:w="362" w:type="pct"/>
                  <w:vAlign w:val="center"/>
                </w:tcPr>
                <w:p w14:paraId="3ADD63C3">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排放量</w:t>
                  </w:r>
                </w:p>
              </w:tc>
            </w:tr>
            <w:tr w14:paraId="349421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90" w:hRule="atLeast"/>
                <w:jc w:val="center"/>
              </w:trPr>
              <w:tc>
                <w:tcPr>
                  <w:tcW w:w="397" w:type="pct"/>
                  <w:vMerge w:val="continue"/>
                  <w:vAlign w:val="center"/>
                </w:tcPr>
                <w:p w14:paraId="67F1598A">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61" w:type="pct"/>
                  <w:vMerge w:val="continue"/>
                  <w:vAlign w:val="center"/>
                </w:tcPr>
                <w:p w14:paraId="50FE6066">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71" w:type="pct"/>
                  <w:vMerge w:val="continue"/>
                  <w:vAlign w:val="center"/>
                </w:tcPr>
                <w:p w14:paraId="74EA1A67">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36" w:type="pct"/>
                  <w:vAlign w:val="center"/>
                </w:tcPr>
                <w:p w14:paraId="5D84D162">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mg/m</w:t>
                  </w:r>
                  <w:r>
                    <w:rPr>
                      <w:rFonts w:hint="default" w:ascii="Times New Roman" w:hAnsi="Times New Roman" w:cs="Times New Roman"/>
                      <w:color w:val="auto"/>
                      <w:sz w:val="21"/>
                      <w:szCs w:val="21"/>
                      <w:highlight w:val="none"/>
                      <w:vertAlign w:val="superscript"/>
                    </w:rPr>
                    <w:t>3</w:t>
                  </w:r>
                </w:p>
              </w:tc>
              <w:tc>
                <w:tcPr>
                  <w:tcW w:w="409" w:type="pct"/>
                  <w:vAlign w:val="center"/>
                </w:tcPr>
                <w:p w14:paraId="77F3CCA0">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kg/h</w:t>
                  </w:r>
                </w:p>
              </w:tc>
              <w:tc>
                <w:tcPr>
                  <w:tcW w:w="752" w:type="pct"/>
                  <w:gridSpan w:val="2"/>
                  <w:vMerge w:val="continue"/>
                  <w:vAlign w:val="center"/>
                </w:tcPr>
                <w:p w14:paraId="0021774F">
                  <w:pPr>
                    <w:adjustRightInd w:val="0"/>
                    <w:snapToGrid w:val="0"/>
                    <w:spacing w:line="240" w:lineRule="atLeast"/>
                    <w:jc w:val="center"/>
                    <w:rPr>
                      <w:rFonts w:hint="default" w:ascii="Times New Roman" w:hAnsi="Times New Roman" w:cs="Times New Roman"/>
                      <w:color w:val="auto"/>
                      <w:spacing w:val="-11"/>
                      <w:sz w:val="21"/>
                      <w:szCs w:val="21"/>
                      <w:highlight w:val="none"/>
                      <w:lang w:val="en-US" w:eastAsia="zh-CN"/>
                    </w:rPr>
                  </w:pPr>
                </w:p>
              </w:tc>
              <w:tc>
                <w:tcPr>
                  <w:tcW w:w="536" w:type="pct"/>
                  <w:vMerge w:val="continue"/>
                  <w:vAlign w:val="center"/>
                </w:tcPr>
                <w:p w14:paraId="36A2A7A3">
                  <w:pPr>
                    <w:adjustRightInd w:val="0"/>
                    <w:snapToGrid w:val="0"/>
                    <w:spacing w:line="240" w:lineRule="atLeast"/>
                    <w:jc w:val="center"/>
                    <w:rPr>
                      <w:rFonts w:hint="default" w:ascii="Times New Roman" w:hAnsi="Times New Roman" w:cs="Times New Roman"/>
                      <w:color w:val="auto"/>
                      <w:sz w:val="21"/>
                      <w:szCs w:val="21"/>
                      <w:highlight w:val="cyan"/>
                    </w:rPr>
                  </w:pPr>
                </w:p>
              </w:tc>
              <w:tc>
                <w:tcPr>
                  <w:tcW w:w="431" w:type="pct"/>
                  <w:vAlign w:val="center"/>
                </w:tcPr>
                <w:p w14:paraId="24391E6D">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/h</w:t>
                  </w:r>
                </w:p>
              </w:tc>
              <w:tc>
                <w:tcPr>
                  <w:tcW w:w="458" w:type="pct"/>
                  <w:vAlign w:val="center"/>
                </w:tcPr>
                <w:p w14:paraId="28D0347D">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mg/m</w:t>
                  </w:r>
                  <w:r>
                    <w:rPr>
                      <w:rFonts w:hint="default" w:ascii="Times New Roman" w:hAnsi="Times New Roman" w:cs="Times New Roman"/>
                      <w:color w:val="auto"/>
                      <w:sz w:val="21"/>
                      <w:szCs w:val="21"/>
                      <w:highlight w:val="none"/>
                      <w:vertAlign w:val="superscript"/>
                    </w:rPr>
                    <w:t>3</w:t>
                  </w:r>
                </w:p>
              </w:tc>
              <w:tc>
                <w:tcPr>
                  <w:tcW w:w="381" w:type="pct"/>
                  <w:vAlign w:val="center"/>
                </w:tcPr>
                <w:p w14:paraId="2C48EAD2">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kg/h</w:t>
                  </w:r>
                </w:p>
              </w:tc>
              <w:tc>
                <w:tcPr>
                  <w:tcW w:w="362" w:type="pct"/>
                  <w:vAlign w:val="center"/>
                </w:tcPr>
                <w:p w14:paraId="1A5998EE">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t/a</w:t>
                  </w:r>
                </w:p>
              </w:tc>
            </w:tr>
            <w:tr w14:paraId="6A658B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90" w:hRule="atLeast"/>
                <w:jc w:val="center"/>
              </w:trPr>
              <w:tc>
                <w:tcPr>
                  <w:tcW w:w="397" w:type="pct"/>
                  <w:vMerge w:val="restart"/>
                  <w:shd w:val="clear" w:color="auto" w:fill="auto"/>
                  <w:vAlign w:val="center"/>
                </w:tcPr>
                <w:p w14:paraId="08A8D21F">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DA001</w:t>
                  </w:r>
                </w:p>
              </w:tc>
              <w:tc>
                <w:tcPr>
                  <w:tcW w:w="361" w:type="pct"/>
                  <w:shd w:val="clear" w:color="auto" w:fill="auto"/>
                  <w:vAlign w:val="center"/>
                </w:tcPr>
                <w:p w14:paraId="384D4317">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储罐</w:t>
                  </w:r>
                </w:p>
              </w:tc>
              <w:tc>
                <w:tcPr>
                  <w:tcW w:w="471" w:type="pct"/>
                  <w:shd w:val="clear" w:color="auto" w:fill="auto"/>
                  <w:vAlign w:val="center"/>
                </w:tcPr>
                <w:p w14:paraId="1B19A39E">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颗粒物</w:t>
                  </w:r>
                </w:p>
              </w:tc>
              <w:tc>
                <w:tcPr>
                  <w:tcW w:w="436" w:type="pct"/>
                  <w:vMerge w:val="restart"/>
                  <w:shd w:val="clear" w:color="auto" w:fill="auto"/>
                  <w:vAlign w:val="center"/>
                </w:tcPr>
                <w:p w14:paraId="4C1ABBFF">
                  <w:pPr>
                    <w:adjustRightInd w:val="0"/>
                    <w:snapToGrid w:val="0"/>
                    <w:spacing w:line="240" w:lineRule="atLeas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2306.54</w:t>
                  </w:r>
                </w:p>
              </w:tc>
              <w:tc>
                <w:tcPr>
                  <w:tcW w:w="409" w:type="pct"/>
                  <w:vMerge w:val="restart"/>
                  <w:vAlign w:val="center"/>
                </w:tcPr>
                <w:p w14:paraId="6DBE4D03">
                  <w:pPr>
                    <w:adjustRightInd w:val="0"/>
                    <w:snapToGrid w:val="0"/>
                    <w:spacing w:line="240" w:lineRule="atLeas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23.065</w:t>
                  </w:r>
                </w:p>
              </w:tc>
              <w:tc>
                <w:tcPr>
                  <w:tcW w:w="426" w:type="pct"/>
                  <w:tcBorders>
                    <w:right w:val="single" w:color="auto" w:sz="4" w:space="0"/>
                  </w:tcBorders>
                  <w:shd w:val="clear" w:color="auto" w:fill="auto"/>
                  <w:vAlign w:val="center"/>
                </w:tcPr>
                <w:p w14:paraId="03114506">
                  <w:pPr>
                    <w:adjustRightInd w:val="0"/>
                    <w:snapToGrid w:val="0"/>
                    <w:spacing w:line="240" w:lineRule="atLeas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集气管道+8套罐顶除尘器</w:t>
                  </w:r>
                </w:p>
              </w:tc>
              <w:tc>
                <w:tcPr>
                  <w:tcW w:w="326" w:type="pct"/>
                  <w:vMerge w:val="restart"/>
                  <w:tcBorders>
                    <w:left w:val="single" w:color="auto" w:sz="4" w:space="0"/>
                  </w:tcBorders>
                  <w:shd w:val="clear" w:color="auto" w:fill="auto"/>
                  <w:vAlign w:val="center"/>
                </w:tcPr>
                <w:p w14:paraId="429B6C3E">
                  <w:pPr>
                    <w:adjustRightInd w:val="0"/>
                    <w:snapToGrid w:val="0"/>
                    <w:spacing w:line="240" w:lineRule="atLeas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布袋除尘器+1根15m高排气筒</w:t>
                  </w:r>
                </w:p>
              </w:tc>
              <w:tc>
                <w:tcPr>
                  <w:tcW w:w="536" w:type="pct"/>
                  <w:vMerge w:val="restart"/>
                  <w:vAlign w:val="center"/>
                </w:tcPr>
                <w:p w14:paraId="31EE81B8">
                  <w:pPr>
                    <w:adjustRightInd w:val="0"/>
                    <w:snapToGrid w:val="0"/>
                    <w:spacing w:line="240" w:lineRule="atLeas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cyan"/>
                      <w:lang w:val="en-US" w:eastAsia="zh-CN"/>
                    </w:rPr>
                    <w:t>99.7</w:t>
                  </w:r>
                </w:p>
              </w:tc>
              <w:tc>
                <w:tcPr>
                  <w:tcW w:w="431" w:type="pct"/>
                  <w:vMerge w:val="restart"/>
                  <w:vAlign w:val="center"/>
                </w:tcPr>
                <w:p w14:paraId="36A339F9">
                  <w:pPr>
                    <w:adjustRightInd w:val="0"/>
                    <w:snapToGrid w:val="0"/>
                    <w:spacing w:line="240" w:lineRule="atLeas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10000</w:t>
                  </w:r>
                </w:p>
              </w:tc>
              <w:tc>
                <w:tcPr>
                  <w:tcW w:w="458" w:type="pct"/>
                  <w:vMerge w:val="restart"/>
                  <w:shd w:val="clear" w:color="auto" w:fill="auto"/>
                  <w:vAlign w:val="center"/>
                </w:tcPr>
                <w:p w14:paraId="24B34263">
                  <w:pPr>
                    <w:adjustRightInd w:val="0"/>
                    <w:snapToGrid w:val="0"/>
                    <w:spacing w:line="240" w:lineRule="atLeast"/>
                    <w:jc w:val="center"/>
                    <w:rPr>
                      <w:rFonts w:hint="default" w:ascii="Times New Roman" w:hAnsi="Times New Roman" w:eastAsia="宋体" w:cs="Times New Roman"/>
                      <w:color w:val="auto"/>
                      <w:sz w:val="21"/>
                      <w:szCs w:val="21"/>
                      <w:highlight w:val="cyan"/>
                      <w:lang w:val="en-US" w:eastAsia="zh-CN"/>
                    </w:rPr>
                  </w:pPr>
                  <w:r>
                    <w:rPr>
                      <w:rFonts w:hint="default" w:ascii="Times New Roman" w:hAnsi="Times New Roman" w:eastAsia="宋体" w:cs="Times New Roman"/>
                      <w:color w:val="auto"/>
                      <w:sz w:val="21"/>
                      <w:szCs w:val="21"/>
                      <w:highlight w:val="cyan"/>
                      <w:lang w:val="en-US" w:eastAsia="zh-CN"/>
                    </w:rPr>
                    <w:t>6.92</w:t>
                  </w:r>
                </w:p>
              </w:tc>
              <w:tc>
                <w:tcPr>
                  <w:tcW w:w="381" w:type="pct"/>
                  <w:vMerge w:val="restart"/>
                  <w:shd w:val="clear" w:color="auto" w:fill="auto"/>
                  <w:vAlign w:val="center"/>
                </w:tcPr>
                <w:p w14:paraId="74815727">
                  <w:pPr>
                    <w:adjustRightInd w:val="0"/>
                    <w:snapToGrid w:val="0"/>
                    <w:spacing w:line="240" w:lineRule="atLeast"/>
                    <w:jc w:val="center"/>
                    <w:rPr>
                      <w:rFonts w:hint="default" w:ascii="Times New Roman" w:hAnsi="Times New Roman" w:eastAsia="宋体" w:cs="Times New Roman"/>
                      <w:color w:val="auto"/>
                      <w:sz w:val="21"/>
                      <w:szCs w:val="21"/>
                      <w:highlight w:val="cyan"/>
                      <w:lang w:val="en-US" w:eastAsia="zh-CN"/>
                    </w:rPr>
                  </w:pPr>
                  <w:r>
                    <w:rPr>
                      <w:rFonts w:hint="default" w:ascii="Times New Roman" w:hAnsi="Times New Roman" w:eastAsia="宋体" w:cs="Times New Roman"/>
                      <w:color w:val="auto"/>
                      <w:sz w:val="21"/>
                      <w:szCs w:val="21"/>
                      <w:highlight w:val="cyan"/>
                      <w:lang w:val="en-US" w:eastAsia="zh-CN"/>
                    </w:rPr>
                    <w:t>0.069</w:t>
                  </w:r>
                </w:p>
              </w:tc>
              <w:tc>
                <w:tcPr>
                  <w:tcW w:w="362" w:type="pct"/>
                  <w:vMerge w:val="restart"/>
                  <w:shd w:val="clear" w:color="auto" w:fill="auto"/>
                  <w:vAlign w:val="center"/>
                </w:tcPr>
                <w:p w14:paraId="1FE672FA">
                  <w:pPr>
                    <w:adjustRightInd w:val="0"/>
                    <w:snapToGrid w:val="0"/>
                    <w:spacing w:line="240" w:lineRule="atLeast"/>
                    <w:jc w:val="center"/>
                    <w:rPr>
                      <w:rFonts w:hint="default" w:ascii="Times New Roman" w:hAnsi="Times New Roman" w:eastAsia="宋体" w:cs="Times New Roman"/>
                      <w:color w:val="auto"/>
                      <w:sz w:val="21"/>
                      <w:szCs w:val="21"/>
                      <w:highlight w:val="cyan"/>
                      <w:lang w:val="en-US" w:eastAsia="zh-CN"/>
                    </w:rPr>
                  </w:pPr>
                  <w:r>
                    <w:rPr>
                      <w:rFonts w:hint="default" w:ascii="Times New Roman" w:hAnsi="Times New Roman" w:eastAsia="宋体" w:cs="Times New Roman"/>
                      <w:color w:val="auto"/>
                      <w:sz w:val="21"/>
                      <w:szCs w:val="21"/>
                      <w:highlight w:val="cyan"/>
                      <w:lang w:val="en-US" w:eastAsia="zh-CN"/>
                    </w:rPr>
                    <w:t>0.166</w:t>
                  </w:r>
                </w:p>
              </w:tc>
            </w:tr>
            <w:tr w14:paraId="31EE79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590" w:hRule="atLeast"/>
                <w:jc w:val="center"/>
              </w:trPr>
              <w:tc>
                <w:tcPr>
                  <w:tcW w:w="397" w:type="pct"/>
                  <w:vMerge w:val="continue"/>
                  <w:shd w:val="clear" w:color="auto" w:fill="auto"/>
                  <w:vAlign w:val="center"/>
                </w:tcPr>
                <w:p w14:paraId="3E82F2FE">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c>
                <w:tcPr>
                  <w:tcW w:w="361" w:type="pct"/>
                  <w:shd w:val="clear" w:color="auto" w:fill="auto"/>
                  <w:vAlign w:val="center"/>
                </w:tcPr>
                <w:p w14:paraId="4DE068D6">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搅拌仓</w:t>
                  </w:r>
                  <w:r>
                    <w:rPr>
                      <w:rFonts w:hint="default" w:ascii="Times New Roman" w:hAnsi="Times New Roman" w:cs="Times New Roman"/>
                      <w:bCs/>
                      <w:color w:val="auto"/>
                      <w:sz w:val="21"/>
                      <w:szCs w:val="21"/>
                      <w:highlight w:val="none"/>
                      <w:lang w:val="en-US" w:eastAsia="zh-CN"/>
                    </w:rPr>
                    <w:t>（隔墙板）</w:t>
                  </w:r>
                </w:p>
              </w:tc>
              <w:tc>
                <w:tcPr>
                  <w:tcW w:w="471" w:type="pct"/>
                  <w:shd w:val="clear" w:color="auto" w:fill="auto"/>
                  <w:vAlign w:val="center"/>
                </w:tcPr>
                <w:p w14:paraId="626BC531">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颗粒物</w:t>
                  </w:r>
                </w:p>
              </w:tc>
              <w:tc>
                <w:tcPr>
                  <w:tcW w:w="436" w:type="pct"/>
                  <w:vMerge w:val="continue"/>
                  <w:shd w:val="clear" w:color="auto" w:fill="auto"/>
                  <w:vAlign w:val="center"/>
                </w:tcPr>
                <w:p w14:paraId="229F0505">
                  <w:pPr>
                    <w:adjustRightInd w:val="0"/>
                    <w:snapToGrid w:val="0"/>
                    <w:spacing w:line="240" w:lineRule="atLeast"/>
                    <w:jc w:val="center"/>
                    <w:rPr>
                      <w:rFonts w:hint="default" w:ascii="Times New Roman" w:hAnsi="Times New Roman" w:cs="Times New Roman"/>
                      <w:color w:val="auto"/>
                      <w:sz w:val="21"/>
                      <w:szCs w:val="21"/>
                      <w:highlight w:val="none"/>
                      <w:lang w:val="en-US" w:eastAsia="zh-CN"/>
                    </w:rPr>
                  </w:pPr>
                </w:p>
              </w:tc>
              <w:tc>
                <w:tcPr>
                  <w:tcW w:w="409" w:type="pct"/>
                  <w:vMerge w:val="continue"/>
                  <w:vAlign w:val="center"/>
                </w:tcPr>
                <w:p w14:paraId="71BA66B5">
                  <w:pPr>
                    <w:adjustRightInd w:val="0"/>
                    <w:snapToGrid w:val="0"/>
                    <w:spacing w:line="240" w:lineRule="atLeast"/>
                    <w:jc w:val="center"/>
                    <w:rPr>
                      <w:rFonts w:hint="default" w:ascii="Times New Roman" w:hAnsi="Times New Roman" w:cs="Times New Roman"/>
                      <w:color w:val="auto"/>
                      <w:sz w:val="21"/>
                      <w:szCs w:val="21"/>
                      <w:highlight w:val="none"/>
                      <w:lang w:val="en-US" w:eastAsia="zh-CN"/>
                    </w:rPr>
                  </w:pPr>
                </w:p>
              </w:tc>
              <w:tc>
                <w:tcPr>
                  <w:tcW w:w="426" w:type="pct"/>
                  <w:tcBorders>
                    <w:right w:val="single" w:color="auto" w:sz="4" w:space="0"/>
                  </w:tcBorders>
                  <w:shd w:val="clear" w:color="auto" w:fill="auto"/>
                  <w:vAlign w:val="center"/>
                </w:tcPr>
                <w:p w14:paraId="28473362">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集气管道</w:t>
                  </w:r>
                </w:p>
              </w:tc>
              <w:tc>
                <w:tcPr>
                  <w:tcW w:w="326" w:type="pct"/>
                  <w:vMerge w:val="continue"/>
                  <w:tcBorders>
                    <w:left w:val="single" w:color="auto" w:sz="4" w:space="0"/>
                  </w:tcBorders>
                  <w:shd w:val="clear" w:color="auto" w:fill="auto"/>
                  <w:vAlign w:val="center"/>
                </w:tcPr>
                <w:p w14:paraId="29430692">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c>
                <w:tcPr>
                  <w:tcW w:w="536" w:type="pct"/>
                  <w:vMerge w:val="continue"/>
                  <w:vAlign w:val="center"/>
                </w:tcPr>
                <w:p w14:paraId="4F110984">
                  <w:pPr>
                    <w:adjustRightInd w:val="0"/>
                    <w:snapToGrid w:val="0"/>
                    <w:spacing w:line="240" w:lineRule="atLeast"/>
                    <w:jc w:val="center"/>
                    <w:rPr>
                      <w:rFonts w:hint="default" w:ascii="Times New Roman" w:hAnsi="Times New Roman" w:eastAsia="宋体" w:cs="Times New Roman"/>
                      <w:color w:val="auto"/>
                      <w:sz w:val="21"/>
                      <w:szCs w:val="21"/>
                      <w:highlight w:val="none"/>
                      <w:lang w:val="en-US" w:eastAsia="zh-CN"/>
                    </w:rPr>
                  </w:pPr>
                </w:p>
              </w:tc>
              <w:tc>
                <w:tcPr>
                  <w:tcW w:w="431" w:type="pct"/>
                  <w:vMerge w:val="continue"/>
                  <w:vAlign w:val="center"/>
                </w:tcPr>
                <w:p w14:paraId="31DF8D13">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58" w:type="pct"/>
                  <w:vMerge w:val="continue"/>
                  <w:vAlign w:val="center"/>
                </w:tcPr>
                <w:p w14:paraId="7F51E0BE">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81" w:type="pct"/>
                  <w:vMerge w:val="continue"/>
                  <w:vAlign w:val="center"/>
                </w:tcPr>
                <w:p w14:paraId="0E3AECE8">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62" w:type="pct"/>
                  <w:vMerge w:val="continue"/>
                  <w:vAlign w:val="center"/>
                </w:tcPr>
                <w:p w14:paraId="3D6C9129">
                  <w:pPr>
                    <w:adjustRightInd w:val="0"/>
                    <w:snapToGrid w:val="0"/>
                    <w:spacing w:line="240" w:lineRule="atLeast"/>
                    <w:jc w:val="center"/>
                    <w:rPr>
                      <w:rFonts w:hint="default" w:ascii="Times New Roman" w:hAnsi="Times New Roman" w:cs="Times New Roman"/>
                      <w:color w:val="auto"/>
                      <w:sz w:val="21"/>
                      <w:szCs w:val="21"/>
                      <w:highlight w:val="none"/>
                    </w:rPr>
                  </w:pPr>
                </w:p>
              </w:tc>
            </w:tr>
            <w:tr w14:paraId="27B64B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90" w:hRule="atLeast"/>
                <w:jc w:val="center"/>
              </w:trPr>
              <w:tc>
                <w:tcPr>
                  <w:tcW w:w="397" w:type="pct"/>
                  <w:vMerge w:val="continue"/>
                  <w:shd w:val="clear" w:color="auto" w:fill="auto"/>
                  <w:vAlign w:val="center"/>
                </w:tcPr>
                <w:p w14:paraId="65BB9B59">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c>
                <w:tcPr>
                  <w:tcW w:w="361" w:type="pct"/>
                  <w:shd w:val="clear" w:color="auto" w:fill="auto"/>
                  <w:vAlign w:val="center"/>
                </w:tcPr>
                <w:p w14:paraId="661B8B55">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搅拌仓（石膏砂浆）</w:t>
                  </w:r>
                </w:p>
              </w:tc>
              <w:tc>
                <w:tcPr>
                  <w:tcW w:w="471" w:type="pct"/>
                  <w:shd w:val="clear" w:color="auto" w:fill="auto"/>
                  <w:vAlign w:val="center"/>
                </w:tcPr>
                <w:p w14:paraId="58CF52A2">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颗粒物</w:t>
                  </w:r>
                </w:p>
              </w:tc>
              <w:tc>
                <w:tcPr>
                  <w:tcW w:w="436" w:type="pct"/>
                  <w:vMerge w:val="continue"/>
                  <w:shd w:val="clear" w:color="auto" w:fill="auto"/>
                  <w:vAlign w:val="center"/>
                </w:tcPr>
                <w:p w14:paraId="3F2BC1E8">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p>
              </w:tc>
              <w:tc>
                <w:tcPr>
                  <w:tcW w:w="409" w:type="pct"/>
                  <w:vMerge w:val="continue"/>
                  <w:vAlign w:val="center"/>
                </w:tcPr>
                <w:p w14:paraId="3D9A780F">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26" w:type="pct"/>
                  <w:tcBorders>
                    <w:right w:val="single" w:color="auto" w:sz="4" w:space="0"/>
                  </w:tcBorders>
                  <w:shd w:val="clear" w:color="auto" w:fill="auto"/>
                  <w:vAlign w:val="center"/>
                </w:tcPr>
                <w:p w14:paraId="54F3A447">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集气管道</w:t>
                  </w:r>
                </w:p>
              </w:tc>
              <w:tc>
                <w:tcPr>
                  <w:tcW w:w="326" w:type="pct"/>
                  <w:vMerge w:val="continue"/>
                  <w:tcBorders>
                    <w:left w:val="single" w:color="auto" w:sz="4" w:space="0"/>
                  </w:tcBorders>
                  <w:shd w:val="clear" w:color="auto" w:fill="auto"/>
                  <w:vAlign w:val="center"/>
                </w:tcPr>
                <w:p w14:paraId="7F6264A6">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c>
                <w:tcPr>
                  <w:tcW w:w="536" w:type="pct"/>
                  <w:vMerge w:val="continue"/>
                  <w:vAlign w:val="center"/>
                </w:tcPr>
                <w:p w14:paraId="1E27E97E">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31" w:type="pct"/>
                  <w:vMerge w:val="continue"/>
                  <w:vAlign w:val="center"/>
                </w:tcPr>
                <w:p w14:paraId="731A28C5">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58" w:type="pct"/>
                  <w:vMerge w:val="continue"/>
                  <w:vAlign w:val="center"/>
                </w:tcPr>
                <w:p w14:paraId="5049073E">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81" w:type="pct"/>
                  <w:vMerge w:val="continue"/>
                  <w:vAlign w:val="center"/>
                </w:tcPr>
                <w:p w14:paraId="1DBA8DEA">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62" w:type="pct"/>
                  <w:vMerge w:val="continue"/>
                  <w:vAlign w:val="center"/>
                </w:tcPr>
                <w:p w14:paraId="3332F73D">
                  <w:pPr>
                    <w:adjustRightInd w:val="0"/>
                    <w:snapToGrid w:val="0"/>
                    <w:spacing w:line="240" w:lineRule="atLeast"/>
                    <w:jc w:val="center"/>
                    <w:rPr>
                      <w:rFonts w:hint="default" w:ascii="Times New Roman" w:hAnsi="Times New Roman" w:cs="Times New Roman"/>
                      <w:color w:val="auto"/>
                      <w:sz w:val="21"/>
                      <w:szCs w:val="21"/>
                      <w:highlight w:val="none"/>
                    </w:rPr>
                  </w:pPr>
                </w:p>
              </w:tc>
            </w:tr>
            <w:tr w14:paraId="0D6B19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90" w:hRule="atLeast"/>
                <w:jc w:val="center"/>
              </w:trPr>
              <w:tc>
                <w:tcPr>
                  <w:tcW w:w="397" w:type="pct"/>
                  <w:vMerge w:val="continue"/>
                  <w:shd w:val="clear" w:color="auto" w:fill="auto"/>
                  <w:vAlign w:val="center"/>
                </w:tcPr>
                <w:p w14:paraId="05664F3F">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c>
                <w:tcPr>
                  <w:tcW w:w="361" w:type="pct"/>
                  <w:shd w:val="clear" w:color="auto" w:fill="auto"/>
                  <w:vAlign w:val="center"/>
                </w:tcPr>
                <w:p w14:paraId="64562B6D">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搅拌仓（防火保温砂浆）</w:t>
                  </w:r>
                </w:p>
              </w:tc>
              <w:tc>
                <w:tcPr>
                  <w:tcW w:w="471" w:type="pct"/>
                  <w:shd w:val="clear" w:color="auto" w:fill="auto"/>
                  <w:vAlign w:val="center"/>
                </w:tcPr>
                <w:p w14:paraId="17AB70D0">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颗粒物</w:t>
                  </w:r>
                </w:p>
              </w:tc>
              <w:tc>
                <w:tcPr>
                  <w:tcW w:w="436" w:type="pct"/>
                  <w:vMerge w:val="continue"/>
                  <w:shd w:val="clear" w:color="auto" w:fill="auto"/>
                  <w:vAlign w:val="center"/>
                </w:tcPr>
                <w:p w14:paraId="1EA6FD45">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p>
              </w:tc>
              <w:tc>
                <w:tcPr>
                  <w:tcW w:w="409" w:type="pct"/>
                  <w:vMerge w:val="continue"/>
                  <w:vAlign w:val="center"/>
                </w:tcPr>
                <w:p w14:paraId="73E74B4F">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26" w:type="pct"/>
                  <w:tcBorders>
                    <w:right w:val="single" w:color="auto" w:sz="4" w:space="0"/>
                  </w:tcBorders>
                  <w:shd w:val="clear" w:color="auto" w:fill="auto"/>
                  <w:vAlign w:val="center"/>
                </w:tcPr>
                <w:p w14:paraId="34DF9065">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集气管道</w:t>
                  </w:r>
                </w:p>
              </w:tc>
              <w:tc>
                <w:tcPr>
                  <w:tcW w:w="326" w:type="pct"/>
                  <w:vMerge w:val="continue"/>
                  <w:tcBorders>
                    <w:left w:val="single" w:color="auto" w:sz="4" w:space="0"/>
                  </w:tcBorders>
                  <w:shd w:val="clear" w:color="auto" w:fill="auto"/>
                  <w:vAlign w:val="center"/>
                </w:tcPr>
                <w:p w14:paraId="4D10DB4E">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c>
                <w:tcPr>
                  <w:tcW w:w="536" w:type="pct"/>
                  <w:vMerge w:val="continue"/>
                  <w:vAlign w:val="center"/>
                </w:tcPr>
                <w:p w14:paraId="12AB680B">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31" w:type="pct"/>
                  <w:vMerge w:val="continue"/>
                  <w:vAlign w:val="center"/>
                </w:tcPr>
                <w:p w14:paraId="7EDF9AA4">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58" w:type="pct"/>
                  <w:vMerge w:val="continue"/>
                  <w:vAlign w:val="center"/>
                </w:tcPr>
                <w:p w14:paraId="558B1A3E">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81" w:type="pct"/>
                  <w:vMerge w:val="continue"/>
                  <w:vAlign w:val="center"/>
                </w:tcPr>
                <w:p w14:paraId="77793465">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62" w:type="pct"/>
                  <w:vMerge w:val="continue"/>
                  <w:vAlign w:val="center"/>
                </w:tcPr>
                <w:p w14:paraId="3EE74E29">
                  <w:pPr>
                    <w:adjustRightInd w:val="0"/>
                    <w:snapToGrid w:val="0"/>
                    <w:spacing w:line="240" w:lineRule="atLeast"/>
                    <w:jc w:val="center"/>
                    <w:rPr>
                      <w:rFonts w:hint="default" w:ascii="Times New Roman" w:hAnsi="Times New Roman" w:cs="Times New Roman"/>
                      <w:color w:val="auto"/>
                      <w:sz w:val="21"/>
                      <w:szCs w:val="21"/>
                      <w:highlight w:val="none"/>
                    </w:rPr>
                  </w:pPr>
                </w:p>
              </w:tc>
            </w:tr>
            <w:tr w14:paraId="57A3DC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90" w:hRule="atLeast"/>
                <w:jc w:val="center"/>
              </w:trPr>
              <w:tc>
                <w:tcPr>
                  <w:tcW w:w="397" w:type="pct"/>
                  <w:vMerge w:val="continue"/>
                  <w:shd w:val="clear" w:color="auto" w:fill="auto"/>
                  <w:vAlign w:val="center"/>
                </w:tcPr>
                <w:p w14:paraId="29188D9F">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c>
                <w:tcPr>
                  <w:tcW w:w="361" w:type="pct"/>
                  <w:shd w:val="clear" w:color="auto" w:fill="auto"/>
                  <w:vAlign w:val="center"/>
                </w:tcPr>
                <w:p w14:paraId="3370FA0C">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包装机</w:t>
                  </w:r>
                </w:p>
              </w:tc>
              <w:tc>
                <w:tcPr>
                  <w:tcW w:w="471" w:type="pct"/>
                  <w:shd w:val="clear" w:color="auto" w:fill="auto"/>
                  <w:vAlign w:val="center"/>
                </w:tcPr>
                <w:p w14:paraId="72852E10">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颗粒物</w:t>
                  </w:r>
                </w:p>
              </w:tc>
              <w:tc>
                <w:tcPr>
                  <w:tcW w:w="436" w:type="pct"/>
                  <w:vMerge w:val="continue"/>
                  <w:shd w:val="clear" w:color="auto" w:fill="auto"/>
                  <w:vAlign w:val="center"/>
                </w:tcPr>
                <w:p w14:paraId="07ACE5C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p>
              </w:tc>
              <w:tc>
                <w:tcPr>
                  <w:tcW w:w="409" w:type="pct"/>
                  <w:vMerge w:val="continue"/>
                  <w:vAlign w:val="center"/>
                </w:tcPr>
                <w:p w14:paraId="28390A67">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26" w:type="pct"/>
                  <w:tcBorders>
                    <w:right w:val="single" w:color="auto" w:sz="4" w:space="0"/>
                  </w:tcBorders>
                  <w:shd w:val="clear" w:color="auto" w:fill="auto"/>
                  <w:vAlign w:val="center"/>
                </w:tcPr>
                <w:p w14:paraId="4CC14EF0">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集气罩</w:t>
                  </w:r>
                </w:p>
              </w:tc>
              <w:tc>
                <w:tcPr>
                  <w:tcW w:w="326" w:type="pct"/>
                  <w:vMerge w:val="continue"/>
                  <w:tcBorders>
                    <w:left w:val="single" w:color="auto" w:sz="4" w:space="0"/>
                  </w:tcBorders>
                  <w:shd w:val="clear" w:color="auto" w:fill="auto"/>
                  <w:vAlign w:val="center"/>
                </w:tcPr>
                <w:p w14:paraId="05CD5FFF">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c>
                <w:tcPr>
                  <w:tcW w:w="536" w:type="pct"/>
                  <w:vMerge w:val="continue"/>
                  <w:vAlign w:val="center"/>
                </w:tcPr>
                <w:p w14:paraId="4B7884B6">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31" w:type="pct"/>
                  <w:vMerge w:val="continue"/>
                  <w:vAlign w:val="center"/>
                </w:tcPr>
                <w:p w14:paraId="6B471FD6">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58" w:type="pct"/>
                  <w:vMerge w:val="continue"/>
                  <w:vAlign w:val="center"/>
                </w:tcPr>
                <w:p w14:paraId="5023872E">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81" w:type="pct"/>
                  <w:vMerge w:val="continue"/>
                  <w:vAlign w:val="center"/>
                </w:tcPr>
                <w:p w14:paraId="4F424704">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62" w:type="pct"/>
                  <w:vMerge w:val="continue"/>
                  <w:vAlign w:val="center"/>
                </w:tcPr>
                <w:p w14:paraId="31D0D4A5">
                  <w:pPr>
                    <w:adjustRightInd w:val="0"/>
                    <w:snapToGrid w:val="0"/>
                    <w:spacing w:line="240" w:lineRule="atLeast"/>
                    <w:jc w:val="center"/>
                    <w:rPr>
                      <w:rFonts w:hint="default" w:ascii="Times New Roman" w:hAnsi="Times New Roman" w:cs="Times New Roman"/>
                      <w:color w:val="auto"/>
                      <w:sz w:val="21"/>
                      <w:szCs w:val="21"/>
                      <w:highlight w:val="none"/>
                    </w:rPr>
                  </w:pPr>
                </w:p>
              </w:tc>
            </w:tr>
          </w:tbl>
          <w:p w14:paraId="0865D5BF">
            <w:pPr>
              <w:pStyle w:val="120"/>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宋体" w:cs="Times New Roman"/>
                <w:b/>
                <w:bCs/>
                <w:color w:val="auto"/>
                <w:szCs w:val="24"/>
                <w:highlight w:val="none"/>
                <w:lang w:val="en-US" w:eastAsia="zh-CN"/>
              </w:rPr>
            </w:pPr>
            <w:r>
              <w:rPr>
                <w:rFonts w:hint="default" w:ascii="Times New Roman" w:hAnsi="Times New Roman" w:eastAsia="宋体" w:cs="Times New Roman"/>
                <w:b/>
                <w:bCs/>
                <w:color w:val="auto"/>
                <w:szCs w:val="24"/>
                <w:highlight w:val="none"/>
                <w:lang w:val="en-US" w:eastAsia="zh-CN"/>
              </w:rPr>
              <w:t>表4-</w:t>
            </w:r>
            <w:r>
              <w:rPr>
                <w:rFonts w:hint="default" w:ascii="Times New Roman" w:hAnsi="Times New Roman" w:cs="Times New Roman"/>
                <w:b/>
                <w:bCs/>
                <w:color w:val="auto"/>
                <w:szCs w:val="24"/>
                <w:highlight w:val="none"/>
                <w:lang w:val="en-US" w:eastAsia="zh-CN"/>
              </w:rPr>
              <w:t>3</w:t>
            </w:r>
            <w:r>
              <w:rPr>
                <w:rFonts w:hint="default" w:ascii="Times New Roman" w:hAnsi="Times New Roman" w:eastAsia="宋体" w:cs="Times New Roman"/>
                <w:b/>
                <w:bCs/>
                <w:color w:val="auto"/>
                <w:szCs w:val="24"/>
                <w:highlight w:val="none"/>
                <w:lang w:val="en-US" w:eastAsia="zh-CN"/>
              </w:rPr>
              <w:t xml:space="preserve">   本项目无组织废气产生及排放情况一览表</w:t>
            </w:r>
          </w:p>
          <w:tbl>
            <w:tblPr>
              <w:tblStyle w:val="40"/>
              <w:tblW w:w="495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23" w:type="dxa"/>
                <w:bottom w:w="0" w:type="dxa"/>
                <w:right w:w="23" w:type="dxa"/>
              </w:tblCellMar>
            </w:tblPr>
            <w:tblGrid>
              <w:gridCol w:w="1285"/>
              <w:gridCol w:w="953"/>
              <w:gridCol w:w="973"/>
              <w:gridCol w:w="1633"/>
              <w:gridCol w:w="582"/>
              <w:gridCol w:w="990"/>
              <w:gridCol w:w="1033"/>
              <w:gridCol w:w="834"/>
            </w:tblGrid>
            <w:tr w14:paraId="054D6D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90" w:hRule="atLeast"/>
                <w:jc w:val="center"/>
              </w:trPr>
              <w:tc>
                <w:tcPr>
                  <w:tcW w:w="775" w:type="pct"/>
                  <w:vMerge w:val="restart"/>
                  <w:vAlign w:val="center"/>
                </w:tcPr>
                <w:p w14:paraId="4C7CD1C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575" w:type="pct"/>
                  <w:vAlign w:val="center"/>
                </w:tcPr>
                <w:p w14:paraId="161895C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产生浓度</w:t>
                  </w:r>
                </w:p>
              </w:tc>
              <w:tc>
                <w:tcPr>
                  <w:tcW w:w="587" w:type="pct"/>
                  <w:vAlign w:val="center"/>
                </w:tcPr>
                <w:p w14:paraId="25C884D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产生速率</w:t>
                  </w:r>
                </w:p>
              </w:tc>
              <w:tc>
                <w:tcPr>
                  <w:tcW w:w="985" w:type="pct"/>
                  <w:vMerge w:val="restart"/>
                  <w:vAlign w:val="center"/>
                </w:tcPr>
                <w:p w14:paraId="0904DB0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治理措施</w:t>
                  </w:r>
                </w:p>
              </w:tc>
              <w:tc>
                <w:tcPr>
                  <w:tcW w:w="351" w:type="pct"/>
                  <w:vMerge w:val="restart"/>
                  <w:vAlign w:val="center"/>
                </w:tcPr>
                <w:p w14:paraId="44BED84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处理效率</w:t>
                  </w:r>
                </w:p>
              </w:tc>
              <w:tc>
                <w:tcPr>
                  <w:tcW w:w="597" w:type="pct"/>
                  <w:vAlign w:val="center"/>
                </w:tcPr>
                <w:p w14:paraId="2E31314D">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排放浓度</w:t>
                  </w:r>
                </w:p>
              </w:tc>
              <w:tc>
                <w:tcPr>
                  <w:tcW w:w="623" w:type="pct"/>
                  <w:vAlign w:val="center"/>
                </w:tcPr>
                <w:p w14:paraId="403FEA09">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排放速率</w:t>
                  </w:r>
                </w:p>
              </w:tc>
              <w:tc>
                <w:tcPr>
                  <w:tcW w:w="503" w:type="pct"/>
                  <w:vAlign w:val="center"/>
                </w:tcPr>
                <w:p w14:paraId="799E80E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排放量</w:t>
                  </w:r>
                </w:p>
              </w:tc>
            </w:tr>
            <w:tr w14:paraId="505137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386" w:hRule="atLeast"/>
                <w:jc w:val="center"/>
              </w:trPr>
              <w:tc>
                <w:tcPr>
                  <w:tcW w:w="775" w:type="pct"/>
                  <w:vMerge w:val="continue"/>
                  <w:vAlign w:val="center"/>
                </w:tcPr>
                <w:p w14:paraId="108CAD6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p>
              </w:tc>
              <w:tc>
                <w:tcPr>
                  <w:tcW w:w="575" w:type="pct"/>
                  <w:vAlign w:val="center"/>
                </w:tcPr>
                <w:p w14:paraId="124D7FF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mg/m</w:t>
                  </w:r>
                  <w:r>
                    <w:rPr>
                      <w:rFonts w:hint="default" w:ascii="Times New Roman" w:hAnsi="Times New Roman" w:eastAsia="宋体" w:cs="Times New Roman"/>
                      <w:color w:val="auto"/>
                      <w:sz w:val="21"/>
                      <w:szCs w:val="21"/>
                      <w:highlight w:val="none"/>
                      <w:vertAlign w:val="superscript"/>
                    </w:rPr>
                    <w:t>3</w:t>
                  </w:r>
                </w:p>
              </w:tc>
              <w:tc>
                <w:tcPr>
                  <w:tcW w:w="587" w:type="pct"/>
                  <w:vAlign w:val="center"/>
                </w:tcPr>
                <w:p w14:paraId="26567D9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kg/h</w:t>
                  </w:r>
                </w:p>
              </w:tc>
              <w:tc>
                <w:tcPr>
                  <w:tcW w:w="985" w:type="pct"/>
                  <w:vMerge w:val="continue"/>
                  <w:vAlign w:val="center"/>
                </w:tcPr>
                <w:p w14:paraId="1A2C2724">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p>
              </w:tc>
              <w:tc>
                <w:tcPr>
                  <w:tcW w:w="351" w:type="pct"/>
                  <w:vMerge w:val="continue"/>
                  <w:vAlign w:val="center"/>
                </w:tcPr>
                <w:p w14:paraId="4536B01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p>
              </w:tc>
              <w:tc>
                <w:tcPr>
                  <w:tcW w:w="597" w:type="pct"/>
                  <w:vAlign w:val="center"/>
                </w:tcPr>
                <w:p w14:paraId="269AC0EF">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mg/m</w:t>
                  </w:r>
                  <w:r>
                    <w:rPr>
                      <w:rFonts w:hint="default" w:ascii="Times New Roman" w:hAnsi="Times New Roman" w:eastAsia="宋体" w:cs="Times New Roman"/>
                      <w:color w:val="auto"/>
                      <w:sz w:val="21"/>
                      <w:szCs w:val="21"/>
                      <w:highlight w:val="none"/>
                      <w:vertAlign w:val="superscript"/>
                    </w:rPr>
                    <w:t>3</w:t>
                  </w:r>
                </w:p>
              </w:tc>
              <w:tc>
                <w:tcPr>
                  <w:tcW w:w="623" w:type="pct"/>
                  <w:vAlign w:val="center"/>
                </w:tcPr>
                <w:p w14:paraId="2C6E4EB5">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kg/h</w:t>
                  </w:r>
                </w:p>
              </w:tc>
              <w:tc>
                <w:tcPr>
                  <w:tcW w:w="503" w:type="pct"/>
                  <w:vAlign w:val="center"/>
                </w:tcPr>
                <w:p w14:paraId="3E1C4AD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t/a</w:t>
                  </w:r>
                </w:p>
              </w:tc>
            </w:tr>
            <w:tr w14:paraId="585B2E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386" w:hRule="atLeast"/>
                <w:jc w:val="center"/>
              </w:trPr>
              <w:tc>
                <w:tcPr>
                  <w:tcW w:w="775" w:type="pct"/>
                  <w:shd w:val="clear" w:color="auto" w:fill="auto"/>
                  <w:vAlign w:val="center"/>
                </w:tcPr>
                <w:p w14:paraId="76822A13">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颗粒物（车辆运输扬尘）</w:t>
                  </w:r>
                </w:p>
              </w:tc>
              <w:tc>
                <w:tcPr>
                  <w:tcW w:w="575" w:type="pct"/>
                  <w:shd w:val="clear" w:color="auto" w:fill="auto"/>
                  <w:vAlign w:val="center"/>
                </w:tcPr>
                <w:p w14:paraId="77BBD06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87" w:type="pct"/>
                  <w:shd w:val="clear" w:color="auto" w:fill="auto"/>
                  <w:vAlign w:val="center"/>
                </w:tcPr>
                <w:p w14:paraId="6F55601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0.000</w:t>
                  </w:r>
                  <w:r>
                    <w:rPr>
                      <w:rFonts w:hint="default" w:ascii="Times New Roman" w:hAnsi="Times New Roman" w:cs="Times New Roman"/>
                      <w:color w:val="auto"/>
                      <w:sz w:val="21"/>
                      <w:szCs w:val="21"/>
                      <w:highlight w:val="none"/>
                      <w:lang w:val="en-US" w:eastAsia="zh-CN"/>
                    </w:rPr>
                    <w:t>4</w:t>
                  </w:r>
                </w:p>
              </w:tc>
              <w:tc>
                <w:tcPr>
                  <w:tcW w:w="985" w:type="pct"/>
                  <w:shd w:val="clear" w:color="auto" w:fill="auto"/>
                  <w:vAlign w:val="center"/>
                </w:tcPr>
                <w:p w14:paraId="6A0D69B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车辆加盖苫布、道路硬化、定期清扫、进出厂车辆冲洗等控制措施。</w:t>
                  </w:r>
                </w:p>
              </w:tc>
              <w:tc>
                <w:tcPr>
                  <w:tcW w:w="351" w:type="pct"/>
                  <w:shd w:val="clear" w:color="auto" w:fill="auto"/>
                  <w:vAlign w:val="center"/>
                </w:tcPr>
                <w:p w14:paraId="2B09226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80%</w:t>
                  </w:r>
                </w:p>
              </w:tc>
              <w:tc>
                <w:tcPr>
                  <w:tcW w:w="597" w:type="pct"/>
                  <w:shd w:val="clear" w:color="auto" w:fill="auto"/>
                  <w:vAlign w:val="center"/>
                </w:tcPr>
                <w:p w14:paraId="711C19BD">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23" w:type="pct"/>
                  <w:shd w:val="clear" w:color="auto" w:fill="auto"/>
                  <w:vAlign w:val="center"/>
                </w:tcPr>
                <w:p w14:paraId="72B30D38">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0.000</w:t>
                  </w:r>
                  <w:r>
                    <w:rPr>
                      <w:rFonts w:hint="default" w:ascii="Times New Roman" w:hAnsi="Times New Roman" w:cs="Times New Roman"/>
                      <w:color w:val="auto"/>
                      <w:sz w:val="21"/>
                      <w:szCs w:val="21"/>
                      <w:highlight w:val="none"/>
                      <w:lang w:val="en-US" w:eastAsia="zh-CN"/>
                    </w:rPr>
                    <w:t>2</w:t>
                  </w:r>
                </w:p>
              </w:tc>
              <w:tc>
                <w:tcPr>
                  <w:tcW w:w="503" w:type="pct"/>
                  <w:shd w:val="clear" w:color="auto" w:fill="auto"/>
                  <w:vAlign w:val="center"/>
                </w:tcPr>
                <w:p w14:paraId="5FA2DE6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0.0001</w:t>
                  </w:r>
                </w:p>
              </w:tc>
            </w:tr>
            <w:tr w14:paraId="04F257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386" w:hRule="atLeast"/>
                <w:jc w:val="center"/>
              </w:trPr>
              <w:tc>
                <w:tcPr>
                  <w:tcW w:w="775" w:type="pct"/>
                  <w:shd w:val="clear" w:color="auto" w:fill="auto"/>
                  <w:vAlign w:val="center"/>
                </w:tcPr>
                <w:p w14:paraId="1F501C4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颗粒物（焊接烟尘）</w:t>
                  </w:r>
                </w:p>
              </w:tc>
              <w:tc>
                <w:tcPr>
                  <w:tcW w:w="575" w:type="pct"/>
                  <w:shd w:val="clear" w:color="auto" w:fill="auto"/>
                  <w:vAlign w:val="center"/>
                </w:tcPr>
                <w:p w14:paraId="1CA1A43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87" w:type="pct"/>
                  <w:shd w:val="clear" w:color="auto" w:fill="auto"/>
                  <w:vAlign w:val="center"/>
                </w:tcPr>
                <w:p w14:paraId="0CEAA2D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0.008</w:t>
                  </w:r>
                </w:p>
              </w:tc>
              <w:tc>
                <w:tcPr>
                  <w:tcW w:w="985" w:type="pct"/>
                  <w:shd w:val="clear" w:color="auto" w:fill="auto"/>
                  <w:vAlign w:val="center"/>
                </w:tcPr>
                <w:p w14:paraId="4E657BB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移动式焊烟净化器</w:t>
                  </w:r>
                </w:p>
              </w:tc>
              <w:tc>
                <w:tcPr>
                  <w:tcW w:w="351" w:type="pct"/>
                  <w:shd w:val="clear" w:color="auto" w:fill="auto"/>
                  <w:vAlign w:val="center"/>
                </w:tcPr>
                <w:p w14:paraId="7938FF16">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95%</w:t>
                  </w:r>
                </w:p>
              </w:tc>
              <w:tc>
                <w:tcPr>
                  <w:tcW w:w="597" w:type="pct"/>
                  <w:shd w:val="clear" w:color="auto" w:fill="auto"/>
                  <w:vAlign w:val="center"/>
                </w:tcPr>
                <w:p w14:paraId="51F10F26">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23" w:type="pct"/>
                  <w:shd w:val="clear" w:color="auto" w:fill="auto"/>
                  <w:vAlign w:val="center"/>
                </w:tcPr>
                <w:p w14:paraId="6007D8A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0.0004</w:t>
                  </w:r>
                </w:p>
              </w:tc>
              <w:tc>
                <w:tcPr>
                  <w:tcW w:w="503" w:type="pct"/>
                  <w:shd w:val="clear" w:color="auto" w:fill="auto"/>
                  <w:vAlign w:val="center"/>
                </w:tcPr>
                <w:p w14:paraId="54A2CC8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0.001</w:t>
                  </w:r>
                </w:p>
              </w:tc>
            </w:tr>
            <w:tr w14:paraId="05E4B8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1103" w:hRule="atLeast"/>
                <w:jc w:val="center"/>
              </w:trPr>
              <w:tc>
                <w:tcPr>
                  <w:tcW w:w="775" w:type="pct"/>
                  <w:vAlign w:val="center"/>
                </w:tcPr>
                <w:p w14:paraId="55A35D0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颗粒物（车间未收集废气）</w:t>
                  </w:r>
                </w:p>
              </w:tc>
              <w:tc>
                <w:tcPr>
                  <w:tcW w:w="575" w:type="pct"/>
                  <w:vAlign w:val="center"/>
                </w:tcPr>
                <w:p w14:paraId="57671060">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587" w:type="pct"/>
                  <w:vAlign w:val="center"/>
                </w:tcPr>
                <w:p w14:paraId="7F619C58">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0.13</w:t>
                  </w:r>
                  <w:r>
                    <w:rPr>
                      <w:rFonts w:hint="default" w:ascii="Times New Roman" w:hAnsi="Times New Roman" w:cs="Times New Roman"/>
                      <w:color w:val="auto"/>
                      <w:sz w:val="21"/>
                      <w:szCs w:val="21"/>
                      <w:highlight w:val="none"/>
                      <w:lang w:val="en-US" w:eastAsia="zh-CN"/>
                    </w:rPr>
                    <w:t>1</w:t>
                  </w:r>
                </w:p>
              </w:tc>
              <w:tc>
                <w:tcPr>
                  <w:tcW w:w="985" w:type="pct"/>
                  <w:tcBorders>
                    <w:bottom w:val="single" w:color="auto" w:sz="4" w:space="0"/>
                  </w:tcBorders>
                  <w:vAlign w:val="center"/>
                </w:tcPr>
                <w:p w14:paraId="0C41663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车间密闭</w:t>
                  </w:r>
                </w:p>
              </w:tc>
              <w:tc>
                <w:tcPr>
                  <w:tcW w:w="351" w:type="pct"/>
                  <w:vAlign w:val="center"/>
                </w:tcPr>
                <w:p w14:paraId="0B19AE5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97" w:type="pct"/>
                  <w:vAlign w:val="center"/>
                </w:tcPr>
                <w:p w14:paraId="74252A3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23" w:type="pct"/>
                  <w:vAlign w:val="center"/>
                </w:tcPr>
                <w:p w14:paraId="7AB2F399">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0.131 </w:t>
                  </w:r>
                </w:p>
              </w:tc>
              <w:tc>
                <w:tcPr>
                  <w:tcW w:w="503" w:type="pct"/>
                  <w:vAlign w:val="center"/>
                </w:tcPr>
                <w:p w14:paraId="35D08228">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0.31</w:t>
                  </w:r>
                  <w:r>
                    <w:rPr>
                      <w:rFonts w:hint="eastAsia" w:cs="Times New Roman"/>
                      <w:color w:val="auto"/>
                      <w:sz w:val="21"/>
                      <w:szCs w:val="21"/>
                      <w:highlight w:val="none"/>
                      <w:lang w:val="en-US" w:eastAsia="zh-CN"/>
                    </w:rPr>
                    <w:t>5</w:t>
                  </w:r>
                </w:p>
              </w:tc>
            </w:tr>
          </w:tbl>
          <w:p w14:paraId="0AF968D4">
            <w:p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cs="Times New Roman"/>
                <w:snapToGrid w:val="0"/>
                <w:color w:val="auto"/>
                <w:kern w:val="0"/>
                <w:sz w:val="24"/>
                <w:szCs w:val="24"/>
                <w:highlight w:val="none"/>
                <w:lang w:val="en-US" w:eastAsia="zh-CN"/>
              </w:rPr>
              <w:t>（2）</w:t>
            </w:r>
            <w:r>
              <w:rPr>
                <w:rFonts w:hint="default" w:ascii="Times New Roman" w:hAnsi="Times New Roman" w:eastAsia="宋体" w:cs="Times New Roman"/>
                <w:snapToGrid w:val="0"/>
                <w:color w:val="auto"/>
                <w:kern w:val="0"/>
                <w:sz w:val="24"/>
                <w:szCs w:val="24"/>
                <w:highlight w:val="none"/>
                <w:lang w:val="en-US" w:eastAsia="zh-CN"/>
              </w:rPr>
              <w:t>废气源强分析如下：</w:t>
            </w:r>
          </w:p>
          <w:p w14:paraId="0BFC6C81">
            <w:p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cs="Times New Roman"/>
                <w:snapToGrid w:val="0"/>
                <w:color w:val="auto"/>
                <w:kern w:val="0"/>
                <w:sz w:val="24"/>
                <w:szCs w:val="24"/>
                <w:highlight w:val="none"/>
                <w:lang w:val="en-US" w:eastAsia="zh-CN"/>
              </w:rPr>
              <w:t>1）原料储罐</w:t>
            </w:r>
            <w:r>
              <w:rPr>
                <w:rFonts w:hint="default" w:ascii="Times New Roman" w:hAnsi="Times New Roman" w:eastAsia="宋体" w:cs="Times New Roman"/>
                <w:snapToGrid w:val="0"/>
                <w:color w:val="auto"/>
                <w:kern w:val="0"/>
                <w:sz w:val="24"/>
                <w:szCs w:val="24"/>
                <w:highlight w:val="none"/>
                <w:lang w:val="en-US" w:eastAsia="zh-CN"/>
              </w:rPr>
              <w:t>呼吸</w:t>
            </w:r>
          </w:p>
          <w:p w14:paraId="6FCBFE1F">
            <w:p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原料（石膏、粉煤灰、水泥、蛭石、重钙、玻化微珠）由罐车运输，经罐车泵入原料储罐内。原料泵入原料储罐过程中有粉尘产生，参照《逸散性工业粉尘控制技术》“表22-1搅拌厂的散逸尘排放因子中“卸水泥至高架贮仓”排污系数为0.12kg/t-物料计，本项目设有8个原料储罐，年储存原料量为9</w:t>
            </w:r>
            <w:r>
              <w:rPr>
                <w:rFonts w:hint="default" w:ascii="Times New Roman" w:hAnsi="Times New Roman" w:cs="Times New Roman"/>
                <w:snapToGrid w:val="0"/>
                <w:color w:val="auto"/>
                <w:kern w:val="0"/>
                <w:sz w:val="24"/>
                <w:szCs w:val="24"/>
                <w:highlight w:val="none"/>
                <w:lang w:val="en-US" w:eastAsia="zh-CN"/>
              </w:rPr>
              <w:t>4895</w:t>
            </w:r>
            <w:r>
              <w:rPr>
                <w:rFonts w:hint="default" w:ascii="Times New Roman" w:hAnsi="Times New Roman" w:eastAsia="宋体" w:cs="Times New Roman"/>
                <w:snapToGrid w:val="0"/>
                <w:color w:val="auto"/>
                <w:kern w:val="0"/>
                <w:sz w:val="24"/>
                <w:szCs w:val="24"/>
                <w:highlight w:val="none"/>
                <w:lang w:val="en-US" w:eastAsia="zh-CN"/>
              </w:rPr>
              <w:t>t</w:t>
            </w:r>
            <w:r>
              <w:rPr>
                <w:rFonts w:hint="default" w:ascii="Times New Roman" w:hAnsi="Times New Roman" w:cs="Times New Roman"/>
                <w:snapToGrid w:val="0"/>
                <w:color w:val="auto"/>
                <w:kern w:val="0"/>
                <w:sz w:val="24"/>
                <w:szCs w:val="24"/>
                <w:highlight w:val="none"/>
                <w:lang w:val="en-US" w:eastAsia="zh-CN"/>
              </w:rPr>
              <w:t>/a</w:t>
            </w:r>
            <w:r>
              <w:rPr>
                <w:rFonts w:hint="default" w:ascii="Times New Roman" w:hAnsi="Times New Roman" w:eastAsia="宋体" w:cs="Times New Roman"/>
                <w:snapToGrid w:val="0"/>
                <w:color w:val="auto"/>
                <w:kern w:val="0"/>
                <w:sz w:val="24"/>
                <w:szCs w:val="24"/>
                <w:highlight w:val="none"/>
                <w:lang w:val="en-US" w:eastAsia="zh-CN"/>
              </w:rPr>
              <w:t>（石膏、粉煤灰、水泥、蛭石、重钙、玻化微珠</w:t>
            </w:r>
            <w:r>
              <w:rPr>
                <w:rFonts w:hint="default" w:ascii="Times New Roman" w:hAnsi="Times New Roman" w:cs="Times New Roman"/>
                <w:snapToGrid w:val="0"/>
                <w:color w:val="auto"/>
                <w:kern w:val="0"/>
                <w:sz w:val="24"/>
                <w:szCs w:val="24"/>
                <w:highlight w:val="none"/>
                <w:lang w:val="en-US" w:eastAsia="zh-CN"/>
              </w:rPr>
              <w:t>、珍珠岩</w:t>
            </w:r>
            <w:r>
              <w:rPr>
                <w:rFonts w:hint="default" w:ascii="Times New Roman" w:hAnsi="Times New Roman" w:eastAsia="宋体" w:cs="Times New Roman"/>
                <w:snapToGrid w:val="0"/>
                <w:color w:val="auto"/>
                <w:kern w:val="0"/>
                <w:sz w:val="24"/>
                <w:szCs w:val="24"/>
                <w:highlight w:val="none"/>
                <w:lang w:val="en-US" w:eastAsia="zh-CN"/>
              </w:rPr>
              <w:t>），则储罐呼吸废气中粉尘产生量为</w:t>
            </w:r>
            <w:r>
              <w:rPr>
                <w:rFonts w:hint="default" w:ascii="Times New Roman" w:hAnsi="Times New Roman" w:cs="Times New Roman"/>
                <w:snapToGrid w:val="0"/>
                <w:color w:val="auto"/>
                <w:kern w:val="0"/>
                <w:sz w:val="24"/>
                <w:szCs w:val="24"/>
                <w:highlight w:val="none"/>
                <w:lang w:val="en-US" w:eastAsia="zh-CN"/>
              </w:rPr>
              <w:t>11.3874</w:t>
            </w:r>
            <w:r>
              <w:rPr>
                <w:rFonts w:hint="default" w:ascii="Times New Roman" w:hAnsi="Times New Roman" w:eastAsia="宋体" w:cs="Times New Roman"/>
                <w:snapToGrid w:val="0"/>
                <w:color w:val="auto"/>
                <w:kern w:val="0"/>
                <w:sz w:val="24"/>
                <w:szCs w:val="24"/>
                <w:highlight w:val="none"/>
                <w:lang w:val="en-US" w:eastAsia="zh-CN"/>
              </w:rPr>
              <w:t>t/a。</w:t>
            </w:r>
          </w:p>
          <w:p w14:paraId="38DC3039">
            <w:pPr>
              <w:spacing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snapToGrid w:val="0"/>
                <w:color w:val="auto"/>
                <w:kern w:val="0"/>
                <w:sz w:val="24"/>
                <w:szCs w:val="24"/>
                <w:highlight w:val="none"/>
                <w:lang w:val="en-US" w:eastAsia="zh-CN"/>
              </w:rPr>
              <w:t>依据建设单位提供资料，储罐废气采用密闭管道收集，收集率为100%。</w:t>
            </w:r>
          </w:p>
          <w:p w14:paraId="37C1AF71">
            <w:p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cs="Times New Roman"/>
                <w:snapToGrid w:val="0"/>
                <w:color w:val="auto"/>
                <w:kern w:val="0"/>
                <w:sz w:val="24"/>
                <w:szCs w:val="24"/>
                <w:highlight w:val="none"/>
                <w:lang w:val="en-US" w:eastAsia="zh-CN"/>
              </w:rPr>
              <w:t>2）</w:t>
            </w:r>
            <w:r>
              <w:rPr>
                <w:rFonts w:hint="default" w:ascii="Times New Roman" w:hAnsi="Times New Roman" w:eastAsia="宋体" w:cs="Times New Roman"/>
                <w:snapToGrid w:val="0"/>
                <w:color w:val="auto"/>
                <w:kern w:val="0"/>
                <w:sz w:val="24"/>
                <w:szCs w:val="24"/>
                <w:highlight w:val="none"/>
                <w:lang w:val="en-US" w:eastAsia="zh-CN"/>
              </w:rPr>
              <w:t>上料废气</w:t>
            </w:r>
          </w:p>
          <w:p w14:paraId="01CBADDB">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隔墙板浆料、</w:t>
            </w:r>
            <w:r>
              <w:rPr>
                <w:rFonts w:hint="default" w:ascii="Times New Roman" w:hAnsi="Times New Roman" w:cs="Times New Roman"/>
                <w:snapToGrid w:val="0"/>
                <w:color w:val="auto"/>
                <w:kern w:val="0"/>
                <w:sz w:val="24"/>
                <w:szCs w:val="24"/>
                <w:highlight w:val="none"/>
                <w:lang w:val="en-US" w:eastAsia="zh-CN"/>
              </w:rPr>
              <w:t>石膏</w:t>
            </w:r>
            <w:r>
              <w:rPr>
                <w:rFonts w:hint="default" w:ascii="Times New Roman" w:hAnsi="Times New Roman" w:eastAsia="宋体" w:cs="Times New Roman"/>
                <w:snapToGrid w:val="0"/>
                <w:color w:val="auto"/>
                <w:kern w:val="0"/>
                <w:sz w:val="24"/>
                <w:szCs w:val="24"/>
                <w:highlight w:val="none"/>
                <w:lang w:val="en-US" w:eastAsia="zh-CN"/>
              </w:rPr>
              <w:t>砂浆</w:t>
            </w:r>
            <w:r>
              <w:rPr>
                <w:rFonts w:hint="default" w:ascii="Times New Roman" w:hAnsi="Times New Roman" w:cs="Times New Roman"/>
                <w:snapToGrid w:val="0"/>
                <w:color w:val="auto"/>
                <w:kern w:val="0"/>
                <w:sz w:val="24"/>
                <w:szCs w:val="24"/>
                <w:highlight w:val="none"/>
                <w:lang w:val="en-US" w:eastAsia="zh-CN"/>
              </w:rPr>
              <w:t>、防火保温砂浆</w:t>
            </w:r>
            <w:r>
              <w:rPr>
                <w:rFonts w:hint="default" w:ascii="Times New Roman" w:hAnsi="Times New Roman" w:eastAsia="宋体" w:cs="Times New Roman"/>
                <w:snapToGrid w:val="0"/>
                <w:color w:val="auto"/>
                <w:kern w:val="0"/>
                <w:sz w:val="24"/>
                <w:szCs w:val="24"/>
                <w:highlight w:val="none"/>
                <w:lang w:val="en-US" w:eastAsia="zh-CN"/>
              </w:rPr>
              <w:t>生产中</w:t>
            </w:r>
            <w:r>
              <w:rPr>
                <w:rFonts w:hint="default" w:ascii="Times New Roman" w:hAnsi="Times New Roman" w:cs="Times New Roman"/>
                <w:snapToGrid w:val="0"/>
                <w:color w:val="auto"/>
                <w:kern w:val="0"/>
                <w:sz w:val="24"/>
                <w:szCs w:val="24"/>
                <w:highlight w:val="none"/>
                <w:lang w:val="en-US" w:eastAsia="zh-CN"/>
              </w:rPr>
              <w:t>上料</w:t>
            </w:r>
            <w:r>
              <w:rPr>
                <w:rFonts w:hint="default" w:ascii="Times New Roman" w:hAnsi="Times New Roman" w:eastAsia="宋体" w:cs="Times New Roman"/>
                <w:snapToGrid w:val="0"/>
                <w:color w:val="auto"/>
                <w:kern w:val="0"/>
                <w:sz w:val="24"/>
                <w:szCs w:val="24"/>
                <w:highlight w:val="none"/>
                <w:lang w:val="en-US" w:eastAsia="zh-CN"/>
              </w:rPr>
              <w:t>过程有粉尘产生。砂浆生产</w:t>
            </w:r>
            <w:r>
              <w:rPr>
                <w:rFonts w:hint="default" w:ascii="Times New Roman" w:hAnsi="Times New Roman" w:cs="Times New Roman"/>
                <w:snapToGrid w:val="0"/>
                <w:color w:val="auto"/>
                <w:kern w:val="0"/>
                <w:sz w:val="24"/>
                <w:szCs w:val="24"/>
                <w:highlight w:val="none"/>
                <w:lang w:val="en-US" w:eastAsia="zh-CN"/>
              </w:rPr>
              <w:t>时</w:t>
            </w:r>
            <w:r>
              <w:rPr>
                <w:rFonts w:hint="default" w:ascii="Times New Roman" w:hAnsi="Times New Roman" w:eastAsia="宋体" w:cs="Times New Roman"/>
                <w:snapToGrid w:val="0"/>
                <w:color w:val="auto"/>
                <w:kern w:val="0"/>
                <w:sz w:val="24"/>
                <w:szCs w:val="24"/>
                <w:highlight w:val="none"/>
                <w:lang w:val="en-US" w:eastAsia="zh-CN"/>
              </w:rPr>
              <w:t>上料过程产生粉尘。</w:t>
            </w:r>
            <w:r>
              <w:rPr>
                <w:rFonts w:hint="default" w:ascii="Times New Roman" w:hAnsi="Times New Roman" w:eastAsia="宋体" w:cs="Times New Roman"/>
                <w:color w:val="auto"/>
                <w:sz w:val="24"/>
                <w:szCs w:val="24"/>
                <w:highlight w:val="none"/>
              </w:rPr>
              <w:t>参照《非金属矿物制品业系数手册》—3021水泥制品制造(含3022砼结 构构件制造、3029其他水泥类似制品制造)行业系数手册，物料输送储存产污系数为0.19千克/吨-产品</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snapToGrid w:val="0"/>
                <w:color w:val="auto"/>
                <w:kern w:val="0"/>
                <w:sz w:val="24"/>
                <w:szCs w:val="24"/>
                <w:highlight w:val="none"/>
                <w:lang w:val="en-US" w:eastAsia="zh-CN"/>
              </w:rPr>
              <w:t>本项目隔墙板浆料年产</w:t>
            </w:r>
            <w:r>
              <w:rPr>
                <w:rFonts w:hint="default" w:ascii="Times New Roman" w:hAnsi="Times New Roman" w:cs="Times New Roman"/>
                <w:snapToGrid w:val="0"/>
                <w:color w:val="auto"/>
                <w:kern w:val="0"/>
                <w:sz w:val="24"/>
                <w:szCs w:val="24"/>
                <w:highlight w:val="none"/>
                <w:lang w:val="en-US" w:eastAsia="zh-CN"/>
              </w:rPr>
              <w:t>102765</w:t>
            </w:r>
            <w:r>
              <w:rPr>
                <w:rFonts w:hint="default" w:ascii="Times New Roman" w:hAnsi="Times New Roman" w:eastAsia="宋体" w:cs="Times New Roman"/>
                <w:snapToGrid w:val="0"/>
                <w:color w:val="auto"/>
                <w:kern w:val="0"/>
                <w:sz w:val="24"/>
                <w:szCs w:val="24"/>
                <w:highlight w:val="none"/>
                <w:lang w:val="en-US" w:eastAsia="zh-CN"/>
              </w:rPr>
              <w:t>吨（石膏60000t/a、粉煤灰1000t/a、水泥800t/a、</w:t>
            </w:r>
            <w:r>
              <w:rPr>
                <w:rFonts w:hint="default" w:ascii="Times New Roman" w:hAnsi="Times New Roman" w:cs="Times New Roman"/>
                <w:snapToGrid w:val="0"/>
                <w:color w:val="auto"/>
                <w:kern w:val="0"/>
                <w:sz w:val="24"/>
                <w:szCs w:val="24"/>
                <w:highlight w:val="none"/>
                <w:lang w:val="en-US" w:eastAsia="zh-CN"/>
              </w:rPr>
              <w:t>珍珠岩4500</w:t>
            </w:r>
            <w:r>
              <w:rPr>
                <w:rFonts w:hint="default" w:ascii="Times New Roman" w:hAnsi="Times New Roman" w:eastAsia="宋体" w:cs="Times New Roman"/>
                <w:snapToGrid w:val="0"/>
                <w:color w:val="auto"/>
                <w:kern w:val="0"/>
                <w:sz w:val="24"/>
                <w:szCs w:val="24"/>
                <w:highlight w:val="none"/>
                <w:lang w:val="en-US" w:eastAsia="zh-CN"/>
              </w:rPr>
              <w:t>t/a、水</w:t>
            </w:r>
            <w:r>
              <w:rPr>
                <w:rFonts w:hint="default" w:ascii="Times New Roman" w:hAnsi="Times New Roman" w:cs="Times New Roman"/>
                <w:snapToGrid w:val="0"/>
                <w:color w:val="auto"/>
                <w:kern w:val="0"/>
                <w:sz w:val="24"/>
                <w:szCs w:val="24"/>
                <w:highlight w:val="none"/>
                <w:lang w:val="en-US" w:eastAsia="zh-CN"/>
              </w:rPr>
              <w:t>36465</w:t>
            </w:r>
            <w:r>
              <w:rPr>
                <w:rFonts w:hint="default" w:ascii="Times New Roman" w:hAnsi="Times New Roman" w:eastAsia="宋体" w:cs="Times New Roman"/>
                <w:snapToGrid w:val="0"/>
                <w:color w:val="auto"/>
                <w:kern w:val="0"/>
                <w:sz w:val="24"/>
                <w:szCs w:val="24"/>
                <w:highlight w:val="none"/>
                <w:lang w:val="en-US" w:eastAsia="zh-CN"/>
              </w:rPr>
              <w:t>t/a）、石膏砂浆年产25000t/a、防火保温砂浆年产5000t/a，则上料</w:t>
            </w:r>
            <w:r>
              <w:rPr>
                <w:rFonts w:hint="default" w:ascii="Times New Roman" w:hAnsi="Times New Roman" w:cs="Times New Roman"/>
                <w:snapToGrid w:val="0"/>
                <w:color w:val="auto"/>
                <w:kern w:val="0"/>
                <w:sz w:val="24"/>
                <w:szCs w:val="24"/>
                <w:highlight w:val="none"/>
                <w:lang w:val="en-US" w:eastAsia="zh-CN"/>
              </w:rPr>
              <w:t>工序颗粒物</w:t>
            </w:r>
            <w:r>
              <w:rPr>
                <w:rFonts w:hint="default" w:ascii="Times New Roman" w:hAnsi="Times New Roman" w:eastAsia="宋体" w:cs="Times New Roman"/>
                <w:snapToGrid w:val="0"/>
                <w:color w:val="auto"/>
                <w:kern w:val="0"/>
                <w:sz w:val="24"/>
                <w:szCs w:val="24"/>
                <w:highlight w:val="none"/>
                <w:lang w:val="en-US" w:eastAsia="zh-CN"/>
              </w:rPr>
              <w:t>产生量为</w:t>
            </w:r>
            <w:r>
              <w:rPr>
                <w:rFonts w:hint="default" w:ascii="Times New Roman" w:hAnsi="Times New Roman" w:cs="Times New Roman"/>
                <w:snapToGrid w:val="0"/>
                <w:color w:val="auto"/>
                <w:kern w:val="0"/>
                <w:sz w:val="24"/>
                <w:szCs w:val="24"/>
                <w:highlight w:val="none"/>
                <w:lang w:val="en-US" w:eastAsia="zh-CN"/>
              </w:rPr>
              <w:t>25.22535</w:t>
            </w:r>
            <w:r>
              <w:rPr>
                <w:rFonts w:hint="default" w:ascii="Times New Roman" w:hAnsi="Times New Roman" w:eastAsia="宋体" w:cs="Times New Roman"/>
                <w:snapToGrid w:val="0"/>
                <w:color w:val="auto"/>
                <w:kern w:val="0"/>
                <w:sz w:val="24"/>
                <w:szCs w:val="24"/>
                <w:highlight w:val="none"/>
                <w:lang w:val="en-US" w:eastAsia="zh-CN"/>
              </w:rPr>
              <w:t>t/a</w:t>
            </w:r>
            <w:r>
              <w:rPr>
                <w:rFonts w:hint="default" w:ascii="Times New Roman" w:hAnsi="Times New Roman" w:eastAsia="宋体" w:cs="Times New Roman"/>
                <w:bCs/>
                <w:color w:val="auto"/>
                <w:sz w:val="24"/>
                <w:szCs w:val="24"/>
                <w:highlight w:val="none"/>
                <w:lang w:val="en-US" w:eastAsia="zh-CN"/>
              </w:rPr>
              <w:t>。</w:t>
            </w:r>
          </w:p>
          <w:p w14:paraId="557009D6">
            <w:p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依据建设单位提供资料，上料废气采用密闭管道收集，收集率为100%。</w:t>
            </w:r>
          </w:p>
          <w:p w14:paraId="4237294C">
            <w:p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cs="Times New Roman"/>
                <w:snapToGrid w:val="0"/>
                <w:color w:val="auto"/>
                <w:kern w:val="0"/>
                <w:sz w:val="24"/>
                <w:szCs w:val="24"/>
                <w:highlight w:val="none"/>
                <w:lang w:val="en-US" w:eastAsia="zh-CN"/>
              </w:rPr>
              <w:t>3）</w:t>
            </w:r>
            <w:r>
              <w:rPr>
                <w:rFonts w:hint="default" w:ascii="Times New Roman" w:hAnsi="Times New Roman" w:eastAsia="宋体" w:cs="Times New Roman"/>
                <w:snapToGrid w:val="0"/>
                <w:color w:val="auto"/>
                <w:kern w:val="0"/>
                <w:sz w:val="24"/>
                <w:szCs w:val="24"/>
                <w:highlight w:val="none"/>
                <w:lang w:val="en-US" w:eastAsia="zh-CN"/>
              </w:rPr>
              <w:t>搅拌废气</w:t>
            </w:r>
          </w:p>
          <w:p w14:paraId="48554CCE">
            <w:p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隔墙板浆料、</w:t>
            </w:r>
            <w:r>
              <w:rPr>
                <w:rFonts w:hint="default" w:ascii="Times New Roman" w:hAnsi="Times New Roman" w:cs="Times New Roman"/>
                <w:snapToGrid w:val="0"/>
                <w:color w:val="auto"/>
                <w:kern w:val="0"/>
                <w:sz w:val="24"/>
                <w:szCs w:val="24"/>
                <w:highlight w:val="none"/>
                <w:lang w:val="en-US" w:eastAsia="zh-CN"/>
              </w:rPr>
              <w:t>石膏</w:t>
            </w:r>
            <w:r>
              <w:rPr>
                <w:rFonts w:hint="default" w:ascii="Times New Roman" w:hAnsi="Times New Roman" w:eastAsia="宋体" w:cs="Times New Roman"/>
                <w:snapToGrid w:val="0"/>
                <w:color w:val="auto"/>
                <w:kern w:val="0"/>
                <w:sz w:val="24"/>
                <w:szCs w:val="24"/>
                <w:highlight w:val="none"/>
                <w:lang w:val="en-US" w:eastAsia="zh-CN"/>
              </w:rPr>
              <w:t>砂浆</w:t>
            </w:r>
            <w:r>
              <w:rPr>
                <w:rFonts w:hint="default" w:ascii="Times New Roman" w:hAnsi="Times New Roman" w:cs="Times New Roman"/>
                <w:snapToGrid w:val="0"/>
                <w:color w:val="auto"/>
                <w:kern w:val="0"/>
                <w:sz w:val="24"/>
                <w:szCs w:val="24"/>
                <w:highlight w:val="none"/>
                <w:lang w:val="en-US" w:eastAsia="zh-CN"/>
              </w:rPr>
              <w:t>、防火保温砂浆</w:t>
            </w:r>
            <w:r>
              <w:rPr>
                <w:rFonts w:hint="default" w:ascii="Times New Roman" w:hAnsi="Times New Roman" w:eastAsia="宋体" w:cs="Times New Roman"/>
                <w:snapToGrid w:val="0"/>
                <w:color w:val="auto"/>
                <w:kern w:val="0"/>
                <w:sz w:val="24"/>
                <w:szCs w:val="24"/>
                <w:highlight w:val="none"/>
                <w:lang w:val="en-US" w:eastAsia="zh-CN"/>
              </w:rPr>
              <w:t>生产中搅拌过程有粉尘产生。参照《非金属矿物制品业系数手册》—3021水泥制品制造(含3022砼结 构构件制造、3029其他水泥类似制品制造)行业系数手册，物料混合搅拌产污系数为0.12千克/吨-产品。本项目隔墙板浆料年产</w:t>
            </w:r>
            <w:r>
              <w:rPr>
                <w:rFonts w:hint="default" w:ascii="Times New Roman" w:hAnsi="Times New Roman" w:cs="Times New Roman"/>
                <w:snapToGrid w:val="0"/>
                <w:color w:val="auto"/>
                <w:kern w:val="0"/>
                <w:sz w:val="24"/>
                <w:szCs w:val="24"/>
                <w:highlight w:val="none"/>
                <w:lang w:val="en-US" w:eastAsia="zh-CN"/>
              </w:rPr>
              <w:t>102765</w:t>
            </w:r>
            <w:r>
              <w:rPr>
                <w:rFonts w:hint="default" w:ascii="Times New Roman" w:hAnsi="Times New Roman" w:eastAsia="宋体" w:cs="Times New Roman"/>
                <w:snapToGrid w:val="0"/>
                <w:color w:val="auto"/>
                <w:kern w:val="0"/>
                <w:sz w:val="24"/>
                <w:szCs w:val="24"/>
                <w:highlight w:val="none"/>
                <w:lang w:val="en-US" w:eastAsia="zh-CN"/>
              </w:rPr>
              <w:t>吨（石膏60000t/a、粉煤灰1000t/a、水泥800t/a、</w:t>
            </w:r>
            <w:r>
              <w:rPr>
                <w:rFonts w:hint="default" w:ascii="Times New Roman" w:hAnsi="Times New Roman" w:cs="Times New Roman"/>
                <w:snapToGrid w:val="0"/>
                <w:color w:val="auto"/>
                <w:kern w:val="0"/>
                <w:sz w:val="24"/>
                <w:szCs w:val="24"/>
                <w:highlight w:val="none"/>
                <w:lang w:val="en-US" w:eastAsia="zh-CN"/>
              </w:rPr>
              <w:t>珍珠岩4500</w:t>
            </w:r>
            <w:r>
              <w:rPr>
                <w:rFonts w:hint="default" w:ascii="Times New Roman" w:hAnsi="Times New Roman" w:eastAsia="宋体" w:cs="Times New Roman"/>
                <w:snapToGrid w:val="0"/>
                <w:color w:val="auto"/>
                <w:kern w:val="0"/>
                <w:sz w:val="24"/>
                <w:szCs w:val="24"/>
                <w:highlight w:val="none"/>
                <w:lang w:val="en-US" w:eastAsia="zh-CN"/>
              </w:rPr>
              <w:t>t/a、水</w:t>
            </w:r>
            <w:r>
              <w:rPr>
                <w:rFonts w:hint="default" w:ascii="Times New Roman" w:hAnsi="Times New Roman" w:cs="Times New Roman"/>
                <w:snapToGrid w:val="0"/>
                <w:color w:val="auto"/>
                <w:kern w:val="0"/>
                <w:sz w:val="24"/>
                <w:szCs w:val="24"/>
                <w:highlight w:val="none"/>
                <w:lang w:val="en-US" w:eastAsia="zh-CN"/>
              </w:rPr>
              <w:t>36465</w:t>
            </w:r>
            <w:r>
              <w:rPr>
                <w:rFonts w:hint="default" w:ascii="Times New Roman" w:hAnsi="Times New Roman" w:eastAsia="宋体" w:cs="Times New Roman"/>
                <w:snapToGrid w:val="0"/>
                <w:color w:val="auto"/>
                <w:kern w:val="0"/>
                <w:sz w:val="24"/>
                <w:szCs w:val="24"/>
                <w:highlight w:val="none"/>
                <w:lang w:val="en-US" w:eastAsia="zh-CN"/>
              </w:rPr>
              <w:t>t/a）、石膏砂浆年产25000t/a、防火保温砂浆年产5000t/a，则搅拌工序颗粒物产生量为1</w:t>
            </w:r>
            <w:r>
              <w:rPr>
                <w:rFonts w:hint="default" w:ascii="Times New Roman" w:hAnsi="Times New Roman" w:cs="Times New Roman"/>
                <w:snapToGrid w:val="0"/>
                <w:color w:val="auto"/>
                <w:kern w:val="0"/>
                <w:sz w:val="24"/>
                <w:szCs w:val="24"/>
                <w:highlight w:val="none"/>
                <w:lang w:val="en-US" w:eastAsia="zh-CN"/>
              </w:rPr>
              <w:t>5.9318</w:t>
            </w:r>
            <w:r>
              <w:rPr>
                <w:rFonts w:hint="default" w:ascii="Times New Roman" w:hAnsi="Times New Roman" w:eastAsia="宋体" w:cs="Times New Roman"/>
                <w:snapToGrid w:val="0"/>
                <w:color w:val="auto"/>
                <w:kern w:val="0"/>
                <w:sz w:val="24"/>
                <w:szCs w:val="24"/>
                <w:highlight w:val="none"/>
                <w:lang w:val="en-US" w:eastAsia="zh-CN"/>
              </w:rPr>
              <w:t>t/a。</w:t>
            </w:r>
          </w:p>
          <w:p w14:paraId="710BCE8D">
            <w:p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依据建设单位提供资料，搅拌废气采用密闭管道收集，收集率为100%。</w:t>
            </w:r>
          </w:p>
          <w:p w14:paraId="2C6EDD5C">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cs="Times New Roman"/>
                <w:snapToGrid w:val="0"/>
                <w:color w:val="auto"/>
                <w:kern w:val="0"/>
                <w:sz w:val="24"/>
                <w:szCs w:val="24"/>
                <w:highlight w:val="none"/>
                <w:lang w:val="en-US" w:eastAsia="zh-CN"/>
              </w:rPr>
              <w:t>4）</w:t>
            </w:r>
            <w:r>
              <w:rPr>
                <w:rFonts w:hint="default" w:ascii="Times New Roman" w:hAnsi="Times New Roman" w:eastAsia="宋体" w:cs="Times New Roman"/>
                <w:bCs/>
                <w:color w:val="auto"/>
                <w:sz w:val="24"/>
                <w:szCs w:val="24"/>
                <w:highlight w:val="none"/>
                <w:lang w:val="en-US" w:eastAsia="zh-CN"/>
              </w:rPr>
              <w:t>分装废气</w:t>
            </w:r>
          </w:p>
          <w:p w14:paraId="2B78A003">
            <w:pPr>
              <w:spacing w:line="360" w:lineRule="auto"/>
              <w:ind w:firstLine="480" w:firstLineChars="200"/>
              <w:jc w:val="both"/>
              <w:rPr>
                <w:rFonts w:hint="default" w:ascii="Times New Roman" w:hAnsi="Times New Roman" w:eastAsia="宋体" w:cs="Times New Roman"/>
                <w:bCs/>
                <w:color w:val="auto"/>
                <w:sz w:val="24"/>
                <w:szCs w:val="24"/>
                <w:highlight w:val="none"/>
                <w:lang w:eastAsia="zh-CN"/>
              </w:rPr>
            </w:pPr>
            <w:r>
              <w:rPr>
                <w:rFonts w:hint="default" w:ascii="Times New Roman" w:hAnsi="Times New Roman" w:cs="Times New Roman"/>
                <w:color w:val="auto"/>
                <w:sz w:val="24"/>
                <w:szCs w:val="24"/>
                <w:highlight w:val="none"/>
                <w:lang w:eastAsia="zh-CN"/>
              </w:rPr>
              <w:t>石膏砂浆产品分装过程产生粉尘。参照《逸散性工业粉尘控制技术》“表3-1 石灰生产的逸散尘排放因子”中“包装和装运”颗粒物排放</w:t>
            </w:r>
            <w:r>
              <w:rPr>
                <w:rFonts w:hint="default" w:ascii="Times New Roman" w:hAnsi="Times New Roman" w:cs="Times New Roman"/>
                <w:color w:val="auto"/>
                <w:sz w:val="24"/>
                <w:szCs w:val="24"/>
                <w:highlight w:val="none"/>
                <w:lang w:val="en-US" w:eastAsia="zh-CN"/>
              </w:rPr>
              <w:t>系数</w:t>
            </w:r>
            <w:r>
              <w:rPr>
                <w:rFonts w:hint="default" w:ascii="Times New Roman" w:hAnsi="Times New Roman" w:cs="Times New Roman"/>
                <w:color w:val="auto"/>
                <w:sz w:val="24"/>
                <w:szCs w:val="24"/>
                <w:highlight w:val="none"/>
                <w:lang w:eastAsia="zh-CN"/>
              </w:rPr>
              <w:t>为 0.</w:t>
            </w:r>
            <w:r>
              <w:rPr>
                <w:rFonts w:hint="default" w:ascii="Times New Roman" w:hAnsi="Times New Roman" w:cs="Times New Roman"/>
                <w:color w:val="auto"/>
                <w:sz w:val="24"/>
                <w:szCs w:val="24"/>
                <w:highlight w:val="none"/>
                <w:lang w:val="en-US" w:eastAsia="zh-CN"/>
              </w:rPr>
              <w:t>125</w:t>
            </w:r>
            <w:r>
              <w:rPr>
                <w:rFonts w:hint="default" w:ascii="Times New Roman" w:hAnsi="Times New Roman" w:cs="Times New Roman"/>
                <w:color w:val="auto"/>
                <w:sz w:val="24"/>
                <w:szCs w:val="24"/>
                <w:highlight w:val="none"/>
                <w:lang w:eastAsia="zh-CN"/>
              </w:rPr>
              <w:t>kg/t（装运），本项目</w:t>
            </w:r>
            <w:r>
              <w:rPr>
                <w:rFonts w:hint="default" w:ascii="Times New Roman" w:hAnsi="Times New Roman" w:eastAsia="宋体" w:cs="Times New Roman"/>
                <w:snapToGrid w:val="0"/>
                <w:color w:val="auto"/>
                <w:kern w:val="0"/>
                <w:sz w:val="24"/>
                <w:szCs w:val="24"/>
                <w:highlight w:val="none"/>
                <w:lang w:val="en-US" w:eastAsia="zh-CN"/>
              </w:rPr>
              <w:t>石膏砂浆年产25000t/a，</w:t>
            </w:r>
            <w:r>
              <w:rPr>
                <w:rFonts w:hint="default" w:ascii="Times New Roman" w:hAnsi="Times New Roman" w:cs="Times New Roman"/>
                <w:color w:val="auto"/>
                <w:sz w:val="24"/>
                <w:szCs w:val="24"/>
                <w:highlight w:val="none"/>
                <w:lang w:eastAsia="zh-CN"/>
              </w:rPr>
              <w:t>则</w:t>
            </w:r>
            <w:r>
              <w:rPr>
                <w:rFonts w:hint="default" w:ascii="Times New Roman" w:hAnsi="Times New Roman" w:cs="Times New Roman"/>
                <w:color w:val="auto"/>
                <w:sz w:val="24"/>
                <w:szCs w:val="24"/>
                <w:highlight w:val="none"/>
                <w:lang w:val="en-US" w:eastAsia="zh-CN"/>
              </w:rPr>
              <w:t>分装</w:t>
            </w:r>
            <w:r>
              <w:rPr>
                <w:rFonts w:hint="default" w:ascii="Times New Roman" w:hAnsi="Times New Roman" w:cs="Times New Roman"/>
                <w:color w:val="auto"/>
                <w:sz w:val="24"/>
                <w:szCs w:val="24"/>
                <w:highlight w:val="none"/>
                <w:lang w:eastAsia="zh-CN"/>
              </w:rPr>
              <w:t>工序颗粒物产生量为</w:t>
            </w:r>
            <w:r>
              <w:rPr>
                <w:rFonts w:hint="default" w:ascii="Times New Roman" w:hAnsi="Times New Roman" w:cs="Times New Roman"/>
                <w:color w:val="auto"/>
                <w:sz w:val="24"/>
                <w:szCs w:val="24"/>
                <w:highlight w:val="none"/>
                <w:lang w:val="en-US" w:eastAsia="zh-CN"/>
              </w:rPr>
              <w:t>3.125</w:t>
            </w:r>
            <w:r>
              <w:rPr>
                <w:rFonts w:hint="default" w:ascii="Times New Roman" w:hAnsi="Times New Roman" w:cs="Times New Roman"/>
                <w:color w:val="auto"/>
                <w:sz w:val="24"/>
                <w:szCs w:val="24"/>
                <w:highlight w:val="none"/>
                <w:lang w:eastAsia="zh-CN"/>
              </w:rPr>
              <w:t>t/a。</w:t>
            </w:r>
            <w:r>
              <w:rPr>
                <w:rFonts w:hint="default" w:ascii="Times New Roman" w:hAnsi="Times New Roman" w:cs="Times New Roman"/>
                <w:color w:val="auto"/>
                <w:sz w:val="24"/>
                <w:szCs w:val="24"/>
                <w:highlight w:val="none"/>
                <w:lang w:val="en-US" w:eastAsia="zh-CN"/>
              </w:rPr>
              <w:t>分装工序设置集气装置</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收集效率按</w:t>
            </w:r>
            <w:r>
              <w:rPr>
                <w:rFonts w:hint="default" w:ascii="Times New Roman" w:hAnsi="Times New Roman" w:cs="Times New Roman"/>
                <w:color w:val="auto"/>
                <w:sz w:val="24"/>
                <w:szCs w:val="24"/>
                <w:highlight w:val="none"/>
                <w:lang w:val="en-US" w:eastAsia="zh-CN"/>
              </w:rPr>
              <w:t>90</w:t>
            </w:r>
            <w:r>
              <w:rPr>
                <w:rFonts w:hint="default" w:ascii="Times New Roman" w:hAnsi="Times New Roman" w:cs="Times New Roman"/>
                <w:color w:val="auto"/>
                <w:sz w:val="24"/>
                <w:szCs w:val="24"/>
                <w:highlight w:val="none"/>
              </w:rPr>
              <w:t>%计，则</w:t>
            </w:r>
            <w:r>
              <w:rPr>
                <w:rFonts w:hint="default" w:ascii="Times New Roman" w:hAnsi="Times New Roman" w:cs="Times New Roman"/>
                <w:color w:val="auto"/>
                <w:sz w:val="24"/>
                <w:szCs w:val="24"/>
                <w:highlight w:val="none"/>
                <w:lang w:eastAsia="zh-CN"/>
              </w:rPr>
              <w:t>有组织</w:t>
            </w:r>
            <w:r>
              <w:rPr>
                <w:rFonts w:hint="default" w:ascii="Times New Roman" w:hAnsi="Times New Roman" w:cs="Times New Roman"/>
                <w:color w:val="auto"/>
                <w:sz w:val="24"/>
                <w:szCs w:val="24"/>
                <w:highlight w:val="none"/>
              </w:rPr>
              <w:t>颗粒物</w:t>
            </w:r>
            <w:r>
              <w:rPr>
                <w:rFonts w:hint="default" w:ascii="Times New Roman" w:hAnsi="Times New Roman" w:cs="Times New Roman"/>
                <w:color w:val="auto"/>
                <w:sz w:val="24"/>
                <w:szCs w:val="24"/>
                <w:highlight w:val="none"/>
                <w:lang w:eastAsia="zh-CN"/>
              </w:rPr>
              <w:t>收集量</w:t>
            </w:r>
            <w:r>
              <w:rPr>
                <w:rFonts w:hint="default" w:ascii="Times New Roman" w:hAnsi="Times New Roman" w:cs="Times New Roman"/>
                <w:color w:val="auto"/>
                <w:sz w:val="24"/>
                <w:szCs w:val="24"/>
                <w:highlight w:val="none"/>
              </w:rPr>
              <w:t>为</w:t>
            </w:r>
            <w:r>
              <w:rPr>
                <w:rFonts w:hint="default" w:ascii="Times New Roman" w:hAnsi="Times New Roman" w:cs="Times New Roman"/>
                <w:color w:val="auto"/>
                <w:sz w:val="24"/>
                <w:szCs w:val="24"/>
                <w:highlight w:val="none"/>
                <w:lang w:val="en-US" w:eastAsia="zh-CN"/>
              </w:rPr>
              <w:t>2.813</w:t>
            </w:r>
            <w:r>
              <w:rPr>
                <w:rFonts w:hint="default" w:ascii="Times New Roman" w:hAnsi="Times New Roman" w:cs="Times New Roman"/>
                <w:color w:val="auto"/>
                <w:sz w:val="24"/>
                <w:szCs w:val="24"/>
                <w:highlight w:val="none"/>
              </w:rPr>
              <w:t>t/a</w:t>
            </w:r>
            <w:r>
              <w:rPr>
                <w:rFonts w:hint="default" w:ascii="Times New Roman" w:hAnsi="Times New Roman" w:eastAsia="宋体" w:cs="Times New Roman"/>
                <w:bCs/>
                <w:color w:val="auto"/>
                <w:sz w:val="24"/>
                <w:szCs w:val="24"/>
                <w:highlight w:val="none"/>
                <w:lang w:eastAsia="zh-CN"/>
              </w:rPr>
              <w:t>。</w:t>
            </w:r>
          </w:p>
          <w:p w14:paraId="4D664703">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本项目</w:t>
            </w:r>
            <w:r>
              <w:rPr>
                <w:rFonts w:hint="default" w:ascii="Times New Roman" w:hAnsi="Times New Roman" w:cs="Times New Roman"/>
                <w:bCs/>
                <w:color w:val="auto"/>
                <w:sz w:val="24"/>
                <w:szCs w:val="24"/>
                <w:highlight w:val="none"/>
                <w:lang w:val="en-US" w:eastAsia="zh-CN"/>
              </w:rPr>
              <w:t>2台包装机</w:t>
            </w:r>
            <w:r>
              <w:rPr>
                <w:rFonts w:hint="default" w:ascii="Times New Roman" w:hAnsi="Times New Roman" w:eastAsia="宋体" w:cs="Times New Roman"/>
                <w:bCs/>
                <w:color w:val="auto"/>
                <w:sz w:val="24"/>
                <w:szCs w:val="24"/>
                <w:highlight w:val="none"/>
                <w:lang w:val="en-US" w:eastAsia="zh-CN"/>
              </w:rPr>
              <w:t>上</w:t>
            </w:r>
            <w:r>
              <w:rPr>
                <w:rFonts w:hint="default" w:ascii="Times New Roman" w:hAnsi="Times New Roman" w:cs="Times New Roman"/>
                <w:bCs/>
                <w:color w:val="auto"/>
                <w:sz w:val="24"/>
                <w:szCs w:val="24"/>
                <w:highlight w:val="none"/>
                <w:lang w:val="en-US" w:eastAsia="zh-CN"/>
              </w:rPr>
              <w:t>方均</w:t>
            </w:r>
            <w:r>
              <w:rPr>
                <w:rFonts w:hint="default" w:ascii="Times New Roman" w:hAnsi="Times New Roman" w:eastAsia="宋体" w:cs="Times New Roman"/>
                <w:bCs/>
                <w:color w:val="auto"/>
                <w:sz w:val="24"/>
                <w:szCs w:val="24"/>
                <w:highlight w:val="none"/>
                <w:lang w:val="en-US" w:eastAsia="zh-CN"/>
              </w:rPr>
              <w:t>设集气罩，集气罩</w:t>
            </w:r>
            <w:r>
              <w:rPr>
                <w:rFonts w:hint="default" w:ascii="Times New Roman" w:hAnsi="Times New Roman" w:cs="Times New Roman"/>
                <w:bCs/>
                <w:color w:val="auto"/>
                <w:sz w:val="24"/>
                <w:szCs w:val="24"/>
                <w:highlight w:val="none"/>
                <w:lang w:val="en-US" w:eastAsia="zh-CN"/>
              </w:rPr>
              <w:t>设计</w:t>
            </w:r>
            <w:r>
              <w:rPr>
                <w:rFonts w:hint="default" w:ascii="Times New Roman" w:hAnsi="Times New Roman" w:eastAsia="宋体" w:cs="Times New Roman"/>
                <w:bCs/>
                <w:color w:val="auto"/>
                <w:sz w:val="24"/>
                <w:szCs w:val="24"/>
                <w:highlight w:val="none"/>
                <w:lang w:val="en-US" w:eastAsia="zh-CN"/>
              </w:rPr>
              <w:t>尺寸为0.7m×0.</w:t>
            </w:r>
            <w:r>
              <w:rPr>
                <w:rFonts w:hint="default" w:ascii="Times New Roman" w:hAnsi="Times New Roman" w:cs="Times New Roman"/>
                <w:bCs/>
                <w:color w:val="auto"/>
                <w:sz w:val="24"/>
                <w:szCs w:val="24"/>
                <w:highlight w:val="none"/>
                <w:lang w:val="en-US" w:eastAsia="zh-CN"/>
              </w:rPr>
              <w:t>5</w:t>
            </w:r>
            <w:r>
              <w:rPr>
                <w:rFonts w:hint="default" w:ascii="Times New Roman" w:hAnsi="Times New Roman" w:eastAsia="宋体" w:cs="Times New Roman"/>
                <w:bCs/>
                <w:color w:val="auto"/>
                <w:sz w:val="24"/>
                <w:szCs w:val="24"/>
                <w:highlight w:val="none"/>
                <w:lang w:val="en-US" w:eastAsia="zh-CN"/>
              </w:rPr>
              <w:t>m</w:t>
            </w:r>
            <w:r>
              <w:rPr>
                <w:rFonts w:hint="default" w:ascii="Times New Roman" w:hAnsi="Times New Roman" w:eastAsia="宋体" w:cs="Times New Roman"/>
                <w:color w:val="auto"/>
                <w:sz w:val="24"/>
                <w:highlight w:val="none"/>
                <w:lang w:eastAsia="zh-CN"/>
              </w:rPr>
              <w:t>，高度在设备安装过程</w:t>
            </w:r>
            <w:r>
              <w:rPr>
                <w:rFonts w:hint="eastAsia" w:cs="Times New Roman"/>
                <w:color w:val="auto"/>
                <w:sz w:val="24"/>
                <w:highlight w:val="none"/>
                <w:lang w:eastAsia="zh-CN"/>
              </w:rPr>
              <w:t>中</w:t>
            </w:r>
            <w:r>
              <w:rPr>
                <w:rFonts w:hint="default" w:ascii="Times New Roman" w:hAnsi="Times New Roman" w:eastAsia="宋体" w:cs="Times New Roman"/>
                <w:color w:val="auto"/>
                <w:sz w:val="24"/>
                <w:highlight w:val="none"/>
                <w:lang w:eastAsia="zh-CN"/>
              </w:rPr>
              <w:t>根据设备尺寸具体调整，为了确保集气效率可加装软帘。</w:t>
            </w:r>
          </w:p>
          <w:p w14:paraId="2E6A4CD8">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根据《局部排风设施控制风速检测与评估技术规范》（AQ/T4274-2016），粉尘上吸式控制风速为1.2m/s。集气罩的风量根据《三废处理工程技术手册-废气卷》中有关公式计算，计算公式如下： </w:t>
            </w:r>
          </w:p>
          <w:p w14:paraId="60FD0DFA">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Q=K×V×F×3600 </w:t>
            </w:r>
          </w:p>
          <w:p w14:paraId="1DBA0FD5">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Q：设计风量，m</w:t>
            </w:r>
            <w:r>
              <w:rPr>
                <w:rFonts w:hint="default" w:ascii="Times New Roman" w:hAnsi="Times New Roman" w:eastAsia="宋体" w:cs="Times New Roman"/>
                <w:bCs/>
                <w:color w:val="auto"/>
                <w:sz w:val="24"/>
                <w:szCs w:val="24"/>
                <w:highlight w:val="none"/>
                <w:vertAlign w:val="superscript"/>
                <w:lang w:val="en-US" w:eastAsia="zh-CN"/>
              </w:rPr>
              <w:t>3</w:t>
            </w:r>
            <w:r>
              <w:rPr>
                <w:rFonts w:hint="default" w:ascii="Times New Roman" w:hAnsi="Times New Roman" w:eastAsia="宋体" w:cs="Times New Roman"/>
                <w:bCs/>
                <w:color w:val="auto"/>
                <w:sz w:val="24"/>
                <w:szCs w:val="24"/>
                <w:highlight w:val="none"/>
                <w:lang w:val="en-US" w:eastAsia="zh-CN"/>
              </w:rPr>
              <w:t xml:space="preserve"> /h； </w:t>
            </w:r>
          </w:p>
          <w:p w14:paraId="0401D2AF">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K：高度分布不均匀系数（经验值），1.05； </w:t>
            </w:r>
          </w:p>
          <w:p w14:paraId="1CAD1586">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V：进口风速，m/s，本项目取1.2m/s； </w:t>
            </w:r>
          </w:p>
          <w:p w14:paraId="55A7A67E">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F：集气罩面积，㎡。 </w:t>
            </w:r>
          </w:p>
          <w:p w14:paraId="5583B122">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经计算，</w:t>
            </w:r>
            <w:r>
              <w:rPr>
                <w:rFonts w:hint="default" w:ascii="Times New Roman" w:hAnsi="Times New Roman" w:cs="Times New Roman"/>
                <w:bCs/>
                <w:color w:val="auto"/>
                <w:sz w:val="24"/>
                <w:szCs w:val="24"/>
                <w:highlight w:val="none"/>
                <w:lang w:val="en-US" w:eastAsia="zh-CN"/>
              </w:rPr>
              <w:t>每个</w:t>
            </w:r>
            <w:r>
              <w:rPr>
                <w:rFonts w:hint="default" w:ascii="Times New Roman" w:hAnsi="Times New Roman" w:eastAsia="宋体" w:cs="Times New Roman"/>
                <w:bCs/>
                <w:color w:val="auto"/>
                <w:sz w:val="24"/>
                <w:szCs w:val="24"/>
                <w:highlight w:val="none"/>
                <w:lang w:val="en-US" w:eastAsia="zh-CN"/>
              </w:rPr>
              <w:t>集气罩风量为</w:t>
            </w:r>
            <w:r>
              <w:rPr>
                <w:rFonts w:hint="default" w:ascii="Times New Roman" w:hAnsi="Times New Roman" w:cs="Times New Roman"/>
                <w:bCs/>
                <w:color w:val="auto"/>
                <w:sz w:val="24"/>
                <w:szCs w:val="24"/>
                <w:highlight w:val="none"/>
                <w:lang w:val="en-US" w:eastAsia="zh-CN"/>
              </w:rPr>
              <w:t>1587.6</w:t>
            </w:r>
            <w:r>
              <w:rPr>
                <w:rFonts w:hint="default" w:ascii="Times New Roman" w:hAnsi="Times New Roman" w:eastAsia="宋体" w:cs="Times New Roman"/>
                <w:bCs/>
                <w:color w:val="auto"/>
                <w:sz w:val="24"/>
                <w:szCs w:val="24"/>
                <w:highlight w:val="none"/>
                <w:lang w:val="en-US" w:eastAsia="zh-CN"/>
              </w:rPr>
              <w:t>m³/h</w:t>
            </w:r>
            <w:r>
              <w:rPr>
                <w:rFonts w:hint="default" w:ascii="Times New Roman" w:hAnsi="Times New Roman" w:cs="Times New Roman"/>
                <w:bCs/>
                <w:color w:val="auto"/>
                <w:sz w:val="24"/>
                <w:szCs w:val="24"/>
                <w:highlight w:val="none"/>
                <w:lang w:val="en-US" w:eastAsia="zh-CN"/>
              </w:rPr>
              <w:t>，2台包装机集气罩风量为3175.2</w:t>
            </w:r>
            <w:r>
              <w:rPr>
                <w:rFonts w:hint="default" w:ascii="Times New Roman" w:hAnsi="Times New Roman" w:eastAsia="宋体" w:cs="Times New Roman"/>
                <w:bCs/>
                <w:color w:val="auto"/>
                <w:sz w:val="24"/>
                <w:szCs w:val="24"/>
                <w:highlight w:val="none"/>
                <w:lang w:val="en-US" w:eastAsia="zh-CN"/>
              </w:rPr>
              <w:t>m³/h</w:t>
            </w:r>
            <w:r>
              <w:rPr>
                <w:rFonts w:hint="default" w:ascii="Times New Roman" w:hAnsi="Times New Roman" w:cs="Times New Roman"/>
                <w:bCs/>
                <w:color w:val="auto"/>
                <w:sz w:val="24"/>
                <w:szCs w:val="24"/>
                <w:highlight w:val="none"/>
                <w:lang w:val="en-US" w:eastAsia="zh-CN"/>
              </w:rPr>
              <w:t>。</w:t>
            </w:r>
          </w:p>
          <w:p w14:paraId="45548EF0">
            <w:pPr>
              <w:numPr>
                <w:ilvl w:val="0"/>
                <w:numId w:val="0"/>
              </w:num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cs="Times New Roman"/>
                <w:snapToGrid w:val="0"/>
                <w:color w:val="auto"/>
                <w:kern w:val="0"/>
                <w:sz w:val="24"/>
                <w:szCs w:val="24"/>
                <w:highlight w:val="none"/>
                <w:lang w:val="en-US" w:eastAsia="zh-CN"/>
              </w:rPr>
              <w:t>计算本项目原料储罐呼吸、上料工序、搅拌工序废气为密闭管道收集</w:t>
            </w:r>
            <w:r>
              <w:rPr>
                <w:rFonts w:hint="default" w:ascii="Times New Roman" w:hAnsi="Times New Roman" w:eastAsia="宋体" w:cs="Times New Roman"/>
                <w:bCs/>
                <w:color w:val="auto"/>
                <w:sz w:val="24"/>
                <w:szCs w:val="24"/>
                <w:highlight w:val="none"/>
                <w:lang w:val="en-US" w:eastAsia="zh-CN"/>
              </w:rPr>
              <w:t>，本项目</w:t>
            </w:r>
            <w:r>
              <w:rPr>
                <w:rFonts w:hint="default" w:ascii="Times New Roman" w:hAnsi="Times New Roman" w:cs="Times New Roman"/>
                <w:snapToGrid w:val="0"/>
                <w:color w:val="auto"/>
                <w:kern w:val="0"/>
                <w:sz w:val="24"/>
                <w:szCs w:val="24"/>
                <w:highlight w:val="none"/>
                <w:lang w:val="en-US" w:eastAsia="zh-CN"/>
              </w:rPr>
              <w:t>总风机风量设置为10000</w:t>
            </w:r>
            <w:r>
              <w:rPr>
                <w:rFonts w:hint="default" w:ascii="Times New Roman" w:hAnsi="Times New Roman" w:eastAsia="宋体" w:cs="Times New Roman"/>
                <w:bCs/>
                <w:color w:val="auto"/>
                <w:sz w:val="24"/>
                <w:szCs w:val="24"/>
                <w:highlight w:val="none"/>
                <w:lang w:val="en-US" w:eastAsia="zh-CN"/>
              </w:rPr>
              <w:t>m³/h，满足生产要求。</w:t>
            </w:r>
          </w:p>
          <w:p w14:paraId="324BED4B">
            <w:pPr>
              <w:numPr>
                <w:ilvl w:val="0"/>
                <w:numId w:val="0"/>
              </w:num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储罐顶部及隔墙板、石膏砂浆和保温砂浆生产中的搅拌仓设置集气管道，</w:t>
            </w:r>
            <w:r>
              <w:rPr>
                <w:rFonts w:hint="default" w:ascii="Times New Roman" w:hAnsi="Times New Roman" w:eastAsia="宋体" w:cs="Times New Roman"/>
                <w:color w:val="auto"/>
                <w:sz w:val="24"/>
                <w:highlight w:val="none"/>
                <w:lang w:eastAsia="zh-CN"/>
              </w:rPr>
              <w:t>包装机落料点上方设置集气罩，</w:t>
            </w:r>
            <w:r>
              <w:rPr>
                <w:rFonts w:hint="default" w:ascii="Times New Roman" w:hAnsi="Times New Roman" w:cs="Times New Roman"/>
                <w:snapToGrid w:val="0"/>
                <w:color w:val="auto"/>
                <w:kern w:val="0"/>
                <w:sz w:val="24"/>
                <w:szCs w:val="24"/>
                <w:highlight w:val="none"/>
                <w:lang w:val="en-US" w:eastAsia="zh-CN"/>
              </w:rPr>
              <w:t>储罐呼吸废气经罐顶除尘器处理后，和</w:t>
            </w:r>
            <w:r>
              <w:rPr>
                <w:rFonts w:hint="default" w:ascii="Times New Roman" w:hAnsi="Times New Roman" w:eastAsia="宋体" w:cs="Times New Roman"/>
                <w:snapToGrid w:val="0"/>
                <w:color w:val="auto"/>
                <w:kern w:val="0"/>
                <w:sz w:val="24"/>
                <w:szCs w:val="24"/>
                <w:highlight w:val="none"/>
                <w:lang w:val="en-US" w:eastAsia="zh-CN"/>
              </w:rPr>
              <w:t>上料废气、搅拌废气、分装废气</w:t>
            </w:r>
            <w:r>
              <w:rPr>
                <w:rFonts w:hint="default" w:ascii="Times New Roman" w:hAnsi="Times New Roman" w:cs="Times New Roman"/>
                <w:snapToGrid w:val="0"/>
                <w:color w:val="auto"/>
                <w:kern w:val="0"/>
                <w:sz w:val="24"/>
                <w:szCs w:val="24"/>
                <w:highlight w:val="none"/>
                <w:lang w:val="en-US" w:eastAsia="zh-CN"/>
              </w:rPr>
              <w:t>一同引至一套</w:t>
            </w:r>
            <w:r>
              <w:rPr>
                <w:rFonts w:hint="default" w:ascii="Times New Roman" w:hAnsi="Times New Roman" w:eastAsia="宋体" w:cs="Times New Roman"/>
                <w:snapToGrid w:val="0"/>
                <w:color w:val="auto"/>
                <w:kern w:val="0"/>
                <w:sz w:val="24"/>
                <w:szCs w:val="24"/>
                <w:highlight w:val="none"/>
                <w:lang w:val="en-US" w:eastAsia="zh-CN"/>
              </w:rPr>
              <w:t>布袋除尘器处理，处理后经1根</w:t>
            </w:r>
            <w:r>
              <w:rPr>
                <w:rFonts w:hint="default" w:ascii="Times New Roman" w:hAnsi="Times New Roman" w:cs="Times New Roman"/>
                <w:snapToGrid w:val="0"/>
                <w:color w:val="auto"/>
                <w:kern w:val="0"/>
                <w:sz w:val="24"/>
                <w:szCs w:val="24"/>
                <w:highlight w:val="none"/>
                <w:lang w:val="en-US" w:eastAsia="zh-CN"/>
              </w:rPr>
              <w:t>15</w:t>
            </w:r>
            <w:r>
              <w:rPr>
                <w:rFonts w:hint="default" w:ascii="Times New Roman" w:hAnsi="Times New Roman" w:eastAsia="宋体" w:cs="Times New Roman"/>
                <w:snapToGrid w:val="0"/>
                <w:color w:val="auto"/>
                <w:kern w:val="0"/>
                <w:sz w:val="24"/>
                <w:szCs w:val="24"/>
                <w:highlight w:val="none"/>
                <w:lang w:val="en-US" w:eastAsia="zh-CN"/>
              </w:rPr>
              <w:t>m高排气筒（DA001）排放。粉尘收集量为</w:t>
            </w:r>
            <w:r>
              <w:rPr>
                <w:rFonts w:hint="default" w:ascii="Times New Roman" w:hAnsi="Times New Roman" w:cs="Times New Roman"/>
                <w:snapToGrid w:val="0"/>
                <w:color w:val="auto"/>
                <w:kern w:val="0"/>
                <w:sz w:val="24"/>
                <w:szCs w:val="24"/>
                <w:highlight w:val="none"/>
                <w:lang w:val="en-US" w:eastAsia="zh-CN"/>
              </w:rPr>
              <w:t>55.357</w:t>
            </w:r>
            <w:r>
              <w:rPr>
                <w:rFonts w:hint="default" w:ascii="Times New Roman" w:hAnsi="Times New Roman" w:eastAsia="宋体" w:cs="Times New Roman"/>
                <w:snapToGrid w:val="0"/>
                <w:color w:val="auto"/>
                <w:kern w:val="0"/>
                <w:sz w:val="24"/>
                <w:szCs w:val="24"/>
                <w:highlight w:val="none"/>
                <w:lang w:val="en-US" w:eastAsia="zh-CN"/>
              </w:rPr>
              <w:t>t</w:t>
            </w:r>
            <w:r>
              <w:rPr>
                <w:rFonts w:hint="default" w:ascii="Times New Roman" w:hAnsi="Times New Roman" w:cs="Times New Roman"/>
                <w:snapToGrid w:val="0"/>
                <w:color w:val="auto"/>
                <w:kern w:val="0"/>
                <w:sz w:val="24"/>
                <w:szCs w:val="24"/>
                <w:highlight w:val="none"/>
                <w:lang w:val="en-US" w:eastAsia="zh-CN"/>
              </w:rPr>
              <w:t>/a</w:t>
            </w:r>
            <w:r>
              <w:rPr>
                <w:rFonts w:hint="default" w:ascii="Times New Roman" w:hAnsi="Times New Roman" w:eastAsia="宋体" w:cs="Times New Roman"/>
                <w:snapToGrid w:val="0"/>
                <w:color w:val="auto"/>
                <w:kern w:val="0"/>
                <w:sz w:val="24"/>
                <w:szCs w:val="24"/>
                <w:highlight w:val="none"/>
                <w:lang w:val="en-US" w:eastAsia="zh-CN"/>
              </w:rPr>
              <w:t>，风机风量为10000m³/h，</w:t>
            </w:r>
            <w:r>
              <w:rPr>
                <w:rFonts w:hint="default" w:ascii="Times New Roman" w:hAnsi="Times New Roman" w:eastAsia="宋体" w:cs="Times New Roman"/>
                <w:snapToGrid w:val="0"/>
                <w:color w:val="auto"/>
                <w:kern w:val="0"/>
                <w:sz w:val="24"/>
                <w:szCs w:val="24"/>
                <w:highlight w:val="cyan"/>
                <w:lang w:val="en-US" w:eastAsia="zh-CN"/>
              </w:rPr>
              <w:t>布袋除尘器处理效率按照99.</w:t>
            </w:r>
            <w:r>
              <w:rPr>
                <w:rFonts w:hint="default" w:ascii="Times New Roman" w:hAnsi="Times New Roman" w:cs="Times New Roman"/>
                <w:snapToGrid w:val="0"/>
                <w:color w:val="auto"/>
                <w:kern w:val="0"/>
                <w:sz w:val="24"/>
                <w:szCs w:val="24"/>
                <w:highlight w:val="cyan"/>
                <w:lang w:val="en-US" w:eastAsia="zh-CN"/>
              </w:rPr>
              <w:t>7</w:t>
            </w:r>
            <w:r>
              <w:rPr>
                <w:rFonts w:hint="default" w:ascii="Times New Roman" w:hAnsi="Times New Roman" w:eastAsia="宋体" w:cs="Times New Roman"/>
                <w:snapToGrid w:val="0"/>
                <w:color w:val="auto"/>
                <w:kern w:val="0"/>
                <w:sz w:val="24"/>
                <w:szCs w:val="24"/>
                <w:highlight w:val="cyan"/>
                <w:lang w:val="en-US" w:eastAsia="zh-CN"/>
              </w:rPr>
              <w:t>%计，则颗粒物排放浓度为</w:t>
            </w:r>
            <w:r>
              <w:rPr>
                <w:rFonts w:hint="eastAsia" w:cs="Times New Roman"/>
                <w:snapToGrid w:val="0"/>
                <w:color w:val="auto"/>
                <w:kern w:val="0"/>
                <w:sz w:val="24"/>
                <w:szCs w:val="24"/>
                <w:highlight w:val="cyan"/>
                <w:lang w:val="en-US" w:eastAsia="zh-CN"/>
              </w:rPr>
              <w:t>6.92</w:t>
            </w:r>
            <w:r>
              <w:rPr>
                <w:rFonts w:hint="default" w:ascii="Times New Roman" w:hAnsi="Times New Roman" w:eastAsia="宋体" w:cs="Times New Roman"/>
                <w:snapToGrid w:val="0"/>
                <w:color w:val="auto"/>
                <w:kern w:val="0"/>
                <w:sz w:val="24"/>
                <w:szCs w:val="24"/>
                <w:highlight w:val="cyan"/>
                <w:lang w:val="en-US" w:eastAsia="zh-CN"/>
              </w:rPr>
              <w:t>mg/m³，排放速率为0.0</w:t>
            </w:r>
            <w:r>
              <w:rPr>
                <w:rFonts w:hint="eastAsia" w:cs="Times New Roman"/>
                <w:snapToGrid w:val="0"/>
                <w:color w:val="auto"/>
                <w:kern w:val="0"/>
                <w:sz w:val="24"/>
                <w:szCs w:val="24"/>
                <w:highlight w:val="cyan"/>
                <w:lang w:val="en-US" w:eastAsia="zh-CN"/>
              </w:rPr>
              <w:t>69</w:t>
            </w:r>
            <w:r>
              <w:rPr>
                <w:rFonts w:hint="default" w:ascii="Times New Roman" w:hAnsi="Times New Roman" w:eastAsia="宋体" w:cs="Times New Roman"/>
                <w:snapToGrid w:val="0"/>
                <w:color w:val="auto"/>
                <w:kern w:val="0"/>
                <w:sz w:val="24"/>
                <w:szCs w:val="24"/>
                <w:highlight w:val="cyan"/>
                <w:lang w:val="en-US" w:eastAsia="zh-CN"/>
              </w:rPr>
              <w:t>kg/h，排放量为0.</w:t>
            </w:r>
            <w:r>
              <w:rPr>
                <w:rFonts w:hint="default" w:ascii="Times New Roman" w:hAnsi="Times New Roman" w:cs="Times New Roman"/>
                <w:snapToGrid w:val="0"/>
                <w:color w:val="auto"/>
                <w:kern w:val="0"/>
                <w:sz w:val="24"/>
                <w:szCs w:val="24"/>
                <w:highlight w:val="cyan"/>
                <w:lang w:val="en-US" w:eastAsia="zh-CN"/>
              </w:rPr>
              <w:t>1</w:t>
            </w:r>
            <w:r>
              <w:rPr>
                <w:rFonts w:hint="eastAsia" w:cs="Times New Roman"/>
                <w:snapToGrid w:val="0"/>
                <w:color w:val="auto"/>
                <w:kern w:val="0"/>
                <w:sz w:val="24"/>
                <w:szCs w:val="24"/>
                <w:highlight w:val="cyan"/>
                <w:lang w:val="en-US" w:eastAsia="zh-CN"/>
              </w:rPr>
              <w:t>66</w:t>
            </w:r>
            <w:r>
              <w:rPr>
                <w:rFonts w:hint="default" w:ascii="Times New Roman" w:hAnsi="Times New Roman" w:eastAsia="宋体" w:cs="Times New Roman"/>
                <w:snapToGrid w:val="0"/>
                <w:color w:val="auto"/>
                <w:kern w:val="0"/>
                <w:sz w:val="24"/>
                <w:szCs w:val="24"/>
                <w:highlight w:val="cyan"/>
                <w:lang w:val="en-US" w:eastAsia="zh-CN"/>
              </w:rPr>
              <w:t>t</w:t>
            </w:r>
            <w:r>
              <w:rPr>
                <w:rFonts w:hint="default" w:ascii="Times New Roman" w:hAnsi="Times New Roman" w:cs="Times New Roman"/>
                <w:snapToGrid w:val="0"/>
                <w:color w:val="auto"/>
                <w:kern w:val="0"/>
                <w:sz w:val="24"/>
                <w:szCs w:val="24"/>
                <w:highlight w:val="cyan"/>
                <w:lang w:val="en-US" w:eastAsia="zh-CN"/>
              </w:rPr>
              <w:t>/a</w:t>
            </w:r>
            <w:r>
              <w:rPr>
                <w:rFonts w:hint="default" w:ascii="Times New Roman" w:hAnsi="Times New Roman" w:eastAsia="宋体" w:cs="Times New Roman"/>
                <w:snapToGrid w:val="0"/>
                <w:color w:val="auto"/>
                <w:kern w:val="0"/>
                <w:sz w:val="24"/>
                <w:szCs w:val="24"/>
                <w:highlight w:val="cyan"/>
                <w:lang w:val="en-US" w:eastAsia="zh-CN"/>
              </w:rPr>
              <w:t>，</w:t>
            </w:r>
            <w:r>
              <w:rPr>
                <w:rFonts w:hint="default" w:ascii="Times New Roman" w:hAnsi="Times New Roman" w:eastAsia="宋体" w:cs="Times New Roman"/>
                <w:snapToGrid w:val="0"/>
                <w:color w:val="auto"/>
                <w:kern w:val="0"/>
                <w:sz w:val="24"/>
                <w:szCs w:val="24"/>
                <w:highlight w:val="none"/>
                <w:lang w:val="en-US" w:eastAsia="zh-CN"/>
              </w:rPr>
              <w:t>满足《水泥工业大气污染物超低排放标准》（DB13/2167-2020）表1中水泥仓及其它通风生产设备标准限值。</w:t>
            </w:r>
          </w:p>
          <w:p w14:paraId="158998D1">
            <w:pPr>
              <w:numPr>
                <w:ilvl w:val="0"/>
                <w:numId w:val="0"/>
              </w:num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cs="Times New Roman"/>
                <w:snapToGrid w:val="0"/>
                <w:color w:val="auto"/>
                <w:kern w:val="0"/>
                <w:sz w:val="24"/>
                <w:szCs w:val="24"/>
                <w:highlight w:val="none"/>
                <w:lang w:val="en-US" w:eastAsia="zh-CN"/>
              </w:rPr>
              <w:t>5）无组织废气</w:t>
            </w:r>
          </w:p>
          <w:p w14:paraId="47A958DC">
            <w:pPr>
              <w:numPr>
                <w:ilvl w:val="0"/>
                <w:numId w:val="0"/>
              </w:num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①车辆运输扬尘</w:t>
            </w:r>
          </w:p>
          <w:p w14:paraId="787F0363">
            <w:pPr>
              <w:pStyle w:val="2"/>
              <w:spacing w:line="360" w:lineRule="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snapToGrid w:val="0"/>
                <w:color w:val="auto"/>
                <w:kern w:val="0"/>
                <w:sz w:val="24"/>
                <w:szCs w:val="24"/>
                <w:highlight w:val="none"/>
                <w:lang w:val="en-US" w:eastAsia="zh-CN"/>
              </w:rPr>
              <w:t>本项目</w:t>
            </w:r>
            <w:r>
              <w:rPr>
                <w:rFonts w:hint="default" w:ascii="Times New Roman" w:hAnsi="Times New Roman" w:cs="Times New Roman"/>
                <w:snapToGrid w:val="0"/>
                <w:color w:val="auto"/>
                <w:kern w:val="0"/>
                <w:sz w:val="24"/>
                <w:szCs w:val="24"/>
                <w:highlight w:val="none"/>
                <w:lang w:val="en-US" w:eastAsia="zh-CN"/>
              </w:rPr>
              <w:t>珍珠岩、</w:t>
            </w:r>
            <w:r>
              <w:rPr>
                <w:rFonts w:hint="default" w:ascii="Times New Roman" w:hAnsi="Times New Roman" w:eastAsia="宋体" w:cs="Times New Roman"/>
                <w:snapToGrid w:val="0"/>
                <w:color w:val="auto"/>
                <w:kern w:val="0"/>
                <w:sz w:val="24"/>
                <w:szCs w:val="24"/>
                <w:highlight w:val="none"/>
                <w:lang w:val="en-US" w:eastAsia="zh-CN"/>
              </w:rPr>
              <w:t>石膏、粉煤灰、水泥、蛭石、重钙、玻化微珠等用量9</w:t>
            </w:r>
            <w:r>
              <w:rPr>
                <w:rFonts w:hint="default" w:ascii="Times New Roman" w:hAnsi="Times New Roman" w:cs="Times New Roman"/>
                <w:snapToGrid w:val="0"/>
                <w:color w:val="auto"/>
                <w:kern w:val="0"/>
                <w:sz w:val="24"/>
                <w:szCs w:val="24"/>
                <w:highlight w:val="none"/>
                <w:lang w:val="en-US" w:eastAsia="zh-CN"/>
              </w:rPr>
              <w:t>4895</w:t>
            </w:r>
            <w:r>
              <w:rPr>
                <w:rFonts w:hint="default" w:ascii="Times New Roman" w:hAnsi="Times New Roman" w:eastAsia="宋体" w:cs="Times New Roman"/>
                <w:snapToGrid w:val="0"/>
                <w:color w:val="auto"/>
                <w:kern w:val="0"/>
                <w:sz w:val="24"/>
                <w:szCs w:val="24"/>
                <w:highlight w:val="none"/>
                <w:lang w:val="en-US" w:eastAsia="zh-CN"/>
              </w:rPr>
              <w:t>t/a，采用30t/辆的</w:t>
            </w:r>
            <w:r>
              <w:rPr>
                <w:rFonts w:hint="default" w:ascii="Times New Roman" w:hAnsi="Times New Roman" w:cs="Times New Roman"/>
                <w:snapToGrid w:val="0"/>
                <w:color w:val="auto"/>
                <w:kern w:val="0"/>
                <w:sz w:val="24"/>
                <w:szCs w:val="24"/>
                <w:highlight w:val="none"/>
                <w:lang w:val="en-US" w:eastAsia="zh-CN"/>
              </w:rPr>
              <w:t>罐车</w:t>
            </w:r>
            <w:r>
              <w:rPr>
                <w:rFonts w:hint="default" w:ascii="Times New Roman" w:hAnsi="Times New Roman" w:eastAsia="宋体" w:cs="Times New Roman"/>
                <w:snapToGrid w:val="0"/>
                <w:color w:val="auto"/>
                <w:kern w:val="0"/>
                <w:sz w:val="24"/>
                <w:szCs w:val="24"/>
                <w:highlight w:val="none"/>
                <w:lang w:val="en-US" w:eastAsia="zh-CN"/>
              </w:rPr>
              <w:t>运输，年运输3</w:t>
            </w:r>
            <w:r>
              <w:rPr>
                <w:rFonts w:hint="default" w:ascii="Times New Roman" w:hAnsi="Times New Roman" w:cs="Times New Roman"/>
                <w:snapToGrid w:val="0"/>
                <w:color w:val="auto"/>
                <w:kern w:val="0"/>
                <w:sz w:val="24"/>
                <w:szCs w:val="24"/>
                <w:highlight w:val="none"/>
                <w:lang w:val="en-US" w:eastAsia="zh-CN"/>
              </w:rPr>
              <w:t>163</w:t>
            </w:r>
            <w:r>
              <w:rPr>
                <w:rFonts w:hint="default" w:ascii="Times New Roman" w:hAnsi="Times New Roman" w:eastAsia="宋体" w:cs="Times New Roman"/>
                <w:snapToGrid w:val="0"/>
                <w:color w:val="auto"/>
                <w:kern w:val="0"/>
                <w:sz w:val="24"/>
                <w:szCs w:val="24"/>
                <w:highlight w:val="none"/>
                <w:lang w:val="en-US" w:eastAsia="zh-CN"/>
              </w:rPr>
              <w:t>.</w:t>
            </w:r>
            <w:r>
              <w:rPr>
                <w:rFonts w:hint="default" w:ascii="Times New Roman" w:hAnsi="Times New Roman" w:cs="Times New Roman"/>
                <w:snapToGrid w:val="0"/>
                <w:color w:val="auto"/>
                <w:kern w:val="0"/>
                <w:sz w:val="24"/>
                <w:szCs w:val="24"/>
                <w:highlight w:val="none"/>
                <w:lang w:val="en-US" w:eastAsia="zh-CN"/>
              </w:rPr>
              <w:t>2</w:t>
            </w:r>
            <w:r>
              <w:rPr>
                <w:rFonts w:hint="default" w:ascii="Times New Roman" w:hAnsi="Times New Roman" w:eastAsia="宋体" w:cs="Times New Roman"/>
                <w:snapToGrid w:val="0"/>
                <w:color w:val="auto"/>
                <w:kern w:val="0"/>
                <w:sz w:val="24"/>
                <w:szCs w:val="24"/>
                <w:highlight w:val="none"/>
                <w:lang w:val="en-US" w:eastAsia="zh-CN"/>
              </w:rPr>
              <w:t>次，记为3</w:t>
            </w:r>
            <w:r>
              <w:rPr>
                <w:rFonts w:hint="default" w:ascii="Times New Roman" w:hAnsi="Times New Roman" w:cs="Times New Roman"/>
                <w:snapToGrid w:val="0"/>
                <w:color w:val="auto"/>
                <w:kern w:val="0"/>
                <w:sz w:val="24"/>
                <w:szCs w:val="24"/>
                <w:highlight w:val="none"/>
                <w:lang w:val="en-US" w:eastAsia="zh-CN"/>
              </w:rPr>
              <w:t>16</w:t>
            </w:r>
            <w:r>
              <w:rPr>
                <w:rFonts w:hint="default" w:ascii="Times New Roman" w:hAnsi="Times New Roman" w:eastAsia="宋体" w:cs="Times New Roman"/>
                <w:snapToGrid w:val="0"/>
                <w:color w:val="auto"/>
                <w:kern w:val="0"/>
                <w:sz w:val="24"/>
                <w:szCs w:val="24"/>
                <w:highlight w:val="none"/>
                <w:lang w:val="en-US" w:eastAsia="zh-CN"/>
              </w:rPr>
              <w:t>4次。本项目网格布（</w:t>
            </w:r>
            <w:r>
              <w:rPr>
                <w:rFonts w:hint="default" w:ascii="Times New Roman" w:hAnsi="Times New Roman" w:cs="Times New Roman"/>
                <w:snapToGrid w:val="0"/>
                <w:color w:val="auto"/>
                <w:kern w:val="0"/>
                <w:sz w:val="24"/>
                <w:szCs w:val="24"/>
                <w:highlight w:val="none"/>
                <w:lang w:val="en-US" w:eastAsia="zh-CN"/>
              </w:rPr>
              <w:t>12</w:t>
            </w:r>
            <w:r>
              <w:rPr>
                <w:rFonts w:hint="default" w:ascii="Times New Roman" w:hAnsi="Times New Roman" w:eastAsia="宋体" w:cs="Times New Roman"/>
                <w:snapToGrid w:val="0"/>
                <w:color w:val="auto"/>
                <w:kern w:val="0"/>
                <w:sz w:val="24"/>
                <w:szCs w:val="24"/>
                <w:highlight w:val="none"/>
                <w:lang w:val="en-US" w:eastAsia="zh-CN"/>
              </w:rPr>
              <w:t>00吨）、钢板</w:t>
            </w:r>
            <w:r>
              <w:rPr>
                <w:rFonts w:hint="default" w:ascii="Times New Roman" w:hAnsi="Times New Roman" w:cs="Times New Roman"/>
                <w:snapToGrid w:val="0"/>
                <w:color w:val="auto"/>
                <w:kern w:val="0"/>
                <w:sz w:val="24"/>
                <w:szCs w:val="24"/>
                <w:highlight w:val="none"/>
                <w:lang w:val="en-US" w:eastAsia="zh-CN"/>
              </w:rPr>
              <w:t>2</w:t>
            </w:r>
            <w:r>
              <w:rPr>
                <w:rFonts w:hint="default" w:ascii="Times New Roman" w:hAnsi="Times New Roman" w:eastAsia="宋体" w:cs="Times New Roman"/>
                <w:snapToGrid w:val="0"/>
                <w:color w:val="auto"/>
                <w:kern w:val="0"/>
                <w:sz w:val="24"/>
                <w:szCs w:val="24"/>
                <w:highlight w:val="none"/>
                <w:lang w:val="en-US" w:eastAsia="zh-CN"/>
              </w:rPr>
              <w:t>00吨，采用30t/辆的自卸车运输，年运输</w:t>
            </w:r>
            <w:r>
              <w:rPr>
                <w:rFonts w:hint="default" w:ascii="Times New Roman" w:hAnsi="Times New Roman" w:cs="Times New Roman"/>
                <w:snapToGrid w:val="0"/>
                <w:color w:val="auto"/>
                <w:kern w:val="0"/>
                <w:sz w:val="24"/>
                <w:szCs w:val="24"/>
                <w:highlight w:val="none"/>
                <w:lang w:val="en-US" w:eastAsia="zh-CN"/>
              </w:rPr>
              <w:t>46.7</w:t>
            </w:r>
            <w:r>
              <w:rPr>
                <w:rFonts w:hint="default" w:ascii="Times New Roman" w:hAnsi="Times New Roman" w:eastAsia="宋体" w:cs="Times New Roman"/>
                <w:snapToGrid w:val="0"/>
                <w:color w:val="auto"/>
                <w:kern w:val="0"/>
                <w:sz w:val="24"/>
                <w:szCs w:val="24"/>
                <w:highlight w:val="none"/>
                <w:lang w:val="en-US" w:eastAsia="zh-CN"/>
              </w:rPr>
              <w:t>次，记为</w:t>
            </w:r>
            <w:r>
              <w:rPr>
                <w:rFonts w:hint="default" w:ascii="Times New Roman" w:hAnsi="Times New Roman" w:cs="Times New Roman"/>
                <w:snapToGrid w:val="0"/>
                <w:color w:val="auto"/>
                <w:kern w:val="0"/>
                <w:sz w:val="24"/>
                <w:szCs w:val="24"/>
                <w:highlight w:val="none"/>
                <w:lang w:val="en-US" w:eastAsia="zh-CN"/>
              </w:rPr>
              <w:t>47</w:t>
            </w:r>
            <w:r>
              <w:rPr>
                <w:rFonts w:hint="default" w:ascii="Times New Roman" w:hAnsi="Times New Roman" w:eastAsia="宋体" w:cs="Times New Roman"/>
                <w:snapToGrid w:val="0"/>
                <w:color w:val="auto"/>
                <w:kern w:val="0"/>
                <w:sz w:val="24"/>
                <w:szCs w:val="24"/>
                <w:highlight w:val="none"/>
                <w:lang w:val="en-US" w:eastAsia="zh-CN"/>
              </w:rPr>
              <w:t>次。焊材</w:t>
            </w:r>
            <w:r>
              <w:rPr>
                <w:rFonts w:hint="default" w:ascii="Times New Roman" w:hAnsi="Times New Roman" w:cs="Times New Roman"/>
                <w:snapToGrid w:val="0"/>
                <w:color w:val="auto"/>
                <w:kern w:val="0"/>
                <w:sz w:val="24"/>
                <w:szCs w:val="24"/>
                <w:highlight w:val="none"/>
                <w:lang w:val="en-US" w:eastAsia="zh-CN"/>
              </w:rPr>
              <w:t>1</w:t>
            </w:r>
            <w:r>
              <w:rPr>
                <w:rFonts w:hint="default" w:ascii="Times New Roman" w:hAnsi="Times New Roman" w:eastAsia="宋体" w:cs="Times New Roman"/>
                <w:snapToGrid w:val="0"/>
                <w:color w:val="auto"/>
                <w:kern w:val="0"/>
                <w:sz w:val="24"/>
                <w:szCs w:val="24"/>
                <w:highlight w:val="none"/>
                <w:lang w:val="en-US" w:eastAsia="zh-CN"/>
              </w:rPr>
              <w:t>t/a、缓凝剂用量</w:t>
            </w:r>
            <w:r>
              <w:rPr>
                <w:rFonts w:hint="default" w:ascii="Times New Roman" w:hAnsi="Times New Roman" w:cs="Times New Roman"/>
                <w:snapToGrid w:val="0"/>
                <w:color w:val="auto"/>
                <w:kern w:val="0"/>
                <w:sz w:val="24"/>
                <w:szCs w:val="24"/>
                <w:highlight w:val="none"/>
                <w:lang w:val="en-US" w:eastAsia="zh-CN"/>
              </w:rPr>
              <w:t>5</w:t>
            </w:r>
            <w:r>
              <w:rPr>
                <w:rFonts w:hint="default" w:ascii="Times New Roman" w:hAnsi="Times New Roman" w:eastAsia="宋体" w:cs="Times New Roman"/>
                <w:snapToGrid w:val="0"/>
                <w:color w:val="auto"/>
                <w:kern w:val="0"/>
                <w:sz w:val="24"/>
                <w:szCs w:val="24"/>
                <w:highlight w:val="none"/>
                <w:lang w:val="en-US" w:eastAsia="zh-CN"/>
              </w:rPr>
              <w:t>t/a，采用1t/辆的自卸车运输，年运输6次。</w:t>
            </w:r>
            <w:r>
              <w:rPr>
                <w:rFonts w:hint="default" w:ascii="Times New Roman" w:hAnsi="Times New Roman" w:eastAsia="宋体" w:cs="Times New Roman"/>
                <w:color w:val="auto"/>
                <w:sz w:val="24"/>
                <w:highlight w:val="none"/>
                <w:lang w:val="en-US" w:eastAsia="zh-CN"/>
              </w:rPr>
              <w:t>全厂运输车辆数为</w:t>
            </w:r>
            <w:r>
              <w:rPr>
                <w:rFonts w:hint="default" w:ascii="Times New Roman" w:hAnsi="Times New Roman" w:cs="Times New Roman"/>
                <w:color w:val="auto"/>
                <w:sz w:val="24"/>
                <w:highlight w:val="none"/>
                <w:lang w:val="en-US" w:eastAsia="zh-CN"/>
              </w:rPr>
              <w:t>3217</w:t>
            </w:r>
            <w:r>
              <w:rPr>
                <w:rFonts w:hint="default" w:ascii="Times New Roman" w:hAnsi="Times New Roman" w:eastAsia="宋体" w:cs="Times New Roman"/>
                <w:color w:val="auto"/>
                <w:sz w:val="24"/>
                <w:highlight w:val="none"/>
                <w:lang w:val="en-US" w:eastAsia="zh-CN"/>
              </w:rPr>
              <w:t>次。</w:t>
            </w:r>
            <w:r>
              <w:rPr>
                <w:rFonts w:hint="default" w:ascii="Times New Roman" w:hAnsi="Times New Roman" w:eastAsia="宋体" w:cs="Times New Roman"/>
                <w:color w:val="auto"/>
                <w:kern w:val="2"/>
                <w:sz w:val="24"/>
                <w:szCs w:val="24"/>
                <w:highlight w:val="none"/>
                <w:lang w:val="en-US" w:eastAsia="zh-CN" w:bidi="ar-SA"/>
              </w:rPr>
              <w:t>车辆运输扬尘采取车辆加盖苫布、</w:t>
            </w:r>
            <w:r>
              <w:rPr>
                <w:rFonts w:hint="default" w:ascii="Times New Roman" w:hAnsi="Times New Roman" w:cs="Times New Roman"/>
                <w:color w:val="auto"/>
                <w:kern w:val="2"/>
                <w:sz w:val="24"/>
                <w:szCs w:val="24"/>
                <w:highlight w:val="none"/>
                <w:lang w:val="en-US" w:eastAsia="zh-CN" w:bidi="ar-SA"/>
              </w:rPr>
              <w:t>道路硬化</w:t>
            </w:r>
            <w:r>
              <w:rPr>
                <w:rFonts w:hint="default" w:ascii="Times New Roman" w:hAnsi="Times New Roman" w:eastAsia="宋体" w:cs="Times New Roman"/>
                <w:color w:val="auto"/>
                <w:kern w:val="2"/>
                <w:sz w:val="24"/>
                <w:szCs w:val="24"/>
                <w:highlight w:val="none"/>
                <w:lang w:val="en-US" w:eastAsia="zh-CN" w:bidi="ar-SA"/>
              </w:rPr>
              <w:t>、定期清扫、进出厂车辆冲洗等控制措施，确保不带泥带料行驶。</w:t>
            </w:r>
          </w:p>
          <w:p w14:paraId="3F516029">
            <w:pPr>
              <w:pStyle w:val="2"/>
              <w:spacing w:line="360" w:lineRule="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选用《逸散性工业粉尘控制技术》中逸散尘铺砌路面来往车辆的排放因子可得 3.15g/辆·km，则项目运输作业无组织颗粒物排放情况见下表。</w:t>
            </w:r>
          </w:p>
          <w:p w14:paraId="1F9AD136">
            <w:pPr>
              <w:pStyle w:val="5"/>
              <w:spacing w:line="360" w:lineRule="auto"/>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表4-</w:t>
            </w:r>
            <w:r>
              <w:rPr>
                <w:rFonts w:hint="default" w:ascii="Times New Roman" w:hAnsi="Times New Roman" w:cs="Times New Roman"/>
                <w:color w:val="auto"/>
                <w:kern w:val="2"/>
                <w:sz w:val="24"/>
                <w:szCs w:val="24"/>
                <w:highlight w:val="none"/>
                <w:lang w:val="en-US" w:eastAsia="zh-CN" w:bidi="ar-SA"/>
              </w:rPr>
              <w:t>4</w:t>
            </w:r>
            <w:r>
              <w:rPr>
                <w:rFonts w:hint="default" w:ascii="Times New Roman" w:hAnsi="Times New Roman" w:eastAsia="宋体" w:cs="Times New Roman"/>
                <w:color w:val="auto"/>
                <w:kern w:val="2"/>
                <w:sz w:val="24"/>
                <w:szCs w:val="24"/>
                <w:highlight w:val="none"/>
                <w:lang w:val="en-US" w:eastAsia="zh-CN" w:bidi="ar-SA"/>
              </w:rPr>
              <w:t xml:space="preserve">  项目运输作业无组织颗粒物排放情况</w:t>
            </w:r>
          </w:p>
          <w:tbl>
            <w:tblPr>
              <w:tblStyle w:val="4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98"/>
              <w:gridCol w:w="994"/>
              <w:gridCol w:w="783"/>
              <w:gridCol w:w="719"/>
              <w:gridCol w:w="861"/>
              <w:gridCol w:w="935"/>
              <w:gridCol w:w="1666"/>
              <w:gridCol w:w="480"/>
              <w:gridCol w:w="719"/>
              <w:gridCol w:w="702"/>
            </w:tblGrid>
            <w:tr w14:paraId="2437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298" w:type="pct"/>
                  <w:vAlign w:val="center"/>
                </w:tcPr>
                <w:p w14:paraId="07D96C52">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运输种类</w:t>
                  </w:r>
                </w:p>
              </w:tc>
              <w:tc>
                <w:tcPr>
                  <w:tcW w:w="594" w:type="pct"/>
                  <w:vAlign w:val="center"/>
                </w:tcPr>
                <w:p w14:paraId="75AF75DE">
                  <w:pPr>
                    <w:keepNext w:val="0"/>
                    <w:keepLines w:val="0"/>
                    <w:widowControl/>
                    <w:suppressLineNumbers w:val="0"/>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汽车扬尘量(kg/</w:t>
                  </w:r>
                  <w:r>
                    <w:rPr>
                      <w:rFonts w:hint="default" w:ascii="Times New Roman" w:hAnsi="Times New Roman" w:eastAsia="宋体" w:cs="Times New Roman"/>
                      <w:b w:val="0"/>
                      <w:bCs w:val="0"/>
                      <w:color w:val="auto"/>
                      <w:kern w:val="0"/>
                      <w:sz w:val="21"/>
                      <w:szCs w:val="21"/>
                      <w:highlight w:val="none"/>
                      <w:lang w:val="en-US" w:eastAsia="zh-CN" w:bidi="ar"/>
                    </w:rPr>
                    <w:t>·km</w:t>
                  </w:r>
                  <w:r>
                    <w:rPr>
                      <w:rFonts w:hint="default" w:ascii="Times New Roman" w:hAnsi="Times New Roman" w:eastAsia="宋体" w:cs="Times New Roman"/>
                      <w:b w:val="0"/>
                      <w:bCs w:val="0"/>
                      <w:color w:val="auto"/>
                      <w:sz w:val="21"/>
                      <w:szCs w:val="21"/>
                      <w:highlight w:val="none"/>
                      <w:vertAlign w:val="baseline"/>
                      <w:lang w:val="en-US" w:eastAsia="zh-CN"/>
                    </w:rPr>
                    <w:t>)</w:t>
                  </w:r>
                </w:p>
              </w:tc>
              <w:tc>
                <w:tcPr>
                  <w:tcW w:w="468" w:type="pct"/>
                  <w:vAlign w:val="center"/>
                </w:tcPr>
                <w:p w14:paraId="3FE269B9">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厂区内运输距离（km）</w:t>
                  </w:r>
                </w:p>
              </w:tc>
              <w:tc>
                <w:tcPr>
                  <w:tcW w:w="430" w:type="pct"/>
                  <w:vAlign w:val="center"/>
                </w:tcPr>
                <w:p w14:paraId="3B6A62DD">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运输车辆数（次）</w:t>
                  </w:r>
                </w:p>
              </w:tc>
              <w:tc>
                <w:tcPr>
                  <w:tcW w:w="515" w:type="pct"/>
                  <w:vAlign w:val="center"/>
                </w:tcPr>
                <w:p w14:paraId="42A4626A">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无措施下产生量（t/a）</w:t>
                  </w:r>
                </w:p>
              </w:tc>
              <w:tc>
                <w:tcPr>
                  <w:tcW w:w="559" w:type="pct"/>
                  <w:vAlign w:val="center"/>
                </w:tcPr>
                <w:p w14:paraId="0691AC1E">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无措施下产生速率（kg/h）</w:t>
                  </w:r>
                </w:p>
              </w:tc>
              <w:tc>
                <w:tcPr>
                  <w:tcW w:w="996" w:type="pct"/>
                  <w:vAlign w:val="center"/>
                </w:tcPr>
                <w:p w14:paraId="1E088C73">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治理措施</w:t>
                  </w:r>
                </w:p>
              </w:tc>
              <w:tc>
                <w:tcPr>
                  <w:tcW w:w="287" w:type="pct"/>
                  <w:vAlign w:val="center"/>
                </w:tcPr>
                <w:p w14:paraId="586AAEBC">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处理效率</w:t>
                  </w:r>
                </w:p>
              </w:tc>
              <w:tc>
                <w:tcPr>
                  <w:tcW w:w="430" w:type="pct"/>
                  <w:vAlign w:val="center"/>
                </w:tcPr>
                <w:p w14:paraId="40036953">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排放量（t/a）</w:t>
                  </w:r>
                </w:p>
              </w:tc>
              <w:tc>
                <w:tcPr>
                  <w:tcW w:w="419" w:type="pct"/>
                  <w:vAlign w:val="center"/>
                </w:tcPr>
                <w:p w14:paraId="0A15BD02">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排放速率</w:t>
                  </w:r>
                  <w:r>
                    <w:rPr>
                      <w:rFonts w:hint="default" w:ascii="Times New Roman" w:hAnsi="Times New Roman" w:cs="Times New Roman"/>
                      <w:b w:val="0"/>
                      <w:bCs w:val="0"/>
                      <w:color w:val="auto"/>
                      <w:sz w:val="21"/>
                      <w:szCs w:val="21"/>
                      <w:highlight w:val="none"/>
                      <w:vertAlign w:val="baseline"/>
                      <w:lang w:val="en-US" w:eastAsia="zh-CN"/>
                    </w:rPr>
                    <w:t>(</w:t>
                  </w:r>
                  <w:r>
                    <w:rPr>
                      <w:rFonts w:hint="default" w:ascii="Times New Roman" w:hAnsi="Times New Roman" w:eastAsia="宋体" w:cs="Times New Roman"/>
                      <w:b w:val="0"/>
                      <w:bCs w:val="0"/>
                      <w:color w:val="auto"/>
                      <w:sz w:val="21"/>
                      <w:szCs w:val="21"/>
                      <w:highlight w:val="none"/>
                      <w:vertAlign w:val="baseline"/>
                      <w:lang w:val="en-US" w:eastAsia="zh-CN"/>
                    </w:rPr>
                    <w:t>kg/h</w:t>
                  </w:r>
                  <w:r>
                    <w:rPr>
                      <w:rFonts w:hint="default" w:ascii="Times New Roman" w:hAnsi="Times New Roman" w:cs="Times New Roman"/>
                      <w:b w:val="0"/>
                      <w:bCs w:val="0"/>
                      <w:color w:val="auto"/>
                      <w:sz w:val="21"/>
                      <w:szCs w:val="21"/>
                      <w:highlight w:val="none"/>
                      <w:vertAlign w:val="baseline"/>
                      <w:lang w:val="en-US" w:eastAsia="zh-CN"/>
                    </w:rPr>
                    <w:t>)</w:t>
                  </w:r>
                </w:p>
              </w:tc>
            </w:tr>
            <w:tr w14:paraId="73E1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298" w:type="pct"/>
                  <w:vAlign w:val="center"/>
                </w:tcPr>
                <w:p w14:paraId="26B5BB77">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运输车辆</w:t>
                  </w:r>
                </w:p>
              </w:tc>
              <w:tc>
                <w:tcPr>
                  <w:tcW w:w="594" w:type="pct"/>
                  <w:vAlign w:val="center"/>
                </w:tcPr>
                <w:p w14:paraId="5D5CE474">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0.00315</w:t>
                  </w:r>
                </w:p>
              </w:tc>
              <w:tc>
                <w:tcPr>
                  <w:tcW w:w="468" w:type="pct"/>
                  <w:vAlign w:val="center"/>
                </w:tcPr>
                <w:p w14:paraId="5D879546">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0.1</w:t>
                  </w:r>
                </w:p>
              </w:tc>
              <w:tc>
                <w:tcPr>
                  <w:tcW w:w="430" w:type="pct"/>
                  <w:vAlign w:val="center"/>
                </w:tcPr>
                <w:p w14:paraId="3D172852">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3217</w:t>
                  </w:r>
                </w:p>
              </w:tc>
              <w:tc>
                <w:tcPr>
                  <w:tcW w:w="515" w:type="pct"/>
                  <w:vAlign w:val="center"/>
                </w:tcPr>
                <w:p w14:paraId="6458682F">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0.001</w:t>
                  </w:r>
                </w:p>
              </w:tc>
              <w:tc>
                <w:tcPr>
                  <w:tcW w:w="559" w:type="pct"/>
                  <w:vAlign w:val="center"/>
                </w:tcPr>
                <w:p w14:paraId="5D5791C9">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0.000</w:t>
                  </w:r>
                  <w:r>
                    <w:rPr>
                      <w:rFonts w:hint="default" w:ascii="Times New Roman" w:hAnsi="Times New Roman" w:cs="Times New Roman"/>
                      <w:b w:val="0"/>
                      <w:bCs w:val="0"/>
                      <w:color w:val="auto"/>
                      <w:sz w:val="21"/>
                      <w:szCs w:val="21"/>
                      <w:highlight w:val="none"/>
                      <w:vertAlign w:val="baseline"/>
                      <w:lang w:val="en-US" w:eastAsia="zh-CN"/>
                    </w:rPr>
                    <w:t>4</w:t>
                  </w:r>
                </w:p>
              </w:tc>
              <w:tc>
                <w:tcPr>
                  <w:tcW w:w="996" w:type="pct"/>
                  <w:vAlign w:val="center"/>
                </w:tcPr>
                <w:p w14:paraId="7BE99486">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车辆加盖苫布、</w:t>
                  </w:r>
                  <w:r>
                    <w:rPr>
                      <w:rFonts w:hint="default" w:ascii="Times New Roman" w:hAnsi="Times New Roman" w:cs="Times New Roman"/>
                      <w:b w:val="0"/>
                      <w:bCs w:val="0"/>
                      <w:color w:val="auto"/>
                      <w:sz w:val="21"/>
                      <w:szCs w:val="21"/>
                      <w:highlight w:val="none"/>
                      <w:vertAlign w:val="baseline"/>
                      <w:lang w:val="en-US" w:eastAsia="zh-CN"/>
                    </w:rPr>
                    <w:t>道路硬化</w:t>
                  </w:r>
                  <w:r>
                    <w:rPr>
                      <w:rFonts w:hint="default" w:ascii="Times New Roman" w:hAnsi="Times New Roman" w:eastAsia="宋体" w:cs="Times New Roman"/>
                      <w:b w:val="0"/>
                      <w:bCs w:val="0"/>
                      <w:color w:val="auto"/>
                      <w:sz w:val="21"/>
                      <w:szCs w:val="21"/>
                      <w:highlight w:val="none"/>
                      <w:vertAlign w:val="baseline"/>
                      <w:lang w:val="en-US" w:eastAsia="zh-CN"/>
                    </w:rPr>
                    <w:t>、定期清扫、进出厂车辆冲洗等控制措施</w:t>
                  </w:r>
                </w:p>
              </w:tc>
              <w:tc>
                <w:tcPr>
                  <w:tcW w:w="287" w:type="pct"/>
                  <w:vAlign w:val="center"/>
                </w:tcPr>
                <w:p w14:paraId="5B37143F">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80%</w:t>
                  </w:r>
                </w:p>
              </w:tc>
              <w:tc>
                <w:tcPr>
                  <w:tcW w:w="430" w:type="pct"/>
                  <w:vAlign w:val="center"/>
                </w:tcPr>
                <w:p w14:paraId="2FBD0E86">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0.000</w:t>
                  </w:r>
                  <w:r>
                    <w:rPr>
                      <w:rFonts w:hint="default" w:ascii="Times New Roman" w:hAnsi="Times New Roman" w:cs="Times New Roman"/>
                      <w:b w:val="0"/>
                      <w:bCs w:val="0"/>
                      <w:color w:val="auto"/>
                      <w:sz w:val="21"/>
                      <w:szCs w:val="21"/>
                      <w:highlight w:val="none"/>
                      <w:vertAlign w:val="baseline"/>
                      <w:lang w:val="en-US" w:eastAsia="zh-CN"/>
                    </w:rPr>
                    <w:t>2</w:t>
                  </w:r>
                </w:p>
              </w:tc>
              <w:tc>
                <w:tcPr>
                  <w:tcW w:w="419" w:type="pct"/>
                  <w:vAlign w:val="center"/>
                </w:tcPr>
                <w:p w14:paraId="16BC76CE">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0.0001</w:t>
                  </w:r>
                </w:p>
              </w:tc>
            </w:tr>
          </w:tbl>
          <w:p w14:paraId="7974D7B1">
            <w:pPr>
              <w:pStyle w:val="2"/>
              <w:spacing w:line="360" w:lineRule="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综上分析，车辆运输颗粒物排放量为0.000</w:t>
            </w:r>
            <w:r>
              <w:rPr>
                <w:rFonts w:hint="default" w:ascii="Times New Roman" w:hAnsi="Times New Roman" w:cs="Times New Roman"/>
                <w:color w:val="auto"/>
                <w:kern w:val="2"/>
                <w:sz w:val="24"/>
                <w:szCs w:val="24"/>
                <w:highlight w:val="none"/>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t/a，颗粒物排放速率为0.0001kg/h。</w:t>
            </w:r>
          </w:p>
          <w:p w14:paraId="454B68CC">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②</w:t>
            </w:r>
            <w:r>
              <w:rPr>
                <w:rFonts w:hint="default" w:ascii="Times New Roman" w:hAnsi="Times New Roman" w:eastAsia="宋体" w:cs="Times New Roman"/>
                <w:bCs/>
                <w:color w:val="auto"/>
                <w:sz w:val="24"/>
                <w:szCs w:val="24"/>
                <w:highlight w:val="none"/>
                <w:lang w:val="en-US" w:eastAsia="zh-CN"/>
              </w:rPr>
              <w:t>焊接废气：</w:t>
            </w:r>
          </w:p>
          <w:p w14:paraId="050E8CF4">
            <w:pPr>
              <w:numPr>
                <w:ilvl w:val="0"/>
                <w:numId w:val="0"/>
              </w:numPr>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焊接工序产生烟尘，根据《排放源统计调查产排污核算方法和系数手册》“机械行业系数手册 33金属制品业”中 09 焊接核算环节-药芯焊丝的颗粒物产污系数：20.5千克/吨-焊料，本项目焊丝用量1t/a，</w:t>
            </w:r>
            <w:r>
              <w:rPr>
                <w:rFonts w:hint="default" w:ascii="Times New Roman" w:hAnsi="Times New Roman" w:cs="Times New Roman"/>
                <w:color w:val="auto"/>
                <w:sz w:val="24"/>
                <w:szCs w:val="24"/>
                <w:highlight w:val="none"/>
                <w:lang w:val="en-US" w:eastAsia="zh-CN"/>
              </w:rPr>
              <w:t>则</w:t>
            </w:r>
            <w:r>
              <w:rPr>
                <w:rFonts w:hint="default" w:ascii="Times New Roman" w:hAnsi="Times New Roman" w:eastAsia="宋体" w:cs="Times New Roman"/>
                <w:color w:val="auto"/>
                <w:sz w:val="24"/>
                <w:szCs w:val="24"/>
                <w:highlight w:val="none"/>
                <w:lang w:val="en-US" w:eastAsia="zh-CN"/>
              </w:rPr>
              <w:t>焊接过程中颗粒物产生量为0.021t/a，颗粒物产生量较小，使用移动式焊烟净化器收集处理后无组织排放。焊烟净化器收集效率按90%计，净化效率按9</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%计，则处理后焊接颗粒物排放量为0.00</w:t>
            </w: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t/a(0.00</w:t>
            </w:r>
            <w:r>
              <w:rPr>
                <w:rFonts w:hint="default" w:ascii="Times New Roman" w:hAnsi="Times New Roman" w:cs="Times New Roman"/>
                <w:color w:val="auto"/>
                <w:sz w:val="24"/>
                <w:szCs w:val="24"/>
                <w:highlight w:val="none"/>
                <w:lang w:val="en-US" w:eastAsia="zh-CN"/>
              </w:rPr>
              <w:t>04</w:t>
            </w:r>
            <w:r>
              <w:rPr>
                <w:rFonts w:hint="default" w:ascii="Times New Roman" w:hAnsi="Times New Roman" w:eastAsia="宋体" w:cs="Times New Roman"/>
                <w:color w:val="auto"/>
                <w:sz w:val="24"/>
                <w:szCs w:val="24"/>
                <w:highlight w:val="none"/>
                <w:lang w:val="en-US" w:eastAsia="zh-CN"/>
              </w:rPr>
              <w:t>kg/h)。</w:t>
            </w:r>
          </w:p>
          <w:p w14:paraId="7DDADC48">
            <w:pPr>
              <w:numPr>
                <w:ilvl w:val="0"/>
                <w:numId w:val="0"/>
              </w:num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③未收集废气：</w:t>
            </w:r>
            <w:r>
              <w:rPr>
                <w:rFonts w:hint="default" w:ascii="Times New Roman" w:hAnsi="Times New Roman" w:eastAsia="宋体" w:cs="Times New Roman"/>
                <w:snapToGrid w:val="0"/>
                <w:color w:val="auto"/>
                <w:kern w:val="0"/>
                <w:sz w:val="24"/>
                <w:szCs w:val="24"/>
                <w:highlight w:val="none"/>
                <w:lang w:val="en-US" w:eastAsia="zh-CN"/>
              </w:rPr>
              <w:t>分装工序未收集的粉尘为0.312</w:t>
            </w:r>
            <w:r>
              <w:rPr>
                <w:rFonts w:hint="default" w:ascii="Times New Roman" w:hAnsi="Times New Roman" w:cs="Times New Roman"/>
                <w:snapToGrid w:val="0"/>
                <w:color w:val="auto"/>
                <w:kern w:val="0"/>
                <w:sz w:val="24"/>
                <w:szCs w:val="24"/>
                <w:highlight w:val="none"/>
                <w:lang w:val="en-US" w:eastAsia="zh-CN"/>
              </w:rPr>
              <w:t>5</w:t>
            </w:r>
            <w:r>
              <w:rPr>
                <w:rFonts w:hint="default" w:ascii="Times New Roman" w:hAnsi="Times New Roman" w:eastAsia="宋体" w:cs="Times New Roman"/>
                <w:snapToGrid w:val="0"/>
                <w:color w:val="auto"/>
                <w:kern w:val="0"/>
                <w:sz w:val="24"/>
                <w:szCs w:val="24"/>
                <w:highlight w:val="none"/>
                <w:lang w:val="en-US" w:eastAsia="zh-CN"/>
              </w:rPr>
              <w:t>t/a，</w:t>
            </w:r>
            <w:r>
              <w:rPr>
                <w:rFonts w:hint="default" w:ascii="Times New Roman" w:hAnsi="Times New Roman" w:cs="Times New Roman"/>
                <w:color w:val="auto"/>
                <w:sz w:val="24"/>
                <w:szCs w:val="24"/>
                <w:highlight w:val="none"/>
                <w:lang w:val="en-US" w:eastAsia="zh-CN"/>
              </w:rPr>
              <w:t>焊接烟尘未收集量为0.002</w:t>
            </w:r>
            <w:r>
              <w:rPr>
                <w:rFonts w:hint="default" w:ascii="Times New Roman" w:hAnsi="Times New Roman" w:eastAsia="宋体" w:cs="Times New Roman"/>
                <w:color w:val="auto"/>
                <w:sz w:val="24"/>
                <w:szCs w:val="24"/>
                <w:highlight w:val="none"/>
                <w:lang w:val="en-US" w:eastAsia="zh-CN"/>
              </w:rPr>
              <w:t>t/a，采取</w:t>
            </w:r>
            <w:r>
              <w:rPr>
                <w:rFonts w:hint="default" w:ascii="Times New Roman" w:hAnsi="Times New Roman" w:eastAsia="宋体" w:cs="Times New Roman"/>
                <w:color w:val="auto"/>
                <w:sz w:val="24"/>
                <w:highlight w:val="none"/>
              </w:rPr>
              <w:t>生产车间</w:t>
            </w:r>
            <w:r>
              <w:rPr>
                <w:rFonts w:hint="default" w:ascii="Times New Roman" w:hAnsi="Times New Roman" w:eastAsia="宋体" w:cs="Times New Roman"/>
                <w:color w:val="auto"/>
                <w:sz w:val="24"/>
                <w:highlight w:val="none"/>
                <w:lang w:eastAsia="zh-CN"/>
              </w:rPr>
              <w:t>密闭</w:t>
            </w:r>
            <w:r>
              <w:rPr>
                <w:rFonts w:hint="default" w:ascii="Times New Roman" w:hAnsi="Times New Roman" w:cs="Times New Roman"/>
                <w:color w:val="auto"/>
                <w:sz w:val="24"/>
                <w:highlight w:val="none"/>
                <w:lang w:eastAsia="zh-CN"/>
              </w:rPr>
              <w:t>等措施</w:t>
            </w:r>
            <w:r>
              <w:rPr>
                <w:rFonts w:hint="default" w:ascii="Times New Roman" w:hAnsi="Times New Roman" w:eastAsia="宋体" w:cs="Times New Roman"/>
                <w:color w:val="auto"/>
                <w:sz w:val="24"/>
                <w:highlight w:val="none"/>
                <w:lang w:val="en-US" w:eastAsia="zh-CN"/>
              </w:rPr>
              <w:t>，则</w:t>
            </w:r>
            <w:r>
              <w:rPr>
                <w:rFonts w:hint="default" w:ascii="Times New Roman" w:hAnsi="Times New Roman" w:eastAsia="宋体" w:cs="Times New Roman"/>
                <w:color w:val="auto"/>
                <w:sz w:val="24"/>
                <w:highlight w:val="none"/>
              </w:rPr>
              <w:t>无组织排放至车间外</w:t>
            </w:r>
            <w:r>
              <w:rPr>
                <w:rFonts w:hint="default" w:ascii="Times New Roman" w:hAnsi="Times New Roman" w:eastAsia="宋体" w:cs="Times New Roman"/>
                <w:color w:val="auto"/>
                <w:sz w:val="24"/>
                <w:highlight w:val="none"/>
                <w:lang w:eastAsia="zh-CN"/>
              </w:rPr>
              <w:t>的颗粒物排放量</w:t>
            </w:r>
            <w:r>
              <w:rPr>
                <w:rFonts w:hint="default" w:ascii="Times New Roman" w:hAnsi="Times New Roman" w:eastAsia="宋体" w:cs="Times New Roman"/>
                <w:color w:val="auto"/>
                <w:sz w:val="24"/>
                <w:szCs w:val="24"/>
                <w:highlight w:val="none"/>
                <w:lang w:val="en-US" w:eastAsia="zh-CN"/>
              </w:rPr>
              <w:t>排放量为0.31</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snapToGrid w:val="0"/>
                <w:color w:val="auto"/>
                <w:kern w:val="0"/>
                <w:sz w:val="24"/>
                <w:szCs w:val="24"/>
                <w:highlight w:val="none"/>
                <w:lang w:val="en-US" w:eastAsia="zh-CN"/>
              </w:rPr>
              <w:t>t/a，排放速率为0.131kg/h。</w:t>
            </w:r>
          </w:p>
          <w:p w14:paraId="2CB5A65A">
            <w:pPr>
              <w:numPr>
                <w:ilvl w:val="0"/>
                <w:numId w:val="0"/>
              </w:numPr>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综上，厂区内无组织颗粒物排放量约为0.31</w:t>
            </w:r>
            <w:r>
              <w:rPr>
                <w:rFonts w:hint="eastAsia"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t/a，排放速率为0.13</w:t>
            </w: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kg/h，无组织颗粒物边界浓度可满足</w:t>
            </w:r>
            <w:r>
              <w:rPr>
                <w:rFonts w:hint="default" w:ascii="Times New Roman" w:hAnsi="Times New Roman" w:eastAsia="宋体" w:cs="Times New Roman"/>
                <w:color w:val="auto"/>
                <w:sz w:val="24"/>
                <w:highlight w:val="none"/>
              </w:rPr>
              <w:t>《水泥工业大气污染物超低排放标准》（DB13/2167-2020）表2大气污染物无组织排放限值</w:t>
            </w:r>
            <w:r>
              <w:rPr>
                <w:rFonts w:hint="default" w:ascii="Times New Roman" w:hAnsi="Times New Roman" w:eastAsia="宋体" w:cs="Times New Roman"/>
                <w:color w:val="auto"/>
                <w:sz w:val="24"/>
                <w:szCs w:val="24"/>
                <w:highlight w:val="none"/>
                <w:lang w:val="en-US" w:eastAsia="zh-CN"/>
              </w:rPr>
              <w:t>。</w:t>
            </w:r>
          </w:p>
          <w:p w14:paraId="599559F1">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cs="Times New Roman"/>
                <w:b/>
                <w:color w:val="auto"/>
                <w:sz w:val="24"/>
                <w:szCs w:val="24"/>
                <w:highlight w:val="none"/>
                <w:lang w:val="en-US" w:eastAsia="zh-CN"/>
              </w:rPr>
              <w:t>（3）</w:t>
            </w:r>
            <w:r>
              <w:rPr>
                <w:rFonts w:hint="default" w:ascii="Times New Roman" w:hAnsi="Times New Roman" w:eastAsia="宋体" w:cs="Times New Roman"/>
                <w:b/>
                <w:color w:val="auto"/>
                <w:sz w:val="24"/>
                <w:szCs w:val="24"/>
                <w:highlight w:val="none"/>
                <w:lang w:val="en-US" w:eastAsia="zh-CN"/>
              </w:rPr>
              <w:t>废气治理措施可行性分析</w:t>
            </w:r>
          </w:p>
          <w:p w14:paraId="6B863F17">
            <w:pPr>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本项目有组织废气主要污染物为粉尘，采取布袋除尘器进行治理。</w:t>
            </w:r>
            <w:r>
              <w:rPr>
                <w:rFonts w:hint="default" w:ascii="Times New Roman" w:hAnsi="Times New Roman" w:cs="Times New Roman"/>
                <w:color w:val="auto"/>
                <w:sz w:val="24"/>
                <w:szCs w:val="24"/>
                <w:highlight w:val="none"/>
                <w:lang w:val="en-US" w:eastAsia="zh-CN"/>
              </w:rPr>
              <w:t>根据《排污许可证申请与核发技术规范-陶瓷砖瓦工业》（HJ954-2018）中表31-隔热和隔音材料工业排污单位废气污染防治可行技术，袋式除尘为可行技术</w:t>
            </w:r>
            <w:r>
              <w:rPr>
                <w:rFonts w:hint="default" w:ascii="Times New Roman" w:hAnsi="Times New Roman" w:eastAsia="宋体" w:cs="Times New Roman"/>
                <w:color w:val="auto"/>
                <w:sz w:val="24"/>
                <w:szCs w:val="24"/>
                <w:highlight w:val="none"/>
                <w:lang w:val="en-US" w:eastAsia="zh-CN"/>
              </w:rPr>
              <w:t>。</w:t>
            </w:r>
          </w:p>
          <w:p w14:paraId="6350F058">
            <w:pPr>
              <w:pStyle w:val="123"/>
              <w:ind w:firstLine="482" w:firstLineChars="200"/>
              <w:jc w:val="left"/>
              <w:rPr>
                <w:rFonts w:hint="default" w:ascii="Times New Roman" w:hAnsi="Times New Roman" w:cs="Times New Roman"/>
                <w:b/>
                <w:bCs w:val="0"/>
                <w:color w:val="auto"/>
                <w:highlight w:val="none"/>
              </w:rPr>
            </w:pPr>
            <w:r>
              <w:rPr>
                <w:rFonts w:hint="default" w:ascii="Times New Roman" w:hAnsi="Times New Roman" w:cs="Times New Roman"/>
                <w:b/>
                <w:bCs w:val="0"/>
                <w:color w:val="auto"/>
                <w:sz w:val="24"/>
                <w:szCs w:val="24"/>
                <w:highlight w:val="none"/>
                <w:lang w:val="en-US" w:eastAsia="zh-CN"/>
              </w:rPr>
              <w:t>（4）</w:t>
            </w:r>
            <w:r>
              <w:rPr>
                <w:rFonts w:hint="default" w:ascii="Times New Roman" w:hAnsi="Times New Roman" w:cs="Times New Roman"/>
                <w:b/>
                <w:bCs w:val="0"/>
                <w:color w:val="auto"/>
                <w:highlight w:val="none"/>
              </w:rPr>
              <w:t>废气排放口基本情况</w:t>
            </w:r>
          </w:p>
          <w:p w14:paraId="55DBD944">
            <w:pPr>
              <w:pStyle w:val="123"/>
              <w:ind w:firstLine="480" w:firstLineChars="200"/>
              <w:jc w:val="left"/>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废气</w:t>
            </w:r>
            <w:r>
              <w:rPr>
                <w:rFonts w:hint="default" w:ascii="Times New Roman" w:hAnsi="Times New Roman" w:cs="Times New Roman"/>
                <w:color w:val="auto"/>
                <w:highlight w:val="none"/>
              </w:rPr>
              <w:t>排放口基本情况见</w:t>
            </w:r>
            <w:r>
              <w:rPr>
                <w:rFonts w:hint="default" w:ascii="Times New Roman" w:hAnsi="Times New Roman" w:cs="Times New Roman"/>
                <w:color w:val="auto"/>
                <w:highlight w:val="none"/>
                <w:lang w:eastAsia="zh-CN"/>
              </w:rPr>
              <w:t>下表。</w:t>
            </w:r>
          </w:p>
          <w:p w14:paraId="7D3A400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 xml:space="preserve">表 </w:t>
            </w:r>
            <w:r>
              <w:rPr>
                <w:rFonts w:hint="default" w:ascii="Times New Roman" w:hAnsi="Times New Roman" w:cs="Times New Roman"/>
                <w:b/>
                <w:bCs/>
                <w:color w:val="auto"/>
                <w:sz w:val="24"/>
                <w:highlight w:val="none"/>
                <w:lang w:val="en-US" w:eastAsia="zh-CN"/>
              </w:rPr>
              <w:t>4-5</w:t>
            </w:r>
            <w:r>
              <w:rPr>
                <w:rFonts w:hint="default" w:ascii="Times New Roman" w:hAnsi="Times New Roman" w:cs="Times New Roman"/>
                <w:b/>
                <w:bCs/>
                <w:color w:val="auto"/>
                <w:sz w:val="24"/>
                <w:highlight w:val="none"/>
              </w:rPr>
              <w:t xml:space="preserve">   </w:t>
            </w:r>
            <w:r>
              <w:rPr>
                <w:rFonts w:hint="default" w:ascii="Times New Roman" w:hAnsi="Times New Roman" w:cs="Times New Roman"/>
                <w:b/>
                <w:bCs/>
                <w:color w:val="auto"/>
                <w:sz w:val="24"/>
                <w:highlight w:val="none"/>
                <w:lang w:eastAsia="zh-CN"/>
              </w:rPr>
              <w:t>废气</w:t>
            </w:r>
            <w:r>
              <w:rPr>
                <w:rFonts w:hint="default" w:ascii="Times New Roman" w:hAnsi="Times New Roman" w:cs="Times New Roman"/>
                <w:b/>
                <w:bCs/>
                <w:color w:val="auto"/>
                <w:sz w:val="24"/>
                <w:highlight w:val="none"/>
              </w:rPr>
              <w:t>排放口基本情况表</w:t>
            </w:r>
          </w:p>
          <w:tbl>
            <w:tblPr>
              <w:tblStyle w:val="40"/>
              <w:tblW w:w="8134"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28" w:type="dxa"/>
              </w:tblCellMar>
            </w:tblPr>
            <w:tblGrid>
              <w:gridCol w:w="303"/>
              <w:gridCol w:w="452"/>
              <w:gridCol w:w="214"/>
              <w:gridCol w:w="1068"/>
              <w:gridCol w:w="539"/>
              <w:gridCol w:w="736"/>
              <w:gridCol w:w="538"/>
              <w:gridCol w:w="595"/>
              <w:gridCol w:w="545"/>
              <w:gridCol w:w="545"/>
              <w:gridCol w:w="267"/>
              <w:gridCol w:w="258"/>
              <w:gridCol w:w="1413"/>
              <w:gridCol w:w="661"/>
            </w:tblGrid>
            <w:tr w14:paraId="72B5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352" w:hRule="atLeast"/>
                <w:jc w:val="right"/>
              </w:trPr>
              <w:tc>
                <w:tcPr>
                  <w:tcW w:w="303" w:type="dxa"/>
                  <w:vMerge w:val="restart"/>
                  <w:vAlign w:val="center"/>
                </w:tcPr>
                <w:p w14:paraId="26F03F01">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排放口编号</w:t>
                  </w:r>
                </w:p>
              </w:tc>
              <w:tc>
                <w:tcPr>
                  <w:tcW w:w="452" w:type="dxa"/>
                  <w:vMerge w:val="restart"/>
                  <w:vAlign w:val="center"/>
                </w:tcPr>
                <w:p w14:paraId="2EBE8C7F">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排放口名称</w:t>
                  </w:r>
                </w:p>
              </w:tc>
              <w:tc>
                <w:tcPr>
                  <w:tcW w:w="214" w:type="dxa"/>
                  <w:vMerge w:val="restart"/>
                  <w:vAlign w:val="center"/>
                </w:tcPr>
                <w:p w14:paraId="2E754851">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污染物种类</w:t>
                  </w:r>
                </w:p>
              </w:tc>
              <w:tc>
                <w:tcPr>
                  <w:tcW w:w="1068" w:type="dxa"/>
                  <w:vMerge w:val="restart"/>
                  <w:vAlign w:val="center"/>
                </w:tcPr>
                <w:p w14:paraId="2C9D7C62">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地理坐标</w:t>
                  </w:r>
                </w:p>
              </w:tc>
              <w:tc>
                <w:tcPr>
                  <w:tcW w:w="539" w:type="dxa"/>
                  <w:vMerge w:val="restart"/>
                  <w:vAlign w:val="center"/>
                </w:tcPr>
                <w:p w14:paraId="4BF26D65">
                  <w:pPr>
                    <w:pStyle w:val="68"/>
                    <w:spacing w:line="0" w:lineRule="atLeast"/>
                    <w:jc w:val="center"/>
                    <w:rPr>
                      <w:rFonts w:hint="default" w:ascii="Times New Roman" w:hAnsi="Times New Roman" w:eastAsia="宋体" w:cs="Times New Roman"/>
                      <w:b/>
                      <w:color w:val="auto"/>
                      <w:sz w:val="18"/>
                      <w:szCs w:val="18"/>
                      <w:highlight w:val="none"/>
                      <w:lang w:eastAsia="zh-CN"/>
                    </w:rPr>
                  </w:pPr>
                  <w:r>
                    <w:rPr>
                      <w:rFonts w:hint="default" w:ascii="Times New Roman" w:hAnsi="Times New Roman" w:cs="Times New Roman"/>
                      <w:b/>
                      <w:color w:val="auto"/>
                      <w:sz w:val="18"/>
                      <w:szCs w:val="18"/>
                      <w:highlight w:val="none"/>
                      <w:lang w:eastAsia="zh-CN"/>
                    </w:rPr>
                    <w:t>废</w:t>
                  </w:r>
                  <w:r>
                    <w:rPr>
                      <w:rFonts w:hint="default" w:ascii="Times New Roman" w:hAnsi="Times New Roman" w:cs="Times New Roman"/>
                      <w:b/>
                      <w:color w:val="auto"/>
                      <w:sz w:val="18"/>
                      <w:szCs w:val="18"/>
                      <w:highlight w:val="none"/>
                    </w:rPr>
                    <w:t>气量</w:t>
                  </w:r>
                  <w:r>
                    <w:rPr>
                      <w:rFonts w:hint="default" w:ascii="Times New Roman" w:hAnsi="Times New Roman" w:cs="Times New Roman"/>
                      <w:b/>
                      <w:color w:val="auto"/>
                      <w:sz w:val="18"/>
                      <w:szCs w:val="18"/>
                      <w:highlight w:val="none"/>
                      <w:lang w:val="en-US" w:eastAsia="zh-CN"/>
                    </w:rPr>
                    <w:t>(</w:t>
                  </w:r>
                  <w:r>
                    <w:rPr>
                      <w:rFonts w:hint="default" w:ascii="Times New Roman" w:hAnsi="Times New Roman" w:cs="Times New Roman"/>
                      <w:b/>
                      <w:color w:val="auto"/>
                      <w:sz w:val="18"/>
                      <w:szCs w:val="18"/>
                      <w:highlight w:val="none"/>
                    </w:rPr>
                    <w:t>m</w:t>
                  </w:r>
                  <w:r>
                    <w:rPr>
                      <w:rFonts w:hint="default" w:ascii="Times New Roman" w:hAnsi="Times New Roman" w:cs="Times New Roman"/>
                      <w:b/>
                      <w:color w:val="auto"/>
                      <w:sz w:val="18"/>
                      <w:szCs w:val="18"/>
                      <w:highlight w:val="none"/>
                      <w:vertAlign w:val="superscript"/>
                    </w:rPr>
                    <w:t>3</w:t>
                  </w:r>
                  <w:r>
                    <w:rPr>
                      <w:rFonts w:hint="default" w:ascii="Times New Roman" w:hAnsi="Times New Roman" w:cs="Times New Roman"/>
                      <w:b/>
                      <w:color w:val="auto"/>
                      <w:sz w:val="18"/>
                      <w:szCs w:val="18"/>
                      <w:highlight w:val="none"/>
                    </w:rPr>
                    <w:t>/h</w:t>
                  </w:r>
                  <w:r>
                    <w:rPr>
                      <w:rFonts w:hint="default" w:ascii="Times New Roman" w:hAnsi="Times New Roman" w:cs="Times New Roman"/>
                      <w:b/>
                      <w:color w:val="auto"/>
                      <w:sz w:val="18"/>
                      <w:szCs w:val="18"/>
                      <w:highlight w:val="none"/>
                      <w:lang w:val="en-US" w:eastAsia="zh-CN"/>
                    </w:rPr>
                    <w:t>)</w:t>
                  </w:r>
                </w:p>
              </w:tc>
              <w:tc>
                <w:tcPr>
                  <w:tcW w:w="736" w:type="dxa"/>
                  <w:vMerge w:val="restart"/>
                  <w:vAlign w:val="center"/>
                </w:tcPr>
                <w:p w14:paraId="071C4028">
                  <w:pPr>
                    <w:pStyle w:val="68"/>
                    <w:spacing w:line="0" w:lineRule="atLeast"/>
                    <w:jc w:val="center"/>
                    <w:rPr>
                      <w:rFonts w:hint="default" w:ascii="Times New Roman" w:hAnsi="Times New Roman" w:eastAsia="宋体" w:cs="Times New Roman"/>
                      <w:b/>
                      <w:color w:val="auto"/>
                      <w:sz w:val="18"/>
                      <w:szCs w:val="18"/>
                      <w:highlight w:val="none"/>
                      <w:lang w:eastAsia="zh-CN"/>
                    </w:rPr>
                  </w:pPr>
                  <w:r>
                    <w:rPr>
                      <w:rFonts w:hint="default" w:ascii="Times New Roman" w:hAnsi="Times New Roman" w:cs="Times New Roman"/>
                      <w:b/>
                      <w:color w:val="auto"/>
                      <w:sz w:val="18"/>
                      <w:szCs w:val="18"/>
                      <w:highlight w:val="none"/>
                    </w:rPr>
                    <w:t>排放浓度</w:t>
                  </w:r>
                  <w:r>
                    <w:rPr>
                      <w:rFonts w:hint="default" w:ascii="Times New Roman" w:hAnsi="Times New Roman" w:cs="Times New Roman"/>
                      <w:b/>
                      <w:color w:val="auto"/>
                      <w:sz w:val="18"/>
                      <w:szCs w:val="18"/>
                      <w:highlight w:val="none"/>
                      <w:lang w:val="en-US" w:eastAsia="zh-CN"/>
                    </w:rPr>
                    <w:t>(</w:t>
                  </w:r>
                  <w:r>
                    <w:rPr>
                      <w:rFonts w:hint="default" w:ascii="Times New Roman" w:hAnsi="Times New Roman" w:cs="Times New Roman"/>
                      <w:b/>
                      <w:color w:val="auto"/>
                      <w:sz w:val="18"/>
                      <w:szCs w:val="18"/>
                      <w:highlight w:val="none"/>
                    </w:rPr>
                    <w:t>mg/m</w:t>
                  </w:r>
                  <w:r>
                    <w:rPr>
                      <w:rFonts w:hint="default" w:ascii="Times New Roman" w:hAnsi="Times New Roman" w:cs="Times New Roman"/>
                      <w:b/>
                      <w:color w:val="auto"/>
                      <w:sz w:val="18"/>
                      <w:szCs w:val="18"/>
                      <w:highlight w:val="none"/>
                      <w:vertAlign w:val="superscript"/>
                    </w:rPr>
                    <w:t>3</w:t>
                  </w:r>
                  <w:r>
                    <w:rPr>
                      <w:rFonts w:hint="default" w:ascii="Times New Roman" w:hAnsi="Times New Roman" w:cs="Times New Roman"/>
                      <w:b/>
                      <w:color w:val="auto"/>
                      <w:sz w:val="18"/>
                      <w:szCs w:val="18"/>
                      <w:highlight w:val="none"/>
                      <w:lang w:val="en-US" w:eastAsia="zh-CN"/>
                    </w:rPr>
                    <w:t>)</w:t>
                  </w:r>
                </w:p>
              </w:tc>
              <w:tc>
                <w:tcPr>
                  <w:tcW w:w="538" w:type="dxa"/>
                  <w:vMerge w:val="restart"/>
                  <w:vAlign w:val="center"/>
                </w:tcPr>
                <w:p w14:paraId="326911AD">
                  <w:pPr>
                    <w:pStyle w:val="68"/>
                    <w:spacing w:line="0" w:lineRule="atLeast"/>
                    <w:jc w:val="center"/>
                    <w:rPr>
                      <w:rFonts w:hint="default" w:ascii="Times New Roman" w:hAnsi="Times New Roman" w:eastAsia="宋体" w:cs="Times New Roman"/>
                      <w:b/>
                      <w:color w:val="auto"/>
                      <w:sz w:val="18"/>
                      <w:szCs w:val="18"/>
                      <w:highlight w:val="none"/>
                      <w:lang w:val="en-US" w:eastAsia="zh-CN"/>
                    </w:rPr>
                  </w:pPr>
                  <w:r>
                    <w:rPr>
                      <w:rFonts w:hint="default" w:ascii="Times New Roman" w:hAnsi="Times New Roman" w:cs="Times New Roman"/>
                      <w:b/>
                      <w:color w:val="auto"/>
                      <w:sz w:val="18"/>
                      <w:szCs w:val="18"/>
                      <w:highlight w:val="none"/>
                      <w:lang w:eastAsia="zh-CN"/>
                    </w:rPr>
                    <w:t>排放速率</w:t>
                  </w:r>
                  <w:r>
                    <w:rPr>
                      <w:rFonts w:hint="default" w:ascii="Times New Roman" w:hAnsi="Times New Roman" w:cs="Times New Roman"/>
                      <w:b/>
                      <w:color w:val="auto"/>
                      <w:sz w:val="18"/>
                      <w:szCs w:val="18"/>
                      <w:highlight w:val="none"/>
                      <w:lang w:val="en-US" w:eastAsia="zh-CN"/>
                    </w:rPr>
                    <w:t>(kg/h)</w:t>
                  </w:r>
                </w:p>
              </w:tc>
              <w:tc>
                <w:tcPr>
                  <w:tcW w:w="595" w:type="dxa"/>
                  <w:vMerge w:val="restart"/>
                  <w:vAlign w:val="center"/>
                </w:tcPr>
                <w:p w14:paraId="57F0126A">
                  <w:pPr>
                    <w:pStyle w:val="68"/>
                    <w:spacing w:line="0" w:lineRule="atLeast"/>
                    <w:jc w:val="center"/>
                    <w:rPr>
                      <w:rFonts w:hint="default" w:ascii="Times New Roman" w:hAnsi="Times New Roman" w:eastAsia="宋体" w:cs="Times New Roman"/>
                      <w:b/>
                      <w:color w:val="auto"/>
                      <w:sz w:val="18"/>
                      <w:szCs w:val="18"/>
                      <w:highlight w:val="none"/>
                      <w:lang w:eastAsia="zh-CN"/>
                    </w:rPr>
                  </w:pPr>
                  <w:r>
                    <w:rPr>
                      <w:rFonts w:hint="default" w:ascii="Times New Roman" w:hAnsi="Times New Roman" w:cs="Times New Roman"/>
                      <w:b/>
                      <w:color w:val="auto"/>
                      <w:sz w:val="18"/>
                      <w:szCs w:val="18"/>
                      <w:highlight w:val="none"/>
                      <w:lang w:eastAsia="zh-CN"/>
                    </w:rPr>
                    <w:t>排放量（</w:t>
                  </w:r>
                  <w:r>
                    <w:rPr>
                      <w:rFonts w:hint="default" w:ascii="Times New Roman" w:hAnsi="Times New Roman" w:cs="Times New Roman"/>
                      <w:b/>
                      <w:color w:val="auto"/>
                      <w:sz w:val="18"/>
                      <w:szCs w:val="18"/>
                      <w:highlight w:val="none"/>
                      <w:lang w:val="en-US" w:eastAsia="zh-CN"/>
                    </w:rPr>
                    <w:t>t/a</w:t>
                  </w:r>
                  <w:r>
                    <w:rPr>
                      <w:rFonts w:hint="default" w:ascii="Times New Roman" w:hAnsi="Times New Roman" w:cs="Times New Roman"/>
                      <w:b/>
                      <w:color w:val="auto"/>
                      <w:sz w:val="18"/>
                      <w:szCs w:val="18"/>
                      <w:highlight w:val="none"/>
                      <w:lang w:eastAsia="zh-CN"/>
                    </w:rPr>
                    <w:t>）</w:t>
                  </w:r>
                </w:p>
              </w:tc>
              <w:tc>
                <w:tcPr>
                  <w:tcW w:w="545" w:type="dxa"/>
                  <w:vMerge w:val="restart"/>
                  <w:vAlign w:val="center"/>
                </w:tcPr>
                <w:p w14:paraId="3B5D1C17">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排气筒高度（m）</w:t>
                  </w:r>
                </w:p>
              </w:tc>
              <w:tc>
                <w:tcPr>
                  <w:tcW w:w="545" w:type="dxa"/>
                  <w:vMerge w:val="restart"/>
                  <w:vAlign w:val="center"/>
                </w:tcPr>
                <w:p w14:paraId="31D778C1">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排气筒内径（m）</w:t>
                  </w:r>
                </w:p>
              </w:tc>
              <w:tc>
                <w:tcPr>
                  <w:tcW w:w="267" w:type="dxa"/>
                  <w:vMerge w:val="restart"/>
                  <w:vAlign w:val="center"/>
                </w:tcPr>
                <w:p w14:paraId="15B35B34">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烟气温度</w:t>
                  </w:r>
                </w:p>
                <w:p w14:paraId="48CDC8ED">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w:t>
                  </w:r>
                </w:p>
              </w:tc>
              <w:tc>
                <w:tcPr>
                  <w:tcW w:w="258" w:type="dxa"/>
                  <w:vMerge w:val="restart"/>
                  <w:vAlign w:val="center"/>
                </w:tcPr>
                <w:p w14:paraId="7D952084">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排放口类型</w:t>
                  </w:r>
                </w:p>
              </w:tc>
              <w:tc>
                <w:tcPr>
                  <w:tcW w:w="2074" w:type="dxa"/>
                  <w:gridSpan w:val="2"/>
                  <w:vAlign w:val="center"/>
                </w:tcPr>
                <w:p w14:paraId="37D82450">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污染物排放情况</w:t>
                  </w:r>
                </w:p>
              </w:tc>
            </w:tr>
            <w:tr w14:paraId="29A4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23" w:hRule="atLeast"/>
                <w:jc w:val="right"/>
              </w:trPr>
              <w:tc>
                <w:tcPr>
                  <w:tcW w:w="303" w:type="dxa"/>
                  <w:vMerge w:val="continue"/>
                  <w:vAlign w:val="center"/>
                </w:tcPr>
                <w:p w14:paraId="0BB58079">
                  <w:pPr>
                    <w:pStyle w:val="68"/>
                    <w:spacing w:line="0" w:lineRule="atLeast"/>
                    <w:jc w:val="center"/>
                    <w:rPr>
                      <w:rFonts w:hint="default" w:ascii="Times New Roman" w:hAnsi="Times New Roman" w:cs="Times New Roman"/>
                      <w:b/>
                      <w:color w:val="auto"/>
                      <w:sz w:val="18"/>
                      <w:szCs w:val="18"/>
                      <w:highlight w:val="none"/>
                    </w:rPr>
                  </w:pPr>
                </w:p>
              </w:tc>
              <w:tc>
                <w:tcPr>
                  <w:tcW w:w="452" w:type="dxa"/>
                  <w:vMerge w:val="continue"/>
                  <w:vAlign w:val="center"/>
                </w:tcPr>
                <w:p w14:paraId="1D4760F6">
                  <w:pPr>
                    <w:pStyle w:val="68"/>
                    <w:spacing w:line="0" w:lineRule="atLeast"/>
                    <w:jc w:val="center"/>
                    <w:rPr>
                      <w:rFonts w:hint="default" w:ascii="Times New Roman" w:hAnsi="Times New Roman" w:cs="Times New Roman"/>
                      <w:b/>
                      <w:color w:val="auto"/>
                      <w:sz w:val="18"/>
                      <w:szCs w:val="18"/>
                      <w:highlight w:val="none"/>
                    </w:rPr>
                  </w:pPr>
                </w:p>
              </w:tc>
              <w:tc>
                <w:tcPr>
                  <w:tcW w:w="214" w:type="dxa"/>
                  <w:vMerge w:val="continue"/>
                  <w:vAlign w:val="center"/>
                </w:tcPr>
                <w:p w14:paraId="3DA5DE57">
                  <w:pPr>
                    <w:pStyle w:val="68"/>
                    <w:spacing w:line="0" w:lineRule="atLeast"/>
                    <w:jc w:val="center"/>
                    <w:rPr>
                      <w:rFonts w:hint="default" w:ascii="Times New Roman" w:hAnsi="Times New Roman" w:cs="Times New Roman"/>
                      <w:b/>
                      <w:color w:val="auto"/>
                      <w:sz w:val="18"/>
                      <w:szCs w:val="18"/>
                      <w:highlight w:val="none"/>
                    </w:rPr>
                  </w:pPr>
                </w:p>
              </w:tc>
              <w:tc>
                <w:tcPr>
                  <w:tcW w:w="1068" w:type="dxa"/>
                  <w:vMerge w:val="continue"/>
                  <w:vAlign w:val="center"/>
                </w:tcPr>
                <w:p w14:paraId="7A765ACF">
                  <w:pPr>
                    <w:pStyle w:val="68"/>
                    <w:spacing w:line="0" w:lineRule="atLeast"/>
                    <w:jc w:val="center"/>
                    <w:rPr>
                      <w:rFonts w:hint="default" w:ascii="Times New Roman" w:hAnsi="Times New Roman" w:cs="Times New Roman"/>
                      <w:b/>
                      <w:color w:val="auto"/>
                      <w:sz w:val="18"/>
                      <w:szCs w:val="18"/>
                      <w:highlight w:val="none"/>
                    </w:rPr>
                  </w:pPr>
                </w:p>
              </w:tc>
              <w:tc>
                <w:tcPr>
                  <w:tcW w:w="539" w:type="dxa"/>
                  <w:vMerge w:val="continue"/>
                  <w:vAlign w:val="center"/>
                </w:tcPr>
                <w:p w14:paraId="57796DB4">
                  <w:pPr>
                    <w:pStyle w:val="68"/>
                    <w:spacing w:line="0" w:lineRule="atLeast"/>
                    <w:jc w:val="center"/>
                    <w:rPr>
                      <w:rFonts w:hint="default" w:ascii="Times New Roman" w:hAnsi="Times New Roman" w:cs="Times New Roman"/>
                      <w:b/>
                      <w:color w:val="auto"/>
                      <w:sz w:val="18"/>
                      <w:szCs w:val="18"/>
                      <w:highlight w:val="none"/>
                    </w:rPr>
                  </w:pPr>
                </w:p>
              </w:tc>
              <w:tc>
                <w:tcPr>
                  <w:tcW w:w="736" w:type="dxa"/>
                  <w:vMerge w:val="continue"/>
                  <w:vAlign w:val="center"/>
                </w:tcPr>
                <w:p w14:paraId="4AAB4520">
                  <w:pPr>
                    <w:pStyle w:val="68"/>
                    <w:spacing w:line="0" w:lineRule="atLeast"/>
                    <w:jc w:val="center"/>
                    <w:rPr>
                      <w:rFonts w:hint="default" w:ascii="Times New Roman" w:hAnsi="Times New Roman" w:cs="Times New Roman"/>
                      <w:b/>
                      <w:color w:val="auto"/>
                      <w:sz w:val="18"/>
                      <w:szCs w:val="18"/>
                      <w:highlight w:val="none"/>
                    </w:rPr>
                  </w:pPr>
                </w:p>
              </w:tc>
              <w:tc>
                <w:tcPr>
                  <w:tcW w:w="538" w:type="dxa"/>
                  <w:vMerge w:val="continue"/>
                  <w:vAlign w:val="center"/>
                </w:tcPr>
                <w:p w14:paraId="5DB819A2">
                  <w:pPr>
                    <w:pStyle w:val="68"/>
                    <w:spacing w:line="0" w:lineRule="atLeast"/>
                    <w:jc w:val="center"/>
                    <w:rPr>
                      <w:rFonts w:hint="default" w:ascii="Times New Roman" w:hAnsi="Times New Roman" w:cs="Times New Roman"/>
                      <w:b/>
                      <w:color w:val="auto"/>
                      <w:sz w:val="18"/>
                      <w:szCs w:val="18"/>
                      <w:highlight w:val="none"/>
                    </w:rPr>
                  </w:pPr>
                </w:p>
              </w:tc>
              <w:tc>
                <w:tcPr>
                  <w:tcW w:w="595" w:type="dxa"/>
                  <w:vMerge w:val="continue"/>
                  <w:vAlign w:val="center"/>
                </w:tcPr>
                <w:p w14:paraId="54C80FC8">
                  <w:pPr>
                    <w:pStyle w:val="68"/>
                    <w:spacing w:line="0" w:lineRule="atLeast"/>
                    <w:jc w:val="center"/>
                    <w:rPr>
                      <w:rFonts w:hint="default" w:ascii="Times New Roman" w:hAnsi="Times New Roman" w:cs="Times New Roman"/>
                      <w:b/>
                      <w:color w:val="auto"/>
                      <w:sz w:val="18"/>
                      <w:szCs w:val="18"/>
                      <w:highlight w:val="none"/>
                    </w:rPr>
                  </w:pPr>
                </w:p>
              </w:tc>
              <w:tc>
                <w:tcPr>
                  <w:tcW w:w="545" w:type="dxa"/>
                  <w:vMerge w:val="continue"/>
                  <w:vAlign w:val="center"/>
                </w:tcPr>
                <w:p w14:paraId="2DC037D8">
                  <w:pPr>
                    <w:pStyle w:val="68"/>
                    <w:spacing w:line="0" w:lineRule="atLeast"/>
                    <w:jc w:val="center"/>
                    <w:rPr>
                      <w:rFonts w:hint="default" w:ascii="Times New Roman" w:hAnsi="Times New Roman" w:cs="Times New Roman"/>
                      <w:b/>
                      <w:color w:val="auto"/>
                      <w:sz w:val="18"/>
                      <w:szCs w:val="18"/>
                      <w:highlight w:val="none"/>
                    </w:rPr>
                  </w:pPr>
                </w:p>
              </w:tc>
              <w:tc>
                <w:tcPr>
                  <w:tcW w:w="545" w:type="dxa"/>
                  <w:vMerge w:val="continue"/>
                  <w:vAlign w:val="center"/>
                </w:tcPr>
                <w:p w14:paraId="34A8C1EE">
                  <w:pPr>
                    <w:pStyle w:val="68"/>
                    <w:spacing w:line="0" w:lineRule="atLeast"/>
                    <w:jc w:val="center"/>
                    <w:rPr>
                      <w:rFonts w:hint="default" w:ascii="Times New Roman" w:hAnsi="Times New Roman" w:cs="Times New Roman"/>
                      <w:b/>
                      <w:color w:val="auto"/>
                      <w:sz w:val="18"/>
                      <w:szCs w:val="18"/>
                      <w:highlight w:val="none"/>
                    </w:rPr>
                  </w:pPr>
                </w:p>
              </w:tc>
              <w:tc>
                <w:tcPr>
                  <w:tcW w:w="267" w:type="dxa"/>
                  <w:vMerge w:val="continue"/>
                  <w:vAlign w:val="center"/>
                </w:tcPr>
                <w:p w14:paraId="50461AF7">
                  <w:pPr>
                    <w:pStyle w:val="68"/>
                    <w:spacing w:line="0" w:lineRule="atLeast"/>
                    <w:jc w:val="center"/>
                    <w:rPr>
                      <w:rFonts w:hint="default" w:ascii="Times New Roman" w:hAnsi="Times New Roman" w:cs="Times New Roman"/>
                      <w:b/>
                      <w:color w:val="auto"/>
                      <w:sz w:val="18"/>
                      <w:szCs w:val="18"/>
                      <w:highlight w:val="none"/>
                    </w:rPr>
                  </w:pPr>
                </w:p>
              </w:tc>
              <w:tc>
                <w:tcPr>
                  <w:tcW w:w="258" w:type="dxa"/>
                  <w:vMerge w:val="continue"/>
                  <w:vAlign w:val="center"/>
                </w:tcPr>
                <w:p w14:paraId="0C25DD83">
                  <w:pPr>
                    <w:pStyle w:val="68"/>
                    <w:spacing w:line="0" w:lineRule="atLeast"/>
                    <w:jc w:val="center"/>
                    <w:rPr>
                      <w:rFonts w:hint="default" w:ascii="Times New Roman" w:hAnsi="Times New Roman" w:cs="Times New Roman"/>
                      <w:b/>
                      <w:color w:val="auto"/>
                      <w:sz w:val="18"/>
                      <w:szCs w:val="18"/>
                      <w:highlight w:val="none"/>
                    </w:rPr>
                  </w:pPr>
                </w:p>
              </w:tc>
              <w:tc>
                <w:tcPr>
                  <w:tcW w:w="1413" w:type="dxa"/>
                  <w:vAlign w:val="center"/>
                </w:tcPr>
                <w:p w14:paraId="290BA2D3">
                  <w:pPr>
                    <w:autoSpaceDE w:val="0"/>
                    <w:autoSpaceDN w:val="0"/>
                    <w:spacing w:line="0" w:lineRule="atLeast"/>
                    <w:jc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b/>
                      <w:bCs/>
                      <w:color w:val="auto"/>
                      <w:kern w:val="0"/>
                      <w:sz w:val="18"/>
                      <w:szCs w:val="18"/>
                      <w:highlight w:val="none"/>
                      <w:lang w:eastAsia="zh-CN"/>
                    </w:rPr>
                    <w:t>标准</w:t>
                  </w:r>
                </w:p>
              </w:tc>
              <w:tc>
                <w:tcPr>
                  <w:tcW w:w="661" w:type="dxa"/>
                  <w:vAlign w:val="center"/>
                </w:tcPr>
                <w:p w14:paraId="192A9DBF">
                  <w:pPr>
                    <w:pStyle w:val="68"/>
                    <w:spacing w:line="0" w:lineRule="atLeast"/>
                    <w:jc w:val="center"/>
                    <w:rPr>
                      <w:rFonts w:hint="default" w:ascii="Times New Roman" w:hAnsi="Times New Roman" w:eastAsia="宋体" w:cs="Times New Roman"/>
                      <w:b/>
                      <w:color w:val="auto"/>
                      <w:sz w:val="18"/>
                      <w:szCs w:val="18"/>
                      <w:highlight w:val="none"/>
                      <w:lang w:eastAsia="zh-CN"/>
                    </w:rPr>
                  </w:pPr>
                  <w:r>
                    <w:rPr>
                      <w:rFonts w:hint="default" w:ascii="Times New Roman" w:hAnsi="Times New Roman" w:cs="Times New Roman"/>
                      <w:b/>
                      <w:color w:val="auto"/>
                      <w:sz w:val="18"/>
                      <w:szCs w:val="18"/>
                      <w:highlight w:val="none"/>
                      <w:lang w:eastAsia="zh-CN"/>
                    </w:rPr>
                    <w:t>限值</w:t>
                  </w:r>
                  <w:r>
                    <w:rPr>
                      <w:rFonts w:hint="default" w:ascii="Times New Roman" w:hAnsi="Times New Roman" w:cs="Times New Roman"/>
                      <w:b/>
                      <w:color w:val="auto"/>
                      <w:sz w:val="18"/>
                      <w:szCs w:val="18"/>
                      <w:highlight w:val="none"/>
                      <w:lang w:val="en-US" w:eastAsia="zh-CN"/>
                    </w:rPr>
                    <w:t>(</w:t>
                  </w:r>
                  <w:r>
                    <w:rPr>
                      <w:rFonts w:hint="default" w:ascii="Times New Roman" w:hAnsi="Times New Roman" w:cs="Times New Roman"/>
                      <w:b/>
                      <w:color w:val="auto"/>
                      <w:sz w:val="18"/>
                      <w:szCs w:val="18"/>
                      <w:highlight w:val="none"/>
                    </w:rPr>
                    <w:t>mg/m</w:t>
                  </w:r>
                  <w:r>
                    <w:rPr>
                      <w:rFonts w:hint="default" w:ascii="Times New Roman" w:hAnsi="Times New Roman" w:cs="Times New Roman"/>
                      <w:b/>
                      <w:color w:val="auto"/>
                      <w:sz w:val="18"/>
                      <w:szCs w:val="18"/>
                      <w:highlight w:val="none"/>
                      <w:vertAlign w:val="superscript"/>
                    </w:rPr>
                    <w:t>3</w:t>
                  </w:r>
                  <w:r>
                    <w:rPr>
                      <w:rFonts w:hint="default" w:ascii="Times New Roman" w:hAnsi="Times New Roman" w:cs="Times New Roman"/>
                      <w:b/>
                      <w:color w:val="auto"/>
                      <w:sz w:val="18"/>
                      <w:szCs w:val="18"/>
                      <w:highlight w:val="none"/>
                      <w:lang w:val="en-US" w:eastAsia="zh-CN"/>
                    </w:rPr>
                    <w:t>)</w:t>
                  </w:r>
                </w:p>
              </w:tc>
            </w:tr>
            <w:tr w14:paraId="41BA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301" w:hRule="atLeast"/>
                <w:jc w:val="right"/>
              </w:trPr>
              <w:tc>
                <w:tcPr>
                  <w:tcW w:w="303" w:type="dxa"/>
                  <w:vAlign w:val="center"/>
                </w:tcPr>
                <w:p w14:paraId="6F90F01F">
                  <w:pPr>
                    <w:pStyle w:val="68"/>
                    <w:spacing w:line="0" w:lineRule="atLeast"/>
                    <w:jc w:val="center"/>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DA</w:t>
                  </w:r>
                </w:p>
                <w:p w14:paraId="189E10C8">
                  <w:pPr>
                    <w:pStyle w:val="68"/>
                    <w:spacing w:line="0" w:lineRule="atLeast"/>
                    <w:jc w:val="center"/>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rPr>
                    <w:t>00</w:t>
                  </w:r>
                  <w:r>
                    <w:rPr>
                      <w:rFonts w:hint="default" w:ascii="Times New Roman" w:hAnsi="Times New Roman" w:cs="Times New Roman"/>
                      <w:bCs/>
                      <w:color w:val="auto"/>
                      <w:sz w:val="18"/>
                      <w:szCs w:val="18"/>
                      <w:highlight w:val="none"/>
                      <w:lang w:val="en-US" w:eastAsia="zh-CN"/>
                    </w:rPr>
                    <w:t>1</w:t>
                  </w:r>
                </w:p>
              </w:tc>
              <w:tc>
                <w:tcPr>
                  <w:tcW w:w="452" w:type="dxa"/>
                  <w:vAlign w:val="center"/>
                </w:tcPr>
                <w:p w14:paraId="2FC4E26E">
                  <w:pPr>
                    <w:pStyle w:val="121"/>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bidi="ar-SA"/>
                    </w:rPr>
                    <w:t>储罐呼吸、上料、搅拌、分装废气</w:t>
                  </w:r>
                </w:p>
              </w:tc>
              <w:tc>
                <w:tcPr>
                  <w:tcW w:w="214" w:type="dxa"/>
                  <w:shd w:val="clear" w:color="auto" w:fill="auto"/>
                  <w:vAlign w:val="center"/>
                </w:tcPr>
                <w:p w14:paraId="43E9D3A6">
                  <w:pPr>
                    <w:pStyle w:val="121"/>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bidi="ar-SA"/>
                    </w:rPr>
                    <w:t>颗粒物</w:t>
                  </w:r>
                </w:p>
              </w:tc>
              <w:tc>
                <w:tcPr>
                  <w:tcW w:w="1068" w:type="dxa"/>
                  <w:vAlign w:val="center"/>
                </w:tcPr>
                <w:p w14:paraId="7ED9C508">
                  <w:pPr>
                    <w:jc w:val="center"/>
                    <w:rPr>
                      <w:rFonts w:hint="default" w:ascii="Times New Roman" w:hAnsi="Times New Roman" w:eastAsia="宋体" w:cs="Times New Roman"/>
                      <w:color w:val="auto"/>
                      <w:sz w:val="18"/>
                      <w:szCs w:val="18"/>
                      <w:highlight w:val="none"/>
                      <w:lang w:eastAsia="zh-CN" w:bidi="ar"/>
                    </w:rPr>
                  </w:pPr>
                  <w:r>
                    <w:rPr>
                      <w:rFonts w:hint="default" w:ascii="Times New Roman" w:hAnsi="Times New Roman" w:eastAsia="宋体" w:cs="Times New Roman"/>
                      <w:color w:val="auto"/>
                      <w:sz w:val="18"/>
                      <w:szCs w:val="18"/>
                      <w:highlight w:val="none"/>
                      <w:lang w:eastAsia="zh-CN" w:bidi="ar"/>
                    </w:rPr>
                    <w:t>E：</w:t>
                  </w:r>
                  <w:r>
                    <w:rPr>
                      <w:rFonts w:hint="default" w:ascii="Times New Roman" w:hAnsi="Times New Roman" w:eastAsia="宋体" w:cs="Times New Roman"/>
                      <w:color w:val="auto"/>
                      <w:sz w:val="18"/>
                      <w:szCs w:val="18"/>
                      <w:highlight w:val="none"/>
                      <w:lang w:val="en-US" w:eastAsia="zh-CN" w:bidi="ar"/>
                    </w:rPr>
                    <w:t>114</w:t>
                  </w:r>
                  <w:r>
                    <w:rPr>
                      <w:rFonts w:hint="default" w:ascii="Times New Roman" w:hAnsi="Times New Roman" w:eastAsia="宋体" w:cs="Times New Roman"/>
                      <w:color w:val="auto"/>
                      <w:sz w:val="18"/>
                      <w:szCs w:val="18"/>
                      <w:highlight w:val="none"/>
                      <w:lang w:eastAsia="zh-CN" w:bidi="ar"/>
                    </w:rPr>
                    <w:t>°</w:t>
                  </w:r>
                  <w:r>
                    <w:rPr>
                      <w:rFonts w:hint="default" w:ascii="Times New Roman" w:hAnsi="Times New Roman" w:cs="Times New Roman"/>
                      <w:color w:val="auto"/>
                      <w:sz w:val="18"/>
                      <w:szCs w:val="18"/>
                      <w:highlight w:val="none"/>
                      <w:lang w:val="en-US" w:eastAsia="zh-CN" w:bidi="ar"/>
                    </w:rPr>
                    <w:t>5</w:t>
                  </w:r>
                  <w:r>
                    <w:rPr>
                      <w:rFonts w:hint="default" w:ascii="Times New Roman" w:hAnsi="Times New Roman" w:eastAsia="宋体" w:cs="Times New Roman"/>
                      <w:color w:val="auto"/>
                      <w:sz w:val="18"/>
                      <w:szCs w:val="18"/>
                      <w:highlight w:val="none"/>
                      <w:lang w:eastAsia="zh-CN" w:bidi="ar"/>
                    </w:rPr>
                    <w:t>′</w:t>
                  </w:r>
                  <w:r>
                    <w:rPr>
                      <w:rFonts w:hint="default" w:ascii="Times New Roman" w:hAnsi="Times New Roman" w:cs="Times New Roman"/>
                      <w:color w:val="auto"/>
                      <w:sz w:val="18"/>
                      <w:szCs w:val="18"/>
                      <w:highlight w:val="none"/>
                      <w:lang w:val="en-US" w:eastAsia="zh-CN" w:bidi="ar"/>
                    </w:rPr>
                    <w:t>38.162</w:t>
                  </w:r>
                  <w:r>
                    <w:rPr>
                      <w:rFonts w:hint="default" w:ascii="Times New Roman" w:hAnsi="Times New Roman" w:eastAsia="宋体" w:cs="Times New Roman"/>
                      <w:color w:val="auto"/>
                      <w:sz w:val="18"/>
                      <w:szCs w:val="18"/>
                      <w:highlight w:val="none"/>
                      <w:lang w:eastAsia="zh-CN" w:bidi="ar"/>
                    </w:rPr>
                    <w:t>″</w:t>
                  </w:r>
                </w:p>
                <w:p w14:paraId="7A424414">
                  <w:pPr>
                    <w:autoSpaceDE w:val="0"/>
                    <w:autoSpaceDN w:val="0"/>
                    <w:spacing w:line="0" w:lineRule="atLeast"/>
                    <w:jc w:val="center"/>
                    <w:rPr>
                      <w:rFonts w:hint="default" w:ascii="Times New Roman" w:hAnsi="Times New Roman" w:eastAsia="宋体" w:cs="Times New Roman"/>
                      <w:color w:val="auto"/>
                      <w:kern w:val="0"/>
                      <w:sz w:val="18"/>
                      <w:szCs w:val="18"/>
                      <w:highlight w:val="none"/>
                      <w:lang w:val="en-US" w:eastAsia="en-US"/>
                    </w:rPr>
                  </w:pPr>
                  <w:r>
                    <w:rPr>
                      <w:rFonts w:hint="default" w:ascii="Times New Roman" w:hAnsi="Times New Roman" w:eastAsia="宋体" w:cs="Times New Roman"/>
                      <w:color w:val="auto"/>
                      <w:sz w:val="18"/>
                      <w:szCs w:val="18"/>
                      <w:highlight w:val="none"/>
                      <w:lang w:eastAsia="zh-CN" w:bidi="ar"/>
                    </w:rPr>
                    <w:t>N：38°</w:t>
                  </w:r>
                  <w:r>
                    <w:rPr>
                      <w:rFonts w:hint="default" w:ascii="Times New Roman" w:hAnsi="Times New Roman" w:cs="Times New Roman"/>
                      <w:color w:val="auto"/>
                      <w:sz w:val="18"/>
                      <w:szCs w:val="18"/>
                      <w:highlight w:val="none"/>
                      <w:lang w:val="en-US" w:eastAsia="zh-CN" w:bidi="ar"/>
                    </w:rPr>
                    <w:t>4</w:t>
                  </w:r>
                  <w:r>
                    <w:rPr>
                      <w:rFonts w:hint="default" w:ascii="Times New Roman" w:hAnsi="Times New Roman" w:eastAsia="宋体" w:cs="Times New Roman"/>
                      <w:color w:val="auto"/>
                      <w:sz w:val="18"/>
                      <w:szCs w:val="18"/>
                      <w:highlight w:val="none"/>
                      <w:lang w:eastAsia="zh-CN" w:bidi="ar"/>
                    </w:rPr>
                    <w:t>′</w:t>
                  </w:r>
                  <w:r>
                    <w:rPr>
                      <w:rFonts w:hint="default" w:ascii="Times New Roman" w:hAnsi="Times New Roman" w:cs="Times New Roman"/>
                      <w:color w:val="auto"/>
                      <w:sz w:val="18"/>
                      <w:szCs w:val="18"/>
                      <w:highlight w:val="none"/>
                      <w:lang w:val="en-US" w:eastAsia="zh-CN" w:bidi="ar"/>
                    </w:rPr>
                    <w:t>26.274</w:t>
                  </w:r>
                  <w:r>
                    <w:rPr>
                      <w:rFonts w:hint="default" w:ascii="Times New Roman" w:hAnsi="Times New Roman" w:eastAsia="宋体" w:cs="Times New Roman"/>
                      <w:color w:val="auto"/>
                      <w:sz w:val="18"/>
                      <w:szCs w:val="18"/>
                      <w:highlight w:val="none"/>
                      <w:lang w:eastAsia="zh-CN" w:bidi="ar"/>
                    </w:rPr>
                    <w:t>″</w:t>
                  </w:r>
                </w:p>
              </w:tc>
              <w:tc>
                <w:tcPr>
                  <w:tcW w:w="539" w:type="dxa"/>
                  <w:vAlign w:val="center"/>
                </w:tcPr>
                <w:p w14:paraId="655A6DF2">
                  <w:pPr>
                    <w:pStyle w:val="120"/>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10000</w:t>
                  </w:r>
                </w:p>
              </w:tc>
              <w:tc>
                <w:tcPr>
                  <w:tcW w:w="736" w:type="dxa"/>
                  <w:shd w:val="clear" w:color="auto" w:fill="auto"/>
                  <w:vAlign w:val="center"/>
                </w:tcPr>
                <w:p w14:paraId="0C5FF9F6">
                  <w:pPr>
                    <w:adjustRightInd w:val="0"/>
                    <w:snapToGrid w:val="0"/>
                    <w:spacing w:line="240" w:lineRule="atLeast"/>
                    <w:jc w:val="center"/>
                    <w:rPr>
                      <w:rFonts w:hint="default" w:ascii="Times New Roman" w:hAnsi="Times New Roman" w:eastAsia="宋体" w:cs="Times New Roman"/>
                      <w:color w:val="auto"/>
                      <w:kern w:val="2"/>
                      <w:sz w:val="18"/>
                      <w:szCs w:val="18"/>
                      <w:highlight w:val="cyan"/>
                      <w:lang w:val="en-US" w:eastAsia="zh-CN" w:bidi="ar-SA"/>
                    </w:rPr>
                  </w:pPr>
                  <w:r>
                    <w:rPr>
                      <w:rFonts w:hint="default" w:ascii="Times New Roman" w:hAnsi="Times New Roman" w:eastAsia="宋体" w:cs="Times New Roman"/>
                      <w:color w:val="auto"/>
                      <w:sz w:val="18"/>
                      <w:szCs w:val="18"/>
                      <w:highlight w:val="cyan"/>
                      <w:lang w:val="en-US" w:eastAsia="zh-CN"/>
                    </w:rPr>
                    <w:t>6.92</w:t>
                  </w:r>
                </w:p>
              </w:tc>
              <w:tc>
                <w:tcPr>
                  <w:tcW w:w="538" w:type="dxa"/>
                  <w:shd w:val="clear" w:color="auto" w:fill="auto"/>
                  <w:vAlign w:val="center"/>
                </w:tcPr>
                <w:p w14:paraId="72AF420D">
                  <w:pPr>
                    <w:adjustRightInd w:val="0"/>
                    <w:snapToGrid w:val="0"/>
                    <w:spacing w:line="240" w:lineRule="atLeast"/>
                    <w:jc w:val="center"/>
                    <w:rPr>
                      <w:rFonts w:hint="default" w:ascii="Times New Roman" w:hAnsi="Times New Roman" w:eastAsia="宋体" w:cs="Times New Roman"/>
                      <w:color w:val="auto"/>
                      <w:kern w:val="2"/>
                      <w:sz w:val="18"/>
                      <w:szCs w:val="18"/>
                      <w:highlight w:val="cyan"/>
                      <w:lang w:val="en-US" w:eastAsia="zh-CN" w:bidi="ar-SA"/>
                    </w:rPr>
                  </w:pPr>
                  <w:r>
                    <w:rPr>
                      <w:rFonts w:hint="default" w:ascii="Times New Roman" w:hAnsi="Times New Roman" w:eastAsia="宋体" w:cs="Times New Roman"/>
                      <w:color w:val="auto"/>
                      <w:sz w:val="18"/>
                      <w:szCs w:val="18"/>
                      <w:highlight w:val="cyan"/>
                      <w:lang w:val="en-US" w:eastAsia="zh-CN"/>
                    </w:rPr>
                    <w:t>0.069</w:t>
                  </w:r>
                </w:p>
              </w:tc>
              <w:tc>
                <w:tcPr>
                  <w:tcW w:w="595" w:type="dxa"/>
                  <w:shd w:val="clear" w:color="auto" w:fill="auto"/>
                  <w:vAlign w:val="center"/>
                </w:tcPr>
                <w:p w14:paraId="48C446E4">
                  <w:pPr>
                    <w:adjustRightInd w:val="0"/>
                    <w:snapToGrid w:val="0"/>
                    <w:spacing w:line="240" w:lineRule="atLeast"/>
                    <w:jc w:val="center"/>
                    <w:rPr>
                      <w:rFonts w:hint="default" w:ascii="Times New Roman" w:hAnsi="Times New Roman" w:eastAsia="宋体" w:cs="Times New Roman"/>
                      <w:color w:val="auto"/>
                      <w:kern w:val="2"/>
                      <w:sz w:val="18"/>
                      <w:szCs w:val="18"/>
                      <w:highlight w:val="cyan"/>
                      <w:lang w:val="en-US" w:eastAsia="zh-CN" w:bidi="ar-SA"/>
                    </w:rPr>
                  </w:pPr>
                  <w:r>
                    <w:rPr>
                      <w:rFonts w:hint="default" w:ascii="Times New Roman" w:hAnsi="Times New Roman" w:eastAsia="宋体" w:cs="Times New Roman"/>
                      <w:color w:val="auto"/>
                      <w:sz w:val="18"/>
                      <w:szCs w:val="18"/>
                      <w:highlight w:val="cyan"/>
                      <w:lang w:val="en-US" w:eastAsia="zh-CN"/>
                    </w:rPr>
                    <w:t>0.166</w:t>
                  </w:r>
                </w:p>
              </w:tc>
              <w:tc>
                <w:tcPr>
                  <w:tcW w:w="545" w:type="dxa"/>
                  <w:shd w:val="clear" w:color="auto" w:fill="auto"/>
                  <w:vAlign w:val="center"/>
                </w:tcPr>
                <w:p w14:paraId="23E1B29F">
                  <w:pPr>
                    <w:pStyle w:val="120"/>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15</w:t>
                  </w:r>
                </w:p>
              </w:tc>
              <w:tc>
                <w:tcPr>
                  <w:tcW w:w="545" w:type="dxa"/>
                  <w:shd w:val="clear" w:color="auto" w:fill="auto"/>
                  <w:vAlign w:val="center"/>
                </w:tcPr>
                <w:p w14:paraId="486CB990">
                  <w:pPr>
                    <w:pStyle w:val="120"/>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0.5</w:t>
                  </w:r>
                </w:p>
              </w:tc>
              <w:tc>
                <w:tcPr>
                  <w:tcW w:w="267" w:type="dxa"/>
                  <w:shd w:val="clear" w:color="auto" w:fill="auto"/>
                  <w:vAlign w:val="center"/>
                </w:tcPr>
                <w:p w14:paraId="6FADE814">
                  <w:pPr>
                    <w:pStyle w:val="120"/>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20</w:t>
                  </w:r>
                </w:p>
              </w:tc>
              <w:tc>
                <w:tcPr>
                  <w:tcW w:w="258" w:type="dxa"/>
                  <w:vAlign w:val="center"/>
                </w:tcPr>
                <w:p w14:paraId="30CBC69D">
                  <w:pPr>
                    <w:autoSpaceDE w:val="0"/>
                    <w:autoSpaceDN w:val="0"/>
                    <w:spacing w:line="0" w:lineRule="atLeast"/>
                    <w:jc w:val="center"/>
                    <w:rPr>
                      <w:rFonts w:hint="default" w:ascii="Times New Roman" w:hAnsi="Times New Roman" w:cs="Times New Roman"/>
                      <w:color w:val="auto"/>
                      <w:kern w:val="0"/>
                      <w:sz w:val="18"/>
                      <w:szCs w:val="18"/>
                      <w:highlight w:val="none"/>
                      <w:lang w:eastAsia="zh-CN"/>
                    </w:rPr>
                  </w:pPr>
                  <w:r>
                    <w:rPr>
                      <w:rFonts w:hint="default" w:ascii="Times New Roman" w:hAnsi="Times New Roman" w:cs="Times New Roman"/>
                      <w:color w:val="auto"/>
                      <w:kern w:val="0"/>
                      <w:sz w:val="18"/>
                      <w:szCs w:val="18"/>
                      <w:highlight w:val="none"/>
                      <w:lang w:eastAsia="zh-CN"/>
                    </w:rPr>
                    <w:t>一般排放口</w:t>
                  </w:r>
                </w:p>
              </w:tc>
              <w:tc>
                <w:tcPr>
                  <w:tcW w:w="1413" w:type="dxa"/>
                  <w:vAlign w:val="center"/>
                </w:tcPr>
                <w:p w14:paraId="006AE017">
                  <w:pPr>
                    <w:pStyle w:val="120"/>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《水泥工业大气污染物超低排放标准》(DB13/2167-2020)</w:t>
                  </w:r>
                </w:p>
              </w:tc>
              <w:tc>
                <w:tcPr>
                  <w:tcW w:w="661" w:type="dxa"/>
                  <w:vAlign w:val="center"/>
                </w:tcPr>
                <w:p w14:paraId="7FA90423">
                  <w:pPr>
                    <w:pStyle w:val="120"/>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10</w:t>
                  </w:r>
                </w:p>
              </w:tc>
            </w:tr>
          </w:tbl>
          <w:p w14:paraId="5FAE4CD9">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cs="Times New Roman"/>
                <w:b/>
                <w:color w:val="auto"/>
                <w:sz w:val="24"/>
                <w:szCs w:val="24"/>
                <w:highlight w:val="none"/>
                <w:lang w:val="en-US" w:eastAsia="zh-CN"/>
              </w:rPr>
              <w:t>（5）</w:t>
            </w:r>
            <w:r>
              <w:rPr>
                <w:rFonts w:hint="default" w:ascii="Times New Roman" w:hAnsi="Times New Roman" w:eastAsia="宋体" w:cs="Times New Roman"/>
                <w:b/>
                <w:color w:val="auto"/>
                <w:sz w:val="24"/>
                <w:szCs w:val="24"/>
                <w:highlight w:val="none"/>
                <w:lang w:val="en-US" w:eastAsia="zh-CN"/>
              </w:rPr>
              <w:t>非正常工况分析</w:t>
            </w:r>
          </w:p>
          <w:p w14:paraId="51A69671">
            <w:pPr>
              <w:spacing w:line="360" w:lineRule="auto"/>
              <w:ind w:firstLine="480" w:firstLineChars="200"/>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非正常排放是指项目生产过程中由于开车、停车、检修、一般性事故时的污染物排放情况，本项目不涉及开车、停车、检修时段，本工程</w:t>
            </w:r>
            <w:r>
              <w:rPr>
                <w:rFonts w:hint="eastAsia" w:cs="Times New Roman"/>
                <w:color w:val="auto"/>
                <w:sz w:val="24"/>
                <w:szCs w:val="24"/>
                <w:highlight w:val="none"/>
                <w:lang w:eastAsia="zh-CN"/>
              </w:rPr>
              <w:t>涉及</w:t>
            </w:r>
            <w:r>
              <w:rPr>
                <w:rFonts w:hint="default" w:ascii="Times New Roman" w:hAnsi="Times New Roman" w:eastAsia="宋体" w:cs="Times New Roman"/>
                <w:color w:val="auto"/>
                <w:sz w:val="24"/>
                <w:szCs w:val="24"/>
                <w:highlight w:val="none"/>
                <w:lang w:eastAsia="zh-CN"/>
              </w:rPr>
              <w:t>的非正常排放原因可能为治理设施失效，导致项目产生的废气未经治理排放，非正常工况见下表4-</w:t>
            </w:r>
            <w:r>
              <w:rPr>
                <w:rFonts w:hint="default"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CN"/>
              </w:rPr>
              <w:t>。</w:t>
            </w:r>
          </w:p>
          <w:p w14:paraId="0D24F700">
            <w:pPr>
              <w:keepNext w:val="0"/>
              <w:keepLines w:val="0"/>
              <w:pageBreakBefore w:val="0"/>
              <w:widowControl w:val="0"/>
              <w:kinsoku/>
              <w:wordWrap/>
              <w:overflowPunct/>
              <w:topLinePunct w:val="0"/>
              <w:autoSpaceDE w:val="0"/>
              <w:autoSpaceDN w:val="0"/>
              <w:bidi w:val="0"/>
              <w:adjustRightInd w:val="0"/>
              <w:snapToGrid w:val="0"/>
              <w:spacing w:afterLines="0" w:line="360" w:lineRule="auto"/>
              <w:jc w:val="center"/>
              <w:textAlignment w:val="auto"/>
              <w:rPr>
                <w:rFonts w:hint="default" w:ascii="Times New Roman" w:hAnsi="Times New Roman" w:eastAsia="宋体" w:cs="Times New Roman"/>
                <w:b/>
                <w:color w:val="auto"/>
                <w:sz w:val="24"/>
                <w:szCs w:val="24"/>
                <w:highlight w:val="none"/>
                <w:lang w:eastAsia="zh-CN"/>
              </w:rPr>
            </w:pPr>
            <w:r>
              <w:rPr>
                <w:rFonts w:hint="default" w:ascii="Times New Roman" w:hAnsi="Times New Roman" w:eastAsia="宋体" w:cs="Times New Roman"/>
                <w:b/>
                <w:color w:val="auto"/>
                <w:sz w:val="24"/>
                <w:szCs w:val="24"/>
                <w:highlight w:val="none"/>
                <w:lang w:eastAsia="zh-CN"/>
              </w:rPr>
              <w:t>表4-</w:t>
            </w:r>
            <w:r>
              <w:rPr>
                <w:rFonts w:hint="default" w:ascii="Times New Roman" w:hAnsi="Times New Roman" w:cs="Times New Roman"/>
                <w:b/>
                <w:color w:val="auto"/>
                <w:sz w:val="24"/>
                <w:szCs w:val="24"/>
                <w:highlight w:val="none"/>
                <w:lang w:val="en-US" w:eastAsia="zh-CN"/>
              </w:rPr>
              <w:t>6</w:t>
            </w:r>
            <w:r>
              <w:rPr>
                <w:rFonts w:hint="default" w:ascii="Times New Roman" w:hAnsi="Times New Roman" w:eastAsia="宋体" w:cs="Times New Roman"/>
                <w:b/>
                <w:color w:val="auto"/>
                <w:sz w:val="24"/>
                <w:szCs w:val="24"/>
                <w:highlight w:val="none"/>
                <w:lang w:eastAsia="zh-CN"/>
              </w:rPr>
              <w:t xml:space="preserve">  非正常工况排放统计结果表</w:t>
            </w:r>
          </w:p>
          <w:tbl>
            <w:tblPr>
              <w:tblStyle w:val="4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930"/>
              <w:gridCol w:w="1002"/>
              <w:gridCol w:w="1005"/>
              <w:gridCol w:w="1102"/>
              <w:gridCol w:w="761"/>
              <w:gridCol w:w="892"/>
              <w:gridCol w:w="1355"/>
            </w:tblGrid>
            <w:tr w14:paraId="1693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pct"/>
                  <w:noWrap w:val="0"/>
                  <w:tcMar>
                    <w:left w:w="28" w:type="dxa"/>
                    <w:right w:w="28" w:type="dxa"/>
                  </w:tcMar>
                  <w:vAlign w:val="center"/>
                </w:tcPr>
                <w:p w14:paraId="6DC311A7">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非正常工况</w:t>
                  </w:r>
                </w:p>
              </w:tc>
              <w:tc>
                <w:tcPr>
                  <w:tcW w:w="556" w:type="pct"/>
                  <w:noWrap w:val="0"/>
                  <w:tcMar>
                    <w:left w:w="28" w:type="dxa"/>
                    <w:right w:w="28" w:type="dxa"/>
                  </w:tcMar>
                  <w:vAlign w:val="center"/>
                </w:tcPr>
                <w:p w14:paraId="2BFCCA0E">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排气筒</w:t>
                  </w:r>
                </w:p>
              </w:tc>
              <w:tc>
                <w:tcPr>
                  <w:tcW w:w="599" w:type="pct"/>
                  <w:noWrap w:val="0"/>
                  <w:tcMar>
                    <w:left w:w="28" w:type="dxa"/>
                    <w:right w:w="28" w:type="dxa"/>
                  </w:tcMar>
                  <w:vAlign w:val="center"/>
                </w:tcPr>
                <w:p w14:paraId="5C4804E4">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发生频次</w:t>
                  </w:r>
                </w:p>
              </w:tc>
              <w:tc>
                <w:tcPr>
                  <w:tcW w:w="601" w:type="pct"/>
                  <w:noWrap w:val="0"/>
                  <w:tcMar>
                    <w:left w:w="28" w:type="dxa"/>
                    <w:right w:w="28" w:type="dxa"/>
                  </w:tcMar>
                  <w:vAlign w:val="center"/>
                </w:tcPr>
                <w:p w14:paraId="078509E2">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污染物</w:t>
                  </w:r>
                </w:p>
              </w:tc>
              <w:tc>
                <w:tcPr>
                  <w:tcW w:w="659" w:type="pct"/>
                  <w:noWrap w:val="0"/>
                  <w:tcMar>
                    <w:left w:w="28" w:type="dxa"/>
                    <w:right w:w="28" w:type="dxa"/>
                  </w:tcMar>
                  <w:vAlign w:val="center"/>
                </w:tcPr>
                <w:p w14:paraId="36CEF35D">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排放浓度</w:t>
                  </w:r>
                </w:p>
                <w:p w14:paraId="65E67AA4">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mg/m</w:t>
                  </w:r>
                  <w:r>
                    <w:rPr>
                      <w:rFonts w:hint="default" w:ascii="Times New Roman" w:hAnsi="Times New Roman" w:eastAsia="宋体" w:cs="Times New Roman"/>
                      <w:b/>
                      <w:color w:val="auto"/>
                      <w:sz w:val="21"/>
                      <w:szCs w:val="21"/>
                      <w:highlight w:val="none"/>
                      <w:vertAlign w:val="superscript"/>
                      <w:lang w:eastAsia="zh-CN" w:bidi="ar"/>
                    </w:rPr>
                    <w:t>3</w:t>
                  </w:r>
                </w:p>
              </w:tc>
              <w:tc>
                <w:tcPr>
                  <w:tcW w:w="455" w:type="pct"/>
                  <w:noWrap w:val="0"/>
                  <w:tcMar>
                    <w:left w:w="28" w:type="dxa"/>
                    <w:right w:w="28" w:type="dxa"/>
                  </w:tcMar>
                  <w:vAlign w:val="center"/>
                </w:tcPr>
                <w:p w14:paraId="18A21DB0">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持续时间</w:t>
                  </w:r>
                </w:p>
              </w:tc>
              <w:tc>
                <w:tcPr>
                  <w:tcW w:w="533" w:type="pct"/>
                  <w:noWrap w:val="0"/>
                  <w:tcMar>
                    <w:left w:w="28" w:type="dxa"/>
                    <w:right w:w="28" w:type="dxa"/>
                  </w:tcMar>
                  <w:vAlign w:val="center"/>
                </w:tcPr>
                <w:p w14:paraId="391BD690">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排放量</w:t>
                  </w:r>
                </w:p>
                <w:p w14:paraId="681F6986">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kg/h</w:t>
                  </w:r>
                </w:p>
              </w:tc>
              <w:tc>
                <w:tcPr>
                  <w:tcW w:w="810" w:type="pct"/>
                  <w:noWrap w:val="0"/>
                  <w:tcMar>
                    <w:left w:w="28" w:type="dxa"/>
                    <w:right w:w="28" w:type="dxa"/>
                  </w:tcMar>
                  <w:vAlign w:val="center"/>
                </w:tcPr>
                <w:p w14:paraId="469FD513">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措施</w:t>
                  </w:r>
                </w:p>
              </w:tc>
            </w:tr>
            <w:tr w14:paraId="30A7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783" w:type="pct"/>
                  <w:noWrap w:val="0"/>
                  <w:tcMar>
                    <w:left w:w="28" w:type="dxa"/>
                    <w:right w:w="28" w:type="dxa"/>
                  </w:tcMar>
                  <w:vAlign w:val="center"/>
                </w:tcPr>
                <w:p w14:paraId="3AFD73A6">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cs="Times New Roman"/>
                      <w:color w:val="auto"/>
                      <w:sz w:val="21"/>
                      <w:szCs w:val="21"/>
                      <w:highlight w:val="none"/>
                      <w:lang w:eastAsia="zh-CN" w:bidi="ar"/>
                    </w:rPr>
                    <w:t>布袋除尘器</w:t>
                  </w:r>
                  <w:r>
                    <w:rPr>
                      <w:rFonts w:hint="default" w:ascii="Times New Roman" w:hAnsi="Times New Roman" w:eastAsia="宋体" w:cs="Times New Roman"/>
                      <w:color w:val="auto"/>
                      <w:sz w:val="21"/>
                      <w:szCs w:val="21"/>
                      <w:highlight w:val="none"/>
                      <w:lang w:eastAsia="zh-CN" w:bidi="ar"/>
                    </w:rPr>
                    <w:t>故障，处理效率降低为0</w:t>
                  </w:r>
                </w:p>
              </w:tc>
              <w:tc>
                <w:tcPr>
                  <w:tcW w:w="556" w:type="pct"/>
                  <w:noWrap w:val="0"/>
                  <w:tcMar>
                    <w:left w:w="28" w:type="dxa"/>
                    <w:right w:w="28" w:type="dxa"/>
                  </w:tcMar>
                  <w:vAlign w:val="center"/>
                </w:tcPr>
                <w:p w14:paraId="014955DB">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DA001</w:t>
                  </w:r>
                </w:p>
              </w:tc>
              <w:tc>
                <w:tcPr>
                  <w:tcW w:w="599" w:type="pct"/>
                  <w:noWrap w:val="0"/>
                  <w:tcMar>
                    <w:left w:w="28" w:type="dxa"/>
                    <w:right w:w="28" w:type="dxa"/>
                  </w:tcMar>
                  <w:vAlign w:val="center"/>
                </w:tcPr>
                <w:p w14:paraId="77E919B3">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1次/年</w:t>
                  </w:r>
                </w:p>
              </w:tc>
              <w:tc>
                <w:tcPr>
                  <w:tcW w:w="601" w:type="pct"/>
                  <w:noWrap w:val="0"/>
                  <w:tcMar>
                    <w:left w:w="28" w:type="dxa"/>
                    <w:right w:w="28" w:type="dxa"/>
                  </w:tcMar>
                  <w:vAlign w:val="center"/>
                </w:tcPr>
                <w:p w14:paraId="35E57B23">
                  <w:pPr>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颗粒物</w:t>
                  </w:r>
                </w:p>
              </w:tc>
              <w:tc>
                <w:tcPr>
                  <w:tcW w:w="659" w:type="pct"/>
                  <w:noWrap w:val="0"/>
                  <w:tcMar>
                    <w:left w:w="28" w:type="dxa"/>
                    <w:right w:w="28" w:type="dxa"/>
                  </w:tcMar>
                  <w:vAlign w:val="center"/>
                </w:tcPr>
                <w:p w14:paraId="37CD2DA7">
                  <w:pPr>
                    <w:jc w:val="center"/>
                    <w:rPr>
                      <w:rFonts w:hint="default" w:ascii="Times New Roman" w:hAnsi="Times New Roman" w:eastAsia="宋体" w:cs="Times New Roman"/>
                      <w:color w:val="auto"/>
                      <w:sz w:val="21"/>
                      <w:szCs w:val="21"/>
                      <w:highlight w:val="none"/>
                      <w:lang w:val="en-US" w:eastAsia="zh-CN" w:bidi="ar"/>
                    </w:rPr>
                  </w:pPr>
                  <w:r>
                    <w:rPr>
                      <w:rFonts w:hint="eastAsia" w:cs="Times New Roman"/>
                      <w:color w:val="auto"/>
                      <w:sz w:val="21"/>
                      <w:szCs w:val="21"/>
                      <w:highlight w:val="none"/>
                      <w:lang w:val="en-US" w:eastAsia="zh-CN" w:bidi="ar"/>
                    </w:rPr>
                    <w:t>2306.54</w:t>
                  </w:r>
                </w:p>
              </w:tc>
              <w:tc>
                <w:tcPr>
                  <w:tcW w:w="455" w:type="pct"/>
                  <w:noWrap w:val="0"/>
                  <w:tcMar>
                    <w:left w:w="28" w:type="dxa"/>
                    <w:right w:w="28" w:type="dxa"/>
                  </w:tcMar>
                  <w:vAlign w:val="center"/>
                </w:tcPr>
                <w:p w14:paraId="629EC78A">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小于30min</w:t>
                  </w:r>
                </w:p>
              </w:tc>
              <w:tc>
                <w:tcPr>
                  <w:tcW w:w="533" w:type="pct"/>
                  <w:noWrap w:val="0"/>
                  <w:tcMar>
                    <w:left w:w="28" w:type="dxa"/>
                    <w:right w:w="28" w:type="dxa"/>
                  </w:tcMar>
                  <w:vAlign w:val="center"/>
                </w:tcPr>
                <w:p w14:paraId="3EF634E2">
                  <w:pPr>
                    <w:jc w:val="center"/>
                    <w:rPr>
                      <w:rFonts w:hint="default" w:ascii="Times New Roman" w:hAnsi="Times New Roman" w:eastAsia="宋体" w:cs="Times New Roman"/>
                      <w:color w:val="auto"/>
                      <w:sz w:val="21"/>
                      <w:szCs w:val="21"/>
                      <w:highlight w:val="none"/>
                      <w:lang w:val="en-US" w:eastAsia="zh-CN" w:bidi="ar"/>
                    </w:rPr>
                  </w:pPr>
                  <w:r>
                    <w:rPr>
                      <w:rFonts w:hint="eastAsia" w:cs="Times New Roman"/>
                      <w:color w:val="auto"/>
                      <w:sz w:val="21"/>
                      <w:szCs w:val="21"/>
                      <w:highlight w:val="none"/>
                      <w:lang w:val="en-US" w:eastAsia="zh-CN" w:bidi="ar"/>
                    </w:rPr>
                    <w:t>11.533</w:t>
                  </w:r>
                </w:p>
              </w:tc>
              <w:tc>
                <w:tcPr>
                  <w:tcW w:w="810" w:type="pct"/>
                  <w:noWrap w:val="0"/>
                  <w:tcMar>
                    <w:left w:w="28" w:type="dxa"/>
                    <w:right w:w="28" w:type="dxa"/>
                  </w:tcMar>
                  <w:vAlign w:val="center"/>
                </w:tcPr>
                <w:p w14:paraId="080B80AB">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立即停产检修，加强日常维护和检查</w:t>
                  </w:r>
                </w:p>
              </w:tc>
            </w:tr>
          </w:tbl>
          <w:p w14:paraId="4C232457">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auto"/>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cs="Times New Roman"/>
                <w:b/>
                <w:color w:val="auto"/>
                <w:sz w:val="24"/>
                <w:szCs w:val="24"/>
                <w:highlight w:val="none"/>
                <w:lang w:val="en-US" w:eastAsia="zh-CN"/>
              </w:rPr>
              <w:t>（6）</w:t>
            </w:r>
            <w:r>
              <w:rPr>
                <w:rFonts w:hint="default" w:ascii="Times New Roman" w:hAnsi="Times New Roman" w:eastAsia="宋体" w:cs="Times New Roman"/>
                <w:b/>
                <w:color w:val="auto"/>
                <w:sz w:val="24"/>
                <w:szCs w:val="24"/>
                <w:highlight w:val="none"/>
                <w:lang w:val="en-US" w:eastAsia="zh-CN"/>
              </w:rPr>
              <w:t>监测计划</w:t>
            </w:r>
          </w:p>
          <w:p w14:paraId="78EC5FB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lang w:eastAsia="zh-CN" w:bidi="ar"/>
              </w:rPr>
            </w:pPr>
            <w:r>
              <w:rPr>
                <w:rFonts w:hint="default" w:ascii="Times New Roman" w:hAnsi="Times New Roman" w:eastAsia="宋体" w:cs="Times New Roman"/>
                <w:color w:val="auto"/>
                <w:sz w:val="24"/>
                <w:szCs w:val="24"/>
                <w:highlight w:val="none"/>
              </w:rPr>
              <w:t>根据《排污单位自行监测技术指南 总则》（HJ819-2017）</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 xml:space="preserve">排污单位自行监测技术指南 </w:t>
            </w:r>
            <w:r>
              <w:rPr>
                <w:rFonts w:hint="default" w:ascii="Times New Roman" w:hAnsi="Times New Roman" w:eastAsia="宋体" w:cs="Times New Roman"/>
                <w:color w:val="auto"/>
                <w:sz w:val="24"/>
                <w:szCs w:val="24"/>
                <w:highlight w:val="none"/>
                <w:lang w:val="en-US" w:eastAsia="zh-CN"/>
              </w:rPr>
              <w:t>水泥工业</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HJ848-2017</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 xml:space="preserve">排污单位自行监测技术指南 </w:t>
            </w:r>
            <w:r>
              <w:rPr>
                <w:rFonts w:hint="default" w:ascii="Times New Roman" w:hAnsi="Times New Roman" w:eastAsia="宋体" w:cs="Times New Roman"/>
                <w:color w:val="auto"/>
                <w:sz w:val="24"/>
                <w:szCs w:val="24"/>
                <w:highlight w:val="none"/>
                <w:lang w:val="en-US" w:eastAsia="zh-CN"/>
              </w:rPr>
              <w:t>陶瓷工业</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HJ1255-2022</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w w:val="100"/>
                <w:sz w:val="24"/>
                <w:szCs w:val="24"/>
                <w:highlight w:val="none"/>
                <w:vertAlign w:val="baseline"/>
                <w:lang w:val="en-US" w:eastAsia="zh-CN"/>
              </w:rPr>
              <w:t>，</w:t>
            </w:r>
            <w:r>
              <w:rPr>
                <w:rFonts w:hint="default" w:ascii="Times New Roman" w:hAnsi="Times New Roman" w:eastAsia="宋体" w:cs="Times New Roman"/>
                <w:color w:val="auto"/>
                <w:sz w:val="24"/>
                <w:szCs w:val="24"/>
                <w:highlight w:val="none"/>
                <w:lang w:eastAsia="zh-CN" w:bidi="ar"/>
              </w:rPr>
              <w:t>对废气的日常监测要求详见下表4-</w:t>
            </w:r>
            <w:r>
              <w:rPr>
                <w:rFonts w:hint="default" w:ascii="Times New Roman" w:hAnsi="Times New Roman" w:cs="Times New Roman"/>
                <w:color w:val="auto"/>
                <w:sz w:val="24"/>
                <w:szCs w:val="24"/>
                <w:highlight w:val="none"/>
                <w:lang w:val="en-US" w:eastAsia="zh-CN" w:bidi="ar"/>
              </w:rPr>
              <w:t>7</w:t>
            </w:r>
            <w:r>
              <w:rPr>
                <w:rFonts w:hint="default" w:ascii="Times New Roman" w:hAnsi="Times New Roman" w:eastAsia="宋体" w:cs="Times New Roman"/>
                <w:color w:val="auto"/>
                <w:sz w:val="24"/>
                <w:szCs w:val="24"/>
                <w:highlight w:val="none"/>
                <w:lang w:eastAsia="zh-CN" w:bidi="ar"/>
              </w:rPr>
              <w:t>。</w:t>
            </w:r>
          </w:p>
          <w:p w14:paraId="57ABD971">
            <w:pPr>
              <w:keepNext w:val="0"/>
              <w:keepLines w:val="0"/>
              <w:pageBreakBefore w:val="0"/>
              <w:widowControl w:val="0"/>
              <w:kinsoku/>
              <w:wordWrap/>
              <w:overflowPunct/>
              <w:topLinePunct w:val="0"/>
              <w:autoSpaceDE w:val="0"/>
              <w:autoSpaceDN w:val="0"/>
              <w:bidi w:val="0"/>
              <w:adjustRightInd w:val="0"/>
              <w:snapToGrid w:val="0"/>
              <w:spacing w:afterLines="0" w:line="360" w:lineRule="auto"/>
              <w:jc w:val="center"/>
              <w:textAlignment w:val="auto"/>
              <w:rPr>
                <w:rFonts w:hint="default" w:ascii="Times New Roman" w:hAnsi="Times New Roman" w:eastAsia="宋体" w:cs="Times New Roman"/>
                <w:b/>
                <w:color w:val="auto"/>
                <w:sz w:val="24"/>
                <w:szCs w:val="24"/>
                <w:highlight w:val="none"/>
                <w:lang w:eastAsia="zh-CN"/>
              </w:rPr>
            </w:pPr>
            <w:r>
              <w:rPr>
                <w:rFonts w:hint="default" w:ascii="Times New Roman" w:hAnsi="Times New Roman" w:eastAsia="宋体" w:cs="Times New Roman"/>
                <w:b/>
                <w:color w:val="auto"/>
                <w:sz w:val="24"/>
                <w:szCs w:val="24"/>
                <w:highlight w:val="none"/>
                <w:lang w:eastAsia="zh-CN"/>
              </w:rPr>
              <w:t>表4-</w:t>
            </w:r>
            <w:r>
              <w:rPr>
                <w:rFonts w:hint="default" w:ascii="Times New Roman" w:hAnsi="Times New Roman" w:cs="Times New Roman"/>
                <w:b/>
                <w:color w:val="auto"/>
                <w:sz w:val="24"/>
                <w:szCs w:val="24"/>
                <w:highlight w:val="none"/>
                <w:lang w:val="en-US" w:eastAsia="zh-CN"/>
              </w:rPr>
              <w:t>7</w:t>
            </w:r>
            <w:r>
              <w:rPr>
                <w:rFonts w:hint="default" w:ascii="Times New Roman" w:hAnsi="Times New Roman" w:eastAsia="宋体" w:cs="Times New Roman"/>
                <w:b/>
                <w:color w:val="auto"/>
                <w:sz w:val="24"/>
                <w:szCs w:val="24"/>
                <w:highlight w:val="none"/>
                <w:lang w:eastAsia="zh-CN"/>
              </w:rPr>
              <w:t xml:space="preserve">  废气污染源</w:t>
            </w:r>
            <w:r>
              <w:rPr>
                <w:rFonts w:hint="default" w:ascii="Times New Roman" w:hAnsi="Times New Roman" w:eastAsia="宋体" w:cs="Times New Roman"/>
                <w:b/>
                <w:color w:val="auto"/>
                <w:sz w:val="24"/>
                <w:szCs w:val="24"/>
                <w:highlight w:val="none"/>
                <w:lang w:val="en-US" w:eastAsia="zh-CN"/>
              </w:rPr>
              <w:t>监测</w:t>
            </w:r>
            <w:r>
              <w:rPr>
                <w:rFonts w:hint="default" w:ascii="Times New Roman" w:hAnsi="Times New Roman" w:eastAsia="宋体" w:cs="Times New Roman"/>
                <w:b/>
                <w:color w:val="auto"/>
                <w:sz w:val="24"/>
                <w:szCs w:val="24"/>
                <w:highlight w:val="none"/>
                <w:lang w:eastAsia="zh-CN"/>
              </w:rPr>
              <w:t>计划一览表</w:t>
            </w:r>
          </w:p>
          <w:tbl>
            <w:tblPr>
              <w:tblStyle w:val="41"/>
              <w:tblW w:w="83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720"/>
              <w:gridCol w:w="1140"/>
              <w:gridCol w:w="1153"/>
              <w:gridCol w:w="992"/>
              <w:gridCol w:w="3628"/>
            </w:tblGrid>
            <w:tr w14:paraId="2D4E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9" w:type="dxa"/>
                  <w:noWrap w:val="0"/>
                  <w:tcMar>
                    <w:left w:w="28" w:type="dxa"/>
                    <w:right w:w="28" w:type="dxa"/>
                  </w:tcMar>
                  <w:vAlign w:val="center"/>
                </w:tcPr>
                <w:p w14:paraId="76416943">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类别</w:t>
                  </w:r>
                </w:p>
              </w:tc>
              <w:tc>
                <w:tcPr>
                  <w:tcW w:w="720" w:type="dxa"/>
                  <w:noWrap w:val="0"/>
                  <w:tcMar>
                    <w:left w:w="28" w:type="dxa"/>
                    <w:right w:w="28" w:type="dxa"/>
                  </w:tcMar>
                  <w:vAlign w:val="center"/>
                </w:tcPr>
                <w:p w14:paraId="7E7522F5">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编号</w:t>
                  </w:r>
                </w:p>
              </w:tc>
              <w:tc>
                <w:tcPr>
                  <w:tcW w:w="1140" w:type="dxa"/>
                  <w:noWrap w:val="0"/>
                  <w:tcMar>
                    <w:left w:w="28" w:type="dxa"/>
                    <w:right w:w="28" w:type="dxa"/>
                  </w:tcMar>
                  <w:vAlign w:val="center"/>
                </w:tcPr>
                <w:p w14:paraId="74D67045">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监测位置</w:t>
                  </w:r>
                </w:p>
              </w:tc>
              <w:tc>
                <w:tcPr>
                  <w:tcW w:w="1153" w:type="dxa"/>
                  <w:noWrap w:val="0"/>
                  <w:tcMar>
                    <w:left w:w="28" w:type="dxa"/>
                    <w:right w:w="28" w:type="dxa"/>
                  </w:tcMar>
                  <w:vAlign w:val="center"/>
                </w:tcPr>
                <w:p w14:paraId="67CA5ACF">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监测因子</w:t>
                  </w:r>
                </w:p>
              </w:tc>
              <w:tc>
                <w:tcPr>
                  <w:tcW w:w="992" w:type="dxa"/>
                  <w:noWrap w:val="0"/>
                  <w:tcMar>
                    <w:left w:w="28" w:type="dxa"/>
                    <w:right w:w="28" w:type="dxa"/>
                  </w:tcMar>
                  <w:vAlign w:val="center"/>
                </w:tcPr>
                <w:p w14:paraId="2B77E91C">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监测频率</w:t>
                  </w:r>
                </w:p>
              </w:tc>
              <w:tc>
                <w:tcPr>
                  <w:tcW w:w="3628" w:type="dxa"/>
                  <w:noWrap w:val="0"/>
                  <w:tcMar>
                    <w:left w:w="28" w:type="dxa"/>
                    <w:right w:w="28" w:type="dxa"/>
                  </w:tcMar>
                  <w:vAlign w:val="center"/>
                </w:tcPr>
                <w:p w14:paraId="6725D4A3">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执行标准</w:t>
                  </w:r>
                </w:p>
              </w:tc>
            </w:tr>
            <w:tr w14:paraId="0246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29" w:type="dxa"/>
                  <w:noWrap w:val="0"/>
                  <w:tcMar>
                    <w:left w:w="28" w:type="dxa"/>
                    <w:right w:w="28" w:type="dxa"/>
                  </w:tcMar>
                  <w:vAlign w:val="center"/>
                </w:tcPr>
                <w:p w14:paraId="09817D3C">
                  <w:pPr>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有组织</w:t>
                  </w:r>
                </w:p>
              </w:tc>
              <w:tc>
                <w:tcPr>
                  <w:tcW w:w="720" w:type="dxa"/>
                  <w:noWrap w:val="0"/>
                  <w:tcMar>
                    <w:left w:w="28" w:type="dxa"/>
                    <w:right w:w="28" w:type="dxa"/>
                  </w:tcMar>
                  <w:vAlign w:val="center"/>
                </w:tcPr>
                <w:p w14:paraId="0EC8ADD3">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DA00</w:t>
                  </w:r>
                  <w:r>
                    <w:rPr>
                      <w:rFonts w:hint="default" w:ascii="Times New Roman" w:hAnsi="Times New Roman" w:eastAsia="宋体" w:cs="Times New Roman"/>
                      <w:color w:val="auto"/>
                      <w:sz w:val="21"/>
                      <w:szCs w:val="21"/>
                      <w:highlight w:val="none"/>
                      <w:lang w:val="en-US" w:eastAsia="zh-CN" w:bidi="ar"/>
                    </w:rPr>
                    <w:t>1</w:t>
                  </w:r>
                </w:p>
              </w:tc>
              <w:tc>
                <w:tcPr>
                  <w:tcW w:w="1140" w:type="dxa"/>
                  <w:noWrap w:val="0"/>
                  <w:tcMar>
                    <w:left w:w="28" w:type="dxa"/>
                    <w:right w:w="28" w:type="dxa"/>
                  </w:tcMar>
                  <w:vAlign w:val="center"/>
                </w:tcPr>
                <w:p w14:paraId="775A981A">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排气筒</w:t>
                  </w:r>
                </w:p>
              </w:tc>
              <w:tc>
                <w:tcPr>
                  <w:tcW w:w="1153" w:type="dxa"/>
                  <w:noWrap w:val="0"/>
                  <w:tcMar>
                    <w:left w:w="28" w:type="dxa"/>
                    <w:right w:w="28" w:type="dxa"/>
                  </w:tcMar>
                  <w:vAlign w:val="center"/>
                </w:tcPr>
                <w:p w14:paraId="2B9C0C67">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val="en-US" w:eastAsia="zh-CN" w:bidi="ar"/>
                    </w:rPr>
                    <w:t>颗粒物</w:t>
                  </w:r>
                </w:p>
              </w:tc>
              <w:tc>
                <w:tcPr>
                  <w:tcW w:w="992" w:type="dxa"/>
                  <w:noWrap w:val="0"/>
                  <w:tcMar>
                    <w:left w:w="28" w:type="dxa"/>
                    <w:right w:w="28" w:type="dxa"/>
                  </w:tcMar>
                  <w:vAlign w:val="center"/>
                </w:tcPr>
                <w:p w14:paraId="3C860DC4">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1次/年</w:t>
                  </w:r>
                </w:p>
              </w:tc>
              <w:tc>
                <w:tcPr>
                  <w:tcW w:w="3628" w:type="dxa"/>
                  <w:noWrap w:val="0"/>
                  <w:tcMar>
                    <w:left w:w="28" w:type="dxa"/>
                    <w:right w:w="28" w:type="dxa"/>
                  </w:tcMar>
                  <w:vAlign w:val="center"/>
                </w:tcPr>
                <w:p w14:paraId="138BB60F">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val="en-US" w:eastAsia="zh-CN" w:bidi="ar"/>
                    </w:rPr>
                    <w:t>《水泥工业大气污染物超低排放标准》(DB13/2167-2020)中表1水泥制品生产大气污染物最高允许排放浓度</w:t>
                  </w:r>
                </w:p>
              </w:tc>
            </w:tr>
            <w:tr w14:paraId="2C5F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9" w:type="dxa"/>
                  <w:noWrap w:val="0"/>
                  <w:tcMar>
                    <w:left w:w="28" w:type="dxa"/>
                    <w:right w:w="28" w:type="dxa"/>
                  </w:tcMar>
                  <w:vAlign w:val="center"/>
                </w:tcPr>
                <w:p w14:paraId="7A288C66">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无组织</w:t>
                  </w:r>
                </w:p>
              </w:tc>
              <w:tc>
                <w:tcPr>
                  <w:tcW w:w="720" w:type="dxa"/>
                  <w:noWrap w:val="0"/>
                  <w:tcMar>
                    <w:left w:w="28" w:type="dxa"/>
                    <w:right w:w="28" w:type="dxa"/>
                  </w:tcMar>
                  <w:vAlign w:val="center"/>
                </w:tcPr>
                <w:p w14:paraId="7E9FB4D0">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w:t>
                  </w:r>
                </w:p>
              </w:tc>
              <w:tc>
                <w:tcPr>
                  <w:tcW w:w="1140" w:type="dxa"/>
                  <w:noWrap w:val="0"/>
                  <w:tcMar>
                    <w:left w:w="28" w:type="dxa"/>
                    <w:right w:w="28" w:type="dxa"/>
                  </w:tcMar>
                  <w:vAlign w:val="center"/>
                </w:tcPr>
                <w:p w14:paraId="28B7956B">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rPr>
                    <w:t>厂界</w:t>
                  </w:r>
                </w:p>
              </w:tc>
              <w:tc>
                <w:tcPr>
                  <w:tcW w:w="1153" w:type="dxa"/>
                  <w:noWrap w:val="0"/>
                  <w:tcMar>
                    <w:left w:w="28" w:type="dxa"/>
                    <w:right w:w="28" w:type="dxa"/>
                  </w:tcMar>
                  <w:vAlign w:val="center"/>
                </w:tcPr>
                <w:p w14:paraId="1C563527">
                  <w:pPr>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颗粒物</w:t>
                  </w:r>
                </w:p>
              </w:tc>
              <w:tc>
                <w:tcPr>
                  <w:tcW w:w="992" w:type="dxa"/>
                  <w:noWrap w:val="0"/>
                  <w:tcMar>
                    <w:left w:w="28" w:type="dxa"/>
                    <w:right w:w="28" w:type="dxa"/>
                  </w:tcMar>
                  <w:vAlign w:val="center"/>
                </w:tcPr>
                <w:p w14:paraId="14F69222">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1次/季度</w:t>
                  </w:r>
                </w:p>
              </w:tc>
              <w:tc>
                <w:tcPr>
                  <w:tcW w:w="3628" w:type="dxa"/>
                  <w:noWrap w:val="0"/>
                  <w:tcMar>
                    <w:left w:w="28" w:type="dxa"/>
                    <w:right w:w="28" w:type="dxa"/>
                  </w:tcMar>
                  <w:vAlign w:val="center"/>
                </w:tcPr>
                <w:p w14:paraId="0810983E">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《水泥工业大气污染物超低排放标准》（DB13/2167-2020）表2大气污染物无组织排放限值</w:t>
                  </w:r>
                </w:p>
              </w:tc>
            </w:tr>
          </w:tbl>
          <w:p w14:paraId="5BF5A38F">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bCs/>
                <w:snapToGrid w:val="0"/>
                <w:color w:val="auto"/>
                <w:kern w:val="0"/>
                <w:sz w:val="24"/>
                <w:szCs w:val="24"/>
                <w:highlight w:val="none"/>
                <w:lang w:eastAsia="zh-CN"/>
              </w:rPr>
            </w:pPr>
            <w:r>
              <w:rPr>
                <w:rFonts w:hint="default" w:ascii="Times New Roman" w:hAnsi="Times New Roman" w:cs="Times New Roman"/>
                <w:b/>
                <w:bCs/>
                <w:snapToGrid w:val="0"/>
                <w:color w:val="auto"/>
                <w:kern w:val="0"/>
                <w:sz w:val="24"/>
                <w:szCs w:val="24"/>
                <w:highlight w:val="none"/>
                <w:lang w:val="en-US" w:eastAsia="zh-CN"/>
              </w:rPr>
              <w:t>2</w:t>
            </w:r>
            <w:r>
              <w:rPr>
                <w:rFonts w:hint="default" w:ascii="Times New Roman" w:hAnsi="Times New Roman" w:eastAsia="宋体" w:cs="Times New Roman"/>
                <w:b/>
                <w:bCs/>
                <w:snapToGrid w:val="0"/>
                <w:color w:val="auto"/>
                <w:kern w:val="0"/>
                <w:sz w:val="24"/>
                <w:szCs w:val="24"/>
                <w:highlight w:val="none"/>
                <w:lang w:eastAsia="zh-CN"/>
              </w:rPr>
              <w:t>、废水</w:t>
            </w:r>
          </w:p>
          <w:p w14:paraId="75085C04">
            <w:pPr>
              <w:keepNext w:val="0"/>
              <w:keepLines w:val="0"/>
              <w:pageBreakBefore w:val="0"/>
              <w:kinsoku/>
              <w:wordWrap/>
              <w:overflowPunct/>
              <w:topLinePunct w:val="0"/>
              <w:autoSpaceDE w:val="0"/>
              <w:autoSpaceDN w:val="0"/>
              <w:bidi w:val="0"/>
              <w:adjustRightInd w:val="0"/>
              <w:spacing w:line="480" w:lineRule="exact"/>
              <w:ind w:firstLine="480" w:firstLineChars="200"/>
              <w:jc w:val="left"/>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本项目搅拌用水</w:t>
            </w:r>
            <w:r>
              <w:rPr>
                <w:rFonts w:hint="default" w:ascii="Times New Roman" w:hAnsi="Times New Roman" w:eastAsia="宋体" w:cs="Times New Roman"/>
                <w:color w:val="auto"/>
                <w:sz w:val="24"/>
                <w:szCs w:val="24"/>
                <w:highlight w:val="none"/>
                <w:lang w:eastAsia="zh-CN"/>
              </w:rPr>
              <w:t>全部</w:t>
            </w:r>
            <w:r>
              <w:rPr>
                <w:rFonts w:hint="default" w:ascii="Times New Roman" w:hAnsi="Times New Roman" w:eastAsia="宋体" w:cs="Times New Roman"/>
                <w:color w:val="auto"/>
                <w:sz w:val="24"/>
                <w:szCs w:val="24"/>
                <w:highlight w:val="none"/>
              </w:rPr>
              <w:t>进入产品，无废水产生</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车辆</w:t>
            </w:r>
            <w:r>
              <w:rPr>
                <w:rFonts w:hint="default" w:ascii="Times New Roman" w:hAnsi="Times New Roman" w:cs="Times New Roman"/>
                <w:color w:val="auto"/>
                <w:sz w:val="24"/>
                <w:szCs w:val="24"/>
                <w:highlight w:val="none"/>
                <w:lang w:eastAsia="zh-CN"/>
              </w:rPr>
              <w:t>冲洗</w:t>
            </w:r>
            <w:r>
              <w:rPr>
                <w:rFonts w:hint="default" w:ascii="Times New Roman" w:hAnsi="Times New Roman" w:eastAsia="宋体" w:cs="Times New Roman"/>
                <w:color w:val="auto"/>
                <w:sz w:val="24"/>
                <w:szCs w:val="24"/>
                <w:highlight w:val="none"/>
              </w:rPr>
              <w:t>水经厂区内沉淀池处理后循环利用，主要污染物为SS，不外排</w:t>
            </w:r>
            <w:r>
              <w:rPr>
                <w:rFonts w:hint="default" w:ascii="Times New Roman" w:hAnsi="Times New Roman" w:eastAsia="宋体" w:cs="Times New Roman"/>
                <w:color w:val="auto"/>
                <w:sz w:val="24"/>
                <w:szCs w:val="24"/>
                <w:highlight w:val="none"/>
                <w:lang w:eastAsia="zh-CN"/>
              </w:rPr>
              <w:t>；模具冲洗</w:t>
            </w:r>
            <w:r>
              <w:rPr>
                <w:rFonts w:hint="default" w:ascii="Times New Roman" w:hAnsi="Times New Roman" w:eastAsia="宋体" w:cs="Times New Roman"/>
                <w:color w:val="auto"/>
                <w:sz w:val="24"/>
                <w:szCs w:val="24"/>
                <w:highlight w:val="none"/>
              </w:rPr>
              <w:t>水经厂区内沉淀池处理后循环利用，主要污染物为SS，不外排</w:t>
            </w:r>
            <w:r>
              <w:rPr>
                <w:rFonts w:hint="default" w:ascii="Times New Roman" w:hAnsi="Times New Roman" w:eastAsia="宋体" w:cs="Times New Roman"/>
                <w:color w:val="auto"/>
                <w:sz w:val="24"/>
                <w:szCs w:val="24"/>
                <w:highlight w:val="none"/>
                <w:lang w:eastAsia="zh-CN"/>
              </w:rPr>
              <w:t>。</w:t>
            </w:r>
          </w:p>
          <w:p w14:paraId="69D1ED53">
            <w:pPr>
              <w:keepNext w:val="0"/>
              <w:keepLines w:val="0"/>
              <w:pageBreakBefore w:val="0"/>
              <w:kinsoku/>
              <w:wordWrap/>
              <w:overflowPunct/>
              <w:topLinePunct w:val="0"/>
              <w:bidi w:val="0"/>
              <w:snapToGrid w:val="0"/>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szCs w:val="24"/>
                <w:highlight w:val="none"/>
                <w:lang w:eastAsia="zh-CN"/>
              </w:rPr>
              <w:t>本</w:t>
            </w:r>
            <w:r>
              <w:rPr>
                <w:rFonts w:hint="default" w:ascii="Times New Roman" w:hAnsi="Times New Roman" w:eastAsia="宋体" w:cs="Times New Roman"/>
                <w:color w:val="auto"/>
                <w:sz w:val="24"/>
                <w:szCs w:val="24"/>
                <w:highlight w:val="none"/>
              </w:rPr>
              <w:t>项目</w:t>
            </w:r>
            <w:r>
              <w:rPr>
                <w:rFonts w:hint="default" w:ascii="Times New Roman" w:hAnsi="Times New Roman" w:cs="Times New Roman"/>
                <w:color w:val="auto"/>
                <w:sz w:val="24"/>
                <w:szCs w:val="24"/>
                <w:highlight w:val="none"/>
                <w:lang w:eastAsia="zh-CN"/>
              </w:rPr>
              <w:t>废水主要为</w:t>
            </w:r>
            <w:r>
              <w:rPr>
                <w:rFonts w:hint="default" w:ascii="Times New Roman" w:hAnsi="Times New Roman" w:eastAsia="宋体" w:cs="Times New Roman"/>
                <w:color w:val="auto"/>
                <w:sz w:val="24"/>
                <w:szCs w:val="24"/>
                <w:highlight w:val="none"/>
              </w:rPr>
              <w:t>生活污水</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bCs/>
                <w:color w:val="auto"/>
                <w:sz w:val="24"/>
                <w:highlight w:val="none"/>
                <w:lang w:eastAsia="zh-CN"/>
              </w:rPr>
              <w:t>主要为职工盥洗废水，</w:t>
            </w:r>
            <w:r>
              <w:rPr>
                <w:rFonts w:hint="default" w:ascii="Times New Roman" w:hAnsi="Times New Roman" w:eastAsia="宋体" w:cs="Times New Roman"/>
                <w:color w:val="auto"/>
                <w:sz w:val="24"/>
                <w:szCs w:val="24"/>
                <w:highlight w:val="none"/>
              </w:rPr>
              <w:t>产生量为</w:t>
            </w:r>
            <w:r>
              <w:rPr>
                <w:rFonts w:hint="default" w:ascii="Times New Roman" w:hAnsi="Times New Roman" w:cs="Times New Roman"/>
                <w:color w:val="auto"/>
                <w:sz w:val="24"/>
                <w:szCs w:val="24"/>
                <w:highlight w:val="none"/>
                <w:lang w:val="en-US" w:eastAsia="zh-CN"/>
              </w:rPr>
              <w:t>1.18</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/d，水量较小，</w:t>
            </w:r>
            <w:r>
              <w:rPr>
                <w:rFonts w:hint="default" w:ascii="Times New Roman" w:hAnsi="Times New Roman" w:eastAsia="宋体" w:cs="Times New Roman"/>
                <w:color w:val="auto"/>
                <w:sz w:val="24"/>
                <w:szCs w:val="24"/>
                <w:highlight w:val="none"/>
                <w:lang w:eastAsia="zh-CN"/>
              </w:rPr>
              <w:t>水质</w:t>
            </w:r>
            <w:r>
              <w:rPr>
                <w:rFonts w:hint="default" w:ascii="Times New Roman" w:hAnsi="Times New Roman" w:eastAsia="宋体" w:cs="Times New Roman"/>
                <w:color w:val="auto"/>
                <w:sz w:val="24"/>
                <w:szCs w:val="24"/>
                <w:highlight w:val="none"/>
              </w:rPr>
              <w:t>简单，</w:t>
            </w:r>
            <w:r>
              <w:rPr>
                <w:rFonts w:hint="default" w:ascii="Times New Roman" w:hAnsi="Times New Roman" w:cs="Times New Roman"/>
                <w:bCs/>
                <w:color w:val="auto"/>
                <w:sz w:val="24"/>
                <w:highlight w:val="none"/>
              </w:rPr>
              <w:t>根据《第二次全国污染源普查生活污染源产排污系数手册（试用版）》表6-2</w:t>
            </w:r>
            <w:r>
              <w:rPr>
                <w:rFonts w:hint="default" w:ascii="Times New Roman" w:hAnsi="Times New Roman" w:cs="Times New Roman"/>
                <w:bCs/>
                <w:color w:val="auto"/>
                <w:sz w:val="24"/>
                <w:highlight w:val="none"/>
                <w:lang w:eastAsia="zh-CN"/>
              </w:rPr>
              <w:t>，</w:t>
            </w:r>
            <w:r>
              <w:rPr>
                <w:rFonts w:hint="default" w:ascii="Times New Roman" w:hAnsi="Times New Roman" w:cs="Times New Roman"/>
                <w:color w:val="auto"/>
                <w:spacing w:val="6"/>
                <w:sz w:val="24"/>
                <w:highlight w:val="none"/>
                <w:lang w:eastAsia="zh-CN"/>
              </w:rPr>
              <w:t>生活污水中</w:t>
            </w:r>
            <w:r>
              <w:rPr>
                <w:rFonts w:hint="default" w:ascii="Times New Roman" w:hAnsi="Times New Roman" w:cs="Times New Roman"/>
                <w:color w:val="auto"/>
                <w:spacing w:val="6"/>
                <w:sz w:val="24"/>
                <w:highlight w:val="none"/>
              </w:rPr>
              <w:t>污染物产生浓度为：COD400mg/L、BOD</w:t>
            </w:r>
            <w:r>
              <w:rPr>
                <w:rFonts w:hint="default" w:ascii="Times New Roman" w:hAnsi="Times New Roman" w:cs="Times New Roman"/>
                <w:color w:val="auto"/>
                <w:spacing w:val="6"/>
                <w:sz w:val="24"/>
                <w:highlight w:val="none"/>
                <w:vertAlign w:val="subscript"/>
              </w:rPr>
              <w:t>5</w:t>
            </w:r>
            <w:r>
              <w:rPr>
                <w:rFonts w:hint="default" w:ascii="Times New Roman" w:hAnsi="Times New Roman" w:cs="Times New Roman"/>
                <w:color w:val="auto"/>
                <w:spacing w:val="6"/>
                <w:sz w:val="24"/>
                <w:highlight w:val="none"/>
              </w:rPr>
              <w:t>2</w:t>
            </w:r>
            <w:r>
              <w:rPr>
                <w:rFonts w:hint="default" w:ascii="Times New Roman" w:hAnsi="Times New Roman" w:cs="Times New Roman"/>
                <w:color w:val="auto"/>
                <w:spacing w:val="6"/>
                <w:sz w:val="24"/>
                <w:highlight w:val="none"/>
                <w:lang w:val="en-US" w:eastAsia="zh-CN"/>
              </w:rPr>
              <w:t>4</w:t>
            </w:r>
            <w:r>
              <w:rPr>
                <w:rFonts w:hint="default" w:ascii="Times New Roman" w:hAnsi="Times New Roman" w:cs="Times New Roman"/>
                <w:color w:val="auto"/>
                <w:spacing w:val="6"/>
                <w:sz w:val="24"/>
                <w:highlight w:val="none"/>
              </w:rPr>
              <w:t>0mg/L、悬浮物</w:t>
            </w:r>
            <w:r>
              <w:rPr>
                <w:rFonts w:hint="default" w:ascii="Times New Roman" w:hAnsi="Times New Roman" w:cs="Times New Roman"/>
                <w:color w:val="auto"/>
                <w:spacing w:val="6"/>
                <w:sz w:val="24"/>
                <w:highlight w:val="none"/>
                <w:lang w:val="en-US" w:eastAsia="zh-CN"/>
              </w:rPr>
              <w:t>200</w:t>
            </w:r>
            <w:r>
              <w:rPr>
                <w:rFonts w:hint="default" w:ascii="Times New Roman" w:hAnsi="Times New Roman" w:cs="Times New Roman"/>
                <w:color w:val="auto"/>
                <w:spacing w:val="6"/>
                <w:sz w:val="24"/>
                <w:highlight w:val="none"/>
              </w:rPr>
              <w:t>mg/L、氨氮</w:t>
            </w:r>
            <w:r>
              <w:rPr>
                <w:rFonts w:hint="default" w:ascii="Times New Roman" w:hAnsi="Times New Roman" w:cs="Times New Roman"/>
                <w:color w:val="auto"/>
                <w:spacing w:val="6"/>
                <w:sz w:val="24"/>
                <w:highlight w:val="none"/>
                <w:lang w:val="en-US" w:eastAsia="zh-CN"/>
              </w:rPr>
              <w:t>50</w:t>
            </w:r>
            <w:r>
              <w:rPr>
                <w:rFonts w:hint="default" w:ascii="Times New Roman" w:hAnsi="Times New Roman" w:cs="Times New Roman"/>
                <w:color w:val="auto"/>
                <w:spacing w:val="6"/>
                <w:sz w:val="24"/>
                <w:highlight w:val="none"/>
              </w:rPr>
              <w:t>mg/L。</w:t>
            </w:r>
            <w:r>
              <w:rPr>
                <w:rFonts w:hint="default" w:ascii="Times New Roman" w:hAnsi="Times New Roman" w:eastAsia="宋体" w:cs="Times New Roman"/>
                <w:color w:val="auto"/>
                <w:sz w:val="24"/>
                <w:szCs w:val="24"/>
                <w:highlight w:val="none"/>
              </w:rPr>
              <w:t>厂区设</w:t>
            </w:r>
            <w:r>
              <w:rPr>
                <w:rFonts w:hint="default" w:ascii="Times New Roman" w:hAnsi="Times New Roman" w:eastAsia="宋体" w:cs="Times New Roman"/>
                <w:color w:val="auto"/>
                <w:sz w:val="24"/>
                <w:szCs w:val="24"/>
                <w:highlight w:val="none"/>
                <w:lang w:eastAsia="zh-CN"/>
              </w:rPr>
              <w:t>化粪池</w:t>
            </w:r>
            <w:r>
              <w:rPr>
                <w:rFonts w:hint="default" w:ascii="Times New Roman" w:hAnsi="Times New Roman" w:eastAsia="宋体" w:cs="Times New Roman"/>
                <w:color w:val="auto"/>
                <w:sz w:val="24"/>
                <w:szCs w:val="24"/>
                <w:highlight w:val="none"/>
              </w:rPr>
              <w:t>，定期清掏用作农肥</w:t>
            </w:r>
            <w:r>
              <w:rPr>
                <w:rFonts w:hint="default" w:ascii="Times New Roman" w:hAnsi="Times New Roman" w:eastAsia="宋体" w:cs="Times New Roman"/>
                <w:color w:val="auto"/>
                <w:sz w:val="24"/>
                <w:highlight w:val="none"/>
              </w:rPr>
              <w:t>。</w:t>
            </w:r>
          </w:p>
          <w:p w14:paraId="2ED3EC94">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bCs/>
                <w:color w:val="auto"/>
                <w:sz w:val="24"/>
                <w:szCs w:val="24"/>
                <w:highlight w:val="none"/>
                <w:lang w:val="en-US" w:eastAsia="zh-CN"/>
              </w:rPr>
              <w:t>综上，本项目无外排废水，对地表水环境基本不产生影响。</w:t>
            </w:r>
          </w:p>
          <w:p w14:paraId="056EEFE2">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bCs/>
                <w:snapToGrid w:val="0"/>
                <w:color w:val="auto"/>
                <w:kern w:val="0"/>
                <w:sz w:val="24"/>
                <w:szCs w:val="24"/>
                <w:highlight w:val="none"/>
                <w:lang w:val="en-US" w:eastAsia="zh-CN"/>
              </w:rPr>
            </w:pPr>
            <w:r>
              <w:rPr>
                <w:rFonts w:hint="default" w:ascii="Times New Roman" w:hAnsi="Times New Roman" w:eastAsia="宋体" w:cs="Times New Roman"/>
                <w:b/>
                <w:bCs/>
                <w:snapToGrid w:val="0"/>
                <w:color w:val="auto"/>
                <w:kern w:val="0"/>
                <w:sz w:val="24"/>
                <w:szCs w:val="24"/>
                <w:highlight w:val="none"/>
                <w:lang w:val="en-US" w:eastAsia="zh-CN"/>
              </w:rPr>
              <w:t>3、声环境影响分析</w:t>
            </w:r>
          </w:p>
          <w:p w14:paraId="7D8FD093">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（1）噪声源强分析</w:t>
            </w:r>
          </w:p>
          <w:p w14:paraId="3AA196E4">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项目主要噪声源为生产设备和风机等设备产生的噪声，噪声级在70～90dB（A）之间。项目采取选用低噪声设备、基础减震、厂房隔声等措施控制噪声源对周边声环境的影响，可有效控制噪声对周围环境的影响，噪声源及防治措施见下表。</w:t>
            </w:r>
          </w:p>
          <w:p w14:paraId="1E88142B">
            <w:pPr>
              <w:spacing w:line="480" w:lineRule="exact"/>
              <w:ind w:firstLine="480"/>
              <w:jc w:val="center"/>
              <w:rPr>
                <w:rFonts w:hint="default" w:ascii="Times New Roman" w:hAnsi="Times New Roman" w:eastAsia="宋体" w:cs="Times New Roman"/>
                <w:color w:val="auto"/>
                <w:sz w:val="24"/>
                <w:highlight w:val="none"/>
                <w:lang w:eastAsia="zh-CN"/>
              </w:rPr>
            </w:pPr>
            <w:r>
              <w:rPr>
                <w:rFonts w:hint="default" w:ascii="Times New Roman" w:hAnsi="Times New Roman" w:cs="Times New Roman"/>
                <w:b/>
                <w:bCs/>
                <w:color w:val="auto"/>
                <w:sz w:val="24"/>
                <w:highlight w:val="none"/>
              </w:rPr>
              <w:t>表</w:t>
            </w:r>
            <w:r>
              <w:rPr>
                <w:rFonts w:hint="default" w:ascii="Times New Roman" w:hAnsi="Times New Roman" w:cs="Times New Roman"/>
                <w:b/>
                <w:bCs/>
                <w:color w:val="auto"/>
                <w:sz w:val="24"/>
                <w:highlight w:val="none"/>
                <w:lang w:val="en-US" w:eastAsia="zh-CN"/>
              </w:rPr>
              <w:t>4-8</w:t>
            </w:r>
            <w:r>
              <w:rPr>
                <w:rFonts w:hint="eastAsia" w:cs="Times New Roman"/>
                <w:b/>
                <w:bCs/>
                <w:color w:val="auto"/>
                <w:sz w:val="24"/>
                <w:highlight w:val="none"/>
                <w:lang w:val="en-US" w:eastAsia="zh-CN"/>
              </w:rPr>
              <w:t>..1</w:t>
            </w:r>
            <w:r>
              <w:rPr>
                <w:rFonts w:hint="default" w:ascii="Times New Roman" w:hAnsi="Times New Roman" w:cs="Times New Roman"/>
                <w:b/>
                <w:bCs/>
                <w:color w:val="auto"/>
                <w:sz w:val="24"/>
                <w:highlight w:val="none"/>
              </w:rPr>
              <w:t xml:space="preserve">  </w:t>
            </w:r>
            <w:r>
              <w:rPr>
                <w:rFonts w:hint="default" w:ascii="Times New Roman" w:hAnsi="Times New Roman" w:cs="Times New Roman"/>
                <w:b/>
                <w:bCs/>
                <w:color w:val="auto"/>
                <w:sz w:val="24"/>
                <w:highlight w:val="none"/>
                <w:lang w:val="en-US" w:eastAsia="zh-CN"/>
              </w:rPr>
              <w:t>项目</w:t>
            </w:r>
            <w:r>
              <w:rPr>
                <w:rFonts w:hint="eastAsia" w:cs="Times New Roman"/>
                <w:b/>
                <w:bCs/>
                <w:color w:val="auto"/>
                <w:sz w:val="24"/>
                <w:highlight w:val="none"/>
                <w:lang w:val="en-US" w:eastAsia="zh-CN"/>
              </w:rPr>
              <w:t>室内</w:t>
            </w:r>
            <w:r>
              <w:rPr>
                <w:rFonts w:hint="default" w:ascii="Times New Roman" w:hAnsi="Times New Roman" w:cs="Times New Roman"/>
                <w:b/>
                <w:bCs/>
                <w:color w:val="auto"/>
                <w:sz w:val="24"/>
                <w:highlight w:val="none"/>
              </w:rPr>
              <w:t>主</w:t>
            </w:r>
            <w:r>
              <w:rPr>
                <w:rFonts w:hint="default" w:ascii="Times New Roman" w:hAnsi="Times New Roman" w:cs="Times New Roman"/>
                <w:b/>
                <w:color w:val="auto"/>
                <w:sz w:val="24"/>
                <w:highlight w:val="none"/>
              </w:rPr>
              <w:t>要噪声源及控制措施</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3" w:type="dxa"/>
              </w:tblCellMar>
            </w:tblPr>
            <w:tblGrid>
              <w:gridCol w:w="417"/>
              <w:gridCol w:w="417"/>
              <w:gridCol w:w="816"/>
              <w:gridCol w:w="532"/>
              <w:gridCol w:w="676"/>
              <w:gridCol w:w="569"/>
              <w:gridCol w:w="400"/>
              <w:gridCol w:w="363"/>
              <w:gridCol w:w="351"/>
              <w:gridCol w:w="544"/>
              <w:gridCol w:w="726"/>
              <w:gridCol w:w="569"/>
              <w:gridCol w:w="686"/>
              <w:gridCol w:w="763"/>
              <w:gridCol w:w="533"/>
            </w:tblGrid>
            <w:tr w14:paraId="3623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vMerge w:val="restart"/>
                  <w:tcBorders>
                    <w:tl2br w:val="nil"/>
                    <w:tr2bl w:val="nil"/>
                  </w:tcBorders>
                  <w:noWrap w:val="0"/>
                  <w:vAlign w:val="center"/>
                </w:tcPr>
                <w:p w14:paraId="4D9CBEEC">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序号</w:t>
                  </w:r>
                </w:p>
              </w:tc>
              <w:tc>
                <w:tcPr>
                  <w:tcW w:w="250" w:type="pct"/>
                  <w:vMerge w:val="restart"/>
                  <w:tcBorders>
                    <w:tl2br w:val="nil"/>
                    <w:tr2bl w:val="nil"/>
                  </w:tcBorders>
                  <w:noWrap w:val="0"/>
                  <w:vAlign w:val="center"/>
                </w:tcPr>
                <w:p w14:paraId="461F4A6A">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建筑物名称</w:t>
                  </w:r>
                </w:p>
              </w:tc>
              <w:tc>
                <w:tcPr>
                  <w:tcW w:w="488" w:type="pct"/>
                  <w:vMerge w:val="restart"/>
                  <w:tcBorders>
                    <w:tl2br w:val="nil"/>
                    <w:tr2bl w:val="nil"/>
                  </w:tcBorders>
                  <w:noWrap w:val="0"/>
                  <w:vAlign w:val="center"/>
                </w:tcPr>
                <w:p w14:paraId="0F9B1A4A">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rPr>
                    <w:t>声源</w:t>
                  </w:r>
                  <w:r>
                    <w:rPr>
                      <w:rFonts w:hint="default" w:ascii="Times New Roman" w:hAnsi="Times New Roman" w:eastAsia="宋体" w:cs="Times New Roman"/>
                      <w:color w:val="auto"/>
                      <w:spacing w:val="-11"/>
                      <w:sz w:val="21"/>
                      <w:szCs w:val="21"/>
                      <w:highlight w:val="none"/>
                      <w:lang w:val="en-US" w:eastAsia="zh-CN"/>
                    </w:rPr>
                    <w:t>名称</w:t>
                  </w:r>
                </w:p>
              </w:tc>
              <w:tc>
                <w:tcPr>
                  <w:tcW w:w="318" w:type="pct"/>
                  <w:vMerge w:val="restart"/>
                  <w:tcBorders>
                    <w:tl2br w:val="nil"/>
                    <w:tr2bl w:val="nil"/>
                  </w:tcBorders>
                  <w:noWrap w:val="0"/>
                  <w:vAlign w:val="center"/>
                </w:tcPr>
                <w:p w14:paraId="57E28BD3">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型号/数量</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台/套</w:t>
                  </w:r>
                  <w:r>
                    <w:rPr>
                      <w:rFonts w:hint="default" w:ascii="Times New Roman" w:hAnsi="Times New Roman" w:eastAsia="宋体" w:cs="Times New Roman"/>
                      <w:color w:val="auto"/>
                      <w:sz w:val="21"/>
                      <w:szCs w:val="21"/>
                      <w:highlight w:val="none"/>
                      <w:lang w:eastAsia="zh-CN"/>
                    </w:rPr>
                    <w:t>）</w:t>
                  </w:r>
                </w:p>
              </w:tc>
              <w:tc>
                <w:tcPr>
                  <w:tcW w:w="404" w:type="pct"/>
                  <w:vMerge w:val="restart"/>
                  <w:tcBorders>
                    <w:tl2br w:val="nil"/>
                    <w:tr2bl w:val="nil"/>
                  </w:tcBorders>
                  <w:noWrap w:val="0"/>
                  <w:vAlign w:val="center"/>
                </w:tcPr>
                <w:p w14:paraId="4B284DA2">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声功率</w:t>
                  </w:r>
                  <w:r>
                    <w:rPr>
                      <w:rFonts w:hint="default" w:ascii="Times New Roman" w:hAnsi="Times New Roman" w:eastAsia="宋体" w:cs="Times New Roman"/>
                      <w:color w:val="auto"/>
                      <w:spacing w:val="-11"/>
                      <w:sz w:val="21"/>
                      <w:szCs w:val="21"/>
                      <w:highlight w:val="none"/>
                    </w:rPr>
                    <w:t>级</w:t>
                  </w:r>
                  <w:r>
                    <w:rPr>
                      <w:rFonts w:hint="default" w:ascii="Times New Roman" w:hAnsi="Times New Roman" w:cs="Times New Roman"/>
                      <w:color w:val="auto"/>
                      <w:spacing w:val="-11"/>
                      <w:sz w:val="21"/>
                      <w:szCs w:val="21"/>
                      <w:highlight w:val="none"/>
                      <w:lang w:val="en-US" w:eastAsia="zh-CN"/>
                    </w:rPr>
                    <w:t>/</w:t>
                  </w:r>
                </w:p>
                <w:p w14:paraId="74CBC222">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r>
                    <w:rPr>
                      <w:rFonts w:hint="default" w:ascii="Times New Roman" w:hAnsi="Times New Roman" w:eastAsia="宋体" w:cs="Times New Roman"/>
                      <w:color w:val="auto"/>
                      <w:spacing w:val="-11"/>
                      <w:sz w:val="21"/>
                      <w:szCs w:val="21"/>
                      <w:highlight w:val="none"/>
                    </w:rPr>
                    <w:t>dB(A)</w:t>
                  </w:r>
                </w:p>
              </w:tc>
              <w:tc>
                <w:tcPr>
                  <w:tcW w:w="340" w:type="pct"/>
                  <w:vMerge w:val="restart"/>
                  <w:tcBorders>
                    <w:tl2br w:val="nil"/>
                    <w:tr2bl w:val="nil"/>
                  </w:tcBorders>
                  <w:noWrap w:val="0"/>
                  <w:vAlign w:val="center"/>
                </w:tcPr>
                <w:p w14:paraId="68E9D014">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r>
                    <w:rPr>
                      <w:rFonts w:hint="default" w:ascii="Times New Roman" w:hAnsi="Times New Roman" w:eastAsia="宋体" w:cs="Times New Roman"/>
                      <w:color w:val="auto"/>
                      <w:spacing w:val="-11"/>
                      <w:sz w:val="21"/>
                      <w:szCs w:val="21"/>
                      <w:highlight w:val="none"/>
                      <w:lang w:val="en-US" w:eastAsia="zh-CN"/>
                    </w:rPr>
                    <w:t>声源控制</w:t>
                  </w:r>
                  <w:r>
                    <w:rPr>
                      <w:rFonts w:hint="default" w:ascii="Times New Roman" w:hAnsi="Times New Roman" w:eastAsia="宋体" w:cs="Times New Roman"/>
                      <w:color w:val="auto"/>
                      <w:spacing w:val="-11"/>
                      <w:sz w:val="21"/>
                      <w:szCs w:val="21"/>
                      <w:highlight w:val="none"/>
                    </w:rPr>
                    <w:t>措施</w:t>
                  </w:r>
                </w:p>
              </w:tc>
              <w:tc>
                <w:tcPr>
                  <w:tcW w:w="666" w:type="pct"/>
                  <w:gridSpan w:val="3"/>
                  <w:tcBorders>
                    <w:tl2br w:val="nil"/>
                    <w:tr2bl w:val="nil"/>
                  </w:tcBorders>
                  <w:noWrap w:val="0"/>
                  <w:vAlign w:val="center"/>
                </w:tcPr>
                <w:p w14:paraId="6E8320FC">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eastAsia="zh-CN"/>
                    </w:rPr>
                  </w:pPr>
                  <w:r>
                    <w:rPr>
                      <w:rFonts w:hint="default" w:ascii="Times New Roman" w:hAnsi="Times New Roman" w:eastAsia="宋体" w:cs="Times New Roman"/>
                      <w:color w:val="auto"/>
                      <w:spacing w:val="-11"/>
                      <w:sz w:val="21"/>
                      <w:szCs w:val="21"/>
                      <w:highlight w:val="none"/>
                      <w:lang w:val="en-US" w:eastAsia="zh-CN"/>
                    </w:rPr>
                    <w:t>空间相对位置</w:t>
                  </w:r>
                </w:p>
              </w:tc>
              <w:tc>
                <w:tcPr>
                  <w:tcW w:w="325" w:type="pct"/>
                  <w:vMerge w:val="restart"/>
                  <w:tcBorders>
                    <w:tl2br w:val="nil"/>
                    <w:tr2bl w:val="nil"/>
                  </w:tcBorders>
                  <w:noWrap w:val="0"/>
                  <w:vAlign w:val="center"/>
                </w:tcPr>
                <w:p w14:paraId="13D7BFFD">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距室内边界距离/m</w:t>
                  </w:r>
                </w:p>
              </w:tc>
              <w:tc>
                <w:tcPr>
                  <w:tcW w:w="434" w:type="pct"/>
                  <w:vMerge w:val="restart"/>
                  <w:tcBorders>
                    <w:tl2br w:val="nil"/>
                    <w:tr2bl w:val="nil"/>
                  </w:tcBorders>
                  <w:noWrap w:val="0"/>
                  <w:vAlign w:val="center"/>
                </w:tcPr>
                <w:p w14:paraId="4F9ECE40">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室内边界声级/</w:t>
                  </w:r>
                  <w:r>
                    <w:rPr>
                      <w:rFonts w:hint="default" w:ascii="Times New Roman" w:hAnsi="Times New Roman" w:eastAsia="宋体" w:cs="Times New Roman"/>
                      <w:color w:val="auto"/>
                      <w:sz w:val="21"/>
                      <w:szCs w:val="21"/>
                      <w:highlight w:val="none"/>
                    </w:rPr>
                    <w:t>dB(A)</w:t>
                  </w:r>
                </w:p>
              </w:tc>
              <w:tc>
                <w:tcPr>
                  <w:tcW w:w="340" w:type="pct"/>
                  <w:vMerge w:val="restart"/>
                  <w:tcBorders>
                    <w:tl2br w:val="nil"/>
                    <w:tr2bl w:val="nil"/>
                  </w:tcBorders>
                  <w:noWrap w:val="0"/>
                  <w:vAlign w:val="center"/>
                </w:tcPr>
                <w:p w14:paraId="4A457D45">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运行时段</w:t>
                  </w:r>
                </w:p>
              </w:tc>
              <w:tc>
                <w:tcPr>
                  <w:tcW w:w="410" w:type="pct"/>
                  <w:vMerge w:val="restart"/>
                  <w:tcBorders>
                    <w:tl2br w:val="nil"/>
                    <w:tr2bl w:val="nil"/>
                  </w:tcBorders>
                  <w:noWrap w:val="0"/>
                  <w:vAlign w:val="center"/>
                </w:tcPr>
                <w:p w14:paraId="23A4CC0C">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建筑物插入损失/</w:t>
                  </w:r>
                  <w:r>
                    <w:rPr>
                      <w:rFonts w:hint="default" w:ascii="Times New Roman" w:hAnsi="Times New Roman" w:eastAsia="宋体" w:cs="Times New Roman"/>
                      <w:color w:val="auto"/>
                      <w:sz w:val="21"/>
                      <w:szCs w:val="21"/>
                      <w:highlight w:val="none"/>
                    </w:rPr>
                    <w:t>dB(A)</w:t>
                  </w:r>
                </w:p>
              </w:tc>
              <w:tc>
                <w:tcPr>
                  <w:tcW w:w="771" w:type="pct"/>
                  <w:gridSpan w:val="2"/>
                  <w:tcBorders>
                    <w:tl2br w:val="nil"/>
                    <w:tr2bl w:val="nil"/>
                  </w:tcBorders>
                  <w:noWrap w:val="0"/>
                  <w:vAlign w:val="center"/>
                </w:tcPr>
                <w:p w14:paraId="25262495">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建筑外噪声</w:t>
                  </w:r>
                </w:p>
              </w:tc>
            </w:tr>
            <w:tr w14:paraId="6465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vMerge w:val="continue"/>
                  <w:tcBorders>
                    <w:tl2br w:val="nil"/>
                    <w:tr2bl w:val="nil"/>
                  </w:tcBorders>
                  <w:noWrap w:val="0"/>
                  <w:vAlign w:val="center"/>
                </w:tcPr>
                <w:p w14:paraId="7CE137D5">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50" w:type="pct"/>
                  <w:vMerge w:val="continue"/>
                  <w:tcBorders>
                    <w:tl2br w:val="nil"/>
                    <w:tr2bl w:val="nil"/>
                  </w:tcBorders>
                  <w:noWrap w:val="0"/>
                  <w:vAlign w:val="center"/>
                </w:tcPr>
                <w:p w14:paraId="119F19AA">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488" w:type="pct"/>
                  <w:vMerge w:val="continue"/>
                  <w:tcBorders>
                    <w:tl2br w:val="nil"/>
                    <w:tr2bl w:val="nil"/>
                  </w:tcBorders>
                  <w:noWrap w:val="0"/>
                  <w:vAlign w:val="center"/>
                </w:tcPr>
                <w:p w14:paraId="2E509B7C">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318" w:type="pct"/>
                  <w:vMerge w:val="continue"/>
                  <w:tcBorders>
                    <w:tl2br w:val="nil"/>
                    <w:tr2bl w:val="nil"/>
                  </w:tcBorders>
                  <w:noWrap w:val="0"/>
                  <w:vAlign w:val="center"/>
                </w:tcPr>
                <w:p w14:paraId="2EE3FC4D">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404" w:type="pct"/>
                  <w:vMerge w:val="continue"/>
                  <w:tcBorders>
                    <w:tl2br w:val="nil"/>
                    <w:tr2bl w:val="nil"/>
                  </w:tcBorders>
                  <w:noWrap w:val="0"/>
                  <w:vAlign w:val="center"/>
                </w:tcPr>
                <w:p w14:paraId="137520AA">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340" w:type="pct"/>
                  <w:vMerge w:val="continue"/>
                  <w:tcBorders>
                    <w:tl2br w:val="nil"/>
                    <w:tr2bl w:val="nil"/>
                  </w:tcBorders>
                  <w:noWrap w:val="0"/>
                  <w:vAlign w:val="center"/>
                </w:tcPr>
                <w:p w14:paraId="63A6E9D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39" w:type="pct"/>
                  <w:tcBorders>
                    <w:tl2br w:val="nil"/>
                    <w:tr2bl w:val="nil"/>
                  </w:tcBorders>
                  <w:noWrap w:val="0"/>
                  <w:vAlign w:val="center"/>
                </w:tcPr>
                <w:p w14:paraId="20A05C2C">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X</w:t>
                  </w:r>
                </w:p>
              </w:tc>
              <w:tc>
                <w:tcPr>
                  <w:tcW w:w="217" w:type="pct"/>
                  <w:tcBorders>
                    <w:tl2br w:val="nil"/>
                    <w:tr2bl w:val="nil"/>
                  </w:tcBorders>
                  <w:noWrap w:val="0"/>
                  <w:vAlign w:val="center"/>
                </w:tcPr>
                <w:p w14:paraId="0963784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Y</w:t>
                  </w:r>
                </w:p>
              </w:tc>
              <w:tc>
                <w:tcPr>
                  <w:tcW w:w="209" w:type="pct"/>
                  <w:tcBorders>
                    <w:tl2br w:val="nil"/>
                    <w:tr2bl w:val="nil"/>
                  </w:tcBorders>
                  <w:noWrap w:val="0"/>
                  <w:vAlign w:val="center"/>
                </w:tcPr>
                <w:p w14:paraId="6C503936">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Z</w:t>
                  </w:r>
                </w:p>
              </w:tc>
              <w:tc>
                <w:tcPr>
                  <w:tcW w:w="325" w:type="pct"/>
                  <w:vMerge w:val="continue"/>
                  <w:tcBorders>
                    <w:tl2br w:val="nil"/>
                    <w:tr2bl w:val="nil"/>
                  </w:tcBorders>
                  <w:noWrap w:val="0"/>
                  <w:vAlign w:val="center"/>
                </w:tcPr>
                <w:p w14:paraId="3924E086">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rPr>
                  </w:pPr>
                </w:p>
              </w:tc>
              <w:tc>
                <w:tcPr>
                  <w:tcW w:w="434" w:type="pct"/>
                  <w:vMerge w:val="continue"/>
                  <w:tcBorders>
                    <w:tl2br w:val="nil"/>
                    <w:tr2bl w:val="nil"/>
                  </w:tcBorders>
                  <w:noWrap w:val="0"/>
                  <w:vAlign w:val="center"/>
                </w:tcPr>
                <w:p w14:paraId="3CD392EE">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rPr>
                  </w:pPr>
                </w:p>
              </w:tc>
              <w:tc>
                <w:tcPr>
                  <w:tcW w:w="340" w:type="pct"/>
                  <w:vMerge w:val="continue"/>
                  <w:tcBorders>
                    <w:tl2br w:val="nil"/>
                    <w:tr2bl w:val="nil"/>
                  </w:tcBorders>
                  <w:noWrap w:val="0"/>
                  <w:vAlign w:val="center"/>
                </w:tcPr>
                <w:p w14:paraId="56A2782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rPr>
                  </w:pPr>
                </w:p>
              </w:tc>
              <w:tc>
                <w:tcPr>
                  <w:tcW w:w="410" w:type="pct"/>
                  <w:vMerge w:val="continue"/>
                  <w:tcBorders>
                    <w:tl2br w:val="nil"/>
                    <w:tr2bl w:val="nil"/>
                  </w:tcBorders>
                  <w:noWrap w:val="0"/>
                  <w:vAlign w:val="center"/>
                </w:tcPr>
                <w:p w14:paraId="47DEDAAF">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rPr>
                  </w:pPr>
                </w:p>
              </w:tc>
              <w:tc>
                <w:tcPr>
                  <w:tcW w:w="456" w:type="pct"/>
                  <w:tcBorders>
                    <w:tl2br w:val="nil"/>
                    <w:tr2bl w:val="nil"/>
                  </w:tcBorders>
                  <w:noWrap w:val="0"/>
                  <w:vAlign w:val="center"/>
                </w:tcPr>
                <w:p w14:paraId="33C64C72">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声压级/</w:t>
                  </w:r>
                  <w:r>
                    <w:rPr>
                      <w:rFonts w:hint="default" w:ascii="Times New Roman" w:hAnsi="Times New Roman" w:eastAsia="宋体" w:cs="Times New Roman"/>
                      <w:color w:val="auto"/>
                      <w:sz w:val="21"/>
                      <w:szCs w:val="21"/>
                      <w:highlight w:val="none"/>
                    </w:rPr>
                    <w:t>dB(A)</w:t>
                  </w:r>
                </w:p>
              </w:tc>
              <w:tc>
                <w:tcPr>
                  <w:tcW w:w="315" w:type="pct"/>
                  <w:tcBorders>
                    <w:tl2br w:val="nil"/>
                    <w:tr2bl w:val="nil"/>
                  </w:tcBorders>
                  <w:noWrap w:val="0"/>
                  <w:vAlign w:val="center"/>
                </w:tcPr>
                <w:p w14:paraId="6D3D0B28">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建筑外距离</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m</w:t>
                  </w:r>
                </w:p>
              </w:tc>
            </w:tr>
            <w:tr w14:paraId="595C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tcBorders>
                    <w:tl2br w:val="nil"/>
                    <w:tr2bl w:val="nil"/>
                  </w:tcBorders>
                  <w:noWrap w:val="0"/>
                  <w:vAlign w:val="center"/>
                </w:tcPr>
                <w:p w14:paraId="33195FCA">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250" w:type="pct"/>
                  <w:vMerge w:val="restart"/>
                  <w:tcBorders>
                    <w:tl2br w:val="nil"/>
                    <w:tr2bl w:val="nil"/>
                  </w:tcBorders>
                  <w:noWrap w:val="0"/>
                  <w:vAlign w:val="center"/>
                </w:tcPr>
                <w:p w14:paraId="5ED70DFD">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生产车间</w:t>
                  </w:r>
                </w:p>
              </w:tc>
              <w:tc>
                <w:tcPr>
                  <w:tcW w:w="488" w:type="pct"/>
                  <w:tcBorders>
                    <w:tl2br w:val="nil"/>
                    <w:tr2bl w:val="nil"/>
                  </w:tcBorders>
                  <w:noWrap w:val="0"/>
                  <w:vAlign w:val="center"/>
                </w:tcPr>
                <w:p w14:paraId="4E2C5359">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全自动板材</w:t>
                  </w:r>
                  <w:r>
                    <w:rPr>
                      <w:rFonts w:hint="default" w:ascii="Times New Roman" w:hAnsi="Times New Roman" w:cs="Times New Roman"/>
                      <w:color w:val="auto"/>
                      <w:sz w:val="21"/>
                      <w:szCs w:val="21"/>
                      <w:highlight w:val="none"/>
                      <w:lang w:val="en-US" w:eastAsia="zh-CN"/>
                    </w:rPr>
                    <w:t>复合</w:t>
                  </w:r>
                  <w:r>
                    <w:rPr>
                      <w:rFonts w:hint="default" w:ascii="Times New Roman" w:hAnsi="Times New Roman" w:eastAsia="宋体" w:cs="Times New Roman"/>
                      <w:color w:val="auto"/>
                      <w:sz w:val="21"/>
                      <w:szCs w:val="21"/>
                      <w:highlight w:val="none"/>
                      <w:lang w:val="en-US" w:eastAsia="zh-CN"/>
                    </w:rPr>
                    <w:t>机</w:t>
                  </w:r>
                </w:p>
              </w:tc>
              <w:tc>
                <w:tcPr>
                  <w:tcW w:w="318" w:type="pct"/>
                  <w:tcBorders>
                    <w:tl2br w:val="nil"/>
                    <w:tr2bl w:val="nil"/>
                  </w:tcBorders>
                  <w:noWrap w:val="0"/>
                  <w:vAlign w:val="center"/>
                </w:tcPr>
                <w:p w14:paraId="7AFCFEA2">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p>
              </w:tc>
              <w:tc>
                <w:tcPr>
                  <w:tcW w:w="404" w:type="pct"/>
                  <w:tcBorders>
                    <w:tl2br w:val="nil"/>
                    <w:tr2bl w:val="nil"/>
                  </w:tcBorders>
                  <w:noWrap w:val="0"/>
                  <w:vAlign w:val="center"/>
                </w:tcPr>
                <w:p w14:paraId="4E65B218">
                  <w:pPr>
                    <w:spacing w:line="360" w:lineRule="exact"/>
                    <w:ind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7</w:t>
                  </w:r>
                  <w:r>
                    <w:rPr>
                      <w:rFonts w:hint="default" w:ascii="Times New Roman" w:hAnsi="Times New Roman" w:cs="Times New Roman"/>
                      <w:bCs/>
                      <w:color w:val="auto"/>
                      <w:sz w:val="21"/>
                      <w:szCs w:val="21"/>
                      <w:highlight w:val="none"/>
                      <w:lang w:val="en-US" w:eastAsia="zh-CN"/>
                    </w:rPr>
                    <w:t>0</w:t>
                  </w:r>
                </w:p>
              </w:tc>
              <w:tc>
                <w:tcPr>
                  <w:tcW w:w="340" w:type="pct"/>
                  <w:vMerge w:val="restart"/>
                  <w:tcBorders>
                    <w:tl2br w:val="nil"/>
                    <w:tr2bl w:val="nil"/>
                  </w:tcBorders>
                  <w:noWrap w:val="0"/>
                  <w:vAlign w:val="center"/>
                </w:tcPr>
                <w:p w14:paraId="76A45A6C">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r>
                    <w:rPr>
                      <w:rFonts w:hint="default" w:ascii="Times New Roman" w:hAnsi="Times New Roman" w:eastAsia="宋体" w:cs="Times New Roman"/>
                      <w:color w:val="auto"/>
                      <w:spacing w:val="-11"/>
                      <w:sz w:val="21"/>
                      <w:szCs w:val="21"/>
                      <w:highlight w:val="none"/>
                    </w:rPr>
                    <w:t>低噪声设备，厂房隔声，基础减振</w:t>
                  </w:r>
                </w:p>
              </w:tc>
              <w:tc>
                <w:tcPr>
                  <w:tcW w:w="239" w:type="pct"/>
                  <w:tcBorders>
                    <w:tl2br w:val="nil"/>
                    <w:tr2bl w:val="nil"/>
                  </w:tcBorders>
                  <w:noWrap w:val="0"/>
                  <w:vAlign w:val="center"/>
                </w:tcPr>
                <w:p w14:paraId="27EBE1EE">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p>
              </w:tc>
              <w:tc>
                <w:tcPr>
                  <w:tcW w:w="217" w:type="pct"/>
                  <w:tcBorders>
                    <w:tl2br w:val="nil"/>
                    <w:tr2bl w:val="nil"/>
                  </w:tcBorders>
                  <w:noWrap w:val="0"/>
                  <w:vAlign w:val="center"/>
                </w:tcPr>
                <w:p w14:paraId="0BE1775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33</w:t>
                  </w:r>
                </w:p>
              </w:tc>
              <w:tc>
                <w:tcPr>
                  <w:tcW w:w="209" w:type="pct"/>
                  <w:tcBorders>
                    <w:tl2br w:val="nil"/>
                    <w:tr2bl w:val="nil"/>
                  </w:tcBorders>
                  <w:noWrap w:val="0"/>
                  <w:vAlign w:val="center"/>
                </w:tcPr>
                <w:p w14:paraId="3E05575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325" w:type="pct"/>
                  <w:tcBorders>
                    <w:tl2br w:val="nil"/>
                    <w:tr2bl w:val="nil"/>
                  </w:tcBorders>
                  <w:noWrap w:val="0"/>
                  <w:vAlign w:val="center"/>
                </w:tcPr>
                <w:p w14:paraId="25A10967">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16</w:t>
                  </w:r>
                </w:p>
              </w:tc>
              <w:tc>
                <w:tcPr>
                  <w:tcW w:w="434" w:type="pct"/>
                  <w:tcBorders>
                    <w:tl2br w:val="nil"/>
                    <w:tr2bl w:val="nil"/>
                  </w:tcBorders>
                  <w:noWrap w:val="0"/>
                  <w:vAlign w:val="center"/>
                </w:tcPr>
                <w:p w14:paraId="54BDDC58">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49.51</w:t>
                  </w:r>
                </w:p>
              </w:tc>
              <w:tc>
                <w:tcPr>
                  <w:tcW w:w="340" w:type="pct"/>
                  <w:vMerge w:val="restart"/>
                  <w:tcBorders>
                    <w:tl2br w:val="nil"/>
                    <w:tr2bl w:val="nil"/>
                  </w:tcBorders>
                  <w:noWrap w:val="0"/>
                  <w:vAlign w:val="center"/>
                </w:tcPr>
                <w:p w14:paraId="28BB88BD">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昼间</w:t>
                  </w:r>
                </w:p>
              </w:tc>
              <w:tc>
                <w:tcPr>
                  <w:tcW w:w="410" w:type="pct"/>
                  <w:tcBorders>
                    <w:tl2br w:val="nil"/>
                    <w:tr2bl w:val="nil"/>
                  </w:tcBorders>
                  <w:noWrap w:val="0"/>
                  <w:vAlign w:val="center"/>
                </w:tcPr>
                <w:p w14:paraId="181200E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456" w:type="pct"/>
                  <w:tcBorders>
                    <w:tl2br w:val="nil"/>
                    <w:tr2bl w:val="nil"/>
                  </w:tcBorders>
                  <w:noWrap w:val="0"/>
                  <w:vAlign w:val="center"/>
                </w:tcPr>
                <w:p w14:paraId="5E0B736C">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r>
                    <w:rPr>
                      <w:rFonts w:hint="default" w:ascii="Times New Roman" w:hAnsi="Times New Roman" w:cs="Times New Roman"/>
                      <w:color w:val="auto"/>
                      <w:sz w:val="21"/>
                      <w:szCs w:val="21"/>
                      <w:highlight w:val="none"/>
                      <w:lang w:val="en-US" w:eastAsia="zh-CN"/>
                    </w:rPr>
                    <w:t>.51</w:t>
                  </w:r>
                </w:p>
              </w:tc>
              <w:tc>
                <w:tcPr>
                  <w:tcW w:w="315" w:type="pct"/>
                  <w:tcBorders>
                    <w:tl2br w:val="nil"/>
                    <w:tr2bl w:val="nil"/>
                  </w:tcBorders>
                  <w:noWrap w:val="0"/>
                  <w:vAlign w:val="center"/>
                </w:tcPr>
                <w:p w14:paraId="0DC22C2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14:paraId="4584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tcBorders>
                    <w:tl2br w:val="nil"/>
                    <w:tr2bl w:val="nil"/>
                  </w:tcBorders>
                  <w:noWrap w:val="0"/>
                  <w:vAlign w:val="center"/>
                </w:tcPr>
                <w:p w14:paraId="36D6C56C">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w:t>
                  </w:r>
                </w:p>
              </w:tc>
              <w:tc>
                <w:tcPr>
                  <w:tcW w:w="250" w:type="pct"/>
                  <w:vMerge w:val="continue"/>
                  <w:tcBorders>
                    <w:tl2br w:val="nil"/>
                    <w:tr2bl w:val="nil"/>
                  </w:tcBorders>
                  <w:noWrap w:val="0"/>
                  <w:vAlign w:val="center"/>
                </w:tcPr>
                <w:p w14:paraId="05362D70">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p>
              </w:tc>
              <w:tc>
                <w:tcPr>
                  <w:tcW w:w="488" w:type="pct"/>
                  <w:tcBorders>
                    <w:tl2br w:val="nil"/>
                    <w:tr2bl w:val="nil"/>
                  </w:tcBorders>
                  <w:noWrap w:val="0"/>
                  <w:vAlign w:val="center"/>
                </w:tcPr>
                <w:p w14:paraId="3A60E4D3">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铁板板材自动成型机</w:t>
                  </w:r>
                </w:p>
              </w:tc>
              <w:tc>
                <w:tcPr>
                  <w:tcW w:w="318" w:type="pct"/>
                  <w:tcBorders>
                    <w:tl2br w:val="nil"/>
                    <w:tr2bl w:val="nil"/>
                  </w:tcBorders>
                  <w:noWrap w:val="0"/>
                  <w:vAlign w:val="center"/>
                </w:tcPr>
                <w:p w14:paraId="39127F73">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w:t>
                  </w:r>
                </w:p>
              </w:tc>
              <w:tc>
                <w:tcPr>
                  <w:tcW w:w="404" w:type="pct"/>
                  <w:tcBorders>
                    <w:tl2br w:val="nil"/>
                    <w:tr2bl w:val="nil"/>
                  </w:tcBorders>
                  <w:noWrap w:val="0"/>
                  <w:vAlign w:val="center"/>
                </w:tcPr>
                <w:p w14:paraId="0D0B34AE">
                  <w:pPr>
                    <w:spacing w:line="360" w:lineRule="exact"/>
                    <w:ind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75</w:t>
                  </w:r>
                </w:p>
              </w:tc>
              <w:tc>
                <w:tcPr>
                  <w:tcW w:w="340" w:type="pct"/>
                  <w:vMerge w:val="continue"/>
                  <w:tcBorders>
                    <w:tl2br w:val="nil"/>
                    <w:tr2bl w:val="nil"/>
                  </w:tcBorders>
                  <w:noWrap w:val="0"/>
                  <w:vAlign w:val="center"/>
                </w:tcPr>
                <w:p w14:paraId="69FACB91">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39" w:type="pct"/>
                  <w:tcBorders>
                    <w:tl2br w:val="nil"/>
                    <w:tr2bl w:val="nil"/>
                  </w:tcBorders>
                  <w:noWrap w:val="0"/>
                  <w:vAlign w:val="center"/>
                </w:tcPr>
                <w:p w14:paraId="114BEC0A">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w:t>
                  </w:r>
                </w:p>
              </w:tc>
              <w:tc>
                <w:tcPr>
                  <w:tcW w:w="217" w:type="pct"/>
                  <w:tcBorders>
                    <w:tl2br w:val="nil"/>
                    <w:tr2bl w:val="nil"/>
                  </w:tcBorders>
                  <w:noWrap w:val="0"/>
                  <w:vAlign w:val="center"/>
                </w:tcPr>
                <w:p w14:paraId="6E08D8C1">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38</w:t>
                  </w:r>
                </w:p>
              </w:tc>
              <w:tc>
                <w:tcPr>
                  <w:tcW w:w="209" w:type="pct"/>
                  <w:tcBorders>
                    <w:tl2br w:val="nil"/>
                    <w:tr2bl w:val="nil"/>
                  </w:tcBorders>
                  <w:noWrap w:val="0"/>
                  <w:vAlign w:val="center"/>
                </w:tcPr>
                <w:p w14:paraId="74E19A6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325" w:type="pct"/>
                  <w:tcBorders>
                    <w:tl2br w:val="nil"/>
                    <w:tr2bl w:val="nil"/>
                  </w:tcBorders>
                  <w:noWrap w:val="0"/>
                  <w:vAlign w:val="center"/>
                </w:tcPr>
                <w:p w14:paraId="69C89FE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20</w:t>
                  </w:r>
                </w:p>
              </w:tc>
              <w:tc>
                <w:tcPr>
                  <w:tcW w:w="434" w:type="pct"/>
                  <w:tcBorders>
                    <w:tl2br w:val="nil"/>
                    <w:tr2bl w:val="nil"/>
                  </w:tcBorders>
                  <w:noWrap w:val="0"/>
                  <w:vAlign w:val="center"/>
                </w:tcPr>
                <w:p w14:paraId="4B4E717E">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49.01</w:t>
                  </w:r>
                </w:p>
              </w:tc>
              <w:tc>
                <w:tcPr>
                  <w:tcW w:w="340" w:type="pct"/>
                  <w:vMerge w:val="continue"/>
                  <w:tcBorders>
                    <w:tl2br w:val="nil"/>
                    <w:tr2bl w:val="nil"/>
                  </w:tcBorders>
                  <w:noWrap w:val="0"/>
                  <w:vAlign w:val="center"/>
                </w:tcPr>
                <w:p w14:paraId="115B4C0C">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410" w:type="pct"/>
                  <w:tcBorders>
                    <w:tl2br w:val="nil"/>
                    <w:tr2bl w:val="nil"/>
                  </w:tcBorders>
                  <w:noWrap w:val="0"/>
                  <w:vAlign w:val="center"/>
                </w:tcPr>
                <w:p w14:paraId="29213E4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456" w:type="pct"/>
                  <w:tcBorders>
                    <w:tl2br w:val="nil"/>
                    <w:tr2bl w:val="nil"/>
                  </w:tcBorders>
                  <w:noWrap w:val="0"/>
                  <w:vAlign w:val="center"/>
                </w:tcPr>
                <w:p w14:paraId="020158FF">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r>
                    <w:rPr>
                      <w:rFonts w:hint="default" w:ascii="Times New Roman" w:hAnsi="Times New Roman" w:cs="Times New Roman"/>
                      <w:color w:val="auto"/>
                      <w:sz w:val="21"/>
                      <w:szCs w:val="21"/>
                      <w:highlight w:val="none"/>
                      <w:lang w:val="en-US" w:eastAsia="zh-CN"/>
                    </w:rPr>
                    <w:t>.01</w:t>
                  </w:r>
                </w:p>
              </w:tc>
              <w:tc>
                <w:tcPr>
                  <w:tcW w:w="315" w:type="pct"/>
                  <w:tcBorders>
                    <w:tl2br w:val="nil"/>
                    <w:tr2bl w:val="nil"/>
                  </w:tcBorders>
                  <w:noWrap w:val="0"/>
                  <w:vAlign w:val="center"/>
                </w:tcPr>
                <w:p w14:paraId="255A86E6">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14:paraId="4606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tcBorders>
                    <w:tl2br w:val="nil"/>
                    <w:tr2bl w:val="nil"/>
                  </w:tcBorders>
                  <w:shd w:val="clear" w:color="auto" w:fill="auto"/>
                  <w:noWrap w:val="0"/>
                  <w:vAlign w:val="center"/>
                </w:tcPr>
                <w:p w14:paraId="548E0433">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3</w:t>
                  </w:r>
                </w:p>
              </w:tc>
              <w:tc>
                <w:tcPr>
                  <w:tcW w:w="250" w:type="pct"/>
                  <w:vMerge w:val="continue"/>
                  <w:tcBorders>
                    <w:tl2br w:val="nil"/>
                    <w:tr2bl w:val="nil"/>
                  </w:tcBorders>
                  <w:noWrap w:val="0"/>
                  <w:vAlign w:val="center"/>
                </w:tcPr>
                <w:p w14:paraId="574EA6BA">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p>
              </w:tc>
              <w:tc>
                <w:tcPr>
                  <w:tcW w:w="488" w:type="pct"/>
                  <w:tcBorders>
                    <w:tl2br w:val="nil"/>
                    <w:tr2bl w:val="nil"/>
                  </w:tcBorders>
                  <w:noWrap w:val="0"/>
                  <w:vAlign w:val="center"/>
                </w:tcPr>
                <w:p w14:paraId="7B80995C">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砂浆</w:t>
                  </w:r>
                  <w:r>
                    <w:rPr>
                      <w:rFonts w:hint="default" w:ascii="Times New Roman" w:hAnsi="Times New Roman" w:cs="Times New Roman"/>
                      <w:color w:val="auto"/>
                      <w:sz w:val="21"/>
                      <w:szCs w:val="21"/>
                      <w:highlight w:val="none"/>
                      <w:lang w:eastAsia="zh-CN"/>
                    </w:rPr>
                    <w:t>成套生产设备</w:t>
                  </w:r>
                </w:p>
              </w:tc>
              <w:tc>
                <w:tcPr>
                  <w:tcW w:w="318" w:type="pct"/>
                  <w:tcBorders>
                    <w:tl2br w:val="nil"/>
                    <w:tr2bl w:val="nil"/>
                  </w:tcBorders>
                  <w:noWrap w:val="0"/>
                  <w:vAlign w:val="center"/>
                </w:tcPr>
                <w:p w14:paraId="710A933B">
                  <w:pPr>
                    <w:spacing w:line="360" w:lineRule="exact"/>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p>
              </w:tc>
              <w:tc>
                <w:tcPr>
                  <w:tcW w:w="404" w:type="pct"/>
                  <w:tcBorders>
                    <w:tl2br w:val="nil"/>
                    <w:tr2bl w:val="nil"/>
                  </w:tcBorders>
                  <w:noWrap w:val="0"/>
                  <w:vAlign w:val="center"/>
                </w:tcPr>
                <w:p w14:paraId="64BE3B0D">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75</w:t>
                  </w:r>
                </w:p>
              </w:tc>
              <w:tc>
                <w:tcPr>
                  <w:tcW w:w="340" w:type="pct"/>
                  <w:vMerge w:val="continue"/>
                  <w:tcBorders>
                    <w:tl2br w:val="nil"/>
                    <w:tr2bl w:val="nil"/>
                  </w:tcBorders>
                  <w:noWrap w:val="0"/>
                  <w:vAlign w:val="center"/>
                </w:tcPr>
                <w:p w14:paraId="71B90A50">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39" w:type="pct"/>
                  <w:tcBorders>
                    <w:tl2br w:val="nil"/>
                    <w:tr2bl w:val="nil"/>
                  </w:tcBorders>
                  <w:noWrap w:val="0"/>
                  <w:vAlign w:val="center"/>
                </w:tcPr>
                <w:p w14:paraId="599606D6">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23</w:t>
                  </w:r>
                </w:p>
              </w:tc>
              <w:tc>
                <w:tcPr>
                  <w:tcW w:w="217" w:type="pct"/>
                  <w:tcBorders>
                    <w:tl2br w:val="nil"/>
                    <w:tr2bl w:val="nil"/>
                  </w:tcBorders>
                  <w:noWrap w:val="0"/>
                  <w:vAlign w:val="center"/>
                </w:tcPr>
                <w:p w14:paraId="5E44073C">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w:t>
                  </w:r>
                </w:p>
              </w:tc>
              <w:tc>
                <w:tcPr>
                  <w:tcW w:w="209" w:type="pct"/>
                  <w:tcBorders>
                    <w:tl2br w:val="nil"/>
                    <w:tr2bl w:val="nil"/>
                  </w:tcBorders>
                  <w:noWrap w:val="0"/>
                  <w:vAlign w:val="center"/>
                </w:tcPr>
                <w:p w14:paraId="07FDBF04">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325" w:type="pct"/>
                  <w:tcBorders>
                    <w:tl2br w:val="nil"/>
                    <w:tr2bl w:val="nil"/>
                  </w:tcBorders>
                  <w:noWrap w:val="0"/>
                  <w:vAlign w:val="center"/>
                </w:tcPr>
                <w:p w14:paraId="693CE3D4">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8</w:t>
                  </w:r>
                </w:p>
              </w:tc>
              <w:tc>
                <w:tcPr>
                  <w:tcW w:w="434" w:type="pct"/>
                  <w:tcBorders>
                    <w:tl2br w:val="nil"/>
                    <w:tr2bl w:val="nil"/>
                  </w:tcBorders>
                  <w:noWrap w:val="0"/>
                  <w:vAlign w:val="center"/>
                </w:tcPr>
                <w:p w14:paraId="1F9674A6">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56.94</w:t>
                  </w:r>
                </w:p>
              </w:tc>
              <w:tc>
                <w:tcPr>
                  <w:tcW w:w="340" w:type="pct"/>
                  <w:vMerge w:val="continue"/>
                  <w:tcBorders>
                    <w:tl2br w:val="nil"/>
                    <w:tr2bl w:val="nil"/>
                  </w:tcBorders>
                  <w:noWrap w:val="0"/>
                  <w:vAlign w:val="center"/>
                </w:tcPr>
                <w:p w14:paraId="3229232E">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410" w:type="pct"/>
                  <w:tcBorders>
                    <w:tl2br w:val="nil"/>
                    <w:tr2bl w:val="nil"/>
                  </w:tcBorders>
                  <w:noWrap w:val="0"/>
                  <w:vAlign w:val="center"/>
                </w:tcPr>
                <w:p w14:paraId="1743428D">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w:t>
                  </w:r>
                </w:p>
              </w:tc>
              <w:tc>
                <w:tcPr>
                  <w:tcW w:w="456" w:type="pct"/>
                  <w:tcBorders>
                    <w:tl2br w:val="nil"/>
                    <w:tr2bl w:val="nil"/>
                  </w:tcBorders>
                  <w:noWrap w:val="0"/>
                  <w:vAlign w:val="center"/>
                </w:tcPr>
                <w:p w14:paraId="269496E9">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35.94</w:t>
                  </w:r>
                </w:p>
              </w:tc>
              <w:tc>
                <w:tcPr>
                  <w:tcW w:w="315" w:type="pct"/>
                  <w:tcBorders>
                    <w:tl2br w:val="nil"/>
                    <w:tr2bl w:val="nil"/>
                  </w:tcBorders>
                  <w:noWrap w:val="0"/>
                  <w:vAlign w:val="center"/>
                </w:tcPr>
                <w:p w14:paraId="56BBCACC">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r>
            <w:tr w14:paraId="5316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tcBorders>
                    <w:tl2br w:val="nil"/>
                    <w:tr2bl w:val="nil"/>
                  </w:tcBorders>
                  <w:shd w:val="clear" w:color="auto" w:fill="auto"/>
                  <w:noWrap w:val="0"/>
                  <w:vAlign w:val="center"/>
                </w:tcPr>
                <w:p w14:paraId="465EE283">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w:t>
                  </w:r>
                </w:p>
              </w:tc>
              <w:tc>
                <w:tcPr>
                  <w:tcW w:w="250" w:type="pct"/>
                  <w:vMerge w:val="continue"/>
                  <w:tcBorders>
                    <w:tl2br w:val="nil"/>
                    <w:tr2bl w:val="nil"/>
                  </w:tcBorders>
                  <w:noWrap w:val="0"/>
                  <w:vAlign w:val="center"/>
                </w:tcPr>
                <w:p w14:paraId="4133AAA4">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p>
              </w:tc>
              <w:tc>
                <w:tcPr>
                  <w:tcW w:w="488" w:type="pct"/>
                  <w:tcBorders>
                    <w:tl2br w:val="nil"/>
                    <w:tr2bl w:val="nil"/>
                  </w:tcBorders>
                  <w:noWrap w:val="0"/>
                  <w:vAlign w:val="center"/>
                </w:tcPr>
                <w:p w14:paraId="392493C0">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包装机</w:t>
                  </w:r>
                </w:p>
              </w:tc>
              <w:tc>
                <w:tcPr>
                  <w:tcW w:w="318" w:type="pct"/>
                  <w:tcBorders>
                    <w:tl2br w:val="nil"/>
                    <w:tr2bl w:val="nil"/>
                  </w:tcBorders>
                  <w:noWrap w:val="0"/>
                  <w:vAlign w:val="center"/>
                </w:tcPr>
                <w:p w14:paraId="300EE81A">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w:t>
                  </w:r>
                </w:p>
              </w:tc>
              <w:tc>
                <w:tcPr>
                  <w:tcW w:w="404" w:type="pct"/>
                  <w:tcBorders>
                    <w:tl2br w:val="nil"/>
                    <w:tr2bl w:val="nil"/>
                  </w:tcBorders>
                  <w:noWrap w:val="0"/>
                  <w:vAlign w:val="center"/>
                </w:tcPr>
                <w:p w14:paraId="6C234034">
                  <w:pPr>
                    <w:spacing w:line="360" w:lineRule="exact"/>
                    <w:ind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75</w:t>
                  </w:r>
                </w:p>
              </w:tc>
              <w:tc>
                <w:tcPr>
                  <w:tcW w:w="340" w:type="pct"/>
                  <w:vMerge w:val="continue"/>
                  <w:tcBorders>
                    <w:tl2br w:val="nil"/>
                    <w:tr2bl w:val="nil"/>
                  </w:tcBorders>
                  <w:noWrap w:val="0"/>
                  <w:vAlign w:val="center"/>
                </w:tcPr>
                <w:p w14:paraId="4E0FEFC0">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39" w:type="pct"/>
                  <w:tcBorders>
                    <w:tl2br w:val="nil"/>
                    <w:tr2bl w:val="nil"/>
                  </w:tcBorders>
                  <w:noWrap w:val="0"/>
                  <w:vAlign w:val="center"/>
                </w:tcPr>
                <w:p w14:paraId="7FF5288A">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217" w:type="pct"/>
                  <w:tcBorders>
                    <w:tl2br w:val="nil"/>
                    <w:tr2bl w:val="nil"/>
                  </w:tcBorders>
                  <w:noWrap w:val="0"/>
                  <w:vAlign w:val="center"/>
                </w:tcPr>
                <w:p w14:paraId="56A92F2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33</w:t>
                  </w:r>
                </w:p>
              </w:tc>
              <w:tc>
                <w:tcPr>
                  <w:tcW w:w="209" w:type="pct"/>
                  <w:tcBorders>
                    <w:tl2br w:val="nil"/>
                    <w:tr2bl w:val="nil"/>
                  </w:tcBorders>
                  <w:noWrap w:val="0"/>
                  <w:vAlign w:val="center"/>
                </w:tcPr>
                <w:p w14:paraId="353BC3F0">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325" w:type="pct"/>
                  <w:tcBorders>
                    <w:tl2br w:val="nil"/>
                    <w:tr2bl w:val="nil"/>
                  </w:tcBorders>
                  <w:noWrap w:val="0"/>
                  <w:vAlign w:val="center"/>
                </w:tcPr>
                <w:p w14:paraId="1F4504E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434" w:type="pct"/>
                  <w:tcBorders>
                    <w:tl2br w:val="nil"/>
                    <w:tr2bl w:val="nil"/>
                  </w:tcBorders>
                  <w:noWrap w:val="0"/>
                  <w:vAlign w:val="center"/>
                </w:tcPr>
                <w:p w14:paraId="0FB8937F">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67.38</w:t>
                  </w:r>
                </w:p>
              </w:tc>
              <w:tc>
                <w:tcPr>
                  <w:tcW w:w="340" w:type="pct"/>
                  <w:vMerge w:val="continue"/>
                  <w:tcBorders>
                    <w:tl2br w:val="nil"/>
                    <w:tr2bl w:val="nil"/>
                  </w:tcBorders>
                  <w:noWrap w:val="0"/>
                  <w:vAlign w:val="center"/>
                </w:tcPr>
                <w:p w14:paraId="24928624">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410" w:type="pct"/>
                  <w:tcBorders>
                    <w:tl2br w:val="nil"/>
                    <w:tr2bl w:val="nil"/>
                  </w:tcBorders>
                  <w:noWrap w:val="0"/>
                  <w:vAlign w:val="center"/>
                </w:tcPr>
                <w:p w14:paraId="7AEF9FA2">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456" w:type="pct"/>
                  <w:tcBorders>
                    <w:tl2br w:val="nil"/>
                    <w:tr2bl w:val="nil"/>
                  </w:tcBorders>
                  <w:noWrap w:val="0"/>
                  <w:vAlign w:val="center"/>
                </w:tcPr>
                <w:p w14:paraId="6FD5B0E1">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lang w:val="en-US" w:eastAsia="zh-CN"/>
                    </w:rPr>
                    <w:t>.38</w:t>
                  </w:r>
                </w:p>
              </w:tc>
              <w:tc>
                <w:tcPr>
                  <w:tcW w:w="315" w:type="pct"/>
                  <w:tcBorders>
                    <w:tl2br w:val="nil"/>
                    <w:tr2bl w:val="nil"/>
                  </w:tcBorders>
                  <w:noWrap w:val="0"/>
                  <w:vAlign w:val="center"/>
                </w:tcPr>
                <w:p w14:paraId="47696ECA">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14:paraId="381B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tcBorders>
                    <w:tl2br w:val="nil"/>
                    <w:tr2bl w:val="nil"/>
                  </w:tcBorders>
                  <w:shd w:val="clear" w:color="auto" w:fill="auto"/>
                  <w:noWrap w:val="0"/>
                  <w:vAlign w:val="center"/>
                </w:tcPr>
                <w:p w14:paraId="5D066909">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5</w:t>
                  </w:r>
                </w:p>
              </w:tc>
              <w:tc>
                <w:tcPr>
                  <w:tcW w:w="250" w:type="pct"/>
                  <w:vMerge w:val="continue"/>
                  <w:tcBorders>
                    <w:tl2br w:val="nil"/>
                    <w:tr2bl w:val="nil"/>
                  </w:tcBorders>
                  <w:noWrap w:val="0"/>
                  <w:vAlign w:val="center"/>
                </w:tcPr>
                <w:p w14:paraId="1EC36FBA">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p>
              </w:tc>
              <w:tc>
                <w:tcPr>
                  <w:tcW w:w="488" w:type="pct"/>
                  <w:tcBorders>
                    <w:tl2br w:val="nil"/>
                    <w:tr2bl w:val="nil"/>
                  </w:tcBorders>
                  <w:noWrap w:val="0"/>
                  <w:vAlign w:val="center"/>
                </w:tcPr>
                <w:p w14:paraId="312982F3">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焊接机</w:t>
                  </w:r>
                </w:p>
              </w:tc>
              <w:tc>
                <w:tcPr>
                  <w:tcW w:w="318" w:type="pct"/>
                  <w:tcBorders>
                    <w:tl2br w:val="nil"/>
                    <w:tr2bl w:val="nil"/>
                  </w:tcBorders>
                  <w:noWrap w:val="0"/>
                  <w:vAlign w:val="center"/>
                </w:tcPr>
                <w:p w14:paraId="5F9489C2">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3</w:t>
                  </w:r>
                </w:p>
              </w:tc>
              <w:tc>
                <w:tcPr>
                  <w:tcW w:w="404" w:type="pct"/>
                  <w:tcBorders>
                    <w:tl2br w:val="nil"/>
                    <w:tr2bl w:val="nil"/>
                  </w:tcBorders>
                  <w:noWrap w:val="0"/>
                  <w:vAlign w:val="center"/>
                </w:tcPr>
                <w:p w14:paraId="737F203A">
                  <w:pPr>
                    <w:spacing w:line="360" w:lineRule="exact"/>
                    <w:ind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70</w:t>
                  </w:r>
                </w:p>
              </w:tc>
              <w:tc>
                <w:tcPr>
                  <w:tcW w:w="340" w:type="pct"/>
                  <w:vMerge w:val="continue"/>
                  <w:tcBorders>
                    <w:tl2br w:val="nil"/>
                    <w:tr2bl w:val="nil"/>
                  </w:tcBorders>
                  <w:noWrap w:val="0"/>
                  <w:vAlign w:val="center"/>
                </w:tcPr>
                <w:p w14:paraId="246B5EED">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39" w:type="pct"/>
                  <w:tcBorders>
                    <w:tl2br w:val="nil"/>
                    <w:tr2bl w:val="nil"/>
                  </w:tcBorders>
                  <w:noWrap w:val="0"/>
                  <w:vAlign w:val="center"/>
                </w:tcPr>
                <w:p w14:paraId="394B9142">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22</w:t>
                  </w:r>
                </w:p>
              </w:tc>
              <w:tc>
                <w:tcPr>
                  <w:tcW w:w="217" w:type="pct"/>
                  <w:tcBorders>
                    <w:tl2br w:val="nil"/>
                    <w:tr2bl w:val="nil"/>
                  </w:tcBorders>
                  <w:noWrap w:val="0"/>
                  <w:vAlign w:val="center"/>
                </w:tcPr>
                <w:p w14:paraId="06754466">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38</w:t>
                  </w:r>
                </w:p>
              </w:tc>
              <w:tc>
                <w:tcPr>
                  <w:tcW w:w="209" w:type="pct"/>
                  <w:tcBorders>
                    <w:tl2br w:val="nil"/>
                    <w:tr2bl w:val="nil"/>
                  </w:tcBorders>
                  <w:noWrap w:val="0"/>
                  <w:vAlign w:val="center"/>
                </w:tcPr>
                <w:p w14:paraId="33263127">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325" w:type="pct"/>
                  <w:tcBorders>
                    <w:tl2br w:val="nil"/>
                    <w:tr2bl w:val="nil"/>
                  </w:tcBorders>
                  <w:noWrap w:val="0"/>
                  <w:vAlign w:val="center"/>
                </w:tcPr>
                <w:p w14:paraId="7FAE44EF">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434" w:type="pct"/>
                  <w:tcBorders>
                    <w:tl2br w:val="nil"/>
                    <w:tr2bl w:val="nil"/>
                  </w:tcBorders>
                  <w:noWrap w:val="0"/>
                  <w:vAlign w:val="center"/>
                </w:tcPr>
                <w:p w14:paraId="465F53EC">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cs="Times New Roman"/>
                      <w:color w:val="auto"/>
                      <w:sz w:val="21"/>
                      <w:szCs w:val="21"/>
                      <w:highlight w:val="none"/>
                      <w:lang w:val="en-US" w:eastAsia="zh-CN"/>
                    </w:rPr>
                    <w:t>3.97</w:t>
                  </w:r>
                </w:p>
              </w:tc>
              <w:tc>
                <w:tcPr>
                  <w:tcW w:w="340" w:type="pct"/>
                  <w:vMerge w:val="continue"/>
                  <w:tcBorders>
                    <w:tl2br w:val="nil"/>
                    <w:tr2bl w:val="nil"/>
                  </w:tcBorders>
                  <w:noWrap w:val="0"/>
                  <w:vAlign w:val="center"/>
                </w:tcPr>
                <w:p w14:paraId="175FAF9F">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410" w:type="pct"/>
                  <w:tcBorders>
                    <w:tl2br w:val="nil"/>
                    <w:tr2bl w:val="nil"/>
                  </w:tcBorders>
                  <w:noWrap w:val="0"/>
                  <w:vAlign w:val="center"/>
                </w:tcPr>
                <w:p w14:paraId="78D35BFE">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456" w:type="pct"/>
                  <w:tcBorders>
                    <w:tl2br w:val="nil"/>
                    <w:tr2bl w:val="nil"/>
                  </w:tcBorders>
                  <w:noWrap w:val="0"/>
                  <w:vAlign w:val="center"/>
                </w:tcPr>
                <w:p w14:paraId="35B08912">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val="en-US" w:eastAsia="zh-CN"/>
                    </w:rPr>
                    <w:t>.97</w:t>
                  </w:r>
                </w:p>
              </w:tc>
              <w:tc>
                <w:tcPr>
                  <w:tcW w:w="315" w:type="pct"/>
                  <w:tcBorders>
                    <w:tl2br w:val="nil"/>
                    <w:tr2bl w:val="nil"/>
                  </w:tcBorders>
                  <w:noWrap w:val="0"/>
                  <w:vAlign w:val="center"/>
                </w:tcPr>
                <w:p w14:paraId="0B269AF8">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14:paraId="1C08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tcBorders>
                    <w:tl2br w:val="nil"/>
                    <w:tr2bl w:val="nil"/>
                  </w:tcBorders>
                  <w:shd w:val="clear" w:color="auto" w:fill="auto"/>
                  <w:noWrap w:val="0"/>
                  <w:vAlign w:val="center"/>
                </w:tcPr>
                <w:p w14:paraId="46C39376">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w:t>
                  </w:r>
                </w:p>
              </w:tc>
              <w:tc>
                <w:tcPr>
                  <w:tcW w:w="250" w:type="pct"/>
                  <w:vMerge w:val="continue"/>
                  <w:tcBorders>
                    <w:tl2br w:val="nil"/>
                    <w:tr2bl w:val="nil"/>
                  </w:tcBorders>
                  <w:noWrap w:val="0"/>
                  <w:vAlign w:val="center"/>
                </w:tcPr>
                <w:p w14:paraId="7533C6A8">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p>
              </w:tc>
              <w:tc>
                <w:tcPr>
                  <w:tcW w:w="488" w:type="pct"/>
                  <w:tcBorders>
                    <w:tl2br w:val="nil"/>
                    <w:tr2bl w:val="nil"/>
                  </w:tcBorders>
                  <w:noWrap w:val="0"/>
                  <w:vAlign w:val="center"/>
                </w:tcPr>
                <w:p w14:paraId="7DA3D456">
                  <w:pPr>
                    <w:spacing w:line="240" w:lineRule="auto"/>
                    <w:jc w:val="center"/>
                    <w:rPr>
                      <w:rFonts w:hint="default" w:ascii="Times New Roman" w:hAnsi="Times New Roman" w:cs="Times New Roman"/>
                      <w:color w:val="auto"/>
                      <w:kern w:val="2"/>
                      <w:sz w:val="21"/>
                      <w:szCs w:val="21"/>
                      <w:highlight w:val="cyan"/>
                      <w:lang w:val="en-US" w:eastAsia="zh-CN" w:bidi="ar-SA"/>
                    </w:rPr>
                  </w:pPr>
                  <w:r>
                    <w:rPr>
                      <w:rFonts w:hint="eastAsia" w:cs="Times New Roman"/>
                      <w:color w:val="auto"/>
                      <w:kern w:val="2"/>
                      <w:sz w:val="21"/>
                      <w:szCs w:val="21"/>
                      <w:highlight w:val="cyan"/>
                      <w:lang w:val="en-US" w:eastAsia="zh-CN" w:bidi="ar-SA"/>
                    </w:rPr>
                    <w:t>水泵</w:t>
                  </w:r>
                </w:p>
              </w:tc>
              <w:tc>
                <w:tcPr>
                  <w:tcW w:w="318" w:type="pct"/>
                  <w:tcBorders>
                    <w:tl2br w:val="nil"/>
                    <w:tr2bl w:val="nil"/>
                  </w:tcBorders>
                  <w:noWrap w:val="0"/>
                  <w:vAlign w:val="center"/>
                </w:tcPr>
                <w:p w14:paraId="59409814">
                  <w:pPr>
                    <w:spacing w:line="360" w:lineRule="exact"/>
                    <w:ind w:firstLine="0" w:firstLine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404" w:type="pct"/>
                  <w:tcBorders>
                    <w:tl2br w:val="nil"/>
                    <w:tr2bl w:val="nil"/>
                  </w:tcBorders>
                  <w:noWrap w:val="0"/>
                  <w:vAlign w:val="center"/>
                </w:tcPr>
                <w:p w14:paraId="7FA0690B">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85</w:t>
                  </w:r>
                </w:p>
              </w:tc>
              <w:tc>
                <w:tcPr>
                  <w:tcW w:w="340" w:type="pct"/>
                  <w:vMerge w:val="continue"/>
                  <w:tcBorders>
                    <w:tl2br w:val="nil"/>
                    <w:tr2bl w:val="nil"/>
                  </w:tcBorders>
                  <w:noWrap w:val="0"/>
                  <w:vAlign w:val="center"/>
                </w:tcPr>
                <w:p w14:paraId="608A620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39" w:type="pct"/>
                  <w:tcBorders>
                    <w:tl2br w:val="nil"/>
                    <w:tr2bl w:val="nil"/>
                  </w:tcBorders>
                  <w:noWrap w:val="0"/>
                  <w:vAlign w:val="center"/>
                </w:tcPr>
                <w:p w14:paraId="060EE2C0">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w:t>
                  </w:r>
                </w:p>
              </w:tc>
              <w:tc>
                <w:tcPr>
                  <w:tcW w:w="217" w:type="pct"/>
                  <w:tcBorders>
                    <w:tl2br w:val="nil"/>
                    <w:tr2bl w:val="nil"/>
                  </w:tcBorders>
                  <w:noWrap w:val="0"/>
                  <w:vAlign w:val="center"/>
                </w:tcPr>
                <w:p w14:paraId="78F2C24B">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209" w:type="pct"/>
                  <w:tcBorders>
                    <w:tl2br w:val="nil"/>
                    <w:tr2bl w:val="nil"/>
                  </w:tcBorders>
                  <w:noWrap w:val="0"/>
                  <w:vAlign w:val="center"/>
                </w:tcPr>
                <w:p w14:paraId="3F64AE1C">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325" w:type="pct"/>
                  <w:tcBorders>
                    <w:tl2br w:val="nil"/>
                    <w:tr2bl w:val="nil"/>
                  </w:tcBorders>
                  <w:noWrap w:val="0"/>
                  <w:vAlign w:val="center"/>
                </w:tcPr>
                <w:p w14:paraId="66DBAD16">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w:t>
                  </w:r>
                </w:p>
              </w:tc>
              <w:tc>
                <w:tcPr>
                  <w:tcW w:w="434" w:type="pct"/>
                  <w:tcBorders>
                    <w:tl2br w:val="nil"/>
                    <w:tr2bl w:val="nil"/>
                  </w:tcBorders>
                  <w:noWrap w:val="0"/>
                  <w:vAlign w:val="center"/>
                </w:tcPr>
                <w:p w14:paraId="1798CF9B">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66.94</w:t>
                  </w:r>
                </w:p>
              </w:tc>
              <w:tc>
                <w:tcPr>
                  <w:tcW w:w="340" w:type="pct"/>
                  <w:vMerge w:val="continue"/>
                  <w:tcBorders>
                    <w:tl2br w:val="nil"/>
                    <w:tr2bl w:val="nil"/>
                  </w:tcBorders>
                  <w:noWrap w:val="0"/>
                  <w:vAlign w:val="center"/>
                </w:tcPr>
                <w:p w14:paraId="4577D5B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410" w:type="pct"/>
                  <w:tcBorders>
                    <w:tl2br w:val="nil"/>
                    <w:tr2bl w:val="nil"/>
                  </w:tcBorders>
                  <w:noWrap w:val="0"/>
                  <w:vAlign w:val="center"/>
                </w:tcPr>
                <w:p w14:paraId="69052D2D">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456" w:type="pct"/>
                  <w:tcBorders>
                    <w:tl2br w:val="nil"/>
                    <w:tr2bl w:val="nil"/>
                  </w:tcBorders>
                  <w:noWrap w:val="0"/>
                  <w:vAlign w:val="center"/>
                </w:tcPr>
                <w:p w14:paraId="1540C5AD">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46.94</w:t>
                  </w:r>
                </w:p>
              </w:tc>
              <w:tc>
                <w:tcPr>
                  <w:tcW w:w="315" w:type="pct"/>
                  <w:tcBorders>
                    <w:tl2br w:val="nil"/>
                    <w:tr2bl w:val="nil"/>
                  </w:tcBorders>
                  <w:noWrap w:val="0"/>
                  <w:vAlign w:val="center"/>
                </w:tcPr>
                <w:p w14:paraId="71BF5041">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14:paraId="035A2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tcBorders>
                    <w:tl2br w:val="nil"/>
                    <w:tr2bl w:val="nil"/>
                  </w:tcBorders>
                  <w:shd w:val="clear" w:color="auto" w:fill="auto"/>
                  <w:noWrap w:val="0"/>
                  <w:vAlign w:val="center"/>
                </w:tcPr>
                <w:p w14:paraId="41617B6F">
                  <w:pPr>
                    <w:keepNext w:val="0"/>
                    <w:keepLines w:val="0"/>
                    <w:pageBreakBefore w:val="0"/>
                    <w:kinsoku/>
                    <w:wordWrap/>
                    <w:overflowPunct/>
                    <w:topLinePunct w:val="0"/>
                    <w:autoSpaceDE/>
                    <w:autoSpaceDN/>
                    <w:bidi w:val="0"/>
                    <w:adjustRightInd w:val="0"/>
                    <w:snapToGrid w:val="0"/>
                    <w:spacing w:line="240" w:lineRule="auto"/>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w:t>
                  </w:r>
                </w:p>
              </w:tc>
              <w:tc>
                <w:tcPr>
                  <w:tcW w:w="250" w:type="pct"/>
                  <w:vMerge w:val="continue"/>
                  <w:tcBorders>
                    <w:tl2br w:val="nil"/>
                    <w:tr2bl w:val="nil"/>
                  </w:tcBorders>
                  <w:noWrap w:val="0"/>
                  <w:vAlign w:val="center"/>
                </w:tcPr>
                <w:p w14:paraId="3265C29D">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p>
              </w:tc>
              <w:tc>
                <w:tcPr>
                  <w:tcW w:w="488" w:type="pct"/>
                  <w:tcBorders>
                    <w:tl2br w:val="nil"/>
                    <w:tr2bl w:val="nil"/>
                  </w:tcBorders>
                  <w:shd w:val="clear" w:color="auto" w:fill="auto"/>
                  <w:noWrap w:val="0"/>
                  <w:vAlign w:val="center"/>
                </w:tcPr>
                <w:p w14:paraId="6CBDEA7B">
                  <w:pPr>
                    <w:spacing w:line="240" w:lineRule="auto"/>
                    <w:jc w:val="center"/>
                    <w:rPr>
                      <w:rFonts w:hint="eastAsia" w:ascii="Times New Roman" w:hAnsi="Times New Roman" w:eastAsia="宋体" w:cs="Times New Roman"/>
                      <w:color w:val="auto"/>
                      <w:kern w:val="2"/>
                      <w:sz w:val="21"/>
                      <w:szCs w:val="21"/>
                      <w:highlight w:val="cyan"/>
                      <w:lang w:val="en-US" w:eastAsia="zh-CN" w:bidi="ar-SA"/>
                    </w:rPr>
                  </w:pPr>
                  <w:r>
                    <w:rPr>
                      <w:rFonts w:hint="eastAsia" w:cs="Times New Roman"/>
                      <w:color w:val="auto"/>
                      <w:kern w:val="2"/>
                      <w:sz w:val="21"/>
                      <w:szCs w:val="21"/>
                      <w:highlight w:val="cyan"/>
                      <w:lang w:val="en-US" w:eastAsia="zh-CN" w:bidi="ar-SA"/>
                    </w:rPr>
                    <w:t>水泵</w:t>
                  </w:r>
                </w:p>
              </w:tc>
              <w:tc>
                <w:tcPr>
                  <w:tcW w:w="318" w:type="pct"/>
                  <w:tcBorders>
                    <w:tl2br w:val="nil"/>
                    <w:tr2bl w:val="nil"/>
                  </w:tcBorders>
                  <w:shd w:val="clear" w:color="auto" w:fill="auto"/>
                  <w:noWrap w:val="0"/>
                  <w:vAlign w:val="center"/>
                </w:tcPr>
                <w:p w14:paraId="1E46C7E8">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c>
                <w:tcPr>
                  <w:tcW w:w="404" w:type="pct"/>
                  <w:tcBorders>
                    <w:tl2br w:val="nil"/>
                    <w:tr2bl w:val="nil"/>
                  </w:tcBorders>
                  <w:shd w:val="clear" w:color="auto" w:fill="auto"/>
                  <w:noWrap w:val="0"/>
                  <w:vAlign w:val="center"/>
                </w:tcPr>
                <w:p w14:paraId="1F31BA02">
                  <w:pPr>
                    <w:spacing w:line="360" w:lineRule="exact"/>
                    <w:ind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sz w:val="21"/>
                      <w:szCs w:val="21"/>
                      <w:highlight w:val="none"/>
                      <w:lang w:val="en-US" w:eastAsia="zh-CN"/>
                    </w:rPr>
                    <w:t>85</w:t>
                  </w:r>
                </w:p>
              </w:tc>
              <w:tc>
                <w:tcPr>
                  <w:tcW w:w="340" w:type="pct"/>
                  <w:vMerge w:val="continue"/>
                  <w:tcBorders>
                    <w:tl2br w:val="nil"/>
                    <w:tr2bl w:val="nil"/>
                  </w:tcBorders>
                  <w:noWrap w:val="0"/>
                  <w:vAlign w:val="center"/>
                </w:tcPr>
                <w:p w14:paraId="23D35759">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39" w:type="pct"/>
                  <w:tcBorders>
                    <w:tl2br w:val="nil"/>
                    <w:tr2bl w:val="nil"/>
                  </w:tcBorders>
                  <w:noWrap w:val="0"/>
                  <w:vAlign w:val="center"/>
                </w:tcPr>
                <w:p w14:paraId="41FDE042">
                  <w:pPr>
                    <w:keepNext w:val="0"/>
                    <w:keepLines w:val="0"/>
                    <w:pageBreakBefore w:val="0"/>
                    <w:widowControl/>
                    <w:kinsoku/>
                    <w:wordWrap/>
                    <w:overflowPunct/>
                    <w:topLinePunct w:val="0"/>
                    <w:autoSpaceDE/>
                    <w:autoSpaceDN/>
                    <w:bidi w:val="0"/>
                    <w:spacing w:line="240" w:lineRule="auto"/>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15</w:t>
                  </w:r>
                </w:p>
              </w:tc>
              <w:tc>
                <w:tcPr>
                  <w:tcW w:w="217" w:type="pct"/>
                  <w:tcBorders>
                    <w:tl2br w:val="nil"/>
                    <w:tr2bl w:val="nil"/>
                  </w:tcBorders>
                  <w:noWrap w:val="0"/>
                  <w:vAlign w:val="center"/>
                </w:tcPr>
                <w:p w14:paraId="17C5C367">
                  <w:pPr>
                    <w:keepNext w:val="0"/>
                    <w:keepLines w:val="0"/>
                    <w:pageBreakBefore w:val="0"/>
                    <w:widowControl/>
                    <w:kinsoku/>
                    <w:wordWrap/>
                    <w:overflowPunct/>
                    <w:topLinePunct w:val="0"/>
                    <w:autoSpaceDE/>
                    <w:autoSpaceDN/>
                    <w:bidi w:val="0"/>
                    <w:spacing w:line="240" w:lineRule="auto"/>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209" w:type="pct"/>
                  <w:tcBorders>
                    <w:tl2br w:val="nil"/>
                    <w:tr2bl w:val="nil"/>
                  </w:tcBorders>
                  <w:noWrap w:val="0"/>
                  <w:vAlign w:val="center"/>
                </w:tcPr>
                <w:p w14:paraId="7AF1FEB1">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325" w:type="pct"/>
                  <w:tcBorders>
                    <w:tl2br w:val="nil"/>
                    <w:tr2bl w:val="nil"/>
                  </w:tcBorders>
                  <w:noWrap w:val="0"/>
                  <w:vAlign w:val="center"/>
                </w:tcPr>
                <w:p w14:paraId="4E7622E7">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w:t>
                  </w:r>
                </w:p>
              </w:tc>
              <w:tc>
                <w:tcPr>
                  <w:tcW w:w="434" w:type="pct"/>
                  <w:tcBorders>
                    <w:tl2br w:val="nil"/>
                    <w:tr2bl w:val="nil"/>
                  </w:tcBorders>
                  <w:noWrap w:val="0"/>
                  <w:vAlign w:val="center"/>
                </w:tcPr>
                <w:p w14:paraId="04EFAEF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61.47</w:t>
                  </w:r>
                </w:p>
              </w:tc>
              <w:tc>
                <w:tcPr>
                  <w:tcW w:w="340" w:type="pct"/>
                  <w:vMerge w:val="continue"/>
                  <w:tcBorders>
                    <w:tl2br w:val="nil"/>
                    <w:tr2bl w:val="nil"/>
                  </w:tcBorders>
                  <w:noWrap w:val="0"/>
                  <w:vAlign w:val="center"/>
                </w:tcPr>
                <w:p w14:paraId="14113D2E">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410" w:type="pct"/>
                  <w:tcBorders>
                    <w:tl2br w:val="nil"/>
                    <w:tr2bl w:val="nil"/>
                  </w:tcBorders>
                  <w:noWrap w:val="0"/>
                  <w:vAlign w:val="center"/>
                </w:tcPr>
                <w:p w14:paraId="032BCE06">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456" w:type="pct"/>
                  <w:tcBorders>
                    <w:tl2br w:val="nil"/>
                    <w:tr2bl w:val="nil"/>
                  </w:tcBorders>
                  <w:noWrap w:val="0"/>
                  <w:vAlign w:val="center"/>
                </w:tcPr>
                <w:p w14:paraId="605C9537">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41.47</w:t>
                  </w:r>
                </w:p>
              </w:tc>
              <w:tc>
                <w:tcPr>
                  <w:tcW w:w="315" w:type="pct"/>
                  <w:tcBorders>
                    <w:tl2br w:val="nil"/>
                    <w:tr2bl w:val="nil"/>
                  </w:tcBorders>
                  <w:noWrap w:val="0"/>
                  <w:vAlign w:val="center"/>
                </w:tcPr>
                <w:p w14:paraId="19576AA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14:paraId="02A7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tcBorders>
                    <w:tl2br w:val="nil"/>
                    <w:tr2bl w:val="nil"/>
                  </w:tcBorders>
                  <w:noWrap w:val="0"/>
                  <w:vAlign w:val="center"/>
                </w:tcPr>
                <w:p w14:paraId="0CF15FC5">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w:t>
                  </w:r>
                </w:p>
              </w:tc>
              <w:tc>
                <w:tcPr>
                  <w:tcW w:w="250" w:type="pct"/>
                  <w:vMerge w:val="continue"/>
                  <w:tcBorders>
                    <w:tl2br w:val="nil"/>
                    <w:tr2bl w:val="nil"/>
                  </w:tcBorders>
                  <w:noWrap w:val="0"/>
                  <w:vAlign w:val="center"/>
                </w:tcPr>
                <w:p w14:paraId="3E5CCB51">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c>
                <w:tcPr>
                  <w:tcW w:w="488" w:type="pct"/>
                  <w:tcBorders>
                    <w:tl2br w:val="nil"/>
                    <w:tr2bl w:val="nil"/>
                  </w:tcBorders>
                  <w:noWrap w:val="0"/>
                  <w:vAlign w:val="center"/>
                </w:tcPr>
                <w:p w14:paraId="5C4C788A">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风机</w:t>
                  </w:r>
                </w:p>
              </w:tc>
              <w:tc>
                <w:tcPr>
                  <w:tcW w:w="318" w:type="pct"/>
                  <w:tcBorders>
                    <w:tl2br w:val="nil"/>
                    <w:tr2bl w:val="nil"/>
                  </w:tcBorders>
                  <w:noWrap w:val="0"/>
                  <w:vAlign w:val="top"/>
                </w:tcPr>
                <w:p w14:paraId="74C29611">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p>
              </w:tc>
              <w:tc>
                <w:tcPr>
                  <w:tcW w:w="404" w:type="pct"/>
                  <w:tcBorders>
                    <w:tl2br w:val="nil"/>
                    <w:tr2bl w:val="nil"/>
                  </w:tcBorders>
                  <w:noWrap w:val="0"/>
                  <w:vAlign w:val="center"/>
                </w:tcPr>
                <w:p w14:paraId="5DD6D044">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90</w:t>
                  </w:r>
                </w:p>
              </w:tc>
              <w:tc>
                <w:tcPr>
                  <w:tcW w:w="340" w:type="pct"/>
                  <w:vMerge w:val="continue"/>
                  <w:tcBorders>
                    <w:tl2br w:val="nil"/>
                    <w:tr2bl w:val="nil"/>
                  </w:tcBorders>
                  <w:noWrap w:val="0"/>
                  <w:vAlign w:val="center"/>
                </w:tcPr>
                <w:p w14:paraId="1DA7A594">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39" w:type="pct"/>
                  <w:tcBorders>
                    <w:tl2br w:val="nil"/>
                    <w:tr2bl w:val="nil"/>
                  </w:tcBorders>
                  <w:noWrap w:val="0"/>
                  <w:vAlign w:val="center"/>
                </w:tcPr>
                <w:p w14:paraId="6D6CA81A">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36</w:t>
                  </w:r>
                </w:p>
              </w:tc>
              <w:tc>
                <w:tcPr>
                  <w:tcW w:w="217" w:type="pct"/>
                  <w:tcBorders>
                    <w:tl2br w:val="nil"/>
                    <w:tr2bl w:val="nil"/>
                  </w:tcBorders>
                  <w:noWrap w:val="0"/>
                  <w:vAlign w:val="center"/>
                </w:tcPr>
                <w:p w14:paraId="6022AABF">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35</w:t>
                  </w:r>
                </w:p>
              </w:tc>
              <w:tc>
                <w:tcPr>
                  <w:tcW w:w="209" w:type="pct"/>
                  <w:tcBorders>
                    <w:tl2br w:val="nil"/>
                    <w:tr2bl w:val="nil"/>
                  </w:tcBorders>
                  <w:noWrap w:val="0"/>
                  <w:vAlign w:val="center"/>
                </w:tcPr>
                <w:p w14:paraId="62244379">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p>
              </w:tc>
              <w:tc>
                <w:tcPr>
                  <w:tcW w:w="325" w:type="pct"/>
                  <w:tcBorders>
                    <w:tl2br w:val="nil"/>
                    <w:tr2bl w:val="nil"/>
                  </w:tcBorders>
                  <w:noWrap w:val="0"/>
                  <w:vAlign w:val="center"/>
                </w:tcPr>
                <w:p w14:paraId="1DAE498B">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p>
              </w:tc>
              <w:tc>
                <w:tcPr>
                  <w:tcW w:w="434" w:type="pct"/>
                  <w:tcBorders>
                    <w:tl2br w:val="nil"/>
                    <w:tr2bl w:val="nil"/>
                  </w:tcBorders>
                  <w:noWrap w:val="0"/>
                  <w:vAlign w:val="center"/>
                </w:tcPr>
                <w:p w14:paraId="3C60F1C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82.82</w:t>
                  </w:r>
                </w:p>
              </w:tc>
              <w:tc>
                <w:tcPr>
                  <w:tcW w:w="340" w:type="pct"/>
                  <w:vMerge w:val="continue"/>
                  <w:tcBorders>
                    <w:tl2br w:val="nil"/>
                    <w:tr2bl w:val="nil"/>
                  </w:tcBorders>
                  <w:noWrap w:val="0"/>
                  <w:vAlign w:val="center"/>
                </w:tcPr>
                <w:p w14:paraId="13906AE9">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410" w:type="pct"/>
                  <w:tcBorders>
                    <w:tl2br w:val="nil"/>
                    <w:tr2bl w:val="nil"/>
                  </w:tcBorders>
                  <w:noWrap w:val="0"/>
                  <w:vAlign w:val="center"/>
                </w:tcPr>
                <w:p w14:paraId="291F55E9">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456" w:type="pct"/>
                  <w:tcBorders>
                    <w:tl2br w:val="nil"/>
                    <w:tr2bl w:val="nil"/>
                  </w:tcBorders>
                  <w:noWrap w:val="0"/>
                  <w:vAlign w:val="center"/>
                </w:tcPr>
                <w:p w14:paraId="5F2645C7">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.82</w:t>
                  </w:r>
                </w:p>
              </w:tc>
              <w:tc>
                <w:tcPr>
                  <w:tcW w:w="315" w:type="pct"/>
                  <w:tcBorders>
                    <w:tl2br w:val="nil"/>
                    <w:tr2bl w:val="nil"/>
                  </w:tcBorders>
                  <w:noWrap w:val="0"/>
                  <w:vAlign w:val="center"/>
                </w:tcPr>
                <w:p w14:paraId="64F0348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14:paraId="55EE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5000" w:type="pct"/>
                  <w:gridSpan w:val="15"/>
                  <w:tcBorders>
                    <w:tl2br w:val="nil"/>
                    <w:tr2bl w:val="nil"/>
                  </w:tcBorders>
                  <w:noWrap w:val="0"/>
                  <w:vAlign w:val="center"/>
                </w:tcPr>
                <w:p w14:paraId="2169B62C">
                  <w:pPr>
                    <w:keepNext w:val="0"/>
                    <w:keepLines w:val="0"/>
                    <w:pageBreakBefore w:val="0"/>
                    <w:widowControl/>
                    <w:kinsoku/>
                    <w:wordWrap/>
                    <w:overflowPunct/>
                    <w:topLinePunct w:val="0"/>
                    <w:autoSpaceDE/>
                    <w:autoSpaceDN/>
                    <w:bidi w:val="0"/>
                    <w:spacing w:line="240" w:lineRule="auto"/>
                    <w:jc w:val="both"/>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2"/>
                      <w:szCs w:val="22"/>
                      <w:highlight w:val="none"/>
                    </w:rPr>
                    <w:t>注：空间相对位置以厂区西</w:t>
                  </w:r>
                  <w:r>
                    <w:rPr>
                      <w:rFonts w:hint="default" w:ascii="Times New Roman" w:hAnsi="Times New Roman" w:eastAsia="宋体" w:cs="Times New Roman"/>
                      <w:color w:val="auto"/>
                      <w:sz w:val="22"/>
                      <w:szCs w:val="22"/>
                      <w:highlight w:val="none"/>
                      <w:lang w:val="en-US" w:eastAsia="zh-CN"/>
                    </w:rPr>
                    <w:t>南</w:t>
                  </w:r>
                  <w:r>
                    <w:rPr>
                      <w:rFonts w:hint="default" w:ascii="Times New Roman" w:hAnsi="Times New Roman" w:eastAsia="宋体" w:cs="Times New Roman"/>
                      <w:color w:val="auto"/>
                      <w:sz w:val="22"/>
                      <w:szCs w:val="22"/>
                      <w:highlight w:val="none"/>
                    </w:rPr>
                    <w:t>角为原点（0,0,0）。</w:t>
                  </w:r>
                </w:p>
              </w:tc>
            </w:tr>
          </w:tbl>
          <w:p w14:paraId="734E69C4">
            <w:pPr>
              <w:spacing w:line="480" w:lineRule="exact"/>
              <w:ind w:firstLine="480"/>
              <w:jc w:val="center"/>
              <w:rPr>
                <w:rFonts w:hint="default" w:cs="Times New Roman"/>
                <w:b/>
                <w:bCs/>
                <w:color w:val="auto"/>
                <w:sz w:val="24"/>
                <w:highlight w:val="none"/>
                <w:lang w:val="en-US" w:eastAsia="zh-CN"/>
              </w:rPr>
            </w:pPr>
            <w:r>
              <w:rPr>
                <w:rFonts w:hint="default" w:cs="Times New Roman"/>
                <w:b/>
                <w:bCs/>
                <w:color w:val="auto"/>
                <w:sz w:val="24"/>
                <w:highlight w:val="none"/>
                <w:lang w:val="en-US" w:eastAsia="zh-CN"/>
              </w:rPr>
              <w:t>表 4-</w:t>
            </w:r>
            <w:r>
              <w:rPr>
                <w:rFonts w:hint="eastAsia" w:cs="Times New Roman"/>
                <w:b/>
                <w:bCs/>
                <w:color w:val="auto"/>
                <w:sz w:val="24"/>
                <w:highlight w:val="none"/>
                <w:lang w:val="en-US" w:eastAsia="zh-CN"/>
              </w:rPr>
              <w:t>8.2</w:t>
            </w:r>
            <w:r>
              <w:rPr>
                <w:rFonts w:hint="default" w:cs="Times New Roman"/>
                <w:b/>
                <w:bCs/>
                <w:color w:val="auto"/>
                <w:sz w:val="24"/>
                <w:highlight w:val="none"/>
                <w:lang w:val="en-US" w:eastAsia="zh-CN"/>
              </w:rPr>
              <w:t xml:space="preserve">   项目室外噪声污染源强核算结果及相关参数一览表</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28" w:type="dxa"/>
                <w:bottom w:w="0" w:type="dxa"/>
                <w:right w:w="28" w:type="dxa"/>
              </w:tblCellMar>
            </w:tblPr>
            <w:tblGrid>
              <w:gridCol w:w="436"/>
              <w:gridCol w:w="1698"/>
              <w:gridCol w:w="1481"/>
              <w:gridCol w:w="1345"/>
              <w:gridCol w:w="664"/>
              <w:gridCol w:w="704"/>
              <w:gridCol w:w="734"/>
              <w:gridCol w:w="1300"/>
            </w:tblGrid>
            <w:tr w14:paraId="398A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369" w:hRule="atLeast"/>
              </w:trPr>
              <w:tc>
                <w:tcPr>
                  <w:tcW w:w="224" w:type="pct"/>
                  <w:vMerge w:val="restart"/>
                  <w:shd w:val="clear" w:color="auto" w:fill="auto"/>
                  <w:noWrap/>
                  <w:vAlign w:val="center"/>
                </w:tcPr>
                <w:p w14:paraId="3297CF43">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序号</w:t>
                  </w:r>
                </w:p>
              </w:tc>
              <w:tc>
                <w:tcPr>
                  <w:tcW w:w="1046" w:type="pct"/>
                  <w:vMerge w:val="restart"/>
                  <w:shd w:val="clear" w:color="auto" w:fill="auto"/>
                  <w:noWrap/>
                  <w:vAlign w:val="center"/>
                </w:tcPr>
                <w:p w14:paraId="314BCC15">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声源名称</w:t>
                  </w:r>
                </w:p>
              </w:tc>
              <w:tc>
                <w:tcPr>
                  <w:tcW w:w="742" w:type="pct"/>
                  <w:vMerge w:val="restart"/>
                  <w:shd w:val="clear" w:color="auto" w:fill="auto"/>
                  <w:noWrap/>
                  <w:vAlign w:val="center"/>
                </w:tcPr>
                <w:p w14:paraId="2B8FDF5C">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声功率级/dB(A</w:t>
                  </w:r>
                  <w:r>
                    <w:rPr>
                      <w:rFonts w:hint="default" w:ascii="Times New Roman" w:hAnsi="Times New Roman" w:cs="Times New Roman"/>
                      <w:color w:val="auto"/>
                      <w:spacing w:val="-10"/>
                      <w:sz w:val="21"/>
                      <w:szCs w:val="21"/>
                      <w:highlight w:val="none"/>
                      <w:lang w:val="en-US" w:eastAsia="zh-CN"/>
                    </w:rPr>
                    <w:t>）</w:t>
                  </w:r>
                </w:p>
              </w:tc>
              <w:tc>
                <w:tcPr>
                  <w:tcW w:w="834" w:type="pct"/>
                  <w:vMerge w:val="restart"/>
                  <w:shd w:val="clear" w:color="auto" w:fill="auto"/>
                  <w:noWrap/>
                  <w:vAlign w:val="center"/>
                </w:tcPr>
                <w:p w14:paraId="06D74AFE">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声源控制措施</w:t>
                  </w:r>
                </w:p>
              </w:tc>
              <w:tc>
                <w:tcPr>
                  <w:tcW w:w="1347" w:type="pct"/>
                  <w:gridSpan w:val="3"/>
                  <w:shd w:val="clear" w:color="auto" w:fill="auto"/>
                  <w:noWrap/>
                  <w:vAlign w:val="center"/>
                </w:tcPr>
                <w:p w14:paraId="2CAE79C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空间相对位置/m</w:t>
                  </w:r>
                </w:p>
              </w:tc>
              <w:tc>
                <w:tcPr>
                  <w:tcW w:w="804" w:type="pct"/>
                  <w:vMerge w:val="restart"/>
                  <w:shd w:val="clear" w:color="auto" w:fill="auto"/>
                  <w:noWrap/>
                  <w:vAlign w:val="center"/>
                </w:tcPr>
                <w:p w14:paraId="20AFF0FC">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运行时段</w:t>
                  </w:r>
                </w:p>
              </w:tc>
            </w:tr>
            <w:tr w14:paraId="3B6F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369" w:hRule="atLeast"/>
              </w:trPr>
              <w:tc>
                <w:tcPr>
                  <w:tcW w:w="224" w:type="pct"/>
                  <w:vMerge w:val="continue"/>
                  <w:shd w:val="clear" w:color="auto" w:fill="auto"/>
                  <w:noWrap/>
                  <w:vAlign w:val="center"/>
                </w:tcPr>
                <w:p w14:paraId="2CB770C1">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046" w:type="pct"/>
                  <w:vMerge w:val="continue"/>
                  <w:shd w:val="clear" w:color="auto" w:fill="auto"/>
                  <w:noWrap/>
                  <w:vAlign w:val="center"/>
                </w:tcPr>
                <w:p w14:paraId="10D9BB3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742" w:type="pct"/>
                  <w:vMerge w:val="continue"/>
                  <w:shd w:val="clear" w:color="auto" w:fill="auto"/>
                  <w:vAlign w:val="center"/>
                </w:tcPr>
                <w:p w14:paraId="4F73E1E8">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834" w:type="pct"/>
                  <w:vMerge w:val="continue"/>
                  <w:shd w:val="clear" w:color="auto" w:fill="auto"/>
                  <w:noWrap/>
                  <w:vAlign w:val="center"/>
                </w:tcPr>
                <w:p w14:paraId="06A69B23">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427" w:type="pct"/>
                  <w:shd w:val="clear" w:color="auto" w:fill="auto"/>
                  <w:noWrap/>
                  <w:vAlign w:val="center"/>
                </w:tcPr>
                <w:p w14:paraId="150C6F2C">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X</w:t>
                  </w:r>
                </w:p>
              </w:tc>
              <w:tc>
                <w:tcPr>
                  <w:tcW w:w="451" w:type="pct"/>
                  <w:shd w:val="clear" w:color="auto" w:fill="auto"/>
                  <w:noWrap/>
                  <w:vAlign w:val="center"/>
                </w:tcPr>
                <w:p w14:paraId="216DBF61">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Y</w:t>
                  </w:r>
                </w:p>
              </w:tc>
              <w:tc>
                <w:tcPr>
                  <w:tcW w:w="468" w:type="pct"/>
                  <w:shd w:val="clear" w:color="auto" w:fill="auto"/>
                  <w:noWrap/>
                  <w:vAlign w:val="center"/>
                </w:tcPr>
                <w:p w14:paraId="6C3186E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Z</w:t>
                  </w:r>
                </w:p>
              </w:tc>
              <w:tc>
                <w:tcPr>
                  <w:tcW w:w="804" w:type="pct"/>
                  <w:vMerge w:val="continue"/>
                  <w:shd w:val="clear" w:color="auto" w:fill="auto"/>
                  <w:noWrap/>
                  <w:vAlign w:val="center"/>
                </w:tcPr>
                <w:p w14:paraId="5F30AB29">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p>
              </w:tc>
            </w:tr>
            <w:tr w14:paraId="7157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369" w:hRule="atLeast"/>
              </w:trPr>
              <w:tc>
                <w:tcPr>
                  <w:tcW w:w="224" w:type="pct"/>
                  <w:shd w:val="clear" w:color="auto" w:fill="auto"/>
                  <w:noWrap/>
                  <w:vAlign w:val="center"/>
                </w:tcPr>
                <w:p w14:paraId="7CE9339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cs="Times New Roman"/>
                      <w:color w:val="auto"/>
                      <w:spacing w:val="-10"/>
                      <w:sz w:val="21"/>
                      <w:szCs w:val="21"/>
                      <w:highlight w:val="none"/>
                      <w:lang w:val="en-US" w:eastAsia="zh-CN"/>
                    </w:rPr>
                    <w:t>1</w:t>
                  </w:r>
                </w:p>
              </w:tc>
              <w:tc>
                <w:tcPr>
                  <w:tcW w:w="1046" w:type="pct"/>
                  <w:shd w:val="clear" w:color="auto" w:fill="auto"/>
                  <w:noWrap/>
                  <w:vAlign w:val="center"/>
                </w:tcPr>
                <w:p w14:paraId="30B50D7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水泵</w:t>
                  </w:r>
                </w:p>
              </w:tc>
              <w:tc>
                <w:tcPr>
                  <w:tcW w:w="742" w:type="pct"/>
                  <w:shd w:val="clear" w:color="auto" w:fill="auto"/>
                  <w:vAlign w:val="center"/>
                </w:tcPr>
                <w:p w14:paraId="5525CE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75</w:t>
                  </w:r>
                </w:p>
              </w:tc>
              <w:tc>
                <w:tcPr>
                  <w:tcW w:w="834" w:type="pct"/>
                  <w:shd w:val="clear" w:color="auto" w:fill="auto"/>
                  <w:noWrap/>
                  <w:vAlign w:val="center"/>
                </w:tcPr>
                <w:p w14:paraId="5E5158C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kern w:val="0"/>
                      <w:sz w:val="21"/>
                      <w:szCs w:val="21"/>
                      <w:highlight w:val="none"/>
                    </w:rPr>
                    <w:t>基础减震</w:t>
                  </w:r>
                </w:p>
              </w:tc>
              <w:tc>
                <w:tcPr>
                  <w:tcW w:w="427" w:type="pct"/>
                  <w:shd w:val="clear" w:color="auto" w:fill="auto"/>
                  <w:noWrap/>
                  <w:vAlign w:val="center"/>
                </w:tcPr>
                <w:p w14:paraId="6DB6A89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eastAsia="宋体" w:cs="Times New Roman"/>
                      <w:i w:val="0"/>
                      <w:iCs w:val="0"/>
                      <w:color w:val="auto"/>
                      <w:kern w:val="2"/>
                      <w:sz w:val="21"/>
                      <w:szCs w:val="21"/>
                      <w:highlight w:val="none"/>
                      <w:u w:val="none"/>
                      <w:lang w:val="en-US" w:eastAsia="zh-CN" w:bidi="ar-SA"/>
                    </w:rPr>
                    <w:t>35</w:t>
                  </w:r>
                </w:p>
              </w:tc>
              <w:tc>
                <w:tcPr>
                  <w:tcW w:w="451" w:type="pct"/>
                  <w:shd w:val="clear" w:color="auto" w:fill="auto"/>
                  <w:noWrap/>
                  <w:vAlign w:val="center"/>
                </w:tcPr>
                <w:p w14:paraId="4CCDB3F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eastAsia="宋体" w:cs="Times New Roman"/>
                      <w:i w:val="0"/>
                      <w:iCs w:val="0"/>
                      <w:color w:val="auto"/>
                      <w:kern w:val="2"/>
                      <w:sz w:val="21"/>
                      <w:szCs w:val="21"/>
                      <w:highlight w:val="none"/>
                      <w:u w:val="none"/>
                      <w:lang w:val="en-US" w:eastAsia="zh-CN" w:bidi="ar-SA"/>
                    </w:rPr>
                    <w:t>114</w:t>
                  </w:r>
                </w:p>
              </w:tc>
              <w:tc>
                <w:tcPr>
                  <w:tcW w:w="468" w:type="pct"/>
                  <w:shd w:val="clear" w:color="auto" w:fill="FFFFFF"/>
                  <w:noWrap/>
                  <w:vAlign w:val="center"/>
                </w:tcPr>
                <w:p w14:paraId="0D6F667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eastAsia="宋体" w:cs="Times New Roman"/>
                      <w:i w:val="0"/>
                      <w:iCs w:val="0"/>
                      <w:color w:val="auto"/>
                      <w:kern w:val="0"/>
                      <w:sz w:val="21"/>
                      <w:szCs w:val="21"/>
                      <w:highlight w:val="none"/>
                      <w:u w:val="none"/>
                      <w:lang w:val="en-US" w:eastAsia="zh-CN" w:bidi="ar"/>
                    </w:rPr>
                    <w:t>1</w:t>
                  </w:r>
                </w:p>
              </w:tc>
              <w:tc>
                <w:tcPr>
                  <w:tcW w:w="804" w:type="pct"/>
                  <w:shd w:val="clear" w:color="auto" w:fill="auto"/>
                  <w:noWrap/>
                  <w:vAlign w:val="center"/>
                </w:tcPr>
                <w:p w14:paraId="0E73E63F">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cs="Times New Roman"/>
                      <w:color w:val="auto"/>
                      <w:spacing w:val="-10"/>
                      <w:sz w:val="21"/>
                      <w:szCs w:val="21"/>
                      <w:highlight w:val="none"/>
                      <w:lang w:val="en-US" w:eastAsia="zh-CN"/>
                    </w:rPr>
                    <w:t>昼间</w:t>
                  </w:r>
                </w:p>
              </w:tc>
            </w:tr>
            <w:tr w14:paraId="0A8F7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369" w:hRule="atLeast"/>
              </w:trPr>
              <w:tc>
                <w:tcPr>
                  <w:tcW w:w="224" w:type="pct"/>
                  <w:shd w:val="clear" w:color="auto" w:fill="auto"/>
                  <w:noWrap/>
                  <w:vAlign w:val="center"/>
                </w:tcPr>
                <w:p w14:paraId="7DFEDD98">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cs="Times New Roman"/>
                      <w:color w:val="auto"/>
                      <w:spacing w:val="-10"/>
                      <w:sz w:val="21"/>
                      <w:szCs w:val="21"/>
                      <w:highlight w:val="none"/>
                      <w:lang w:val="en-US" w:eastAsia="zh-CN"/>
                    </w:rPr>
                  </w:pPr>
                  <w:r>
                    <w:rPr>
                      <w:rFonts w:hint="eastAsia" w:cs="Times New Roman"/>
                      <w:color w:val="auto"/>
                      <w:spacing w:val="-10"/>
                      <w:sz w:val="21"/>
                      <w:szCs w:val="21"/>
                      <w:highlight w:val="none"/>
                      <w:lang w:val="en-US" w:eastAsia="zh-CN"/>
                    </w:rPr>
                    <w:t>2</w:t>
                  </w:r>
                </w:p>
              </w:tc>
              <w:tc>
                <w:tcPr>
                  <w:tcW w:w="1046" w:type="pct"/>
                  <w:shd w:val="clear" w:color="auto" w:fill="auto"/>
                  <w:noWrap/>
                  <w:vAlign w:val="center"/>
                </w:tcPr>
                <w:p w14:paraId="03D5EFC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水泵</w:t>
                  </w:r>
                </w:p>
              </w:tc>
              <w:tc>
                <w:tcPr>
                  <w:tcW w:w="742" w:type="pct"/>
                  <w:shd w:val="clear" w:color="auto" w:fill="auto"/>
                  <w:vAlign w:val="center"/>
                </w:tcPr>
                <w:p w14:paraId="4AD117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75</w:t>
                  </w:r>
                </w:p>
              </w:tc>
              <w:tc>
                <w:tcPr>
                  <w:tcW w:w="834" w:type="pct"/>
                  <w:shd w:val="clear" w:color="auto" w:fill="auto"/>
                  <w:noWrap/>
                  <w:vAlign w:val="center"/>
                </w:tcPr>
                <w:p w14:paraId="7440FC7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基础减震</w:t>
                  </w:r>
                </w:p>
              </w:tc>
              <w:tc>
                <w:tcPr>
                  <w:tcW w:w="427" w:type="pct"/>
                  <w:shd w:val="clear" w:color="auto" w:fill="auto"/>
                  <w:noWrap/>
                  <w:vAlign w:val="center"/>
                </w:tcPr>
                <w:p w14:paraId="114B7217">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110</w:t>
                  </w:r>
                </w:p>
              </w:tc>
              <w:tc>
                <w:tcPr>
                  <w:tcW w:w="451" w:type="pct"/>
                  <w:shd w:val="clear" w:color="auto" w:fill="auto"/>
                  <w:noWrap/>
                  <w:vAlign w:val="center"/>
                </w:tcPr>
                <w:p w14:paraId="4EF748F5">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-8</w:t>
                  </w:r>
                </w:p>
              </w:tc>
              <w:tc>
                <w:tcPr>
                  <w:tcW w:w="468" w:type="pct"/>
                  <w:shd w:val="clear" w:color="auto" w:fill="FFFFFF"/>
                  <w:noWrap/>
                  <w:vAlign w:val="center"/>
                </w:tcPr>
                <w:p w14:paraId="72389152">
                  <w:pPr>
                    <w:keepNext w:val="0"/>
                    <w:keepLines w:val="0"/>
                    <w:widowControl/>
                    <w:suppressLineNumbers w:val="0"/>
                    <w:jc w:val="center"/>
                    <w:textAlignment w:val="center"/>
                    <w:rPr>
                      <w:rFonts w:hint="default" w:ascii="Times New Roman" w:hAnsi="Times New Roman"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804" w:type="pct"/>
                  <w:shd w:val="clear" w:color="auto" w:fill="auto"/>
                  <w:noWrap/>
                  <w:vAlign w:val="center"/>
                </w:tcPr>
                <w:p w14:paraId="11FC621A">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cs="Times New Roman"/>
                      <w:color w:val="auto"/>
                      <w:spacing w:val="-10"/>
                      <w:sz w:val="21"/>
                      <w:szCs w:val="21"/>
                      <w:highlight w:val="none"/>
                      <w:lang w:val="en-US" w:eastAsia="zh-CN"/>
                    </w:rPr>
                  </w:pPr>
                  <w:r>
                    <w:rPr>
                      <w:rFonts w:hint="default" w:ascii="Times New Roman" w:hAnsi="Times New Roman" w:cs="Times New Roman"/>
                      <w:color w:val="auto"/>
                      <w:spacing w:val="-10"/>
                      <w:sz w:val="21"/>
                      <w:szCs w:val="21"/>
                      <w:highlight w:val="none"/>
                      <w:lang w:val="en-US" w:eastAsia="zh-CN"/>
                    </w:rPr>
                    <w:t>昼间</w:t>
                  </w:r>
                </w:p>
              </w:tc>
            </w:tr>
            <w:tr w14:paraId="7408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trPr>
              <w:tc>
                <w:tcPr>
                  <w:tcW w:w="5000" w:type="pct"/>
                  <w:gridSpan w:val="8"/>
                  <w:shd w:val="clear" w:color="auto" w:fill="auto"/>
                  <w:noWrap/>
                  <w:vAlign w:val="center"/>
                </w:tcPr>
                <w:p w14:paraId="7DD43BA7">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default" w:ascii="Times New Roman" w:hAnsi="Times New Roman" w:cs="Times New Roman"/>
                      <w:color w:val="auto"/>
                      <w:spacing w:val="-10"/>
                      <w:sz w:val="21"/>
                      <w:szCs w:val="21"/>
                      <w:highlight w:val="none"/>
                      <w:lang w:val="en-US" w:eastAsia="zh-CN"/>
                    </w:rPr>
                  </w:pPr>
                  <w:r>
                    <w:rPr>
                      <w:rFonts w:hint="default" w:ascii="Times New Roman" w:hAnsi="Times New Roman" w:eastAsia="宋体" w:cs="Times New Roman"/>
                      <w:color w:val="auto"/>
                      <w:sz w:val="21"/>
                      <w:szCs w:val="21"/>
                      <w:highlight w:val="none"/>
                    </w:rPr>
                    <w:t>注：空间相对位置以厂区西</w:t>
                  </w:r>
                  <w:r>
                    <w:rPr>
                      <w:rFonts w:hint="default" w:ascii="Times New Roman" w:hAnsi="Times New Roman" w:eastAsia="宋体" w:cs="Times New Roman"/>
                      <w:color w:val="auto"/>
                      <w:sz w:val="21"/>
                      <w:szCs w:val="21"/>
                      <w:highlight w:val="none"/>
                      <w:lang w:val="en-US" w:eastAsia="zh-CN"/>
                    </w:rPr>
                    <w:t>南</w:t>
                  </w:r>
                  <w:r>
                    <w:rPr>
                      <w:rFonts w:hint="default" w:ascii="Times New Roman" w:hAnsi="Times New Roman" w:eastAsia="宋体" w:cs="Times New Roman"/>
                      <w:color w:val="auto"/>
                      <w:sz w:val="21"/>
                      <w:szCs w:val="21"/>
                      <w:highlight w:val="none"/>
                    </w:rPr>
                    <w:t>角为原点（0,0,0）。</w:t>
                  </w:r>
                </w:p>
              </w:tc>
            </w:tr>
          </w:tbl>
          <w:p w14:paraId="3E553D2B">
            <w:pPr>
              <w:keepNext w:val="0"/>
              <w:keepLines w:val="0"/>
              <w:pageBreakBefore w:val="0"/>
              <w:widowControl w:val="0"/>
              <w:kinsoku/>
              <w:wordWrap/>
              <w:overflowPunct/>
              <w:topLinePunct w:val="0"/>
              <w:autoSpaceDE/>
              <w:autoSpaceDN/>
              <w:bidi w:val="0"/>
              <w:adjustRightInd w:val="0"/>
              <w:snapToGrid/>
              <w:spacing w:line="480" w:lineRule="exact"/>
              <w:ind w:left="0" w:leftChars="0" w:right="0" w:rightChars="0" w:firstLine="480"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（2）预测模式</w:t>
            </w:r>
          </w:p>
          <w:p w14:paraId="0C485CF8">
            <w:pPr>
              <w:spacing w:line="440" w:lineRule="exac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噪声从声源传至受声点，因受传播距离、空气吸收、阻挡物的反射与屏障等因素影响，会使其产生衰减。</w:t>
            </w:r>
          </w:p>
          <w:p w14:paraId="4C056737">
            <w:pPr>
              <w:spacing w:line="440" w:lineRule="exact"/>
              <w:ind w:firstLine="480" w:firstLineChars="2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snapToGrid w:val="0"/>
                <w:color w:val="auto"/>
                <w:kern w:val="0"/>
                <w:sz w:val="24"/>
                <w:szCs w:val="20"/>
                <w:highlight w:val="none"/>
              </w:rPr>
              <w:t>根据《环境影响评价技术导则声环境》（HJ2.4-2021），</w:t>
            </w:r>
            <w:r>
              <w:rPr>
                <w:rFonts w:hint="default" w:ascii="Times New Roman" w:hAnsi="Times New Roman" w:eastAsia="宋体" w:cs="Times New Roman"/>
                <w:color w:val="auto"/>
                <w:sz w:val="24"/>
                <w:szCs w:val="20"/>
                <w:highlight w:val="none"/>
              </w:rPr>
              <w:t>室外声源对厂界噪声预测点贡献值预测模式各声源对预测点的贡献值按A声级计算公示为：</w:t>
            </w:r>
          </w:p>
          <w:p w14:paraId="1C6CA636">
            <w:pPr>
              <w:spacing w:line="440" w:lineRule="exact"/>
              <w:ind w:firstLine="480"/>
              <w:jc w:val="center"/>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L</w:t>
            </w:r>
            <w:r>
              <w:rPr>
                <w:rFonts w:hint="default" w:ascii="Times New Roman" w:hAnsi="Times New Roman" w:eastAsia="宋体" w:cs="Times New Roman"/>
                <w:color w:val="auto"/>
                <w:sz w:val="24"/>
                <w:szCs w:val="20"/>
                <w:highlight w:val="none"/>
                <w:vertAlign w:val="subscript"/>
              </w:rPr>
              <w:t>p</w:t>
            </w:r>
            <w:r>
              <w:rPr>
                <w:rFonts w:hint="default" w:ascii="Times New Roman" w:hAnsi="Times New Roman" w:eastAsia="宋体" w:cs="Times New Roman"/>
                <w:color w:val="auto"/>
                <w:sz w:val="24"/>
                <w:szCs w:val="20"/>
                <w:highlight w:val="none"/>
              </w:rPr>
              <w:t>(r)=L</w:t>
            </w:r>
            <w:r>
              <w:rPr>
                <w:rFonts w:hint="default" w:ascii="Times New Roman" w:hAnsi="Times New Roman" w:eastAsia="宋体" w:cs="Times New Roman"/>
                <w:color w:val="auto"/>
                <w:sz w:val="24"/>
                <w:szCs w:val="20"/>
                <w:highlight w:val="none"/>
                <w:vertAlign w:val="subscript"/>
              </w:rPr>
              <w:t>w</w:t>
            </w:r>
            <w:r>
              <w:rPr>
                <w:rFonts w:hint="default" w:ascii="Times New Roman" w:hAnsi="Times New Roman" w:eastAsia="宋体" w:cs="Times New Roman"/>
                <w:color w:val="auto"/>
                <w:sz w:val="24"/>
                <w:szCs w:val="20"/>
                <w:highlight w:val="none"/>
              </w:rPr>
              <w:t>+D</w:t>
            </w:r>
            <w:r>
              <w:rPr>
                <w:rFonts w:hint="default" w:ascii="Times New Roman" w:hAnsi="Times New Roman" w:eastAsia="宋体" w:cs="Times New Roman"/>
                <w:color w:val="auto"/>
                <w:sz w:val="24"/>
                <w:szCs w:val="20"/>
                <w:highlight w:val="none"/>
                <w:vertAlign w:val="subscript"/>
              </w:rPr>
              <w:t>c</w:t>
            </w:r>
            <w:r>
              <w:rPr>
                <w:rFonts w:hint="default" w:ascii="Times New Roman" w:hAnsi="Times New Roman" w:eastAsia="宋体" w:cs="Times New Roman"/>
                <w:color w:val="auto"/>
                <w:sz w:val="24"/>
                <w:szCs w:val="20"/>
                <w:highlight w:val="none"/>
              </w:rPr>
              <w:t>－(A</w:t>
            </w:r>
            <w:r>
              <w:rPr>
                <w:rFonts w:hint="default" w:ascii="Times New Roman" w:hAnsi="Times New Roman" w:eastAsia="宋体" w:cs="Times New Roman"/>
                <w:color w:val="auto"/>
                <w:sz w:val="24"/>
                <w:szCs w:val="20"/>
                <w:highlight w:val="none"/>
                <w:vertAlign w:val="subscript"/>
              </w:rPr>
              <w:t>div</w:t>
            </w:r>
            <w:r>
              <w:rPr>
                <w:rFonts w:hint="default" w:ascii="Times New Roman" w:hAnsi="Times New Roman" w:eastAsia="宋体" w:cs="Times New Roman"/>
                <w:color w:val="auto"/>
                <w:sz w:val="24"/>
                <w:szCs w:val="20"/>
                <w:highlight w:val="none"/>
              </w:rPr>
              <w:t>+ A</w:t>
            </w:r>
            <w:r>
              <w:rPr>
                <w:rFonts w:hint="default" w:ascii="Times New Roman" w:hAnsi="Times New Roman" w:eastAsia="宋体" w:cs="Times New Roman"/>
                <w:color w:val="auto"/>
                <w:sz w:val="24"/>
                <w:szCs w:val="20"/>
                <w:highlight w:val="none"/>
                <w:vertAlign w:val="subscript"/>
              </w:rPr>
              <w:t>atm</w:t>
            </w:r>
            <w:r>
              <w:rPr>
                <w:rFonts w:hint="default" w:ascii="Times New Roman" w:hAnsi="Times New Roman" w:eastAsia="宋体" w:cs="Times New Roman"/>
                <w:color w:val="auto"/>
                <w:sz w:val="24"/>
                <w:szCs w:val="20"/>
                <w:highlight w:val="none"/>
              </w:rPr>
              <w:t xml:space="preserve"> +A</w:t>
            </w:r>
            <w:r>
              <w:rPr>
                <w:rFonts w:hint="default" w:ascii="Times New Roman" w:hAnsi="Times New Roman" w:eastAsia="宋体" w:cs="Times New Roman"/>
                <w:color w:val="auto"/>
                <w:sz w:val="24"/>
                <w:szCs w:val="20"/>
                <w:highlight w:val="none"/>
                <w:vertAlign w:val="subscript"/>
              </w:rPr>
              <w:t>gr</w:t>
            </w:r>
            <w:r>
              <w:rPr>
                <w:rFonts w:hint="default" w:ascii="Times New Roman" w:hAnsi="Times New Roman" w:eastAsia="宋体" w:cs="Times New Roman"/>
                <w:color w:val="auto"/>
                <w:sz w:val="24"/>
                <w:szCs w:val="20"/>
                <w:highlight w:val="none"/>
              </w:rPr>
              <w:t xml:space="preserve"> +A</w:t>
            </w:r>
            <w:r>
              <w:rPr>
                <w:rFonts w:hint="default" w:ascii="Times New Roman" w:hAnsi="Times New Roman" w:eastAsia="宋体" w:cs="Times New Roman"/>
                <w:color w:val="auto"/>
                <w:sz w:val="24"/>
                <w:szCs w:val="20"/>
                <w:highlight w:val="none"/>
                <w:vertAlign w:val="subscript"/>
              </w:rPr>
              <w:t>bar</w:t>
            </w:r>
            <w:r>
              <w:rPr>
                <w:rFonts w:hint="default" w:ascii="Times New Roman" w:hAnsi="Times New Roman" w:eastAsia="宋体" w:cs="Times New Roman"/>
                <w:color w:val="auto"/>
                <w:sz w:val="24"/>
                <w:szCs w:val="20"/>
                <w:highlight w:val="none"/>
              </w:rPr>
              <w:t xml:space="preserve"> +A</w:t>
            </w:r>
            <w:r>
              <w:rPr>
                <w:rFonts w:hint="default" w:ascii="Times New Roman" w:hAnsi="Times New Roman" w:eastAsia="宋体" w:cs="Times New Roman"/>
                <w:color w:val="auto"/>
                <w:sz w:val="24"/>
                <w:szCs w:val="20"/>
                <w:highlight w:val="none"/>
                <w:vertAlign w:val="subscript"/>
              </w:rPr>
              <w:t>misc</w:t>
            </w:r>
            <w:r>
              <w:rPr>
                <w:rFonts w:hint="default" w:ascii="Times New Roman" w:hAnsi="Times New Roman" w:eastAsia="宋体" w:cs="Times New Roman"/>
                <w:color w:val="auto"/>
                <w:sz w:val="24"/>
                <w:szCs w:val="20"/>
                <w:highlight w:val="none"/>
              </w:rPr>
              <w:t>)</w:t>
            </w:r>
          </w:p>
          <w:p w14:paraId="71F833CE">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式中：L</w:t>
            </w:r>
            <w:r>
              <w:rPr>
                <w:rFonts w:hint="default" w:ascii="Times New Roman" w:hAnsi="Times New Roman" w:eastAsia="宋体" w:cs="Times New Roman"/>
                <w:color w:val="auto"/>
                <w:sz w:val="24"/>
                <w:szCs w:val="20"/>
                <w:highlight w:val="none"/>
                <w:vertAlign w:val="subscript"/>
              </w:rPr>
              <w:t>A</w:t>
            </w:r>
            <w:r>
              <w:rPr>
                <w:rFonts w:hint="default" w:ascii="Times New Roman" w:hAnsi="Times New Roman" w:eastAsia="宋体" w:cs="Times New Roman"/>
                <w:color w:val="auto"/>
                <w:sz w:val="24"/>
                <w:szCs w:val="20"/>
                <w:highlight w:val="none"/>
              </w:rPr>
              <w:t>(r)──预测点处声压级，dB；</w:t>
            </w:r>
          </w:p>
          <w:p w14:paraId="71B94C07">
            <w:pPr>
              <w:spacing w:line="440" w:lineRule="exact"/>
              <w:ind w:firstLine="1200" w:firstLineChars="500"/>
              <w:rPr>
                <w:rFonts w:hint="default" w:ascii="Times New Roman" w:hAnsi="Times New Roman" w:eastAsia="宋体" w:cs="Times New Roman"/>
                <w:color w:val="auto"/>
                <w:sz w:val="24"/>
                <w:szCs w:val="20"/>
                <w:highlight w:val="none"/>
                <w:vertAlign w:val="subscript"/>
              </w:rPr>
            </w:pPr>
            <w:r>
              <w:rPr>
                <w:rFonts w:hint="default" w:ascii="Times New Roman" w:hAnsi="Times New Roman" w:eastAsia="宋体" w:cs="Times New Roman"/>
                <w:color w:val="auto"/>
                <w:sz w:val="24"/>
                <w:szCs w:val="20"/>
                <w:highlight w:val="none"/>
              </w:rPr>
              <w:t>L</w:t>
            </w:r>
            <w:r>
              <w:rPr>
                <w:rFonts w:hint="default" w:ascii="Times New Roman" w:hAnsi="Times New Roman" w:eastAsia="宋体" w:cs="Times New Roman"/>
                <w:color w:val="auto"/>
                <w:sz w:val="24"/>
                <w:szCs w:val="20"/>
                <w:highlight w:val="none"/>
                <w:vertAlign w:val="subscript"/>
              </w:rPr>
              <w:t>w</w:t>
            </w:r>
            <w:r>
              <w:rPr>
                <w:rFonts w:hint="default" w:ascii="Times New Roman" w:hAnsi="Times New Roman" w:eastAsia="宋体" w:cs="Times New Roman"/>
                <w:color w:val="auto"/>
                <w:sz w:val="24"/>
                <w:szCs w:val="20"/>
                <w:highlight w:val="none"/>
              </w:rPr>
              <w:t>──由点声源产生的声功率级（A计权或倍频带），dB；</w:t>
            </w:r>
          </w:p>
          <w:p w14:paraId="159A7746">
            <w:pPr>
              <w:spacing w:line="440" w:lineRule="exact"/>
              <w:ind w:left="1410" w:leftChars="100" w:hanging="1200" w:hangingChars="5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D</w:t>
            </w:r>
            <w:r>
              <w:rPr>
                <w:rFonts w:hint="default" w:ascii="Times New Roman" w:hAnsi="Times New Roman" w:eastAsia="宋体" w:cs="Times New Roman"/>
                <w:color w:val="auto"/>
                <w:sz w:val="24"/>
                <w:szCs w:val="20"/>
                <w:highlight w:val="none"/>
                <w:vertAlign w:val="subscript"/>
              </w:rPr>
              <w:t>c</w:t>
            </w:r>
            <w:r>
              <w:rPr>
                <w:rFonts w:hint="default" w:ascii="Times New Roman" w:hAnsi="Times New Roman" w:eastAsia="宋体" w:cs="Times New Roman"/>
                <w:color w:val="auto"/>
                <w:sz w:val="24"/>
                <w:szCs w:val="20"/>
                <w:highlight w:val="none"/>
              </w:rPr>
              <w:t>—指向性校正，它描述点声源的等效连续声压级与产生声功率级L</w:t>
            </w:r>
            <w:r>
              <w:rPr>
                <w:rFonts w:hint="default" w:ascii="Times New Roman" w:hAnsi="Times New Roman" w:eastAsia="宋体" w:cs="Times New Roman"/>
                <w:color w:val="auto"/>
                <w:sz w:val="24"/>
                <w:szCs w:val="20"/>
                <w:highlight w:val="none"/>
                <w:vertAlign w:val="subscript"/>
              </w:rPr>
              <w:t>w</w:t>
            </w:r>
            <w:r>
              <w:rPr>
                <w:rFonts w:hint="default" w:ascii="Times New Roman" w:hAnsi="Times New Roman" w:eastAsia="宋体" w:cs="Times New Roman"/>
                <w:color w:val="auto"/>
                <w:sz w:val="24"/>
                <w:szCs w:val="20"/>
                <w:highlight w:val="none"/>
              </w:rPr>
              <w:t>的全向点声源在规定方向的偏差程度，dB；</w:t>
            </w:r>
          </w:p>
          <w:p w14:paraId="108D2737">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A</w:t>
            </w:r>
            <w:r>
              <w:rPr>
                <w:rFonts w:hint="default" w:ascii="Times New Roman" w:hAnsi="Times New Roman" w:eastAsia="宋体" w:cs="Times New Roman"/>
                <w:color w:val="auto"/>
                <w:sz w:val="24"/>
                <w:szCs w:val="20"/>
                <w:highlight w:val="none"/>
                <w:vertAlign w:val="subscript"/>
              </w:rPr>
              <w:t>div</w:t>
            </w:r>
            <w:r>
              <w:rPr>
                <w:rFonts w:hint="default" w:ascii="Times New Roman" w:hAnsi="Times New Roman" w:eastAsia="宋体" w:cs="Times New Roman"/>
                <w:color w:val="auto"/>
                <w:sz w:val="24"/>
                <w:szCs w:val="20"/>
                <w:highlight w:val="none"/>
              </w:rPr>
              <w:t>──几何发散引起的衰减，dB；</w:t>
            </w:r>
          </w:p>
          <w:p w14:paraId="1E7707DB">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A</w:t>
            </w:r>
            <w:r>
              <w:rPr>
                <w:rFonts w:hint="default" w:ascii="Times New Roman" w:hAnsi="Times New Roman" w:eastAsia="宋体" w:cs="Times New Roman"/>
                <w:color w:val="auto"/>
                <w:sz w:val="24"/>
                <w:szCs w:val="20"/>
                <w:highlight w:val="none"/>
                <w:vertAlign w:val="subscript"/>
              </w:rPr>
              <w:t>atm</w:t>
            </w:r>
            <w:r>
              <w:rPr>
                <w:rFonts w:hint="default" w:ascii="Times New Roman" w:hAnsi="Times New Roman" w:eastAsia="宋体" w:cs="Times New Roman"/>
                <w:color w:val="auto"/>
                <w:sz w:val="24"/>
                <w:szCs w:val="20"/>
                <w:highlight w:val="none"/>
              </w:rPr>
              <w:t>──大气吸收引起的衰减，dB；</w:t>
            </w:r>
          </w:p>
          <w:p w14:paraId="36522FE9">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A</w:t>
            </w:r>
            <w:r>
              <w:rPr>
                <w:rFonts w:hint="default" w:ascii="Times New Roman" w:hAnsi="Times New Roman" w:eastAsia="宋体" w:cs="Times New Roman"/>
                <w:color w:val="auto"/>
                <w:sz w:val="24"/>
                <w:szCs w:val="20"/>
                <w:highlight w:val="none"/>
                <w:vertAlign w:val="subscript"/>
              </w:rPr>
              <w:t>bar</w:t>
            </w:r>
            <w:r>
              <w:rPr>
                <w:rFonts w:hint="default" w:ascii="Times New Roman" w:hAnsi="Times New Roman" w:eastAsia="宋体" w:cs="Times New Roman"/>
                <w:color w:val="auto"/>
                <w:sz w:val="24"/>
                <w:szCs w:val="20"/>
                <w:highlight w:val="none"/>
              </w:rPr>
              <w:t>──障碍物屏蔽引起的衰减，dB；</w:t>
            </w:r>
          </w:p>
          <w:p w14:paraId="6174DF77">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A</w:t>
            </w:r>
            <w:r>
              <w:rPr>
                <w:rFonts w:hint="default" w:ascii="Times New Roman" w:hAnsi="Times New Roman" w:eastAsia="宋体" w:cs="Times New Roman"/>
                <w:color w:val="auto"/>
                <w:sz w:val="24"/>
                <w:szCs w:val="20"/>
                <w:highlight w:val="none"/>
                <w:vertAlign w:val="subscript"/>
              </w:rPr>
              <w:t>gr</w:t>
            </w:r>
            <w:r>
              <w:rPr>
                <w:rFonts w:hint="default" w:ascii="Times New Roman" w:hAnsi="Times New Roman" w:eastAsia="宋体" w:cs="Times New Roman"/>
                <w:color w:val="auto"/>
                <w:sz w:val="24"/>
                <w:szCs w:val="20"/>
                <w:highlight w:val="none"/>
              </w:rPr>
              <w:t>──地面效应引起的衰减，dB；</w:t>
            </w:r>
          </w:p>
          <w:p w14:paraId="2A873430">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A</w:t>
            </w:r>
            <w:r>
              <w:rPr>
                <w:rFonts w:hint="default" w:ascii="Times New Roman" w:hAnsi="Times New Roman" w:eastAsia="宋体" w:cs="Times New Roman"/>
                <w:color w:val="auto"/>
                <w:sz w:val="24"/>
                <w:szCs w:val="20"/>
                <w:highlight w:val="none"/>
                <w:vertAlign w:val="subscript"/>
              </w:rPr>
              <w:t>misc</w:t>
            </w:r>
            <w:r>
              <w:rPr>
                <w:rFonts w:hint="default" w:ascii="Times New Roman" w:hAnsi="Times New Roman" w:eastAsia="宋体" w:cs="Times New Roman"/>
                <w:color w:val="auto"/>
                <w:sz w:val="24"/>
                <w:szCs w:val="20"/>
                <w:highlight w:val="none"/>
              </w:rPr>
              <w:t>──其他多方面效应引起的衰减，dB。</w:t>
            </w:r>
          </w:p>
          <w:p w14:paraId="51A7322F">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①几何发散</w:t>
            </w:r>
          </w:p>
          <w:p w14:paraId="253F2EFC">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对于室外点声源，不考虑其指向性，几何发散衰减计算公式为：</w:t>
            </w:r>
          </w:p>
          <w:p w14:paraId="499304EB">
            <w:pPr>
              <w:spacing w:line="440" w:lineRule="exact"/>
              <w:jc w:val="center"/>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L</w:t>
            </w:r>
            <w:r>
              <w:rPr>
                <w:rFonts w:hint="default" w:ascii="Times New Roman" w:hAnsi="Times New Roman" w:eastAsia="宋体" w:cs="Times New Roman"/>
                <w:color w:val="auto"/>
                <w:sz w:val="24"/>
                <w:szCs w:val="20"/>
                <w:highlight w:val="none"/>
                <w:vertAlign w:val="subscript"/>
              </w:rPr>
              <w:t>A</w:t>
            </w:r>
            <w:r>
              <w:rPr>
                <w:rFonts w:hint="default" w:ascii="Times New Roman" w:hAnsi="Times New Roman" w:eastAsia="宋体" w:cs="Times New Roman"/>
                <w:color w:val="auto"/>
                <w:sz w:val="24"/>
                <w:szCs w:val="20"/>
                <w:highlight w:val="none"/>
              </w:rPr>
              <w:t>(r)=L</w:t>
            </w:r>
            <w:r>
              <w:rPr>
                <w:rFonts w:hint="default" w:ascii="Times New Roman" w:hAnsi="Times New Roman" w:eastAsia="宋体" w:cs="Times New Roman"/>
                <w:color w:val="auto"/>
                <w:sz w:val="24"/>
                <w:szCs w:val="20"/>
                <w:highlight w:val="none"/>
                <w:vertAlign w:val="subscript"/>
              </w:rPr>
              <w:t>A</w:t>
            </w:r>
            <w:r>
              <w:rPr>
                <w:rFonts w:hint="default" w:ascii="Times New Roman" w:hAnsi="Times New Roman" w:eastAsia="宋体" w:cs="Times New Roman"/>
                <w:color w:val="auto"/>
                <w:sz w:val="24"/>
                <w:szCs w:val="20"/>
                <w:highlight w:val="none"/>
              </w:rPr>
              <w:t>(r</w:t>
            </w:r>
            <w:r>
              <w:rPr>
                <w:rFonts w:hint="default" w:ascii="Times New Roman" w:hAnsi="Times New Roman" w:eastAsia="宋体" w:cs="Times New Roman"/>
                <w:color w:val="auto"/>
                <w:sz w:val="24"/>
                <w:szCs w:val="20"/>
                <w:highlight w:val="none"/>
                <w:vertAlign w:val="subscript"/>
              </w:rPr>
              <w:t>0</w:t>
            </w:r>
            <w:r>
              <w:rPr>
                <w:rFonts w:hint="default" w:ascii="Times New Roman" w:hAnsi="Times New Roman" w:eastAsia="宋体" w:cs="Times New Roman"/>
                <w:color w:val="auto"/>
                <w:sz w:val="24"/>
                <w:szCs w:val="20"/>
                <w:highlight w:val="none"/>
              </w:rPr>
              <w:t>)－20Lg(r/r</w:t>
            </w:r>
            <w:r>
              <w:rPr>
                <w:rFonts w:hint="default" w:ascii="Times New Roman" w:hAnsi="Times New Roman" w:eastAsia="宋体" w:cs="Times New Roman"/>
                <w:color w:val="auto"/>
                <w:sz w:val="24"/>
                <w:szCs w:val="20"/>
                <w:highlight w:val="none"/>
                <w:vertAlign w:val="subscript"/>
              </w:rPr>
              <w:t>0</w:t>
            </w:r>
            <w:r>
              <w:rPr>
                <w:rFonts w:hint="default" w:ascii="Times New Roman" w:hAnsi="Times New Roman" w:eastAsia="宋体" w:cs="Times New Roman"/>
                <w:color w:val="auto"/>
                <w:sz w:val="24"/>
                <w:szCs w:val="20"/>
                <w:highlight w:val="none"/>
              </w:rPr>
              <w:t>)</w:t>
            </w:r>
          </w:p>
          <w:p w14:paraId="45581A5A">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②遮挡物引起的衰减</w:t>
            </w:r>
          </w:p>
          <w:p w14:paraId="663E1D26">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遮挡物引起的衰减，只考虑各声源所在厂房围护结构的屏蔽效应，（1）中已计算，其他忽略不计。</w:t>
            </w:r>
          </w:p>
          <w:p w14:paraId="66B8A64A">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③空气吸收引起的衰减</w:t>
            </w:r>
          </w:p>
          <w:p w14:paraId="1BDCEA5C">
            <w:pPr>
              <w:spacing w:line="440" w:lineRule="exact"/>
              <w:ind w:firstLine="482"/>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空气吸收引起的衰减按下式计算：</w:t>
            </w:r>
          </w:p>
          <w:p w14:paraId="7C44BF72">
            <w:pPr>
              <w:ind w:firstLine="482"/>
              <w:jc w:val="center"/>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position w:val="-24"/>
                <w:sz w:val="24"/>
                <w:szCs w:val="20"/>
                <w:highlight w:val="none"/>
              </w:rPr>
              <w:drawing>
                <wp:inline distT="0" distB="0" distL="0" distR="0">
                  <wp:extent cx="1000125" cy="409575"/>
                  <wp:effectExtent l="0" t="0" r="9525" b="8890"/>
                  <wp:docPr id="1" name="图片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000125" cy="409575"/>
                          </a:xfrm>
                          <a:prstGeom prst="rect">
                            <a:avLst/>
                          </a:prstGeom>
                          <a:noFill/>
                          <a:ln>
                            <a:noFill/>
                          </a:ln>
                        </pic:spPr>
                      </pic:pic>
                    </a:graphicData>
                  </a:graphic>
                </wp:inline>
              </w:drawing>
            </w:r>
          </w:p>
          <w:p w14:paraId="2400AD3D">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式中：</w:t>
            </w:r>
          </w:p>
          <w:p w14:paraId="0274CA68">
            <w:pPr>
              <w:spacing w:line="440" w:lineRule="exact"/>
              <w:ind w:firstLine="720" w:firstLineChars="3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r—预测点距声源的距离，m；</w:t>
            </w:r>
          </w:p>
          <w:p w14:paraId="0E576AC6">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r</w:t>
            </w:r>
            <w:r>
              <w:rPr>
                <w:rFonts w:hint="default" w:ascii="Times New Roman" w:hAnsi="Times New Roman" w:eastAsia="宋体" w:cs="Times New Roman"/>
                <w:color w:val="auto"/>
                <w:sz w:val="24"/>
                <w:szCs w:val="20"/>
                <w:highlight w:val="none"/>
                <w:vertAlign w:val="subscript"/>
              </w:rPr>
              <w:t>0</w:t>
            </w:r>
            <w:r>
              <w:rPr>
                <w:rFonts w:hint="default" w:ascii="Times New Roman" w:hAnsi="Times New Roman" w:eastAsia="宋体" w:cs="Times New Roman"/>
                <w:color w:val="auto"/>
                <w:sz w:val="24"/>
                <w:szCs w:val="20"/>
                <w:highlight w:val="none"/>
              </w:rPr>
              <w:t>—参考点距声源的距离，m；</w:t>
            </w:r>
          </w:p>
          <w:p w14:paraId="4D154D38">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α—每1000m空气吸收系数。</w:t>
            </w:r>
          </w:p>
          <w:p w14:paraId="52F51EFB">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④A</w:t>
            </w:r>
            <w:r>
              <w:rPr>
                <w:rFonts w:hint="default" w:ascii="Times New Roman" w:hAnsi="Times New Roman" w:eastAsia="宋体" w:cs="Times New Roman"/>
                <w:color w:val="auto"/>
                <w:sz w:val="24"/>
                <w:szCs w:val="20"/>
                <w:highlight w:val="none"/>
                <w:vertAlign w:val="subscript"/>
              </w:rPr>
              <w:t>gr</w:t>
            </w:r>
            <w:r>
              <w:rPr>
                <w:rFonts w:hint="default" w:ascii="Times New Roman" w:hAnsi="Times New Roman" w:eastAsia="宋体" w:cs="Times New Roman"/>
                <w:color w:val="auto"/>
                <w:sz w:val="24"/>
                <w:szCs w:val="20"/>
                <w:highlight w:val="none"/>
              </w:rPr>
              <w:t>及A</w:t>
            </w:r>
            <w:r>
              <w:rPr>
                <w:rFonts w:hint="default" w:ascii="Times New Roman" w:hAnsi="Times New Roman" w:eastAsia="宋体" w:cs="Times New Roman"/>
                <w:color w:val="auto"/>
                <w:sz w:val="24"/>
                <w:szCs w:val="20"/>
                <w:highlight w:val="none"/>
                <w:vertAlign w:val="subscript"/>
              </w:rPr>
              <w:t>emisc</w:t>
            </w:r>
            <w:r>
              <w:rPr>
                <w:rFonts w:hint="default" w:ascii="Times New Roman" w:hAnsi="Times New Roman" w:eastAsia="宋体" w:cs="Times New Roman"/>
                <w:color w:val="auto"/>
                <w:sz w:val="24"/>
                <w:szCs w:val="20"/>
                <w:highlight w:val="none"/>
              </w:rPr>
              <w:t>衰减</w:t>
            </w:r>
          </w:p>
          <w:p w14:paraId="06C4A481">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A</w:t>
            </w:r>
            <w:r>
              <w:rPr>
                <w:rFonts w:hint="default" w:ascii="Times New Roman" w:hAnsi="Times New Roman" w:eastAsia="宋体" w:cs="Times New Roman"/>
                <w:color w:val="auto"/>
                <w:sz w:val="24"/>
                <w:szCs w:val="20"/>
                <w:highlight w:val="none"/>
                <w:vertAlign w:val="subscript"/>
              </w:rPr>
              <w:t>gr</w:t>
            </w:r>
            <w:r>
              <w:rPr>
                <w:rFonts w:hint="default" w:ascii="Times New Roman" w:hAnsi="Times New Roman" w:eastAsia="宋体" w:cs="Times New Roman"/>
                <w:color w:val="auto"/>
                <w:sz w:val="24"/>
                <w:szCs w:val="20"/>
                <w:highlight w:val="none"/>
              </w:rPr>
              <w:t>（地面效应）及A</w:t>
            </w:r>
            <w:r>
              <w:rPr>
                <w:rFonts w:hint="default" w:ascii="Times New Roman" w:hAnsi="Times New Roman" w:eastAsia="宋体" w:cs="Times New Roman"/>
                <w:color w:val="auto"/>
                <w:sz w:val="24"/>
                <w:szCs w:val="20"/>
                <w:highlight w:val="none"/>
                <w:vertAlign w:val="subscript"/>
              </w:rPr>
              <w:t>emisc</w:t>
            </w:r>
            <w:r>
              <w:rPr>
                <w:rFonts w:hint="default" w:ascii="Times New Roman" w:hAnsi="Times New Roman" w:eastAsia="宋体" w:cs="Times New Roman"/>
                <w:color w:val="auto"/>
                <w:sz w:val="24"/>
                <w:szCs w:val="20"/>
                <w:highlight w:val="none"/>
              </w:rPr>
              <w:t>（其他衰减）包括声波传播过程中由于云、雾、温度梯度、风及引起的声能量衰减，本次评价中忽略不计。</w:t>
            </w:r>
          </w:p>
          <w:p w14:paraId="1C19AA7B">
            <w:pPr>
              <w:spacing w:line="440" w:lineRule="exact"/>
              <w:ind w:firstLine="480"/>
              <w:rPr>
                <w:rFonts w:hint="default" w:ascii="Times New Roman" w:hAnsi="Times New Roman" w:eastAsia="宋体" w:cs="Times New Roman"/>
                <w:color w:val="auto"/>
                <w:spacing w:val="5"/>
                <w:sz w:val="24"/>
                <w:szCs w:val="20"/>
                <w:highlight w:val="none"/>
              </w:rPr>
            </w:pPr>
            <w:r>
              <w:rPr>
                <w:rFonts w:hint="default" w:ascii="Times New Roman" w:hAnsi="Times New Roman" w:eastAsia="宋体" w:cs="Times New Roman"/>
                <w:color w:val="auto"/>
                <w:spacing w:val="5"/>
                <w:sz w:val="24"/>
                <w:szCs w:val="20"/>
                <w:highlight w:val="none"/>
              </w:rPr>
              <w:t>（2）室内声源对厂界噪声预测点贡献值预测模式</w:t>
            </w:r>
          </w:p>
          <w:p w14:paraId="30C7C818">
            <w:pPr>
              <w:spacing w:line="440" w:lineRule="exact"/>
              <w:ind w:firstLine="500" w:firstLineChars="200"/>
              <w:rPr>
                <w:rFonts w:hint="default" w:ascii="Times New Roman" w:hAnsi="Times New Roman" w:eastAsia="宋体" w:cs="Times New Roman"/>
                <w:color w:val="auto"/>
                <w:spacing w:val="5"/>
                <w:sz w:val="24"/>
                <w:szCs w:val="20"/>
                <w:highlight w:val="none"/>
              </w:rPr>
            </w:pPr>
            <w:r>
              <w:rPr>
                <w:rFonts w:hint="default" w:ascii="Times New Roman" w:hAnsi="Times New Roman" w:eastAsia="宋体" w:cs="Times New Roman"/>
                <w:color w:val="auto"/>
                <w:spacing w:val="5"/>
                <w:sz w:val="24"/>
                <w:szCs w:val="20"/>
                <w:highlight w:val="none"/>
              </w:rPr>
              <w:t>室内声源首先换算为等效室外声源，再按各类声源模式计算。</w:t>
            </w:r>
          </w:p>
          <w:p w14:paraId="6DA6A770">
            <w:pPr>
              <w:spacing w:line="440" w:lineRule="exact"/>
              <w:ind w:firstLine="500" w:firstLineChars="200"/>
              <w:rPr>
                <w:rFonts w:hint="default" w:ascii="Times New Roman" w:hAnsi="Times New Roman" w:eastAsia="宋体" w:cs="Times New Roman"/>
                <w:color w:val="auto"/>
                <w:spacing w:val="5"/>
                <w:sz w:val="24"/>
                <w:szCs w:val="20"/>
                <w:highlight w:val="none"/>
              </w:rPr>
            </w:pPr>
            <w:r>
              <w:rPr>
                <w:rFonts w:hint="default" w:ascii="Times New Roman" w:hAnsi="Times New Roman" w:eastAsia="宋体" w:cs="Times New Roman"/>
                <w:color w:val="auto"/>
                <w:spacing w:val="5"/>
                <w:sz w:val="24"/>
                <w:szCs w:val="20"/>
                <w:highlight w:val="none"/>
              </w:rPr>
              <w:t>①首先计算出某个室内声源靠近围护结构处的倍频带声压级：</w:t>
            </w:r>
          </w:p>
          <w:p w14:paraId="73925155">
            <w:pPr>
              <w:ind w:firstLine="480" w:firstLineChars="200"/>
              <w:rPr>
                <w:rFonts w:hint="default" w:ascii="Times New Roman" w:hAnsi="Times New Roman" w:eastAsia="宋体" w:cs="Times New Roman"/>
                <w:color w:val="auto"/>
                <w:spacing w:val="5"/>
                <w:sz w:val="25"/>
                <w:szCs w:val="20"/>
                <w:highlight w:val="none"/>
              </w:rPr>
            </w:pPr>
            <w:r>
              <w:rPr>
                <w:rFonts w:hint="default" w:ascii="Times New Roman" w:hAnsi="Times New Roman" w:eastAsia="宋体" w:cs="Times New Roman"/>
                <w:color w:val="auto"/>
                <w:sz w:val="24"/>
                <w:szCs w:val="20"/>
                <w:highlight w:val="none"/>
              </w:rPr>
              <w:drawing>
                <wp:inline distT="0" distB="0" distL="0" distR="0">
                  <wp:extent cx="2019300" cy="485775"/>
                  <wp:effectExtent l="0" t="0" r="0" b="8890"/>
                  <wp:docPr id="2" name="图片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019300" cy="485775"/>
                          </a:xfrm>
                          <a:prstGeom prst="rect">
                            <a:avLst/>
                          </a:prstGeom>
                          <a:noFill/>
                          <a:ln>
                            <a:noFill/>
                          </a:ln>
                        </pic:spPr>
                      </pic:pic>
                    </a:graphicData>
                  </a:graphic>
                </wp:inline>
              </w:drawing>
            </w:r>
          </w:p>
          <w:p w14:paraId="402F0B7E">
            <w:pPr>
              <w:spacing w:line="440" w:lineRule="exact"/>
              <w:ind w:firstLine="500" w:firstLineChars="200"/>
              <w:rPr>
                <w:rFonts w:hint="default" w:ascii="Times New Roman" w:hAnsi="Times New Roman" w:eastAsia="宋体" w:cs="Times New Roman"/>
                <w:color w:val="auto"/>
                <w:spacing w:val="5"/>
                <w:sz w:val="24"/>
                <w:szCs w:val="20"/>
                <w:highlight w:val="none"/>
              </w:rPr>
            </w:pPr>
            <w:r>
              <w:rPr>
                <w:rFonts w:hint="default" w:ascii="Times New Roman" w:hAnsi="Times New Roman" w:eastAsia="宋体" w:cs="Times New Roman"/>
                <w:color w:val="auto"/>
                <w:spacing w:val="5"/>
                <w:sz w:val="24"/>
                <w:szCs w:val="20"/>
                <w:highlight w:val="none"/>
              </w:rPr>
              <w:t>式中：L</w:t>
            </w:r>
            <w:r>
              <w:rPr>
                <w:rFonts w:hint="default" w:ascii="Times New Roman" w:hAnsi="Times New Roman" w:eastAsia="宋体" w:cs="Times New Roman"/>
                <w:color w:val="auto"/>
                <w:spacing w:val="5"/>
                <w:sz w:val="24"/>
                <w:szCs w:val="20"/>
                <w:highlight w:val="none"/>
                <w:vertAlign w:val="subscript"/>
              </w:rPr>
              <w:t>oct,1</w:t>
            </w:r>
            <w:r>
              <w:rPr>
                <w:rFonts w:hint="default" w:ascii="Times New Roman" w:hAnsi="Times New Roman" w:eastAsia="宋体" w:cs="Times New Roman"/>
                <w:color w:val="auto"/>
                <w:spacing w:val="5"/>
                <w:sz w:val="24"/>
                <w:szCs w:val="20"/>
                <w:highlight w:val="none"/>
              </w:rPr>
              <w:t>为某个室内声源在靠近围护结构处产生的倍频带声压级，Lw oct为某个声源的倍频带声功率级，r</w:t>
            </w:r>
            <w:r>
              <w:rPr>
                <w:rFonts w:hint="default" w:ascii="Times New Roman" w:hAnsi="Times New Roman" w:eastAsia="宋体" w:cs="Times New Roman"/>
                <w:color w:val="auto"/>
                <w:spacing w:val="5"/>
                <w:sz w:val="24"/>
                <w:szCs w:val="20"/>
                <w:highlight w:val="none"/>
                <w:vertAlign w:val="subscript"/>
              </w:rPr>
              <w:t>1</w:t>
            </w:r>
            <w:r>
              <w:rPr>
                <w:rFonts w:hint="default" w:ascii="Times New Roman" w:hAnsi="Times New Roman" w:eastAsia="宋体" w:cs="Times New Roman"/>
                <w:color w:val="auto"/>
                <w:spacing w:val="5"/>
                <w:sz w:val="24"/>
                <w:szCs w:val="20"/>
                <w:highlight w:val="none"/>
              </w:rPr>
              <w:t>为室内某个声源与靠近围护结构处的距离，R为房间常数，Q为方向性因子。</w:t>
            </w:r>
          </w:p>
          <w:p w14:paraId="53651B26">
            <w:pPr>
              <w:spacing w:line="440" w:lineRule="exact"/>
              <w:ind w:firstLine="500" w:firstLineChars="200"/>
              <w:rPr>
                <w:rFonts w:hint="default" w:ascii="Times New Roman" w:hAnsi="Times New Roman" w:eastAsia="宋体" w:cs="Times New Roman"/>
                <w:color w:val="auto"/>
                <w:spacing w:val="5"/>
                <w:sz w:val="24"/>
                <w:szCs w:val="20"/>
                <w:highlight w:val="none"/>
              </w:rPr>
            </w:pPr>
            <w:r>
              <w:rPr>
                <w:rFonts w:hint="default" w:ascii="Times New Roman" w:hAnsi="Times New Roman" w:eastAsia="宋体" w:cs="Times New Roman"/>
                <w:color w:val="auto"/>
                <w:spacing w:val="5"/>
                <w:sz w:val="24"/>
                <w:szCs w:val="20"/>
                <w:highlight w:val="none"/>
              </w:rPr>
              <w:t>②计算出所有室内声源的靠近围护结构处产生的总倍频带声压级：</w:t>
            </w:r>
          </w:p>
          <w:p w14:paraId="6E5791F3">
            <w:pPr>
              <w:ind w:firstLine="480" w:firstLineChars="200"/>
              <w:rPr>
                <w:rFonts w:hint="default" w:ascii="Times New Roman" w:hAnsi="Times New Roman" w:eastAsia="宋体" w:cs="Times New Roman"/>
                <w:color w:val="auto"/>
                <w:spacing w:val="5"/>
                <w:sz w:val="25"/>
                <w:szCs w:val="20"/>
                <w:highlight w:val="none"/>
              </w:rPr>
            </w:pPr>
            <w:r>
              <w:rPr>
                <w:rFonts w:hint="default" w:ascii="Times New Roman" w:hAnsi="Times New Roman" w:eastAsia="宋体" w:cs="Times New Roman"/>
                <w:color w:val="auto"/>
                <w:sz w:val="24"/>
                <w:szCs w:val="20"/>
                <w:highlight w:val="none"/>
              </w:rPr>
              <w:drawing>
                <wp:inline distT="0" distB="0" distL="0" distR="0">
                  <wp:extent cx="1838325" cy="457200"/>
                  <wp:effectExtent l="0" t="0" r="9525" b="0"/>
                  <wp:docPr id="4" name="图片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6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838325" cy="457200"/>
                          </a:xfrm>
                          <a:prstGeom prst="rect">
                            <a:avLst/>
                          </a:prstGeom>
                          <a:noFill/>
                          <a:ln>
                            <a:noFill/>
                          </a:ln>
                        </pic:spPr>
                      </pic:pic>
                    </a:graphicData>
                  </a:graphic>
                </wp:inline>
              </w:drawing>
            </w:r>
          </w:p>
          <w:p w14:paraId="0DE8CBF4">
            <w:pPr>
              <w:spacing w:line="440" w:lineRule="exact"/>
              <w:ind w:firstLine="500" w:firstLineChars="200"/>
              <w:rPr>
                <w:rFonts w:hint="default" w:ascii="Times New Roman" w:hAnsi="Times New Roman" w:eastAsia="宋体" w:cs="Times New Roman"/>
                <w:color w:val="auto"/>
                <w:spacing w:val="5"/>
                <w:sz w:val="24"/>
                <w:szCs w:val="20"/>
                <w:highlight w:val="none"/>
              </w:rPr>
            </w:pPr>
            <w:r>
              <w:rPr>
                <w:rFonts w:hint="default" w:ascii="Times New Roman" w:hAnsi="Times New Roman" w:eastAsia="宋体" w:cs="Times New Roman"/>
                <w:color w:val="auto"/>
                <w:spacing w:val="5"/>
                <w:sz w:val="24"/>
                <w:szCs w:val="20"/>
                <w:highlight w:val="none"/>
              </w:rPr>
              <w:t>③计算出室外靠近围护结构处的声压级：</w:t>
            </w:r>
          </w:p>
          <w:p w14:paraId="311ECF48">
            <w:pPr>
              <w:spacing w:line="360" w:lineRule="auto"/>
              <w:ind w:firstLine="480" w:firstLineChars="200"/>
              <w:rPr>
                <w:rFonts w:hint="default" w:ascii="Times New Roman" w:hAnsi="Times New Roman" w:eastAsia="宋体" w:cs="Times New Roman"/>
                <w:color w:val="auto"/>
                <w:spacing w:val="5"/>
                <w:sz w:val="25"/>
                <w:szCs w:val="20"/>
                <w:highlight w:val="none"/>
              </w:rPr>
            </w:pPr>
            <w:r>
              <w:rPr>
                <w:rFonts w:hint="default" w:ascii="Times New Roman" w:hAnsi="Times New Roman" w:eastAsia="宋体" w:cs="Times New Roman"/>
                <w:color w:val="auto"/>
                <w:sz w:val="24"/>
                <w:szCs w:val="20"/>
                <w:highlight w:val="none"/>
              </w:rPr>
              <w:drawing>
                <wp:inline distT="0" distB="0" distL="0" distR="0">
                  <wp:extent cx="1952625" cy="238125"/>
                  <wp:effectExtent l="0" t="0" r="9525" b="8255"/>
                  <wp:docPr id="9" name="图片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6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952625" cy="238125"/>
                          </a:xfrm>
                          <a:prstGeom prst="rect">
                            <a:avLst/>
                          </a:prstGeom>
                          <a:noFill/>
                          <a:ln>
                            <a:noFill/>
                          </a:ln>
                        </pic:spPr>
                      </pic:pic>
                    </a:graphicData>
                  </a:graphic>
                </wp:inline>
              </w:drawing>
            </w:r>
          </w:p>
          <w:p w14:paraId="7C5E713E">
            <w:pPr>
              <w:spacing w:line="440" w:lineRule="exact"/>
              <w:ind w:firstLine="500" w:firstLineChars="200"/>
              <w:rPr>
                <w:rFonts w:hint="default" w:ascii="Times New Roman" w:hAnsi="Times New Roman" w:eastAsia="宋体" w:cs="Times New Roman"/>
                <w:color w:val="auto"/>
                <w:spacing w:val="8"/>
                <w:sz w:val="24"/>
                <w:szCs w:val="20"/>
                <w:highlight w:val="none"/>
              </w:rPr>
            </w:pPr>
            <w:r>
              <w:rPr>
                <w:rFonts w:hint="default" w:ascii="Times New Roman" w:hAnsi="Times New Roman" w:eastAsia="宋体" w:cs="Times New Roman"/>
                <w:color w:val="auto"/>
                <w:spacing w:val="5"/>
                <w:sz w:val="24"/>
                <w:szCs w:val="20"/>
                <w:highlight w:val="none"/>
              </w:rPr>
              <w:t>式中：TL</w:t>
            </w:r>
            <w:r>
              <w:rPr>
                <w:rFonts w:hint="default" w:ascii="Times New Roman" w:hAnsi="Times New Roman" w:eastAsia="宋体" w:cs="Times New Roman"/>
                <w:color w:val="auto"/>
                <w:spacing w:val="5"/>
                <w:sz w:val="24"/>
                <w:szCs w:val="20"/>
                <w:highlight w:val="none"/>
                <w:vertAlign w:val="subscript"/>
              </w:rPr>
              <w:t>oct</w:t>
            </w:r>
            <w:r>
              <w:rPr>
                <w:rFonts w:hint="default" w:ascii="Times New Roman" w:hAnsi="Times New Roman" w:eastAsia="宋体" w:cs="Times New Roman"/>
                <w:color w:val="auto"/>
                <w:spacing w:val="5"/>
                <w:sz w:val="24"/>
                <w:szCs w:val="20"/>
                <w:highlight w:val="none"/>
              </w:rPr>
              <w:t>为围护结构倍频带隔声损失，</w:t>
            </w:r>
            <w:r>
              <w:rPr>
                <w:rFonts w:hint="default" w:ascii="Times New Roman" w:hAnsi="Times New Roman" w:eastAsia="宋体" w:cs="Times New Roman"/>
                <w:color w:val="auto"/>
                <w:spacing w:val="8"/>
                <w:sz w:val="24"/>
                <w:szCs w:val="20"/>
                <w:highlight w:val="none"/>
              </w:rPr>
              <w:t>厂房内的噪声与围护结构距离较近，整个厂房实际起着一个大隔声罩的作用。</w:t>
            </w:r>
          </w:p>
          <w:p w14:paraId="37EEC630">
            <w:pPr>
              <w:spacing w:line="440" w:lineRule="exact"/>
              <w:ind w:firstLine="500" w:firstLineChars="200"/>
              <w:rPr>
                <w:rFonts w:hint="default" w:ascii="Times New Roman" w:hAnsi="Times New Roman" w:eastAsia="宋体" w:cs="Times New Roman"/>
                <w:color w:val="auto"/>
                <w:spacing w:val="5"/>
                <w:sz w:val="24"/>
                <w:szCs w:val="20"/>
                <w:highlight w:val="none"/>
              </w:rPr>
            </w:pPr>
            <w:r>
              <w:rPr>
                <w:rFonts w:hint="default" w:ascii="Times New Roman" w:hAnsi="Times New Roman" w:eastAsia="宋体" w:cs="Times New Roman"/>
                <w:color w:val="auto"/>
                <w:spacing w:val="5"/>
                <w:sz w:val="24"/>
                <w:szCs w:val="20"/>
                <w:highlight w:val="none"/>
              </w:rPr>
              <w:t>④根据厂房结构（门、窗），分别按照面声源、线声源和点声源的衰减模式，计算预测点处的声级。</w:t>
            </w:r>
          </w:p>
          <w:p w14:paraId="12B3A76E">
            <w:pPr>
              <w:spacing w:line="440" w:lineRule="exact"/>
              <w:ind w:firstLine="500" w:firstLineChars="200"/>
              <w:rPr>
                <w:rFonts w:hint="default" w:ascii="Times New Roman" w:hAnsi="Times New Roman" w:eastAsia="宋体" w:cs="Times New Roman"/>
                <w:color w:val="auto"/>
                <w:spacing w:val="5"/>
                <w:sz w:val="24"/>
                <w:szCs w:val="20"/>
                <w:highlight w:val="none"/>
              </w:rPr>
            </w:pPr>
            <w:r>
              <w:rPr>
                <w:rFonts w:hint="default" w:ascii="Times New Roman" w:hAnsi="Times New Roman" w:eastAsia="宋体" w:cs="Times New Roman"/>
                <w:color w:val="auto"/>
                <w:spacing w:val="5"/>
                <w:sz w:val="24"/>
                <w:szCs w:val="20"/>
                <w:highlight w:val="none"/>
              </w:rPr>
              <w:t>假设窗户的高度为a，宽度为b，其中b</w:t>
            </w:r>
            <w:r>
              <w:rPr>
                <w:rFonts w:hint="default" w:ascii="Times New Roman" w:hAnsi="Times New Roman" w:eastAsia="宋体" w:cs="Times New Roman"/>
                <w:color w:val="auto"/>
                <w:spacing w:val="5"/>
                <w:szCs w:val="21"/>
                <w:highlight w:val="none"/>
              </w:rPr>
              <w:t>＞</w:t>
            </w:r>
            <w:r>
              <w:rPr>
                <w:rFonts w:hint="default" w:ascii="Times New Roman" w:hAnsi="Times New Roman" w:eastAsia="宋体" w:cs="Times New Roman"/>
                <w:color w:val="auto"/>
                <w:spacing w:val="5"/>
                <w:sz w:val="24"/>
                <w:szCs w:val="20"/>
                <w:highlight w:val="none"/>
              </w:rPr>
              <w:t>a；预测点距墙中心的距离为r。预测点的声级按照下述公式进行预测：</w:t>
            </w:r>
          </w:p>
          <w:p w14:paraId="6A903C2B">
            <w:pPr>
              <w:spacing w:line="440" w:lineRule="exact"/>
              <w:ind w:firstLine="480" w:firstLineChars="2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position w:val="-14"/>
                <w:sz w:val="24"/>
                <w:szCs w:val="20"/>
                <w:highlight w:val="none"/>
              </w:rPr>
              <w:drawing>
                <wp:inline distT="0" distB="0" distL="0" distR="0">
                  <wp:extent cx="609600" cy="238125"/>
                  <wp:effectExtent l="0" t="0" r="0" b="7620"/>
                  <wp:docPr id="10" name="图片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6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609600" cy="238125"/>
                          </a:xfrm>
                          <a:prstGeom prst="rect">
                            <a:avLst/>
                          </a:prstGeom>
                          <a:noFill/>
                          <a:ln>
                            <a:noFill/>
                          </a:ln>
                        </pic:spPr>
                      </pic:pic>
                    </a:graphicData>
                  </a:graphic>
                </wp:inline>
              </w:drawing>
            </w:r>
            <w:r>
              <w:rPr>
                <w:rFonts w:hint="default" w:ascii="Times New Roman" w:hAnsi="Times New Roman" w:eastAsia="宋体" w:cs="Times New Roman"/>
                <w:color w:val="auto"/>
                <w:sz w:val="24"/>
                <w:szCs w:val="20"/>
                <w:highlight w:val="none"/>
              </w:rPr>
              <w:t xml:space="preserve">                 （几乎不衰减）        （</w:t>
            </w:r>
            <w:r>
              <w:rPr>
                <w:rFonts w:hint="default" w:ascii="Times New Roman" w:hAnsi="Times New Roman" w:eastAsia="宋体" w:cs="Times New Roman"/>
                <w:color w:val="auto"/>
                <w:position w:val="-18"/>
                <w:sz w:val="24"/>
                <w:szCs w:val="20"/>
                <w:highlight w:val="none"/>
              </w:rPr>
              <w:drawing>
                <wp:inline distT="0" distB="0" distL="0" distR="0">
                  <wp:extent cx="466725" cy="304800"/>
                  <wp:effectExtent l="0" t="0" r="9525" b="0"/>
                  <wp:docPr id="11" name="图片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6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66725" cy="304800"/>
                          </a:xfrm>
                          <a:prstGeom prst="rect">
                            <a:avLst/>
                          </a:prstGeom>
                          <a:noFill/>
                          <a:ln>
                            <a:noFill/>
                          </a:ln>
                        </pic:spPr>
                      </pic:pic>
                    </a:graphicData>
                  </a:graphic>
                </wp:inline>
              </w:drawing>
            </w:r>
            <w:r>
              <w:rPr>
                <w:rFonts w:hint="default" w:ascii="Times New Roman" w:hAnsi="Times New Roman" w:eastAsia="宋体" w:cs="Times New Roman"/>
                <w:color w:val="auto"/>
                <w:sz w:val="24"/>
                <w:szCs w:val="20"/>
                <w:highlight w:val="none"/>
              </w:rPr>
              <w:t xml:space="preserve">）        </w:t>
            </w:r>
          </w:p>
          <w:p w14:paraId="41A8D97B">
            <w:pPr>
              <w:spacing w:after="156" w:afterLines="50" w:line="440" w:lineRule="exact"/>
              <w:ind w:firstLine="480" w:firstLineChars="2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position w:val="-24"/>
                <w:sz w:val="24"/>
                <w:szCs w:val="20"/>
                <w:highlight w:val="none"/>
              </w:rPr>
              <w:drawing>
                <wp:inline distT="0" distB="0" distL="0" distR="0">
                  <wp:extent cx="1247775" cy="390525"/>
                  <wp:effectExtent l="0" t="0" r="0" b="7620"/>
                  <wp:docPr id="12" name="图片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6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247775" cy="390525"/>
                          </a:xfrm>
                          <a:prstGeom prst="rect">
                            <a:avLst/>
                          </a:prstGeom>
                          <a:noFill/>
                          <a:ln>
                            <a:noFill/>
                          </a:ln>
                        </pic:spPr>
                      </pic:pic>
                    </a:graphicData>
                  </a:graphic>
                </wp:inline>
              </w:drawing>
            </w:r>
            <w:r>
              <w:rPr>
                <w:rFonts w:hint="default" w:ascii="Times New Roman" w:hAnsi="Times New Roman" w:eastAsia="宋体" w:cs="Times New Roman"/>
                <w:color w:val="auto"/>
                <w:sz w:val="24"/>
                <w:szCs w:val="20"/>
                <w:highlight w:val="none"/>
              </w:rPr>
              <w:t xml:space="preserve">         （类似线源）           (</w:t>
            </w:r>
            <w:r>
              <w:rPr>
                <w:rFonts w:hint="default" w:ascii="Times New Roman" w:hAnsi="Times New Roman" w:eastAsia="宋体" w:cs="Times New Roman"/>
                <w:color w:val="auto"/>
                <w:position w:val="-18"/>
                <w:sz w:val="24"/>
                <w:szCs w:val="20"/>
                <w:highlight w:val="none"/>
              </w:rPr>
              <w:drawing>
                <wp:inline distT="0" distB="0" distL="0" distR="0">
                  <wp:extent cx="838200" cy="304800"/>
                  <wp:effectExtent l="0" t="0" r="0" b="0"/>
                  <wp:docPr id="81" name="图片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96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838200" cy="304800"/>
                          </a:xfrm>
                          <a:prstGeom prst="rect">
                            <a:avLst/>
                          </a:prstGeom>
                          <a:noFill/>
                          <a:ln>
                            <a:noFill/>
                          </a:ln>
                        </pic:spPr>
                      </pic:pic>
                    </a:graphicData>
                  </a:graphic>
                </wp:inline>
              </w:drawing>
            </w:r>
            <w:r>
              <w:rPr>
                <w:rFonts w:hint="default" w:ascii="Times New Roman" w:hAnsi="Times New Roman" w:eastAsia="宋体" w:cs="Times New Roman"/>
                <w:color w:val="auto"/>
                <w:sz w:val="24"/>
                <w:szCs w:val="20"/>
                <w:highlight w:val="none"/>
              </w:rPr>
              <w:t xml:space="preserve">)      </w:t>
            </w:r>
          </w:p>
          <w:p w14:paraId="4B8A4909">
            <w:pPr>
              <w:keepNext w:val="0"/>
              <w:keepLines w:val="0"/>
              <w:pageBreakBefore w:val="0"/>
              <w:widowControl w:val="0"/>
              <w:kinsoku/>
              <w:wordWrap/>
              <w:overflowPunct/>
              <w:topLinePunct w:val="0"/>
              <w:autoSpaceDE/>
              <w:autoSpaceDN/>
              <w:bidi w:val="0"/>
              <w:adjustRightInd w:val="0"/>
              <w:snapToGrid w:val="0"/>
              <w:spacing w:after="313" w:afterLines="100" w:line="500" w:lineRule="exact"/>
              <w:ind w:firstLine="448"/>
              <w:textAlignment w:val="auto"/>
              <w:rPr>
                <w:rFonts w:hint="default" w:ascii="Times New Roman" w:hAnsi="Times New Roman" w:eastAsia="宋体" w:cs="Times New Roman"/>
                <w:snapToGrid w:val="0"/>
                <w:color w:val="auto"/>
                <w:kern w:val="0"/>
                <w:sz w:val="24"/>
                <w:szCs w:val="20"/>
                <w:highlight w:val="none"/>
              </w:rPr>
            </w:pPr>
            <w:r>
              <w:rPr>
                <w:rFonts w:hint="default" w:ascii="Times New Roman" w:hAnsi="Times New Roman" w:eastAsia="宋体" w:cs="Times New Roman"/>
                <w:color w:val="auto"/>
                <w:position w:val="-24"/>
                <w:sz w:val="24"/>
                <w:szCs w:val="20"/>
                <w:highlight w:val="none"/>
              </w:rPr>
              <w:drawing>
                <wp:inline distT="0" distB="0" distL="0" distR="0">
                  <wp:extent cx="1819275" cy="390525"/>
                  <wp:effectExtent l="0" t="0" r="9525" b="8255"/>
                  <wp:docPr id="83" name="图片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96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819275" cy="390525"/>
                          </a:xfrm>
                          <a:prstGeom prst="rect">
                            <a:avLst/>
                          </a:prstGeom>
                          <a:noFill/>
                          <a:ln>
                            <a:noFill/>
                          </a:ln>
                        </pic:spPr>
                      </pic:pic>
                    </a:graphicData>
                  </a:graphic>
                </wp:inline>
              </w:drawing>
            </w:r>
            <w:r>
              <w:rPr>
                <w:rFonts w:hint="default" w:ascii="Times New Roman" w:hAnsi="Times New Roman" w:eastAsia="宋体" w:cs="Times New Roman"/>
                <w:color w:val="auto"/>
                <w:sz w:val="24"/>
                <w:szCs w:val="20"/>
                <w:highlight w:val="none"/>
              </w:rPr>
              <w:t xml:space="preserve">  （类似点源）           (</w:t>
            </w:r>
            <w:r>
              <w:rPr>
                <w:rFonts w:hint="default" w:ascii="Times New Roman" w:hAnsi="Times New Roman" w:eastAsia="宋体" w:cs="Times New Roman"/>
                <w:color w:val="auto"/>
                <w:position w:val="-18"/>
                <w:sz w:val="24"/>
                <w:szCs w:val="20"/>
                <w:highlight w:val="none"/>
              </w:rPr>
              <w:drawing>
                <wp:inline distT="0" distB="0" distL="0" distR="0">
                  <wp:extent cx="466725" cy="304800"/>
                  <wp:effectExtent l="0" t="0" r="9525" b="0"/>
                  <wp:docPr id="95" name="图片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6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66725" cy="304800"/>
                          </a:xfrm>
                          <a:prstGeom prst="rect">
                            <a:avLst/>
                          </a:prstGeom>
                          <a:noFill/>
                          <a:ln>
                            <a:noFill/>
                          </a:ln>
                        </pic:spPr>
                      </pic:pic>
                    </a:graphicData>
                  </a:graphic>
                </wp:inline>
              </w:drawing>
            </w:r>
            <w:r>
              <w:rPr>
                <w:rFonts w:hint="default" w:ascii="Times New Roman" w:hAnsi="Times New Roman" w:eastAsia="宋体" w:cs="Times New Roman"/>
                <w:color w:val="auto"/>
                <w:sz w:val="24"/>
                <w:szCs w:val="20"/>
                <w:highlight w:val="none"/>
              </w:rPr>
              <w:t xml:space="preserve">)    </w:t>
            </w:r>
          </w:p>
          <w:p w14:paraId="66C4D757">
            <w:pPr>
              <w:keepNext w:val="0"/>
              <w:keepLines w:val="0"/>
              <w:pageBreakBefore w:val="0"/>
              <w:widowControl w:val="0"/>
              <w:kinsoku/>
              <w:wordWrap/>
              <w:overflowPunct/>
              <w:topLinePunct w:val="0"/>
              <w:autoSpaceDE/>
              <w:autoSpaceDN/>
              <w:bidi w:val="0"/>
              <w:spacing w:line="480" w:lineRule="exact"/>
              <w:ind w:left="0" w:leftChars="0" w:right="0" w:rightChars="0"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（3）声环境影响预测结果</w:t>
            </w:r>
          </w:p>
          <w:p w14:paraId="1BBDABF4">
            <w:pPr>
              <w:keepNext w:val="0"/>
              <w:keepLines w:val="0"/>
              <w:pageBreakBefore w:val="0"/>
              <w:widowControl w:val="0"/>
              <w:kinsoku/>
              <w:wordWrap/>
              <w:overflowPunct/>
              <w:topLinePunct w:val="0"/>
              <w:autoSpaceDE/>
              <w:autoSpaceDN/>
              <w:bidi w:val="0"/>
              <w:spacing w:line="480" w:lineRule="exact"/>
              <w:ind w:left="0" w:leftChars="0" w:right="0" w:rightChars="0"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根据预测模式及噪声源强参数，预测</w:t>
            </w:r>
            <w:r>
              <w:rPr>
                <w:rFonts w:hint="default" w:ascii="Times New Roman" w:hAnsi="Times New Roman" w:eastAsia="宋体" w:cs="Times New Roman"/>
                <w:color w:val="auto"/>
                <w:sz w:val="24"/>
                <w:szCs w:val="24"/>
                <w:highlight w:val="none"/>
                <w:lang w:val="en-US" w:eastAsia="zh-CN"/>
              </w:rPr>
              <w:t>昼间、夜间</w:t>
            </w:r>
            <w:r>
              <w:rPr>
                <w:rFonts w:hint="default" w:ascii="Times New Roman" w:hAnsi="Times New Roman" w:eastAsia="宋体" w:cs="Times New Roman"/>
                <w:color w:val="auto"/>
                <w:sz w:val="24"/>
                <w:szCs w:val="24"/>
                <w:highlight w:val="none"/>
              </w:rPr>
              <w:t>噪声源对厂界四周的影响，具体结果见表4-</w:t>
            </w:r>
            <w:r>
              <w:rPr>
                <w:rFonts w:hint="default" w:ascii="Times New Roman" w:hAnsi="Times New Roman"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w:t>
            </w:r>
          </w:p>
          <w:p w14:paraId="589AD6B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rPr>
                <w:rFonts w:hint="default"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b/>
                <w:bCs/>
                <w:color w:val="auto"/>
                <w:sz w:val="24"/>
                <w:szCs w:val="24"/>
                <w:highlight w:val="none"/>
              </w:rPr>
              <w:t>表4-</w:t>
            </w:r>
            <w:r>
              <w:rPr>
                <w:rFonts w:hint="default" w:ascii="Times New Roman" w:hAnsi="Times New Roman" w:cs="Times New Roman"/>
                <w:b/>
                <w:bCs/>
                <w:color w:val="auto"/>
                <w:sz w:val="24"/>
                <w:szCs w:val="24"/>
                <w:highlight w:val="none"/>
                <w:lang w:val="en-US" w:eastAsia="zh-CN"/>
              </w:rPr>
              <w:t>9</w:t>
            </w:r>
            <w:r>
              <w:rPr>
                <w:rFonts w:hint="default" w:ascii="Times New Roman" w:hAnsi="Times New Roman" w:eastAsia="宋体" w:cs="Times New Roman"/>
                <w:b/>
                <w:bCs/>
                <w:color w:val="auto"/>
                <w:sz w:val="24"/>
                <w:szCs w:val="24"/>
                <w:highlight w:val="none"/>
              </w:rPr>
              <w:t xml:space="preserve">  项目四周噪声预测结果     单位：dB</w:t>
            </w:r>
            <w:r>
              <w:rPr>
                <w:rFonts w:hint="default" w:ascii="Times New Roman" w:hAnsi="Times New Roman" w:cs="Times New Roman"/>
                <w:b/>
                <w:bCs/>
                <w:color w:val="auto"/>
                <w:sz w:val="24"/>
                <w:szCs w:val="24"/>
                <w:highlight w:val="none"/>
                <w:lang w:eastAsia="zh-CN"/>
              </w:rPr>
              <w:t>（</w:t>
            </w:r>
            <w:r>
              <w:rPr>
                <w:rFonts w:hint="default" w:ascii="Times New Roman" w:hAnsi="Times New Roman" w:eastAsia="宋体" w:cs="Times New Roman"/>
                <w:b/>
                <w:bCs/>
                <w:color w:val="auto"/>
                <w:sz w:val="24"/>
                <w:szCs w:val="24"/>
                <w:highlight w:val="none"/>
              </w:rPr>
              <w:t>A</w:t>
            </w:r>
            <w:r>
              <w:rPr>
                <w:rFonts w:hint="default" w:ascii="Times New Roman" w:hAnsi="Times New Roman" w:cs="Times New Roman"/>
                <w:b/>
                <w:bCs/>
                <w:color w:val="auto"/>
                <w:sz w:val="24"/>
                <w:szCs w:val="24"/>
                <w:highlight w:val="none"/>
                <w:lang w:eastAsia="zh-CN"/>
              </w:rPr>
              <w:t>）</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914"/>
              <w:gridCol w:w="1423"/>
              <w:gridCol w:w="1462"/>
              <w:gridCol w:w="1388"/>
              <w:gridCol w:w="2172"/>
            </w:tblGrid>
            <w:tr w14:paraId="4E54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1145" w:type="pct"/>
                  <w:vMerge w:val="restart"/>
                  <w:tcBorders>
                    <w:tl2br w:val="nil"/>
                    <w:tr2bl w:val="nil"/>
                  </w:tcBorders>
                  <w:noWrap w:val="0"/>
                  <w:vAlign w:val="center"/>
                </w:tcPr>
                <w:p w14:paraId="4C1B312F">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厂界名称</w:t>
                  </w:r>
                </w:p>
              </w:tc>
              <w:tc>
                <w:tcPr>
                  <w:tcW w:w="851" w:type="pct"/>
                  <w:vMerge w:val="restart"/>
                  <w:tcBorders>
                    <w:tl2br w:val="nil"/>
                    <w:tr2bl w:val="nil"/>
                  </w:tcBorders>
                  <w:noWrap w:val="0"/>
                  <w:vAlign w:val="center"/>
                </w:tcPr>
                <w:p w14:paraId="7061D7C4">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贡献值</w:t>
                  </w:r>
                </w:p>
              </w:tc>
              <w:tc>
                <w:tcPr>
                  <w:tcW w:w="1704" w:type="pct"/>
                  <w:gridSpan w:val="2"/>
                  <w:tcBorders>
                    <w:tl2br w:val="nil"/>
                    <w:tr2bl w:val="nil"/>
                  </w:tcBorders>
                  <w:noWrap w:val="0"/>
                  <w:vAlign w:val="center"/>
                </w:tcPr>
                <w:p w14:paraId="724AF1FF">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rPr>
                    <w:t>标准值</w:t>
                  </w:r>
                </w:p>
              </w:tc>
              <w:tc>
                <w:tcPr>
                  <w:tcW w:w="1299" w:type="pct"/>
                  <w:vMerge w:val="restart"/>
                  <w:tcBorders>
                    <w:tl2br w:val="nil"/>
                    <w:tr2bl w:val="nil"/>
                  </w:tcBorders>
                  <w:noWrap w:val="0"/>
                  <w:vAlign w:val="center"/>
                </w:tcPr>
                <w:p w14:paraId="21C63980">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评价结果</w:t>
                  </w:r>
                </w:p>
              </w:tc>
            </w:tr>
            <w:tr w14:paraId="3C8D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1145" w:type="pct"/>
                  <w:vMerge w:val="continue"/>
                  <w:tcBorders>
                    <w:tl2br w:val="nil"/>
                    <w:tr2bl w:val="nil"/>
                  </w:tcBorders>
                  <w:noWrap w:val="0"/>
                  <w:vAlign w:val="center"/>
                </w:tcPr>
                <w:p w14:paraId="4DA2D3B5">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p>
              </w:tc>
              <w:tc>
                <w:tcPr>
                  <w:tcW w:w="851" w:type="pct"/>
                  <w:vMerge w:val="continue"/>
                  <w:tcBorders>
                    <w:tl2br w:val="nil"/>
                    <w:tr2bl w:val="nil"/>
                  </w:tcBorders>
                  <w:noWrap w:val="0"/>
                  <w:vAlign w:val="center"/>
                </w:tcPr>
                <w:p w14:paraId="10E7AACE">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874" w:type="pct"/>
                  <w:tcBorders>
                    <w:tl2br w:val="nil"/>
                    <w:tr2bl w:val="nil"/>
                  </w:tcBorders>
                  <w:noWrap w:val="0"/>
                  <w:vAlign w:val="center"/>
                </w:tcPr>
                <w:p w14:paraId="5180D110">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昼间</w:t>
                  </w:r>
                </w:p>
              </w:tc>
              <w:tc>
                <w:tcPr>
                  <w:tcW w:w="829" w:type="pct"/>
                  <w:tcBorders>
                    <w:tl2br w:val="nil"/>
                    <w:tr2bl w:val="nil"/>
                  </w:tcBorders>
                  <w:noWrap w:val="0"/>
                  <w:vAlign w:val="center"/>
                </w:tcPr>
                <w:p w14:paraId="40FB9C40">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lang w:eastAsia="zh-CN"/>
                    </w:rPr>
                    <w:t>夜间</w:t>
                  </w:r>
                </w:p>
              </w:tc>
              <w:tc>
                <w:tcPr>
                  <w:tcW w:w="1299" w:type="pct"/>
                  <w:vMerge w:val="continue"/>
                  <w:tcBorders>
                    <w:tl2br w:val="nil"/>
                    <w:tr2bl w:val="nil"/>
                  </w:tcBorders>
                  <w:noWrap w:val="0"/>
                  <w:vAlign w:val="center"/>
                </w:tcPr>
                <w:p w14:paraId="69225719">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p>
              </w:tc>
            </w:tr>
            <w:tr w14:paraId="3150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1145" w:type="pct"/>
                  <w:tcBorders>
                    <w:tl2br w:val="nil"/>
                    <w:tr2bl w:val="nil"/>
                  </w:tcBorders>
                  <w:noWrap w:val="0"/>
                  <w:vAlign w:val="center"/>
                </w:tcPr>
                <w:p w14:paraId="71B66A07">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东</w:t>
                  </w:r>
                  <w:r>
                    <w:rPr>
                      <w:rFonts w:hint="default" w:ascii="Times New Roman" w:hAnsi="Times New Roman" w:eastAsia="宋体" w:cs="Times New Roman"/>
                      <w:b w:val="0"/>
                      <w:bCs w:val="0"/>
                      <w:color w:val="auto"/>
                      <w:sz w:val="21"/>
                      <w:szCs w:val="21"/>
                      <w:highlight w:val="none"/>
                      <w:lang w:val="en-US" w:eastAsia="zh-CN"/>
                    </w:rPr>
                    <w:t>厂界</w:t>
                  </w:r>
                </w:p>
              </w:tc>
              <w:tc>
                <w:tcPr>
                  <w:tcW w:w="851" w:type="pct"/>
                  <w:tcBorders>
                    <w:tl2br w:val="nil"/>
                    <w:tr2bl w:val="nil"/>
                  </w:tcBorders>
                  <w:noWrap w:val="0"/>
                  <w:vAlign w:val="center"/>
                </w:tcPr>
                <w:p w14:paraId="4EC06DE5">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4</w:t>
                  </w:r>
                  <w:r>
                    <w:rPr>
                      <w:rFonts w:hint="eastAsia" w:cs="Times New Roman"/>
                      <w:b w:val="0"/>
                      <w:bCs w:val="0"/>
                      <w:color w:val="auto"/>
                      <w:sz w:val="21"/>
                      <w:szCs w:val="21"/>
                      <w:highlight w:val="none"/>
                      <w:lang w:val="en-US" w:eastAsia="zh-CN"/>
                    </w:rPr>
                    <w:t>2</w:t>
                  </w:r>
                  <w:r>
                    <w:rPr>
                      <w:rFonts w:hint="default" w:ascii="Times New Roman" w:hAnsi="Times New Roman" w:cs="Times New Roman"/>
                      <w:b w:val="0"/>
                      <w:bCs w:val="0"/>
                      <w:color w:val="auto"/>
                      <w:sz w:val="21"/>
                      <w:szCs w:val="21"/>
                      <w:highlight w:val="none"/>
                      <w:lang w:val="en-US" w:eastAsia="zh-CN"/>
                    </w:rPr>
                    <w:t>.5</w:t>
                  </w:r>
                </w:p>
              </w:tc>
              <w:tc>
                <w:tcPr>
                  <w:tcW w:w="874" w:type="pct"/>
                  <w:tcBorders>
                    <w:tl2br w:val="nil"/>
                    <w:tr2bl w:val="nil"/>
                  </w:tcBorders>
                  <w:noWrap w:val="0"/>
                  <w:vAlign w:val="center"/>
                </w:tcPr>
                <w:p w14:paraId="4C7804EA">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6</w:t>
                  </w:r>
                  <w:r>
                    <w:rPr>
                      <w:rFonts w:hint="default" w:ascii="Times New Roman" w:hAnsi="Times New Roman" w:cs="Times New Roman"/>
                      <w:b w:val="0"/>
                      <w:bCs w:val="0"/>
                      <w:color w:val="auto"/>
                      <w:sz w:val="21"/>
                      <w:szCs w:val="21"/>
                      <w:highlight w:val="none"/>
                      <w:lang w:val="en-US" w:eastAsia="zh-CN"/>
                    </w:rPr>
                    <w:t>5</w:t>
                  </w:r>
                </w:p>
              </w:tc>
              <w:tc>
                <w:tcPr>
                  <w:tcW w:w="829" w:type="pct"/>
                  <w:tcBorders>
                    <w:tl2br w:val="nil"/>
                    <w:tr2bl w:val="nil"/>
                  </w:tcBorders>
                  <w:noWrap w:val="0"/>
                  <w:vAlign w:val="center"/>
                </w:tcPr>
                <w:p w14:paraId="34FB37EE">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55</w:t>
                  </w:r>
                </w:p>
              </w:tc>
              <w:tc>
                <w:tcPr>
                  <w:tcW w:w="1299" w:type="pct"/>
                  <w:tcBorders>
                    <w:tl2br w:val="nil"/>
                    <w:tr2bl w:val="nil"/>
                  </w:tcBorders>
                  <w:noWrap w:val="0"/>
                  <w:vAlign w:val="center"/>
                </w:tcPr>
                <w:p w14:paraId="77CDCEDD">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达标</w:t>
                  </w:r>
                </w:p>
              </w:tc>
            </w:tr>
            <w:tr w14:paraId="0B30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1145" w:type="pct"/>
                  <w:tcBorders>
                    <w:tl2br w:val="nil"/>
                    <w:tr2bl w:val="nil"/>
                  </w:tcBorders>
                  <w:noWrap w:val="0"/>
                  <w:vAlign w:val="center"/>
                </w:tcPr>
                <w:p w14:paraId="65F025B1">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南</w:t>
                  </w:r>
                  <w:r>
                    <w:rPr>
                      <w:rFonts w:hint="default" w:ascii="Times New Roman" w:hAnsi="Times New Roman" w:eastAsia="宋体" w:cs="Times New Roman"/>
                      <w:b w:val="0"/>
                      <w:bCs w:val="0"/>
                      <w:color w:val="auto"/>
                      <w:sz w:val="21"/>
                      <w:szCs w:val="21"/>
                      <w:highlight w:val="none"/>
                    </w:rPr>
                    <w:t>厂界</w:t>
                  </w:r>
                </w:p>
              </w:tc>
              <w:tc>
                <w:tcPr>
                  <w:tcW w:w="851" w:type="pct"/>
                  <w:tcBorders>
                    <w:tl2br w:val="nil"/>
                    <w:tr2bl w:val="nil"/>
                  </w:tcBorders>
                  <w:noWrap w:val="0"/>
                  <w:vAlign w:val="center"/>
                </w:tcPr>
                <w:p w14:paraId="72C75212">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4</w:t>
                  </w:r>
                  <w:r>
                    <w:rPr>
                      <w:rFonts w:hint="eastAsia" w:cs="Times New Roman"/>
                      <w:b w:val="0"/>
                      <w:bCs w:val="0"/>
                      <w:color w:val="auto"/>
                      <w:sz w:val="21"/>
                      <w:szCs w:val="21"/>
                      <w:highlight w:val="none"/>
                      <w:lang w:val="en-US" w:eastAsia="zh-CN"/>
                    </w:rPr>
                    <w:t>4</w:t>
                  </w:r>
                  <w:r>
                    <w:rPr>
                      <w:rFonts w:hint="default" w:ascii="Times New Roman" w:hAnsi="Times New Roman" w:cs="Times New Roman"/>
                      <w:b w:val="0"/>
                      <w:bCs w:val="0"/>
                      <w:color w:val="auto"/>
                      <w:sz w:val="21"/>
                      <w:szCs w:val="21"/>
                      <w:highlight w:val="none"/>
                      <w:lang w:val="en-US" w:eastAsia="zh-CN"/>
                    </w:rPr>
                    <w:t>.8</w:t>
                  </w:r>
                </w:p>
              </w:tc>
              <w:tc>
                <w:tcPr>
                  <w:tcW w:w="874" w:type="pct"/>
                  <w:tcBorders>
                    <w:tl2br w:val="nil"/>
                    <w:tr2bl w:val="nil"/>
                  </w:tcBorders>
                  <w:noWrap w:val="0"/>
                  <w:vAlign w:val="center"/>
                </w:tcPr>
                <w:p w14:paraId="6A807E38">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6</w:t>
                  </w:r>
                  <w:r>
                    <w:rPr>
                      <w:rFonts w:hint="default" w:ascii="Times New Roman" w:hAnsi="Times New Roman" w:cs="Times New Roman"/>
                      <w:b w:val="0"/>
                      <w:bCs w:val="0"/>
                      <w:color w:val="auto"/>
                      <w:sz w:val="21"/>
                      <w:szCs w:val="21"/>
                      <w:highlight w:val="none"/>
                      <w:lang w:val="en-US" w:eastAsia="zh-CN"/>
                    </w:rPr>
                    <w:t>5</w:t>
                  </w:r>
                </w:p>
              </w:tc>
              <w:tc>
                <w:tcPr>
                  <w:tcW w:w="829" w:type="pct"/>
                  <w:tcBorders>
                    <w:tl2br w:val="nil"/>
                    <w:tr2bl w:val="nil"/>
                  </w:tcBorders>
                  <w:noWrap w:val="0"/>
                  <w:vAlign w:val="center"/>
                </w:tcPr>
                <w:p w14:paraId="4F266C92">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55</w:t>
                  </w:r>
                </w:p>
              </w:tc>
              <w:tc>
                <w:tcPr>
                  <w:tcW w:w="1299" w:type="pct"/>
                  <w:tcBorders>
                    <w:tl2br w:val="nil"/>
                    <w:tr2bl w:val="nil"/>
                  </w:tcBorders>
                  <w:noWrap w:val="0"/>
                  <w:vAlign w:val="center"/>
                </w:tcPr>
                <w:p w14:paraId="499E43F7">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达标</w:t>
                  </w:r>
                </w:p>
              </w:tc>
            </w:tr>
            <w:tr w14:paraId="6049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1145" w:type="pct"/>
                  <w:tcBorders>
                    <w:tl2br w:val="nil"/>
                    <w:tr2bl w:val="nil"/>
                  </w:tcBorders>
                  <w:noWrap w:val="0"/>
                  <w:vAlign w:val="center"/>
                </w:tcPr>
                <w:p w14:paraId="7CFC6777">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西</w:t>
                  </w:r>
                  <w:r>
                    <w:rPr>
                      <w:rFonts w:hint="default" w:ascii="Times New Roman" w:hAnsi="Times New Roman" w:eastAsia="宋体" w:cs="Times New Roman"/>
                      <w:b w:val="0"/>
                      <w:bCs w:val="0"/>
                      <w:color w:val="auto"/>
                      <w:sz w:val="21"/>
                      <w:szCs w:val="21"/>
                      <w:highlight w:val="none"/>
                    </w:rPr>
                    <w:t>厂界</w:t>
                  </w:r>
                </w:p>
              </w:tc>
              <w:tc>
                <w:tcPr>
                  <w:tcW w:w="851" w:type="pct"/>
                  <w:tcBorders>
                    <w:tl2br w:val="nil"/>
                    <w:tr2bl w:val="nil"/>
                  </w:tcBorders>
                  <w:noWrap w:val="0"/>
                  <w:vAlign w:val="center"/>
                </w:tcPr>
                <w:p w14:paraId="1C3833DD">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5</w:t>
                  </w:r>
                  <w:r>
                    <w:rPr>
                      <w:rFonts w:hint="eastAsia" w:cs="Times New Roman"/>
                      <w:b w:val="0"/>
                      <w:bCs w:val="0"/>
                      <w:color w:val="auto"/>
                      <w:sz w:val="21"/>
                      <w:szCs w:val="21"/>
                      <w:highlight w:val="none"/>
                      <w:lang w:val="en-US" w:eastAsia="zh-CN"/>
                    </w:rPr>
                    <w:t>2</w:t>
                  </w:r>
                  <w:r>
                    <w:rPr>
                      <w:rFonts w:hint="default" w:ascii="Times New Roman" w:hAnsi="Times New Roman" w:cs="Times New Roman"/>
                      <w:b w:val="0"/>
                      <w:bCs w:val="0"/>
                      <w:color w:val="auto"/>
                      <w:sz w:val="21"/>
                      <w:szCs w:val="21"/>
                      <w:highlight w:val="none"/>
                      <w:lang w:val="en-US" w:eastAsia="zh-CN"/>
                    </w:rPr>
                    <w:t>.4</w:t>
                  </w:r>
                </w:p>
              </w:tc>
              <w:tc>
                <w:tcPr>
                  <w:tcW w:w="874" w:type="pct"/>
                  <w:tcBorders>
                    <w:tl2br w:val="nil"/>
                    <w:tr2bl w:val="nil"/>
                  </w:tcBorders>
                  <w:noWrap w:val="0"/>
                  <w:vAlign w:val="center"/>
                </w:tcPr>
                <w:p w14:paraId="55168AC5">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6</w:t>
                  </w:r>
                  <w:r>
                    <w:rPr>
                      <w:rFonts w:hint="default" w:ascii="Times New Roman" w:hAnsi="Times New Roman" w:cs="Times New Roman"/>
                      <w:b w:val="0"/>
                      <w:bCs w:val="0"/>
                      <w:color w:val="auto"/>
                      <w:sz w:val="21"/>
                      <w:szCs w:val="21"/>
                      <w:highlight w:val="none"/>
                      <w:lang w:val="en-US" w:eastAsia="zh-CN"/>
                    </w:rPr>
                    <w:t>5</w:t>
                  </w:r>
                </w:p>
              </w:tc>
              <w:tc>
                <w:tcPr>
                  <w:tcW w:w="829" w:type="pct"/>
                  <w:tcBorders>
                    <w:tl2br w:val="nil"/>
                    <w:tr2bl w:val="nil"/>
                  </w:tcBorders>
                  <w:noWrap w:val="0"/>
                  <w:vAlign w:val="center"/>
                </w:tcPr>
                <w:p w14:paraId="72F86E64">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55</w:t>
                  </w:r>
                </w:p>
              </w:tc>
              <w:tc>
                <w:tcPr>
                  <w:tcW w:w="1299" w:type="pct"/>
                  <w:tcBorders>
                    <w:tl2br w:val="nil"/>
                    <w:tr2bl w:val="nil"/>
                  </w:tcBorders>
                  <w:noWrap w:val="0"/>
                  <w:vAlign w:val="center"/>
                </w:tcPr>
                <w:p w14:paraId="147A6CE8">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达标</w:t>
                  </w:r>
                </w:p>
              </w:tc>
            </w:tr>
            <w:tr w14:paraId="5585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1145" w:type="pct"/>
                  <w:tcBorders>
                    <w:tl2br w:val="nil"/>
                    <w:tr2bl w:val="nil"/>
                  </w:tcBorders>
                  <w:noWrap w:val="0"/>
                  <w:vAlign w:val="center"/>
                </w:tcPr>
                <w:p w14:paraId="72C2FC50">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北厂界</w:t>
                  </w:r>
                </w:p>
              </w:tc>
              <w:tc>
                <w:tcPr>
                  <w:tcW w:w="851" w:type="pct"/>
                  <w:tcBorders>
                    <w:tl2br w:val="nil"/>
                    <w:tr2bl w:val="nil"/>
                  </w:tcBorders>
                  <w:noWrap w:val="0"/>
                  <w:vAlign w:val="center"/>
                </w:tcPr>
                <w:p w14:paraId="76C03E68">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50</w:t>
                  </w:r>
                  <w:r>
                    <w:rPr>
                      <w:rFonts w:hint="default" w:ascii="Times New Roman" w:hAnsi="Times New Roman" w:cs="Times New Roman"/>
                      <w:b w:val="0"/>
                      <w:bCs w:val="0"/>
                      <w:color w:val="auto"/>
                      <w:sz w:val="21"/>
                      <w:szCs w:val="21"/>
                      <w:highlight w:val="none"/>
                      <w:lang w:val="en-US" w:eastAsia="zh-CN"/>
                    </w:rPr>
                    <w:t>.1</w:t>
                  </w:r>
                </w:p>
              </w:tc>
              <w:tc>
                <w:tcPr>
                  <w:tcW w:w="874" w:type="pct"/>
                  <w:tcBorders>
                    <w:tl2br w:val="nil"/>
                    <w:tr2bl w:val="nil"/>
                  </w:tcBorders>
                  <w:noWrap w:val="0"/>
                  <w:vAlign w:val="center"/>
                </w:tcPr>
                <w:p w14:paraId="6037DB8D">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6</w:t>
                  </w:r>
                  <w:r>
                    <w:rPr>
                      <w:rFonts w:hint="default" w:ascii="Times New Roman" w:hAnsi="Times New Roman" w:cs="Times New Roman"/>
                      <w:b w:val="0"/>
                      <w:bCs w:val="0"/>
                      <w:color w:val="auto"/>
                      <w:sz w:val="21"/>
                      <w:szCs w:val="21"/>
                      <w:highlight w:val="none"/>
                      <w:lang w:val="en-US" w:eastAsia="zh-CN"/>
                    </w:rPr>
                    <w:t>5</w:t>
                  </w:r>
                </w:p>
              </w:tc>
              <w:tc>
                <w:tcPr>
                  <w:tcW w:w="829" w:type="pct"/>
                  <w:tcBorders>
                    <w:tl2br w:val="nil"/>
                    <w:tr2bl w:val="nil"/>
                  </w:tcBorders>
                  <w:noWrap w:val="0"/>
                  <w:vAlign w:val="center"/>
                </w:tcPr>
                <w:p w14:paraId="4E1818E8">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55</w:t>
                  </w:r>
                </w:p>
              </w:tc>
              <w:tc>
                <w:tcPr>
                  <w:tcW w:w="1299" w:type="pct"/>
                  <w:tcBorders>
                    <w:tl2br w:val="nil"/>
                    <w:tr2bl w:val="nil"/>
                  </w:tcBorders>
                  <w:noWrap w:val="0"/>
                  <w:vAlign w:val="center"/>
                </w:tcPr>
                <w:p w14:paraId="091644F8">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达标</w:t>
                  </w:r>
                </w:p>
              </w:tc>
            </w:tr>
          </w:tbl>
          <w:p w14:paraId="780700B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由表4-</w:t>
            </w:r>
            <w:r>
              <w:rPr>
                <w:rFonts w:hint="default" w:ascii="Times New Roman" w:hAnsi="Times New Roman"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可知，</w:t>
            </w:r>
            <w:r>
              <w:rPr>
                <w:rFonts w:hint="default" w:ascii="Times New Roman" w:hAnsi="Times New Roman" w:eastAsia="宋体" w:cs="Times New Roman"/>
                <w:color w:val="auto"/>
                <w:sz w:val="24"/>
                <w:szCs w:val="24"/>
                <w:highlight w:val="none"/>
                <w:lang w:val="en-US" w:eastAsia="zh-CN"/>
              </w:rPr>
              <w:t>本项目产噪设备对四周厂界的预测值为</w:t>
            </w:r>
            <w:r>
              <w:rPr>
                <w:rFonts w:hint="default" w:ascii="Times New Roman" w:hAnsi="Times New Roman" w:cs="Times New Roman"/>
                <w:color w:val="auto"/>
                <w:sz w:val="24"/>
                <w:szCs w:val="24"/>
                <w:highlight w:val="none"/>
                <w:lang w:val="en-US" w:eastAsia="zh-CN"/>
              </w:rPr>
              <w:t>4</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5</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dB(A)，本项目厂界噪声贡献值满足《工业企业厂界环境噪声排放标准》(GB12348-2008)中3类标准要求</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项目噪声经距离衰减后对区域声环境影响较小。</w:t>
            </w:r>
          </w:p>
          <w:p w14:paraId="284AAEE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噪声监测计划</w:t>
            </w:r>
          </w:p>
          <w:p w14:paraId="4EC21514">
            <w:pPr>
              <w:pageBreakBefore w:val="0"/>
              <w:widowControl w:val="0"/>
              <w:kinsoku/>
              <w:wordWrap/>
              <w:overflowPunct/>
              <w:topLinePunct w:val="0"/>
              <w:bidi w:val="0"/>
              <w:snapToGri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szCs w:val="24"/>
                <w:highlight w:val="none"/>
              </w:rPr>
              <w:t>根据《排污单位自行监测技术指南 总则》（HJ819-2017）</w:t>
            </w:r>
            <w:r>
              <w:rPr>
                <w:rFonts w:hint="default" w:ascii="Times New Roman" w:hAnsi="Times New Roman" w:eastAsia="宋体" w:cs="Times New Roman"/>
                <w:bCs/>
                <w:color w:val="auto"/>
                <w:szCs w:val="24"/>
                <w:highlight w:val="none"/>
              </w:rPr>
              <w:t>，</w:t>
            </w:r>
            <w:r>
              <w:rPr>
                <w:rFonts w:hint="default" w:ascii="Times New Roman" w:hAnsi="Times New Roman" w:eastAsia="宋体" w:cs="Times New Roman"/>
                <w:color w:val="auto"/>
                <w:sz w:val="24"/>
                <w:highlight w:val="none"/>
              </w:rPr>
              <w:t>本项目噪声监测要求见</w:t>
            </w:r>
            <w:r>
              <w:rPr>
                <w:rFonts w:hint="default" w:ascii="Times New Roman" w:hAnsi="Times New Roman" w:eastAsia="宋体" w:cs="Times New Roman"/>
                <w:color w:val="auto"/>
                <w:sz w:val="24"/>
                <w:highlight w:val="none"/>
                <w:lang w:val="en-US" w:eastAsia="zh-CN"/>
              </w:rPr>
              <w:t>下</w:t>
            </w:r>
            <w:r>
              <w:rPr>
                <w:rFonts w:hint="default" w:ascii="Times New Roman" w:hAnsi="Times New Roman" w:eastAsia="宋体" w:cs="Times New Roman"/>
                <w:color w:val="auto"/>
                <w:sz w:val="24"/>
                <w:highlight w:val="none"/>
              </w:rPr>
              <w:t>表。</w:t>
            </w:r>
          </w:p>
          <w:p w14:paraId="6737744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表4</w:t>
            </w:r>
            <w:r>
              <w:rPr>
                <w:rFonts w:hint="default" w:ascii="Times New Roman" w:hAnsi="Times New Roman" w:eastAsia="宋体" w:cs="Times New Roman"/>
                <w:b/>
                <w:bCs/>
                <w:color w:val="auto"/>
                <w:sz w:val="24"/>
                <w:szCs w:val="24"/>
                <w:highlight w:val="none"/>
                <w:lang w:val="en-US" w:eastAsia="zh-CN"/>
              </w:rPr>
              <w:t>-</w:t>
            </w:r>
            <w:r>
              <w:rPr>
                <w:rFonts w:hint="default" w:ascii="Times New Roman" w:hAnsi="Times New Roman" w:cs="Times New Roman"/>
                <w:b/>
                <w:bCs/>
                <w:color w:val="auto"/>
                <w:sz w:val="24"/>
                <w:szCs w:val="24"/>
                <w:highlight w:val="none"/>
                <w:lang w:val="en-US" w:eastAsia="zh-CN"/>
              </w:rPr>
              <w:t xml:space="preserve">10   </w:t>
            </w:r>
            <w:r>
              <w:rPr>
                <w:rFonts w:hint="default" w:ascii="Times New Roman" w:hAnsi="Times New Roman" w:eastAsia="宋体" w:cs="Times New Roman"/>
                <w:b/>
                <w:bCs/>
                <w:color w:val="auto"/>
                <w:sz w:val="24"/>
                <w:szCs w:val="24"/>
                <w:highlight w:val="none"/>
              </w:rPr>
              <w:t>项目噪声污染源监测计划一览表</w:t>
            </w:r>
          </w:p>
          <w:tbl>
            <w:tblPr>
              <w:tblStyle w:val="40"/>
              <w:tblpPr w:leftFromText="180" w:rightFromText="180" w:vertAnchor="text" w:horzAnchor="margin" w:tblpY="28"/>
              <w:tblOverlap w:val="never"/>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911"/>
              <w:gridCol w:w="1018"/>
              <w:gridCol w:w="2870"/>
              <w:gridCol w:w="2582"/>
            </w:tblGrid>
            <w:tr w14:paraId="34A9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85" w:type="pct"/>
                  <w:tcBorders>
                    <w:tl2br w:val="nil"/>
                    <w:tr2bl w:val="nil"/>
                  </w:tcBorders>
                  <w:noWrap w:val="0"/>
                  <w:vAlign w:val="center"/>
                </w:tcPr>
                <w:p w14:paraId="76571F84">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监测项目</w:t>
                  </w:r>
                </w:p>
              </w:tc>
              <w:tc>
                <w:tcPr>
                  <w:tcW w:w="545" w:type="pct"/>
                  <w:tcBorders>
                    <w:tl2br w:val="nil"/>
                    <w:tr2bl w:val="nil"/>
                  </w:tcBorders>
                  <w:noWrap w:val="0"/>
                  <w:vAlign w:val="center"/>
                </w:tcPr>
                <w:p w14:paraId="78183D79">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监测因子</w:t>
                  </w:r>
                </w:p>
              </w:tc>
              <w:tc>
                <w:tcPr>
                  <w:tcW w:w="609" w:type="pct"/>
                  <w:tcBorders>
                    <w:tl2br w:val="nil"/>
                    <w:tr2bl w:val="nil"/>
                  </w:tcBorders>
                  <w:noWrap w:val="0"/>
                  <w:vAlign w:val="center"/>
                </w:tcPr>
                <w:p w14:paraId="7661E075">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监测频率</w:t>
                  </w:r>
                </w:p>
              </w:tc>
              <w:tc>
                <w:tcPr>
                  <w:tcW w:w="1716" w:type="pct"/>
                  <w:tcBorders>
                    <w:tl2br w:val="nil"/>
                    <w:tr2bl w:val="nil"/>
                  </w:tcBorders>
                  <w:noWrap w:val="0"/>
                  <w:vAlign w:val="center"/>
                </w:tcPr>
                <w:p w14:paraId="4969081E">
                  <w:pPr>
                    <w:keepNext w:val="0"/>
                    <w:keepLines w:val="0"/>
                    <w:pageBreakBefore w:val="0"/>
                    <w:widowControl w:val="0"/>
                    <w:kinsoku/>
                    <w:wordWrap/>
                    <w:overflowPunct/>
                    <w:topLinePunct w:val="0"/>
                    <w:autoSpaceDE w:val="0"/>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执行标准</w:t>
                  </w:r>
                </w:p>
              </w:tc>
              <w:tc>
                <w:tcPr>
                  <w:tcW w:w="1543" w:type="pct"/>
                  <w:tcBorders>
                    <w:tl2br w:val="nil"/>
                    <w:tr2bl w:val="nil"/>
                  </w:tcBorders>
                  <w:noWrap w:val="0"/>
                  <w:vAlign w:val="center"/>
                </w:tcPr>
                <w:p w14:paraId="36E5EFAB">
                  <w:pPr>
                    <w:keepNext w:val="0"/>
                    <w:keepLines w:val="0"/>
                    <w:pageBreakBefore w:val="0"/>
                    <w:widowControl w:val="0"/>
                    <w:kinsoku/>
                    <w:wordWrap/>
                    <w:overflowPunct/>
                    <w:topLinePunct w:val="0"/>
                    <w:autoSpaceDE w:val="0"/>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标准限值</w:t>
                  </w:r>
                </w:p>
              </w:tc>
            </w:tr>
            <w:tr w14:paraId="1CBE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85" w:type="pct"/>
                  <w:tcBorders>
                    <w:tl2br w:val="nil"/>
                    <w:tr2bl w:val="nil"/>
                  </w:tcBorders>
                  <w:noWrap w:val="0"/>
                  <w:vAlign w:val="center"/>
                </w:tcPr>
                <w:p w14:paraId="6A56ABD5">
                  <w:pPr>
                    <w:keepNext w:val="0"/>
                    <w:keepLines w:val="0"/>
                    <w:pageBreakBefore w:val="0"/>
                    <w:widowControl w:val="0"/>
                    <w:kinsoku/>
                    <w:wordWrap/>
                    <w:overflowPunct/>
                    <w:topLinePunct w:val="0"/>
                    <w:autoSpaceDE w:val="0"/>
                    <w:autoSpaceDN w:val="0"/>
                    <w:bidi w:val="0"/>
                    <w:adjustRightInd w:val="0"/>
                    <w:spacing w:line="0" w:lineRule="atLeas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厂界外1米</w:t>
                  </w:r>
                </w:p>
              </w:tc>
              <w:tc>
                <w:tcPr>
                  <w:tcW w:w="545" w:type="pct"/>
                  <w:tcBorders>
                    <w:tl2br w:val="nil"/>
                    <w:tr2bl w:val="nil"/>
                  </w:tcBorders>
                  <w:noWrap w:val="0"/>
                  <w:vAlign w:val="center"/>
                </w:tcPr>
                <w:p w14:paraId="19C4C7BB">
                  <w:pPr>
                    <w:keepNext w:val="0"/>
                    <w:keepLines w:val="0"/>
                    <w:pageBreakBefore w:val="0"/>
                    <w:widowControl w:val="0"/>
                    <w:kinsoku/>
                    <w:wordWrap/>
                    <w:overflowPunct/>
                    <w:topLinePunct w:val="0"/>
                    <w:autoSpaceDE w:val="0"/>
                    <w:autoSpaceDN w:val="0"/>
                    <w:bidi w:val="0"/>
                    <w:adjustRightInd w:val="0"/>
                    <w:spacing w:line="0" w:lineRule="atLeas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Leq</w:t>
                  </w:r>
                </w:p>
              </w:tc>
              <w:tc>
                <w:tcPr>
                  <w:tcW w:w="609" w:type="pct"/>
                  <w:tcBorders>
                    <w:tl2br w:val="nil"/>
                    <w:tr2bl w:val="nil"/>
                  </w:tcBorders>
                  <w:noWrap w:val="0"/>
                  <w:vAlign w:val="center"/>
                </w:tcPr>
                <w:p w14:paraId="79F3DFE9">
                  <w:pPr>
                    <w:keepNext w:val="0"/>
                    <w:keepLines w:val="0"/>
                    <w:pageBreakBefore w:val="0"/>
                    <w:widowControl w:val="0"/>
                    <w:kinsoku/>
                    <w:wordWrap/>
                    <w:overflowPunct/>
                    <w:topLinePunct w:val="0"/>
                    <w:autoSpaceDE w:val="0"/>
                    <w:autoSpaceDN w:val="0"/>
                    <w:bidi w:val="0"/>
                    <w:adjustRightInd w:val="0"/>
                    <w:spacing w:line="0" w:lineRule="atLeas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次/每季度</w:t>
                  </w:r>
                </w:p>
              </w:tc>
              <w:tc>
                <w:tcPr>
                  <w:tcW w:w="1716" w:type="pct"/>
                  <w:tcBorders>
                    <w:tl2br w:val="nil"/>
                    <w:tr2bl w:val="nil"/>
                  </w:tcBorders>
                  <w:noWrap w:val="0"/>
                  <w:vAlign w:val="center"/>
                </w:tcPr>
                <w:p w14:paraId="2DF0A0D7">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厂界执行《工业企业厂界环境噪声排放标准》（GB12348-2008）3类标准</w:t>
                  </w:r>
                </w:p>
              </w:tc>
              <w:tc>
                <w:tcPr>
                  <w:tcW w:w="1543" w:type="pct"/>
                  <w:tcBorders>
                    <w:tl2br w:val="nil"/>
                    <w:tr2bl w:val="nil"/>
                  </w:tcBorders>
                  <w:noWrap w:val="0"/>
                  <w:vAlign w:val="center"/>
                </w:tcPr>
                <w:p w14:paraId="752276CE">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类：</w:t>
                  </w:r>
                  <w:r>
                    <w:rPr>
                      <w:rFonts w:hint="default" w:ascii="Times New Roman" w:hAnsi="Times New Roman" w:eastAsia="宋体" w:cs="Times New Roman"/>
                      <w:color w:val="auto"/>
                      <w:sz w:val="21"/>
                      <w:szCs w:val="21"/>
                      <w:highlight w:val="none"/>
                    </w:rPr>
                    <w:t>昼间≤6</w:t>
                  </w:r>
                  <w:r>
                    <w:rPr>
                      <w:rFonts w:hint="default" w:ascii="Times New Roman" w:hAnsi="Times New Roman"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dB</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A</w:t>
                  </w:r>
                  <w:r>
                    <w:rPr>
                      <w:rFonts w:hint="default" w:ascii="Times New Roman" w:hAnsi="Times New Roman" w:cs="Times New Roman"/>
                      <w:color w:val="auto"/>
                      <w:sz w:val="21"/>
                      <w:szCs w:val="21"/>
                      <w:highlight w:val="none"/>
                      <w:lang w:eastAsia="zh-CN"/>
                    </w:rPr>
                    <w:t>）</w:t>
                  </w:r>
                </w:p>
                <w:p w14:paraId="0C7DCBBC">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夜</w:t>
                  </w:r>
                  <w:r>
                    <w:rPr>
                      <w:rFonts w:hint="default" w:ascii="Times New Roman" w:hAnsi="Times New Roman" w:eastAsia="宋体" w:cs="Times New Roman"/>
                      <w:color w:val="auto"/>
                      <w:sz w:val="21"/>
                      <w:szCs w:val="21"/>
                      <w:highlight w:val="none"/>
                    </w:rPr>
                    <w:t>间≤</w:t>
                  </w:r>
                  <w:r>
                    <w:rPr>
                      <w:rFonts w:hint="default" w:ascii="Times New Roman" w:hAnsi="Times New Roman" w:cs="Times New Roman"/>
                      <w:color w:val="auto"/>
                      <w:sz w:val="21"/>
                      <w:szCs w:val="21"/>
                      <w:highlight w:val="none"/>
                      <w:lang w:val="en-US" w:eastAsia="zh-CN"/>
                    </w:rPr>
                    <w:t>55</w:t>
                  </w:r>
                  <w:r>
                    <w:rPr>
                      <w:rFonts w:hint="default" w:ascii="Times New Roman" w:hAnsi="Times New Roman" w:eastAsia="宋体" w:cs="Times New Roman"/>
                      <w:color w:val="auto"/>
                      <w:sz w:val="21"/>
                      <w:szCs w:val="21"/>
                      <w:highlight w:val="none"/>
                    </w:rPr>
                    <w:t>dB</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A</w:t>
                  </w:r>
                  <w:r>
                    <w:rPr>
                      <w:rFonts w:hint="default" w:ascii="Times New Roman" w:hAnsi="Times New Roman" w:cs="Times New Roman"/>
                      <w:color w:val="auto"/>
                      <w:sz w:val="21"/>
                      <w:szCs w:val="21"/>
                      <w:highlight w:val="none"/>
                      <w:lang w:eastAsia="zh-CN"/>
                    </w:rPr>
                    <w:t>）</w:t>
                  </w:r>
                </w:p>
              </w:tc>
            </w:tr>
          </w:tbl>
          <w:p w14:paraId="0411B84A">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2" w:firstLineChars="200"/>
              <w:contextualSpacing/>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固体废物</w:t>
            </w:r>
          </w:p>
          <w:p w14:paraId="4353BCBE">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本项目固体废物主要为废焊材、废包装袋、沉淀池底泥、除尘灰、废布袋及生活垃圾。</w:t>
            </w:r>
          </w:p>
          <w:p w14:paraId="0B14953E">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1、一般固废</w:t>
            </w:r>
          </w:p>
          <w:p w14:paraId="0D6E8AE5">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废焊材：</w:t>
            </w:r>
            <w:r>
              <w:rPr>
                <w:rFonts w:hint="default" w:ascii="Times New Roman" w:hAnsi="Times New Roman" w:eastAsia="宋体" w:cs="Times New Roman"/>
                <w:color w:val="auto"/>
                <w:kern w:val="2"/>
                <w:sz w:val="24"/>
                <w:szCs w:val="24"/>
                <w:highlight w:val="none"/>
                <w:lang w:val="en-US" w:eastAsia="zh-CN" w:bidi="ar-SA"/>
              </w:rPr>
              <w:t>根据建设单位提供的资料，</w:t>
            </w:r>
            <w:r>
              <w:rPr>
                <w:rFonts w:hint="default" w:ascii="Times New Roman" w:hAnsi="Times New Roman" w:cs="Times New Roman"/>
                <w:color w:val="auto"/>
                <w:sz w:val="24"/>
                <w:szCs w:val="24"/>
                <w:highlight w:val="none"/>
                <w:lang w:val="en-US" w:eastAsia="zh-CN"/>
              </w:rPr>
              <w:t>项目废焊材的产生量为0.1t/a，收集后外售。</w:t>
            </w:r>
          </w:p>
          <w:p w14:paraId="246DC69A">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废包装袋：根据建设单位提供的资料，项目废包装袋的产生量为 0.05t/a，收集后外售。</w:t>
            </w:r>
          </w:p>
          <w:p w14:paraId="1C3FF3DE">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沉淀池底泥：车辆冲洗水、模具冲洗水经沉淀池沉淀处理产生底泥，根据建设单位提供的资料，底泥年产生量为1.2t/a，为一般固体废物，收集后外售。 </w:t>
            </w:r>
          </w:p>
          <w:p w14:paraId="61227A85">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除尘灰：根据废气源强核算，除尘器年收集除尘灰</w:t>
            </w:r>
            <w:r>
              <w:rPr>
                <w:rFonts w:hint="default" w:ascii="Times New Roman" w:hAnsi="Times New Roman" w:cs="Times New Roman"/>
                <w:color w:val="auto"/>
                <w:sz w:val="24"/>
                <w:szCs w:val="24"/>
                <w:highlight w:val="none"/>
                <w:lang w:val="en-US" w:eastAsia="zh-CN"/>
              </w:rPr>
              <w:t>55.</w:t>
            </w:r>
            <w:r>
              <w:rPr>
                <w:rFonts w:hint="eastAsia" w:cs="Times New Roman"/>
                <w:color w:val="auto"/>
                <w:sz w:val="24"/>
                <w:szCs w:val="24"/>
                <w:highlight w:val="none"/>
                <w:lang w:val="en-US" w:eastAsia="zh-CN"/>
              </w:rPr>
              <w:t>191</w:t>
            </w:r>
            <w:r>
              <w:rPr>
                <w:rFonts w:hint="default" w:ascii="Times New Roman" w:hAnsi="Times New Roman" w:eastAsia="宋体" w:cs="Times New Roman"/>
                <w:color w:val="auto"/>
                <w:sz w:val="24"/>
                <w:szCs w:val="24"/>
                <w:highlight w:val="none"/>
                <w:lang w:val="en-US" w:eastAsia="zh-CN"/>
              </w:rPr>
              <w:t>t/a，为一般固体废物，收集后回用于生产。</w:t>
            </w:r>
          </w:p>
          <w:p w14:paraId="303FD8F6">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废布袋：</w:t>
            </w:r>
            <w:r>
              <w:rPr>
                <w:rFonts w:hint="default" w:ascii="Times New Roman" w:hAnsi="Times New Roman" w:eastAsia="宋体" w:cs="Times New Roman"/>
                <w:color w:val="auto"/>
                <w:sz w:val="24"/>
                <w:szCs w:val="24"/>
                <w:highlight w:val="none"/>
                <w:lang w:val="en-US" w:eastAsia="zh-CN"/>
              </w:rPr>
              <w:t>根据建设单位提供的资料，</w:t>
            </w:r>
            <w:r>
              <w:rPr>
                <w:rFonts w:hint="default" w:ascii="Times New Roman" w:hAnsi="Times New Roman" w:cs="Times New Roman"/>
                <w:color w:val="auto"/>
                <w:sz w:val="24"/>
                <w:szCs w:val="24"/>
                <w:highlight w:val="none"/>
                <w:lang w:val="en-US" w:eastAsia="zh-CN"/>
              </w:rPr>
              <w:t>布袋除尘器产生的废布袋为0.2</w:t>
            </w:r>
            <w:r>
              <w:rPr>
                <w:rFonts w:hint="default" w:ascii="Times New Roman" w:hAnsi="Times New Roman" w:eastAsia="宋体" w:cs="Times New Roman"/>
                <w:color w:val="auto"/>
                <w:sz w:val="24"/>
                <w:szCs w:val="24"/>
                <w:highlight w:val="none"/>
                <w:lang w:val="en-US" w:eastAsia="zh-CN"/>
              </w:rPr>
              <w:t>t/a，为一般固体废物，收集后外售。</w:t>
            </w:r>
          </w:p>
          <w:p w14:paraId="59589D9E">
            <w:pPr>
              <w:keepNext w:val="0"/>
              <w:keepLines w:val="0"/>
              <w:pageBreakBefore w:val="0"/>
              <w:widowControl/>
              <w:numPr>
                <w:ilvl w:val="0"/>
                <w:numId w:val="9"/>
              </w:numPr>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生活垃圾</w:t>
            </w:r>
          </w:p>
          <w:p w14:paraId="250825E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项目劳动定员为20人，以0.5kg/人·d计，年生产300天，则生活垃圾产生量为3t/a，交由环卫部门统一收集处理。</w:t>
            </w:r>
          </w:p>
          <w:p w14:paraId="3142A92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center"/>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表4-11   建设项目固体废物汇总表</w:t>
            </w:r>
          </w:p>
          <w:tbl>
            <w:tblPr>
              <w:tblStyle w:val="40"/>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506"/>
              <w:gridCol w:w="1442"/>
              <w:gridCol w:w="1081"/>
              <w:gridCol w:w="1442"/>
              <w:gridCol w:w="1271"/>
              <w:gridCol w:w="922"/>
              <w:gridCol w:w="1685"/>
            </w:tblGrid>
            <w:tr w14:paraId="486B65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03" w:type="pct"/>
                  <w:noWrap w:val="0"/>
                  <w:vAlign w:val="center"/>
                </w:tcPr>
                <w:p w14:paraId="3114657D">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序号</w:t>
                  </w:r>
                </w:p>
              </w:tc>
              <w:tc>
                <w:tcPr>
                  <w:tcW w:w="863" w:type="pct"/>
                  <w:noWrap w:val="0"/>
                  <w:vAlign w:val="center"/>
                </w:tcPr>
                <w:p w14:paraId="4412AB6C">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污染物名称</w:t>
                  </w:r>
                </w:p>
              </w:tc>
              <w:tc>
                <w:tcPr>
                  <w:tcW w:w="647" w:type="pct"/>
                  <w:noWrap w:val="0"/>
                  <w:vAlign w:val="center"/>
                </w:tcPr>
                <w:p w14:paraId="6268FF78">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产生量(t/a)</w:t>
                  </w:r>
                </w:p>
              </w:tc>
              <w:tc>
                <w:tcPr>
                  <w:tcW w:w="863" w:type="pct"/>
                  <w:noWrap w:val="0"/>
                  <w:vAlign w:val="center"/>
                </w:tcPr>
                <w:p w14:paraId="30B96E77">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固废类别</w:t>
                  </w:r>
                </w:p>
              </w:tc>
              <w:tc>
                <w:tcPr>
                  <w:tcW w:w="761" w:type="pct"/>
                  <w:noWrap w:val="0"/>
                  <w:vAlign w:val="center"/>
                </w:tcPr>
                <w:p w14:paraId="57727F26">
                  <w:pPr>
                    <w:spacing w:line="240" w:lineRule="auto"/>
                    <w:jc w:val="center"/>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固废</w:t>
                  </w:r>
                  <w:r>
                    <w:rPr>
                      <w:rFonts w:hint="default" w:ascii="Times New Roman" w:hAnsi="Times New Roman" w:eastAsia="宋体" w:cs="Times New Roman"/>
                      <w:color w:val="auto"/>
                      <w:spacing w:val="0"/>
                      <w:sz w:val="21"/>
                      <w:szCs w:val="21"/>
                      <w:highlight w:val="none"/>
                      <w:lang w:val="en-US" w:eastAsia="zh-CN"/>
                    </w:rPr>
                    <w:t>代码</w:t>
                  </w:r>
                </w:p>
              </w:tc>
              <w:tc>
                <w:tcPr>
                  <w:tcW w:w="552" w:type="pct"/>
                  <w:noWrap w:val="0"/>
                  <w:vAlign w:val="center"/>
                </w:tcPr>
                <w:p w14:paraId="721853B2">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厂区暂存区</w:t>
                  </w:r>
                </w:p>
              </w:tc>
              <w:tc>
                <w:tcPr>
                  <w:tcW w:w="1008" w:type="pct"/>
                  <w:noWrap w:val="0"/>
                  <w:vAlign w:val="center"/>
                </w:tcPr>
                <w:p w14:paraId="11174CE5">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处置措施</w:t>
                  </w:r>
                </w:p>
              </w:tc>
            </w:tr>
            <w:tr w14:paraId="44D755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03" w:type="pct"/>
                  <w:noWrap w:val="0"/>
                  <w:vAlign w:val="center"/>
                </w:tcPr>
                <w:p w14:paraId="51A87EC8">
                  <w:pPr>
                    <w:widowControl/>
                    <w:spacing w:line="240" w:lineRule="auto"/>
                    <w:jc w:val="center"/>
                    <w:textAlignment w:val="baseline"/>
                    <w:rPr>
                      <w:rFonts w:hint="default" w:ascii="Times New Roman" w:hAnsi="Times New Roman" w:eastAsia="宋体" w:cs="Times New Roman"/>
                      <w:color w:val="auto"/>
                      <w:spacing w:val="0"/>
                      <w:kern w:val="0"/>
                      <w:sz w:val="21"/>
                      <w:szCs w:val="21"/>
                      <w:highlight w:val="none"/>
                      <w:u w:val="none" w:color="000000"/>
                    </w:rPr>
                  </w:pPr>
                  <w:r>
                    <w:rPr>
                      <w:rFonts w:hint="default" w:ascii="Times New Roman" w:hAnsi="Times New Roman" w:eastAsia="宋体" w:cs="Times New Roman"/>
                      <w:color w:val="auto"/>
                      <w:spacing w:val="0"/>
                      <w:kern w:val="0"/>
                      <w:sz w:val="21"/>
                      <w:szCs w:val="21"/>
                      <w:highlight w:val="none"/>
                      <w:u w:val="none" w:color="000000"/>
                    </w:rPr>
                    <w:t>1</w:t>
                  </w:r>
                </w:p>
              </w:tc>
              <w:tc>
                <w:tcPr>
                  <w:tcW w:w="863" w:type="pct"/>
                  <w:noWrap w:val="0"/>
                  <w:vAlign w:val="center"/>
                </w:tcPr>
                <w:p w14:paraId="6B9F8E8F">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废焊材</w:t>
                  </w:r>
                </w:p>
              </w:tc>
              <w:tc>
                <w:tcPr>
                  <w:tcW w:w="647" w:type="pct"/>
                  <w:noWrap w:val="0"/>
                  <w:vAlign w:val="center"/>
                </w:tcPr>
                <w:p w14:paraId="3B39AB9B">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0.1</w:t>
                  </w:r>
                </w:p>
              </w:tc>
              <w:tc>
                <w:tcPr>
                  <w:tcW w:w="863" w:type="pct"/>
                  <w:shd w:val="clear" w:color="auto" w:fill="auto"/>
                  <w:noWrap w:val="0"/>
                  <w:vAlign w:val="center"/>
                </w:tcPr>
                <w:p w14:paraId="718647CC">
                  <w:pPr>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SW59其他工业固体废物</w:t>
                  </w:r>
                </w:p>
              </w:tc>
              <w:tc>
                <w:tcPr>
                  <w:tcW w:w="761" w:type="pct"/>
                  <w:shd w:val="clear" w:color="auto" w:fill="auto"/>
                  <w:noWrap w:val="0"/>
                  <w:vAlign w:val="center"/>
                </w:tcPr>
                <w:p w14:paraId="54758D91">
                  <w:pPr>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 xml:space="preserve">900-099-S59 </w:t>
                  </w:r>
                </w:p>
              </w:tc>
              <w:tc>
                <w:tcPr>
                  <w:tcW w:w="552" w:type="pct"/>
                  <w:noWrap w:val="0"/>
                  <w:vAlign w:val="center"/>
                </w:tcPr>
                <w:p w14:paraId="729D6D4E">
                  <w:pPr>
                    <w:topLinePunct/>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固废间</w:t>
                  </w:r>
                </w:p>
              </w:tc>
              <w:tc>
                <w:tcPr>
                  <w:tcW w:w="1008" w:type="pct"/>
                  <w:noWrap w:val="0"/>
                  <w:vAlign w:val="center"/>
                </w:tcPr>
                <w:p w14:paraId="369704A8">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收集后外售</w:t>
                  </w:r>
                </w:p>
              </w:tc>
            </w:tr>
            <w:tr w14:paraId="277144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03" w:type="pct"/>
                  <w:noWrap w:val="0"/>
                  <w:vAlign w:val="center"/>
                </w:tcPr>
                <w:p w14:paraId="4F791453">
                  <w:pPr>
                    <w:widowControl/>
                    <w:spacing w:line="240" w:lineRule="auto"/>
                    <w:jc w:val="center"/>
                    <w:textAlignment w:val="baseline"/>
                    <w:rPr>
                      <w:rFonts w:hint="default" w:ascii="Times New Roman" w:hAnsi="Times New Roman" w:eastAsia="宋体" w:cs="Times New Roman"/>
                      <w:color w:val="auto"/>
                      <w:spacing w:val="0"/>
                      <w:kern w:val="0"/>
                      <w:sz w:val="21"/>
                      <w:szCs w:val="21"/>
                      <w:highlight w:val="none"/>
                      <w:u w:val="none" w:color="000000"/>
                    </w:rPr>
                  </w:pPr>
                  <w:r>
                    <w:rPr>
                      <w:rFonts w:hint="default" w:ascii="Times New Roman" w:hAnsi="Times New Roman" w:eastAsia="宋体" w:cs="Times New Roman"/>
                      <w:color w:val="auto"/>
                      <w:spacing w:val="0"/>
                      <w:kern w:val="0"/>
                      <w:sz w:val="21"/>
                      <w:szCs w:val="21"/>
                      <w:highlight w:val="none"/>
                      <w:u w:val="none" w:color="000000"/>
                    </w:rPr>
                    <w:t>2</w:t>
                  </w:r>
                </w:p>
              </w:tc>
              <w:tc>
                <w:tcPr>
                  <w:tcW w:w="863" w:type="pct"/>
                  <w:noWrap w:val="0"/>
                  <w:vAlign w:val="center"/>
                </w:tcPr>
                <w:p w14:paraId="17C0E877">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废包装袋</w:t>
                  </w:r>
                </w:p>
              </w:tc>
              <w:tc>
                <w:tcPr>
                  <w:tcW w:w="647" w:type="pct"/>
                  <w:noWrap w:val="0"/>
                  <w:vAlign w:val="center"/>
                </w:tcPr>
                <w:p w14:paraId="477A694B">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0.05</w:t>
                  </w:r>
                </w:p>
              </w:tc>
              <w:tc>
                <w:tcPr>
                  <w:tcW w:w="863" w:type="pct"/>
                  <w:shd w:val="clear" w:color="auto" w:fill="auto"/>
                  <w:noWrap w:val="0"/>
                  <w:vAlign w:val="center"/>
                </w:tcPr>
                <w:p w14:paraId="0C56152F">
                  <w:pPr>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SW59其他工业固体废物</w:t>
                  </w:r>
                </w:p>
              </w:tc>
              <w:tc>
                <w:tcPr>
                  <w:tcW w:w="761" w:type="pct"/>
                  <w:shd w:val="clear" w:color="auto" w:fill="auto"/>
                  <w:noWrap w:val="0"/>
                  <w:vAlign w:val="center"/>
                </w:tcPr>
                <w:p w14:paraId="59A562A9">
                  <w:pPr>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 xml:space="preserve">900-099-S59 </w:t>
                  </w:r>
                </w:p>
              </w:tc>
              <w:tc>
                <w:tcPr>
                  <w:tcW w:w="552" w:type="pct"/>
                  <w:noWrap w:val="0"/>
                  <w:vAlign w:val="center"/>
                </w:tcPr>
                <w:p w14:paraId="7159E07D">
                  <w:pPr>
                    <w:topLinePunct/>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固废间</w:t>
                  </w:r>
                </w:p>
              </w:tc>
              <w:tc>
                <w:tcPr>
                  <w:tcW w:w="1008" w:type="pct"/>
                  <w:noWrap w:val="0"/>
                  <w:vAlign w:val="center"/>
                </w:tcPr>
                <w:p w14:paraId="458F7281">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收集后外售</w:t>
                  </w:r>
                </w:p>
              </w:tc>
            </w:tr>
            <w:tr w14:paraId="3B5C50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1" w:hRule="atLeast"/>
                <w:jc w:val="center"/>
              </w:trPr>
              <w:tc>
                <w:tcPr>
                  <w:tcW w:w="303" w:type="pct"/>
                  <w:noWrap w:val="0"/>
                  <w:vAlign w:val="center"/>
                </w:tcPr>
                <w:p w14:paraId="3044BCD6">
                  <w:pPr>
                    <w:widowControl/>
                    <w:spacing w:line="240" w:lineRule="auto"/>
                    <w:jc w:val="center"/>
                    <w:textAlignment w:val="baseline"/>
                    <w:rPr>
                      <w:rFonts w:hint="default" w:ascii="Times New Roman" w:hAnsi="Times New Roman" w:eastAsia="宋体" w:cs="Times New Roman"/>
                      <w:color w:val="auto"/>
                      <w:spacing w:val="0"/>
                      <w:kern w:val="0"/>
                      <w:sz w:val="21"/>
                      <w:szCs w:val="21"/>
                      <w:highlight w:val="none"/>
                      <w:u w:val="none" w:color="000000"/>
                    </w:rPr>
                  </w:pPr>
                  <w:r>
                    <w:rPr>
                      <w:rFonts w:hint="default" w:ascii="Times New Roman" w:hAnsi="Times New Roman" w:eastAsia="宋体" w:cs="Times New Roman"/>
                      <w:color w:val="auto"/>
                      <w:spacing w:val="0"/>
                      <w:kern w:val="0"/>
                      <w:sz w:val="21"/>
                      <w:szCs w:val="21"/>
                      <w:highlight w:val="none"/>
                      <w:u w:val="none" w:color="000000"/>
                    </w:rPr>
                    <w:t>3</w:t>
                  </w:r>
                </w:p>
              </w:tc>
              <w:tc>
                <w:tcPr>
                  <w:tcW w:w="863" w:type="pct"/>
                  <w:noWrap w:val="0"/>
                  <w:vAlign w:val="center"/>
                </w:tcPr>
                <w:p w14:paraId="32A60B85">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沉淀池底泥</w:t>
                  </w:r>
                </w:p>
              </w:tc>
              <w:tc>
                <w:tcPr>
                  <w:tcW w:w="647" w:type="pct"/>
                  <w:noWrap w:val="0"/>
                  <w:vAlign w:val="center"/>
                </w:tcPr>
                <w:p w14:paraId="118F7A35">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1.2</w:t>
                  </w:r>
                </w:p>
              </w:tc>
              <w:tc>
                <w:tcPr>
                  <w:tcW w:w="863" w:type="pct"/>
                  <w:noWrap w:val="0"/>
                  <w:vAlign w:val="center"/>
                </w:tcPr>
                <w:p w14:paraId="2B60359A">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SW59其他工业固体废物</w:t>
                  </w:r>
                </w:p>
              </w:tc>
              <w:tc>
                <w:tcPr>
                  <w:tcW w:w="761" w:type="pct"/>
                  <w:noWrap w:val="0"/>
                  <w:vAlign w:val="center"/>
                </w:tcPr>
                <w:p w14:paraId="743907C8">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900-099-S59 </w:t>
                  </w:r>
                </w:p>
              </w:tc>
              <w:tc>
                <w:tcPr>
                  <w:tcW w:w="552" w:type="pct"/>
                  <w:noWrap w:val="0"/>
                  <w:vAlign w:val="center"/>
                </w:tcPr>
                <w:p w14:paraId="1509D03D">
                  <w:pPr>
                    <w:topLinePunct/>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固废间</w:t>
                  </w:r>
                </w:p>
              </w:tc>
              <w:tc>
                <w:tcPr>
                  <w:tcW w:w="1008" w:type="pct"/>
                  <w:noWrap w:val="0"/>
                  <w:vAlign w:val="center"/>
                </w:tcPr>
                <w:p w14:paraId="339FF460">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收集后外售</w:t>
                  </w:r>
                </w:p>
              </w:tc>
            </w:tr>
            <w:tr w14:paraId="224ABB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1" w:hRule="atLeast"/>
                <w:jc w:val="center"/>
              </w:trPr>
              <w:tc>
                <w:tcPr>
                  <w:tcW w:w="303" w:type="pct"/>
                  <w:noWrap w:val="0"/>
                  <w:vAlign w:val="center"/>
                </w:tcPr>
                <w:p w14:paraId="59D65778">
                  <w:pPr>
                    <w:widowControl/>
                    <w:spacing w:line="240" w:lineRule="auto"/>
                    <w:jc w:val="center"/>
                    <w:textAlignment w:val="baseline"/>
                    <w:rPr>
                      <w:rFonts w:hint="default" w:ascii="Times New Roman" w:hAnsi="Times New Roman" w:eastAsia="宋体" w:cs="Times New Roman"/>
                      <w:color w:val="auto"/>
                      <w:spacing w:val="0"/>
                      <w:kern w:val="0"/>
                      <w:sz w:val="21"/>
                      <w:szCs w:val="21"/>
                      <w:highlight w:val="none"/>
                      <w:u w:val="none" w:color="000000"/>
                      <w:lang w:val="en-US" w:eastAsia="zh-CN"/>
                    </w:rPr>
                  </w:pPr>
                  <w:r>
                    <w:rPr>
                      <w:rFonts w:hint="default" w:ascii="Times New Roman" w:hAnsi="Times New Roman" w:eastAsia="宋体" w:cs="Times New Roman"/>
                      <w:color w:val="auto"/>
                      <w:spacing w:val="0"/>
                      <w:kern w:val="0"/>
                      <w:sz w:val="21"/>
                      <w:szCs w:val="21"/>
                      <w:highlight w:val="none"/>
                      <w:u w:val="none" w:color="000000"/>
                      <w:lang w:val="en-US" w:eastAsia="zh-CN"/>
                    </w:rPr>
                    <w:t>4</w:t>
                  </w:r>
                </w:p>
              </w:tc>
              <w:tc>
                <w:tcPr>
                  <w:tcW w:w="863" w:type="pct"/>
                  <w:noWrap w:val="0"/>
                  <w:vAlign w:val="center"/>
                </w:tcPr>
                <w:p w14:paraId="0F26588D">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除尘灰</w:t>
                  </w:r>
                </w:p>
              </w:tc>
              <w:tc>
                <w:tcPr>
                  <w:tcW w:w="647" w:type="pct"/>
                  <w:noWrap w:val="0"/>
                  <w:vAlign w:val="center"/>
                </w:tcPr>
                <w:p w14:paraId="0CD3889E">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55.191</w:t>
                  </w:r>
                </w:p>
              </w:tc>
              <w:tc>
                <w:tcPr>
                  <w:tcW w:w="863" w:type="pct"/>
                  <w:shd w:val="clear" w:color="auto" w:fill="auto"/>
                  <w:noWrap w:val="0"/>
                  <w:vAlign w:val="center"/>
                </w:tcPr>
                <w:p w14:paraId="2CB355E0">
                  <w:pPr>
                    <w:widowControl/>
                    <w:adjustRightInd w:val="0"/>
                    <w:snapToGrid w:val="0"/>
                    <w:spacing w:line="240" w:lineRule="auto"/>
                    <w:jc w:val="center"/>
                    <w:rPr>
                      <w:rFonts w:hint="default" w:ascii="Times New Roman" w:hAnsi="Times New Roman" w:eastAsia="宋体" w:cs="Times New Roman"/>
                      <w:color w:val="auto"/>
                      <w:spacing w:val="0"/>
                      <w:kern w:val="0"/>
                      <w:sz w:val="21"/>
                      <w:szCs w:val="21"/>
                      <w:highlight w:val="none"/>
                      <w:u w:val="none" w:color="000000"/>
                      <w:lang w:val="en-US" w:eastAsia="zh-CN" w:bidi="ar-SA"/>
                    </w:rPr>
                  </w:pPr>
                  <w:r>
                    <w:rPr>
                      <w:rFonts w:hint="default" w:ascii="Times New Roman" w:hAnsi="Times New Roman" w:eastAsia="宋体" w:cs="Times New Roman"/>
                      <w:color w:val="auto"/>
                      <w:spacing w:val="0"/>
                      <w:kern w:val="0"/>
                      <w:sz w:val="21"/>
                      <w:szCs w:val="21"/>
                      <w:highlight w:val="none"/>
                      <w:u w:val="none" w:color="000000"/>
                      <w:lang w:val="en-US" w:eastAsia="zh-CN"/>
                    </w:rPr>
                    <w:t>SW17 可再生类废物</w:t>
                  </w:r>
                </w:p>
              </w:tc>
              <w:tc>
                <w:tcPr>
                  <w:tcW w:w="761" w:type="pct"/>
                  <w:shd w:val="clear" w:color="auto" w:fill="auto"/>
                  <w:noWrap w:val="0"/>
                  <w:vAlign w:val="center"/>
                </w:tcPr>
                <w:p w14:paraId="51958B83">
                  <w:pPr>
                    <w:widowControl/>
                    <w:adjustRightInd w:val="0"/>
                    <w:snapToGrid w:val="0"/>
                    <w:spacing w:line="240" w:lineRule="auto"/>
                    <w:jc w:val="both"/>
                    <w:rPr>
                      <w:rFonts w:hint="default" w:ascii="Times New Roman" w:hAnsi="Times New Roman" w:eastAsia="宋体" w:cs="Times New Roman"/>
                      <w:color w:val="auto"/>
                      <w:spacing w:val="0"/>
                      <w:kern w:val="0"/>
                      <w:sz w:val="21"/>
                      <w:szCs w:val="21"/>
                      <w:highlight w:val="none"/>
                      <w:u w:val="none" w:color="000000"/>
                      <w:lang w:val="en-US" w:eastAsia="zh-CN" w:bidi="ar-SA"/>
                    </w:rPr>
                  </w:pPr>
                  <w:r>
                    <w:rPr>
                      <w:rFonts w:hint="default" w:ascii="Times New Roman" w:hAnsi="Times New Roman" w:eastAsia="宋体" w:cs="Times New Roman"/>
                      <w:color w:val="auto"/>
                      <w:spacing w:val="0"/>
                      <w:kern w:val="0"/>
                      <w:sz w:val="21"/>
                      <w:szCs w:val="21"/>
                      <w:highlight w:val="none"/>
                      <w:u w:val="none" w:color="000000"/>
                      <w:lang w:val="en-US" w:eastAsia="zh-CN"/>
                    </w:rPr>
                    <w:t xml:space="preserve">900-001-S17 </w:t>
                  </w:r>
                </w:p>
              </w:tc>
              <w:tc>
                <w:tcPr>
                  <w:tcW w:w="552" w:type="pct"/>
                  <w:shd w:val="clear" w:color="auto" w:fill="auto"/>
                  <w:noWrap w:val="0"/>
                  <w:vAlign w:val="center"/>
                </w:tcPr>
                <w:p w14:paraId="619375AA">
                  <w:pPr>
                    <w:topLinePunct/>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固废间</w:t>
                  </w:r>
                </w:p>
              </w:tc>
              <w:tc>
                <w:tcPr>
                  <w:tcW w:w="1008" w:type="pct"/>
                  <w:shd w:val="clear" w:color="auto" w:fill="auto"/>
                  <w:noWrap w:val="0"/>
                  <w:vAlign w:val="center"/>
                </w:tcPr>
                <w:p w14:paraId="3D3732CC">
                  <w:pPr>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z w:val="24"/>
                      <w:szCs w:val="24"/>
                      <w:highlight w:val="none"/>
                      <w:lang w:val="en-US" w:eastAsia="zh-CN"/>
                    </w:rPr>
                    <w:t>收集后回用于生产</w:t>
                  </w:r>
                </w:p>
              </w:tc>
            </w:tr>
            <w:tr w14:paraId="3B78BE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1" w:hRule="atLeast"/>
                <w:jc w:val="center"/>
              </w:trPr>
              <w:tc>
                <w:tcPr>
                  <w:tcW w:w="303" w:type="pct"/>
                  <w:noWrap w:val="0"/>
                  <w:vAlign w:val="center"/>
                </w:tcPr>
                <w:p w14:paraId="5897D208">
                  <w:pPr>
                    <w:widowControl/>
                    <w:spacing w:line="240" w:lineRule="auto"/>
                    <w:jc w:val="center"/>
                    <w:textAlignment w:val="baseline"/>
                    <w:rPr>
                      <w:rFonts w:hint="default" w:ascii="Times New Roman" w:hAnsi="Times New Roman" w:eastAsia="宋体" w:cs="Times New Roman"/>
                      <w:color w:val="auto"/>
                      <w:spacing w:val="0"/>
                      <w:kern w:val="0"/>
                      <w:sz w:val="21"/>
                      <w:szCs w:val="21"/>
                      <w:highlight w:val="none"/>
                      <w:u w:val="none" w:color="000000"/>
                      <w:lang w:val="en-US" w:eastAsia="zh-CN"/>
                    </w:rPr>
                  </w:pPr>
                  <w:r>
                    <w:rPr>
                      <w:rFonts w:hint="default" w:ascii="Times New Roman" w:hAnsi="Times New Roman" w:cs="Times New Roman"/>
                      <w:color w:val="auto"/>
                      <w:spacing w:val="0"/>
                      <w:kern w:val="0"/>
                      <w:sz w:val="21"/>
                      <w:szCs w:val="21"/>
                      <w:highlight w:val="none"/>
                      <w:u w:val="none" w:color="000000"/>
                      <w:lang w:val="en-US" w:eastAsia="zh-CN"/>
                    </w:rPr>
                    <w:t>5</w:t>
                  </w:r>
                </w:p>
              </w:tc>
              <w:tc>
                <w:tcPr>
                  <w:tcW w:w="863" w:type="pct"/>
                  <w:noWrap w:val="0"/>
                  <w:vAlign w:val="center"/>
                </w:tcPr>
                <w:p w14:paraId="00AD2489">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废布袋</w:t>
                  </w:r>
                </w:p>
              </w:tc>
              <w:tc>
                <w:tcPr>
                  <w:tcW w:w="647" w:type="pct"/>
                  <w:noWrap w:val="0"/>
                  <w:vAlign w:val="center"/>
                </w:tcPr>
                <w:p w14:paraId="00633117">
                  <w:pPr>
                    <w:spacing w:line="240" w:lineRule="auto"/>
                    <w:jc w:val="center"/>
                    <w:rPr>
                      <w:rFonts w:hint="default"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0.2</w:t>
                  </w:r>
                </w:p>
              </w:tc>
              <w:tc>
                <w:tcPr>
                  <w:tcW w:w="863" w:type="pct"/>
                  <w:shd w:val="clear" w:color="auto" w:fill="auto"/>
                  <w:noWrap w:val="0"/>
                  <w:vAlign w:val="center"/>
                </w:tcPr>
                <w:p w14:paraId="7EB43EA9">
                  <w:pPr>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SW59其他工业固体废物</w:t>
                  </w:r>
                </w:p>
              </w:tc>
              <w:tc>
                <w:tcPr>
                  <w:tcW w:w="761" w:type="pct"/>
                  <w:shd w:val="clear" w:color="auto" w:fill="auto"/>
                  <w:noWrap w:val="0"/>
                  <w:vAlign w:val="center"/>
                </w:tcPr>
                <w:p w14:paraId="02BE1CD1">
                  <w:pPr>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 xml:space="preserve">900-099-S59 </w:t>
                  </w:r>
                </w:p>
              </w:tc>
              <w:tc>
                <w:tcPr>
                  <w:tcW w:w="552" w:type="pct"/>
                  <w:shd w:val="clear" w:color="auto" w:fill="auto"/>
                  <w:noWrap w:val="0"/>
                  <w:vAlign w:val="center"/>
                </w:tcPr>
                <w:p w14:paraId="225E2B4F">
                  <w:pPr>
                    <w:topLinePunct/>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固废间</w:t>
                  </w:r>
                </w:p>
              </w:tc>
              <w:tc>
                <w:tcPr>
                  <w:tcW w:w="1008" w:type="pct"/>
                  <w:shd w:val="clear" w:color="auto" w:fill="auto"/>
                  <w:noWrap w:val="0"/>
                  <w:vAlign w:val="center"/>
                </w:tcPr>
                <w:p w14:paraId="22F46703">
                  <w:pPr>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收集后外售</w:t>
                  </w:r>
                </w:p>
              </w:tc>
            </w:tr>
            <w:tr w14:paraId="7F2365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1" w:hRule="atLeast"/>
                <w:jc w:val="center"/>
              </w:trPr>
              <w:tc>
                <w:tcPr>
                  <w:tcW w:w="303" w:type="pct"/>
                  <w:noWrap w:val="0"/>
                  <w:vAlign w:val="center"/>
                </w:tcPr>
                <w:p w14:paraId="0D37703F">
                  <w:pPr>
                    <w:widowControl/>
                    <w:spacing w:line="240" w:lineRule="auto"/>
                    <w:jc w:val="center"/>
                    <w:textAlignment w:val="baseline"/>
                    <w:rPr>
                      <w:rFonts w:hint="default" w:ascii="Times New Roman" w:hAnsi="Times New Roman" w:eastAsia="宋体" w:cs="Times New Roman"/>
                      <w:color w:val="auto"/>
                      <w:spacing w:val="0"/>
                      <w:kern w:val="0"/>
                      <w:sz w:val="21"/>
                      <w:szCs w:val="21"/>
                      <w:highlight w:val="none"/>
                      <w:u w:val="none" w:color="000000"/>
                      <w:lang w:val="en-US" w:eastAsia="zh-CN"/>
                    </w:rPr>
                  </w:pPr>
                  <w:r>
                    <w:rPr>
                      <w:rFonts w:hint="default" w:ascii="Times New Roman" w:hAnsi="Times New Roman" w:cs="Times New Roman"/>
                      <w:color w:val="auto"/>
                      <w:spacing w:val="0"/>
                      <w:kern w:val="0"/>
                      <w:sz w:val="21"/>
                      <w:szCs w:val="21"/>
                      <w:highlight w:val="none"/>
                      <w:u w:val="none" w:color="000000"/>
                      <w:lang w:val="en-US" w:eastAsia="zh-CN"/>
                    </w:rPr>
                    <w:t>6</w:t>
                  </w:r>
                </w:p>
              </w:tc>
              <w:tc>
                <w:tcPr>
                  <w:tcW w:w="863" w:type="pct"/>
                  <w:noWrap w:val="0"/>
                  <w:vAlign w:val="center"/>
                </w:tcPr>
                <w:p w14:paraId="07712477">
                  <w:pPr>
                    <w:spacing w:line="240" w:lineRule="auto"/>
                    <w:jc w:val="center"/>
                    <w:rPr>
                      <w:rFonts w:hint="default" w:ascii="Times New Roman" w:hAnsi="Times New Roman" w:eastAsia="宋体" w:cs="Times New Roman"/>
                      <w:color w:val="auto"/>
                      <w:spacing w:val="0"/>
                      <w:sz w:val="21"/>
                      <w:szCs w:val="20"/>
                      <w:highlight w:val="none"/>
                      <w:lang w:val="en-US" w:eastAsia="zh-CN"/>
                    </w:rPr>
                  </w:pPr>
                  <w:r>
                    <w:rPr>
                      <w:rFonts w:hint="default" w:ascii="Times New Roman" w:hAnsi="Times New Roman" w:eastAsia="宋体" w:cs="Times New Roman"/>
                      <w:color w:val="auto"/>
                      <w:spacing w:val="0"/>
                      <w:sz w:val="21"/>
                      <w:szCs w:val="20"/>
                      <w:highlight w:val="none"/>
                      <w:lang w:val="en-US" w:eastAsia="zh-CN"/>
                    </w:rPr>
                    <w:t>生活垃圾</w:t>
                  </w:r>
                </w:p>
              </w:tc>
              <w:tc>
                <w:tcPr>
                  <w:tcW w:w="647" w:type="pct"/>
                  <w:noWrap w:val="0"/>
                  <w:vAlign w:val="center"/>
                </w:tcPr>
                <w:p w14:paraId="17601619">
                  <w:pPr>
                    <w:spacing w:line="240" w:lineRule="auto"/>
                    <w:jc w:val="center"/>
                    <w:rPr>
                      <w:rFonts w:hint="default" w:ascii="Times New Roman" w:hAnsi="Times New Roman" w:eastAsia="宋体" w:cs="Times New Roman"/>
                      <w:color w:val="auto"/>
                      <w:spacing w:val="0"/>
                      <w:sz w:val="21"/>
                      <w:szCs w:val="20"/>
                      <w:highlight w:val="none"/>
                      <w:lang w:val="en-US" w:eastAsia="zh-CN"/>
                    </w:rPr>
                  </w:pPr>
                  <w:r>
                    <w:rPr>
                      <w:rFonts w:hint="default" w:ascii="Times New Roman" w:hAnsi="Times New Roman" w:cs="Times New Roman"/>
                      <w:color w:val="auto"/>
                      <w:spacing w:val="0"/>
                      <w:sz w:val="21"/>
                      <w:szCs w:val="20"/>
                      <w:highlight w:val="none"/>
                      <w:lang w:val="en-US" w:eastAsia="zh-CN"/>
                    </w:rPr>
                    <w:t>3.0</w:t>
                  </w:r>
                </w:p>
              </w:tc>
              <w:tc>
                <w:tcPr>
                  <w:tcW w:w="863" w:type="pct"/>
                  <w:noWrap w:val="0"/>
                  <w:vAlign w:val="center"/>
                </w:tcPr>
                <w:p w14:paraId="07E23BFF">
                  <w:pPr>
                    <w:topLinePunct/>
                    <w:spacing w:line="240" w:lineRule="auto"/>
                    <w:jc w:val="center"/>
                    <w:rPr>
                      <w:rFonts w:hint="default" w:ascii="Times New Roman" w:hAnsi="Times New Roman" w:eastAsia="宋体" w:cs="Times New Roman"/>
                      <w:color w:val="auto"/>
                      <w:spacing w:val="0"/>
                      <w:sz w:val="21"/>
                      <w:szCs w:val="20"/>
                      <w:highlight w:val="none"/>
                      <w:lang w:val="zh-CN"/>
                    </w:rPr>
                  </w:pPr>
                  <w:r>
                    <w:rPr>
                      <w:rFonts w:hint="default" w:ascii="Times New Roman" w:hAnsi="Times New Roman" w:eastAsia="宋体" w:cs="Times New Roman"/>
                      <w:color w:val="auto"/>
                      <w:spacing w:val="0"/>
                      <w:sz w:val="21"/>
                      <w:szCs w:val="20"/>
                      <w:highlight w:val="none"/>
                      <w:lang w:val="zh-CN" w:eastAsia="zh-CN"/>
                    </w:rPr>
                    <w:t>S64其他垃圾</w:t>
                  </w:r>
                </w:p>
              </w:tc>
              <w:tc>
                <w:tcPr>
                  <w:tcW w:w="761" w:type="pct"/>
                  <w:noWrap w:val="0"/>
                  <w:vAlign w:val="center"/>
                </w:tcPr>
                <w:p w14:paraId="5819885D">
                  <w:pPr>
                    <w:topLinePunct/>
                    <w:spacing w:line="240" w:lineRule="auto"/>
                    <w:jc w:val="center"/>
                    <w:rPr>
                      <w:rFonts w:hint="default" w:ascii="Times New Roman" w:hAnsi="Times New Roman" w:eastAsia="宋体" w:cs="Times New Roman"/>
                      <w:color w:val="auto"/>
                      <w:spacing w:val="0"/>
                      <w:sz w:val="21"/>
                      <w:szCs w:val="20"/>
                      <w:highlight w:val="none"/>
                      <w:lang w:val="zh-CN"/>
                    </w:rPr>
                  </w:pPr>
                  <w:r>
                    <w:rPr>
                      <w:rFonts w:hint="default" w:ascii="Times New Roman" w:hAnsi="Times New Roman" w:eastAsia="宋体" w:cs="Times New Roman"/>
                      <w:color w:val="auto"/>
                      <w:spacing w:val="0"/>
                      <w:sz w:val="21"/>
                      <w:szCs w:val="20"/>
                      <w:highlight w:val="none"/>
                      <w:lang w:val="zh-CN" w:eastAsia="zh-CN"/>
                    </w:rPr>
                    <w:t xml:space="preserve">900-099-S64 </w:t>
                  </w:r>
                </w:p>
              </w:tc>
              <w:tc>
                <w:tcPr>
                  <w:tcW w:w="552" w:type="pct"/>
                  <w:noWrap w:val="0"/>
                  <w:vAlign w:val="center"/>
                </w:tcPr>
                <w:p w14:paraId="01614CAC">
                  <w:pPr>
                    <w:spacing w:line="240" w:lineRule="auto"/>
                    <w:jc w:val="center"/>
                    <w:rPr>
                      <w:rFonts w:hint="default" w:ascii="Times New Roman" w:hAnsi="Times New Roman" w:eastAsia="宋体" w:cs="Times New Roman"/>
                      <w:color w:val="auto"/>
                      <w:spacing w:val="0"/>
                      <w:sz w:val="21"/>
                      <w:szCs w:val="20"/>
                      <w:highlight w:val="none"/>
                      <w:lang w:val="zh-CN"/>
                    </w:rPr>
                  </w:pPr>
                  <w:r>
                    <w:rPr>
                      <w:rFonts w:hint="default" w:ascii="Times New Roman" w:hAnsi="Times New Roman" w:eastAsia="宋体" w:cs="Times New Roman"/>
                      <w:color w:val="auto"/>
                      <w:spacing w:val="0"/>
                      <w:sz w:val="21"/>
                      <w:szCs w:val="21"/>
                      <w:highlight w:val="none"/>
                      <w:lang w:val="en-US" w:eastAsia="zh-CN"/>
                    </w:rPr>
                    <w:t>垃圾桶</w:t>
                  </w:r>
                </w:p>
              </w:tc>
              <w:tc>
                <w:tcPr>
                  <w:tcW w:w="1008" w:type="pct"/>
                  <w:noWrap w:val="0"/>
                  <w:vAlign w:val="center"/>
                </w:tcPr>
                <w:p w14:paraId="1E7E297A">
                  <w:pPr>
                    <w:topLinePunct/>
                    <w:spacing w:line="240" w:lineRule="auto"/>
                    <w:jc w:val="center"/>
                    <w:rPr>
                      <w:rFonts w:hint="default" w:ascii="Times New Roman" w:hAnsi="Times New Roman" w:eastAsia="宋体" w:cs="Times New Roman"/>
                      <w:color w:val="auto"/>
                      <w:spacing w:val="0"/>
                      <w:sz w:val="21"/>
                      <w:szCs w:val="23"/>
                      <w:highlight w:val="none"/>
                    </w:rPr>
                  </w:pPr>
                  <w:r>
                    <w:rPr>
                      <w:rFonts w:hint="default" w:ascii="Times New Roman" w:hAnsi="Times New Roman" w:eastAsia="宋体" w:cs="Times New Roman"/>
                      <w:color w:val="auto"/>
                      <w:spacing w:val="0"/>
                      <w:sz w:val="21"/>
                      <w:szCs w:val="23"/>
                      <w:highlight w:val="none"/>
                    </w:rPr>
                    <w:t>交由环卫部门统一收集处理</w:t>
                  </w:r>
                </w:p>
              </w:tc>
            </w:tr>
          </w:tbl>
          <w:p w14:paraId="4BBBA87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本项目在库内设置一般固体废物处置间，位于生产车间内（5m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一般工业固体废物贮存或处置，应符合《一般工业固体废物贮存和处置场污染控制标准》（GB18599-2020）的要求。一般工业固体废物的贮存设施、场所必须采取防扬散、防流失、防渗漏或者其他防止污染环境的措施，必须符合国家环境保护标准，并对未处理的固体废物做出妥善处理，安全存放。对暂时不利用或者不能回收利用的一般工业固体废物，必须配套建设防雨淋、防渗漏、易识别等符合环境保护标准和管理要求的贮存设施或场所，以及足够的流转空间，按国家环境保护的技术和管理要求，有专人看管，建立便于核查的进、出物料的台账记录和固体废物明细表。</w:t>
            </w:r>
          </w:p>
          <w:p w14:paraId="3DFCBA92">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综上可知，本项目产生的固体废物均能够得到妥善处理，不会对周围环境产生明显影响。</w:t>
            </w:r>
          </w:p>
          <w:p w14:paraId="3900B0A6">
            <w:pPr>
              <w:pStyle w:val="124"/>
              <w:ind w:firstLine="482"/>
              <w:rPr>
                <w:rFonts w:hint="default" w:ascii="Times New Roman" w:hAnsi="Times New Roman" w:eastAsia="宋体" w:cs="Times New Roman"/>
                <w:b/>
                <w:color w:val="auto"/>
                <w:szCs w:val="24"/>
                <w:highlight w:val="none"/>
                <w:lang w:val="en-US" w:eastAsia="zh-CN"/>
              </w:rPr>
            </w:pPr>
            <w:r>
              <w:rPr>
                <w:rFonts w:hint="default" w:ascii="Times New Roman" w:hAnsi="Times New Roman" w:eastAsia="宋体" w:cs="Times New Roman"/>
                <w:b/>
                <w:color w:val="auto"/>
                <w:szCs w:val="24"/>
                <w:highlight w:val="none"/>
                <w:lang w:val="en-US" w:eastAsia="zh-CN"/>
              </w:rPr>
              <w:t>5、土壤、地下水环境影响分析</w:t>
            </w:r>
          </w:p>
          <w:p w14:paraId="1D48F5FE">
            <w:pPr>
              <w:pStyle w:val="124"/>
              <w:ind w:firstLine="482"/>
              <w:rPr>
                <w:rFonts w:hint="default" w:ascii="Times New Roman" w:hAnsi="Times New Roman" w:eastAsia="宋体" w:cs="Times New Roman"/>
                <w:b/>
                <w:color w:val="auto"/>
                <w:szCs w:val="24"/>
                <w:highlight w:val="none"/>
              </w:rPr>
            </w:pPr>
            <w:r>
              <w:rPr>
                <w:rFonts w:hint="default" w:ascii="Times New Roman" w:hAnsi="Times New Roman" w:eastAsia="宋体" w:cs="Times New Roman"/>
                <w:b/>
                <w:color w:val="auto"/>
                <w:szCs w:val="24"/>
                <w:highlight w:val="none"/>
              </w:rPr>
              <w:t xml:space="preserve">（1）污染源、污染物类型与污染途径分析 </w:t>
            </w:r>
          </w:p>
          <w:p w14:paraId="6E11224B">
            <w:pPr>
              <w:spacing w:line="360" w:lineRule="auto"/>
              <w:ind w:firstLine="480" w:firstLineChars="20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本项目废气污染物主要为颗粒物，不存在大气沉降对土壤环境的影响；</w:t>
            </w:r>
            <w:r>
              <w:rPr>
                <w:rFonts w:hint="default" w:ascii="Times New Roman" w:hAnsi="Times New Roman" w:eastAsia="宋体" w:cs="Times New Roman"/>
                <w:color w:val="auto"/>
                <w:sz w:val="24"/>
                <w:szCs w:val="24"/>
                <w:highlight w:val="none"/>
                <w:lang w:eastAsia="zh-CN"/>
              </w:rPr>
              <w:t>车辆清洗</w:t>
            </w:r>
            <w:r>
              <w:rPr>
                <w:rFonts w:hint="default" w:ascii="Times New Roman" w:hAnsi="Times New Roman" w:eastAsia="宋体" w:cs="Times New Roman"/>
                <w:color w:val="auto"/>
                <w:sz w:val="24"/>
                <w:szCs w:val="24"/>
                <w:highlight w:val="none"/>
              </w:rPr>
              <w:t>水</w:t>
            </w:r>
            <w:r>
              <w:rPr>
                <w:rFonts w:hint="default" w:ascii="Times New Roman" w:hAnsi="Times New Roman" w:cs="Times New Roman"/>
                <w:color w:val="auto"/>
                <w:sz w:val="24"/>
                <w:szCs w:val="24"/>
                <w:highlight w:val="none"/>
                <w:lang w:eastAsia="zh-CN"/>
              </w:rPr>
              <w:t>、模具清洗水均</w:t>
            </w:r>
            <w:r>
              <w:rPr>
                <w:rFonts w:hint="default" w:ascii="Times New Roman" w:hAnsi="Times New Roman" w:eastAsia="宋体" w:cs="Times New Roman"/>
                <w:color w:val="auto"/>
                <w:sz w:val="24"/>
                <w:szCs w:val="24"/>
                <w:highlight w:val="none"/>
              </w:rPr>
              <w:t>经</w:t>
            </w:r>
            <w:r>
              <w:rPr>
                <w:rFonts w:hint="default" w:ascii="Times New Roman" w:hAnsi="Times New Roman" w:eastAsia="宋体" w:cs="Times New Roman"/>
                <w:color w:val="auto"/>
                <w:sz w:val="24"/>
                <w:szCs w:val="24"/>
                <w:highlight w:val="none"/>
                <w:lang w:eastAsia="zh-CN"/>
              </w:rPr>
              <w:t>沉淀池</w:t>
            </w:r>
            <w:r>
              <w:rPr>
                <w:rFonts w:hint="default" w:ascii="Times New Roman" w:hAnsi="Times New Roman" w:eastAsia="宋体" w:cs="Times New Roman"/>
                <w:color w:val="auto"/>
                <w:sz w:val="24"/>
                <w:szCs w:val="24"/>
                <w:highlight w:val="none"/>
              </w:rPr>
              <w:t>沉淀后循环使用不外排，定期补充新鲜水；</w:t>
            </w:r>
            <w:r>
              <w:rPr>
                <w:rFonts w:hint="default" w:ascii="Times New Roman" w:hAnsi="Times New Roman" w:eastAsia="宋体" w:cs="Times New Roman"/>
                <w:color w:val="auto"/>
                <w:kern w:val="2"/>
                <w:sz w:val="24"/>
                <w:szCs w:val="24"/>
                <w:highlight w:val="none"/>
                <w:lang w:val="en-US" w:eastAsia="zh-CN" w:bidi="zh-CN"/>
              </w:rPr>
              <w:t>生活污水水量较小，水质简单，厂区设</w:t>
            </w:r>
            <w:r>
              <w:rPr>
                <w:rFonts w:hint="default" w:ascii="Times New Roman" w:hAnsi="Times New Roman" w:cs="Times New Roman"/>
                <w:color w:val="auto"/>
                <w:kern w:val="2"/>
                <w:sz w:val="24"/>
                <w:szCs w:val="24"/>
                <w:highlight w:val="none"/>
                <w:lang w:val="en-US" w:eastAsia="zh-CN" w:bidi="zh-CN"/>
              </w:rPr>
              <w:t>化粪池</w:t>
            </w:r>
            <w:r>
              <w:rPr>
                <w:rFonts w:hint="default" w:ascii="Times New Roman" w:hAnsi="Times New Roman" w:eastAsia="宋体" w:cs="Times New Roman"/>
                <w:color w:val="auto"/>
                <w:kern w:val="2"/>
                <w:sz w:val="24"/>
                <w:szCs w:val="24"/>
                <w:highlight w:val="none"/>
                <w:lang w:val="en-US" w:eastAsia="zh-CN" w:bidi="zh-CN"/>
              </w:rPr>
              <w:t>，定期清掏用作农肥。</w:t>
            </w:r>
            <w:r>
              <w:rPr>
                <w:rFonts w:hint="default" w:ascii="Times New Roman" w:hAnsi="Times New Roman" w:cs="Times New Roman"/>
                <w:color w:val="auto"/>
                <w:kern w:val="2"/>
                <w:sz w:val="24"/>
                <w:szCs w:val="24"/>
                <w:highlight w:val="none"/>
                <w:lang w:val="en-US" w:eastAsia="zh-CN" w:bidi="zh-CN"/>
              </w:rPr>
              <w:t>生产车间</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一般固废间、洗车区、</w:t>
            </w:r>
            <w:r>
              <w:rPr>
                <w:rFonts w:hint="default" w:ascii="Times New Roman" w:hAnsi="Times New Roman" w:eastAsia="宋体" w:cs="Times New Roman"/>
                <w:color w:val="auto"/>
                <w:sz w:val="24"/>
                <w:szCs w:val="24"/>
                <w:highlight w:val="none"/>
                <w:lang w:eastAsia="zh-CN"/>
              </w:rPr>
              <w:t>沉淀池、办公室、厂区道路均采取防渗措施</w:t>
            </w:r>
            <w:r>
              <w:rPr>
                <w:rFonts w:hint="default" w:ascii="Times New Roman" w:hAnsi="Times New Roman" w:eastAsia="宋体" w:cs="Times New Roman"/>
                <w:color w:val="auto"/>
                <w:kern w:val="0"/>
                <w:sz w:val="24"/>
                <w:szCs w:val="24"/>
                <w:highlight w:val="none"/>
              </w:rPr>
              <w:t>，不存在污染物垂直下渗至土壤环境。本项目不取用地下水，不会因区域地下水位下降造成土壤盐化，不会造成土壤酸化、碱化、盐化。</w:t>
            </w:r>
          </w:p>
          <w:p w14:paraId="11DF93F7">
            <w:pPr>
              <w:pStyle w:val="124"/>
              <w:ind w:firstLine="482"/>
              <w:rPr>
                <w:rFonts w:hint="default" w:ascii="Times New Roman" w:hAnsi="Times New Roman" w:eastAsia="宋体" w:cs="Times New Roman"/>
                <w:b/>
                <w:color w:val="auto"/>
                <w:szCs w:val="24"/>
                <w:highlight w:val="none"/>
              </w:rPr>
            </w:pPr>
            <w:r>
              <w:rPr>
                <w:rFonts w:hint="default" w:ascii="Times New Roman" w:hAnsi="Times New Roman" w:eastAsia="宋体" w:cs="Times New Roman"/>
                <w:b/>
                <w:color w:val="auto"/>
                <w:szCs w:val="24"/>
                <w:highlight w:val="none"/>
              </w:rPr>
              <w:t xml:space="preserve">（2）分区防渗 </w:t>
            </w:r>
          </w:p>
          <w:p w14:paraId="6CFE79F2">
            <w:pPr>
              <w:spacing w:line="360" w:lineRule="auto"/>
              <w:ind w:firstLine="480" w:firstLineChars="200"/>
              <w:rPr>
                <w:rFonts w:hint="default" w:ascii="Times New Roman" w:hAnsi="Times New Roman" w:eastAsia="宋体" w:cs="Times New Roman"/>
                <w:color w:val="auto"/>
                <w:kern w:val="0"/>
                <w:sz w:val="24"/>
                <w:szCs w:val="21"/>
                <w:highlight w:val="none"/>
              </w:rPr>
            </w:pPr>
            <w:r>
              <w:rPr>
                <w:rFonts w:hint="default" w:ascii="Times New Roman" w:hAnsi="Times New Roman" w:eastAsia="宋体" w:cs="Times New Roman"/>
                <w:color w:val="auto"/>
                <w:kern w:val="0"/>
                <w:sz w:val="24"/>
                <w:szCs w:val="21"/>
                <w:highlight w:val="none"/>
              </w:rPr>
              <w:t>为了避免污染地下水和土壤，本项目提出的分区防渗措施见下表。</w:t>
            </w:r>
          </w:p>
          <w:p w14:paraId="0B610DFF">
            <w:pPr>
              <w:spacing w:line="360" w:lineRule="auto"/>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 xml:space="preserve">表 </w:t>
            </w:r>
            <w:r>
              <w:rPr>
                <w:rFonts w:hint="default" w:ascii="Times New Roman" w:hAnsi="Times New Roman" w:eastAsia="宋体" w:cs="Times New Roman"/>
                <w:b/>
                <w:bCs/>
                <w:color w:val="auto"/>
                <w:sz w:val="24"/>
                <w:szCs w:val="24"/>
                <w:highlight w:val="none"/>
                <w:lang w:val="en-US" w:eastAsia="zh-CN"/>
              </w:rPr>
              <w:t>4-1</w:t>
            </w:r>
            <w:r>
              <w:rPr>
                <w:rFonts w:hint="default" w:ascii="Times New Roman" w:hAnsi="Times New Roman"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rPr>
              <w:t xml:space="preserve">   分区防渗一览表</w:t>
            </w:r>
          </w:p>
          <w:tbl>
            <w:tblPr>
              <w:tblStyle w:val="41"/>
              <w:tblW w:w="8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5"/>
              <w:gridCol w:w="1555"/>
              <w:gridCol w:w="5210"/>
            </w:tblGrid>
            <w:tr w14:paraId="1FD0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9" w:type="pct"/>
                  <w:vAlign w:val="center"/>
                </w:tcPr>
                <w:p w14:paraId="45B3BC7F">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防渗分区</w:t>
                  </w:r>
                </w:p>
              </w:tc>
              <w:tc>
                <w:tcPr>
                  <w:tcW w:w="961" w:type="pct"/>
                  <w:vAlign w:val="center"/>
                </w:tcPr>
                <w:p w14:paraId="30EDEA77">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场所</w:t>
                  </w:r>
                </w:p>
              </w:tc>
              <w:tc>
                <w:tcPr>
                  <w:tcW w:w="3219" w:type="pct"/>
                  <w:vAlign w:val="center"/>
                </w:tcPr>
                <w:p w14:paraId="23DB628F">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防渗</w:t>
                  </w:r>
                  <w:r>
                    <w:rPr>
                      <w:rFonts w:hint="default" w:ascii="Times New Roman" w:hAnsi="Times New Roman" w:eastAsia="宋体" w:cs="Times New Roman"/>
                      <w:bCs/>
                      <w:color w:val="auto"/>
                      <w:sz w:val="21"/>
                      <w:szCs w:val="21"/>
                      <w:highlight w:val="none"/>
                      <w:lang w:eastAsia="zh-CN"/>
                    </w:rPr>
                    <w:t>技术要求</w:t>
                  </w:r>
                </w:p>
              </w:tc>
            </w:tr>
            <w:tr w14:paraId="3239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pct"/>
                  <w:vMerge w:val="restart"/>
                  <w:vAlign w:val="center"/>
                </w:tcPr>
                <w:p w14:paraId="2597C8A8">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一般防渗区</w:t>
                  </w:r>
                </w:p>
              </w:tc>
              <w:tc>
                <w:tcPr>
                  <w:tcW w:w="961" w:type="pct"/>
                  <w:vAlign w:val="center"/>
                </w:tcPr>
                <w:p w14:paraId="5FEAED20">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highlight w:val="none"/>
                      <w:lang w:eastAsia="zh-CN"/>
                    </w:rPr>
                    <w:t>生产车间、一般固废间、洗车区</w:t>
                  </w:r>
                </w:p>
              </w:tc>
              <w:tc>
                <w:tcPr>
                  <w:tcW w:w="3219" w:type="pct"/>
                  <w:vAlign w:val="center"/>
                </w:tcPr>
                <w:p w14:paraId="21FBCF38">
                  <w:pPr>
                    <w:pStyle w:val="39"/>
                    <w:spacing w:after="0" w:line="0" w:lineRule="atLeast"/>
                    <w:ind w:left="0" w:leftChars="0" w:firstLine="0" w:firstLineChars="0"/>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rPr>
                    <w:t>地面底部采用三合土铺底，上层铺15</w:t>
                  </w:r>
                  <w:r>
                    <w:rPr>
                      <w:rFonts w:hint="default" w:ascii="Times New Roman" w:hAnsi="Times New Roman" w:eastAsia="宋体" w:cs="Times New Roman"/>
                      <w:color w:val="auto"/>
                      <w:sz w:val="21"/>
                      <w:szCs w:val="21"/>
                      <w:highlight w:val="none"/>
                    </w:rPr>
                    <w:t>～20</w:t>
                  </w:r>
                  <w:r>
                    <w:rPr>
                      <w:rFonts w:hint="default" w:ascii="Times New Roman" w:hAnsi="Times New Roman" w:eastAsia="宋体" w:cs="Times New Roman"/>
                      <w:bCs/>
                      <w:color w:val="auto"/>
                      <w:sz w:val="21"/>
                      <w:szCs w:val="21"/>
                      <w:highlight w:val="none"/>
                    </w:rPr>
                    <w:t>cm的水泥进行硬化，渗透系数≤10</w:t>
                  </w:r>
                  <w:r>
                    <w:rPr>
                      <w:rFonts w:hint="default" w:ascii="Times New Roman" w:hAnsi="Times New Roman" w:eastAsia="宋体" w:cs="Times New Roman"/>
                      <w:bCs/>
                      <w:color w:val="auto"/>
                      <w:sz w:val="21"/>
                      <w:szCs w:val="21"/>
                      <w:highlight w:val="none"/>
                      <w:vertAlign w:val="superscript"/>
                    </w:rPr>
                    <w:t xml:space="preserve">-7 </w:t>
                  </w:r>
                  <w:r>
                    <w:rPr>
                      <w:rFonts w:hint="default" w:ascii="Times New Roman" w:hAnsi="Times New Roman" w:eastAsia="宋体" w:cs="Times New Roman"/>
                      <w:bCs/>
                      <w:color w:val="auto"/>
                      <w:sz w:val="21"/>
                      <w:szCs w:val="21"/>
                      <w:highlight w:val="none"/>
                    </w:rPr>
                    <w:t>cm/s</w:t>
                  </w: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 w:val="0"/>
                      <w:bCs w:val="0"/>
                      <w:color w:val="auto"/>
                      <w:kern w:val="2"/>
                      <w:sz w:val="21"/>
                      <w:szCs w:val="21"/>
                      <w:highlight w:val="none"/>
                      <w:lang w:val="en-US" w:eastAsia="zh-CN" w:bidi="ar-SA"/>
                    </w:rPr>
                    <w:t>防渗性能应与1.5m厚粘土层等效。</w:t>
                  </w:r>
                </w:p>
              </w:tc>
            </w:tr>
            <w:tr w14:paraId="6608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819" w:type="pct"/>
                  <w:vMerge w:val="continue"/>
                  <w:vAlign w:val="center"/>
                </w:tcPr>
                <w:p w14:paraId="736AEC3C">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rPr>
                  </w:pPr>
                </w:p>
              </w:tc>
              <w:tc>
                <w:tcPr>
                  <w:tcW w:w="961" w:type="pct"/>
                  <w:vAlign w:val="center"/>
                </w:tcPr>
                <w:p w14:paraId="5BA564A8">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沉淀池</w:t>
                  </w:r>
                </w:p>
              </w:tc>
              <w:tc>
                <w:tcPr>
                  <w:tcW w:w="3219" w:type="pct"/>
                  <w:vAlign w:val="center"/>
                </w:tcPr>
                <w:p w14:paraId="500E2C29">
                  <w:pPr>
                    <w:pStyle w:val="39"/>
                    <w:spacing w:after="0" w:line="0" w:lineRule="atLeast"/>
                    <w:ind w:left="0" w:leftChars="0" w:firstLine="0" w:firstLineChars="0"/>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 w:val="0"/>
                      <w:bCs w:val="0"/>
                      <w:color w:val="auto"/>
                      <w:kern w:val="2"/>
                      <w:sz w:val="21"/>
                      <w:szCs w:val="21"/>
                      <w:highlight w:val="none"/>
                      <w:lang w:val="en-US" w:eastAsia="zh-CN" w:bidi="ar-SA"/>
                    </w:rPr>
                    <w:t>底部用三合土铺底，上层用15~20cm的水泥混凝土浇底。四周壁用砖砌再用抗渗混凝土浇筑，混凝土的抗渗等级不应低于P8，防渗性能应与1.5m厚粘土层等效。</w:t>
                  </w:r>
                </w:p>
              </w:tc>
            </w:tr>
            <w:tr w14:paraId="36E5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9" w:type="pct"/>
                  <w:vAlign w:val="center"/>
                </w:tcPr>
                <w:p w14:paraId="53B58565">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简单防渗区</w:t>
                  </w:r>
                </w:p>
              </w:tc>
              <w:tc>
                <w:tcPr>
                  <w:tcW w:w="961" w:type="pct"/>
                  <w:vAlign w:val="center"/>
                </w:tcPr>
                <w:p w14:paraId="4684D7E9">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办公室、厂区道路</w:t>
                  </w:r>
                </w:p>
              </w:tc>
              <w:tc>
                <w:tcPr>
                  <w:tcW w:w="3219" w:type="pct"/>
                  <w:vAlign w:val="center"/>
                </w:tcPr>
                <w:p w14:paraId="5C3D04B6">
                  <w:pPr>
                    <w:pStyle w:val="39"/>
                    <w:spacing w:after="0" w:line="0" w:lineRule="atLeast"/>
                    <w:ind w:left="0" w:leftChars="0" w:firstLine="0" w:firstLineChars="0"/>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10-15cm水泥硬化处理</w:t>
                  </w:r>
                  <w:r>
                    <w:rPr>
                      <w:rFonts w:hint="default" w:ascii="Times New Roman" w:hAnsi="Times New Roman" w:eastAsia="宋体" w:cs="Times New Roman"/>
                      <w:color w:val="auto"/>
                      <w:sz w:val="21"/>
                      <w:szCs w:val="21"/>
                      <w:highlight w:val="none"/>
                    </w:rPr>
                    <w:t>。</w:t>
                  </w:r>
                </w:p>
              </w:tc>
            </w:tr>
          </w:tbl>
          <w:p w14:paraId="35915F48">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zh-CN"/>
              </w:rPr>
              <w:t>综上，厂区内设施按要求进行防渗处理，因此在防渗层完好的状态下，企业在加强管理，强化防渗措施的前提下，污染物渗入地下的量极小，对区域地下水和土壤环境造成影响的可能性较小，污染物渗入地下的量极其轻微，不会对评价区地下水和土壤产生明显影响。</w:t>
            </w:r>
          </w:p>
          <w:p w14:paraId="5AF22490">
            <w:pPr>
              <w:spacing w:line="360" w:lineRule="auto"/>
              <w:ind w:firstLine="482" w:firstLineChars="200"/>
              <w:rPr>
                <w:rFonts w:hint="default" w:ascii="Times New Roman" w:hAnsi="Times New Roman" w:eastAsia="宋体" w:cs="Times New Roman"/>
                <w:b/>
                <w:bCs/>
                <w:color w:val="auto"/>
                <w:kern w:val="2"/>
                <w:sz w:val="24"/>
                <w:szCs w:val="24"/>
                <w:highlight w:val="none"/>
                <w:lang w:val="en-US" w:eastAsia="zh-CN" w:bidi="zh-CN"/>
              </w:rPr>
            </w:pPr>
            <w:r>
              <w:rPr>
                <w:rFonts w:hint="default" w:ascii="Times New Roman" w:hAnsi="Times New Roman" w:eastAsia="宋体" w:cs="Times New Roman"/>
                <w:b/>
                <w:bCs/>
                <w:color w:val="auto"/>
                <w:kern w:val="2"/>
                <w:sz w:val="24"/>
                <w:szCs w:val="24"/>
                <w:highlight w:val="none"/>
                <w:lang w:val="en-US" w:eastAsia="zh-CN" w:bidi="zh-CN"/>
              </w:rPr>
              <w:t xml:space="preserve">6、生态环境 </w:t>
            </w:r>
          </w:p>
          <w:p w14:paraId="056DB928">
            <w:pPr>
              <w:spacing w:line="360" w:lineRule="auto"/>
              <w:ind w:firstLine="480" w:firstLineChars="200"/>
              <w:rPr>
                <w:rFonts w:hint="default" w:ascii="Times New Roman" w:hAnsi="Times New Roman" w:eastAsia="宋体" w:cs="Times New Roman"/>
                <w:color w:val="auto"/>
                <w:kern w:val="2"/>
                <w:sz w:val="24"/>
                <w:szCs w:val="24"/>
                <w:highlight w:val="none"/>
                <w:lang w:val="en-US" w:eastAsia="zh-CN" w:bidi="zh-CN"/>
              </w:rPr>
            </w:pPr>
            <w:r>
              <w:rPr>
                <w:rFonts w:hint="default" w:ascii="Times New Roman" w:hAnsi="Times New Roman" w:eastAsia="宋体" w:cs="Times New Roman"/>
                <w:color w:val="auto"/>
                <w:kern w:val="2"/>
                <w:sz w:val="24"/>
                <w:szCs w:val="24"/>
                <w:highlight w:val="none"/>
                <w:lang w:val="en-US" w:eastAsia="zh-CN" w:bidi="zh-CN"/>
              </w:rPr>
              <w:t>本项目位于河北省石家庄市井陉矿区丰达产业园东区7号，属于河北石家庄矿区工业园区东区范围，项目占地为规划的工业用地，所在地无珍稀物种以及自然保护区等环境敏感区，不会影响生物多样性。综上可知，本项目不会对区域的生态环境造成明显影响。</w:t>
            </w:r>
          </w:p>
          <w:p w14:paraId="15DAB1A4">
            <w:pPr>
              <w:spacing w:line="360" w:lineRule="auto"/>
              <w:ind w:firstLine="482" w:firstLineChars="200"/>
              <w:rPr>
                <w:rFonts w:hint="default" w:ascii="Times New Roman" w:hAnsi="Times New Roman" w:eastAsia="宋体" w:cs="Times New Roman"/>
                <w:b/>
                <w:bCs/>
                <w:color w:val="auto"/>
                <w:kern w:val="2"/>
                <w:sz w:val="24"/>
                <w:szCs w:val="24"/>
                <w:highlight w:val="none"/>
                <w:lang w:val="en-US" w:eastAsia="zh-CN" w:bidi="zh-CN"/>
              </w:rPr>
            </w:pPr>
            <w:r>
              <w:rPr>
                <w:rFonts w:hint="default" w:ascii="Times New Roman" w:hAnsi="Times New Roman" w:eastAsia="宋体" w:cs="Times New Roman"/>
                <w:b/>
                <w:bCs/>
                <w:color w:val="auto"/>
                <w:kern w:val="2"/>
                <w:sz w:val="24"/>
                <w:szCs w:val="24"/>
                <w:highlight w:val="none"/>
                <w:lang w:val="en-US" w:eastAsia="zh-CN" w:bidi="zh-CN"/>
              </w:rPr>
              <w:t>7、环境风险</w:t>
            </w:r>
          </w:p>
          <w:p w14:paraId="30A8D115">
            <w:pPr>
              <w:spacing w:line="360" w:lineRule="auto"/>
              <w:ind w:firstLine="480" w:firstLineChars="200"/>
              <w:rPr>
                <w:rFonts w:hint="default" w:ascii="Times New Roman" w:hAnsi="Times New Roman" w:eastAsia="宋体" w:cs="Times New Roman"/>
                <w:color w:val="auto"/>
                <w:kern w:val="2"/>
                <w:sz w:val="24"/>
                <w:szCs w:val="24"/>
                <w:highlight w:val="none"/>
                <w:lang w:val="en-US" w:eastAsia="zh-CN" w:bidi="zh-CN"/>
              </w:rPr>
            </w:pPr>
            <w:r>
              <w:rPr>
                <w:rFonts w:hint="default" w:ascii="Times New Roman" w:hAnsi="Times New Roman" w:eastAsia="宋体" w:cs="Times New Roman"/>
                <w:color w:val="auto"/>
                <w:kern w:val="2"/>
                <w:sz w:val="24"/>
                <w:szCs w:val="24"/>
                <w:highlight w:val="none"/>
                <w:lang w:val="en-US" w:eastAsia="zh-CN" w:bidi="zh-CN"/>
              </w:rPr>
              <w:t>本项目不涉及《建设项目环境风险评价技术导则》（HJ/T169-2018）附录B中表B.1和表B.2中的环境风险物质，无需开展环境风险影响评价。</w:t>
            </w:r>
          </w:p>
          <w:p w14:paraId="4A57827F">
            <w:pPr>
              <w:numPr>
                <w:ilvl w:val="0"/>
                <w:numId w:val="10"/>
              </w:numPr>
              <w:spacing w:line="360" w:lineRule="auto"/>
              <w:ind w:firstLine="482" w:firstLineChars="200"/>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电磁辐射</w:t>
            </w:r>
          </w:p>
          <w:p w14:paraId="641D73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无。</w:t>
            </w:r>
          </w:p>
          <w:p w14:paraId="0E53369F">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lang w:val="en-US" w:eastAsia="zh-CN"/>
              </w:rPr>
              <w:t>9</w:t>
            </w:r>
            <w:r>
              <w:rPr>
                <w:rFonts w:hint="default" w:ascii="Times New Roman" w:hAnsi="Times New Roman" w:cs="Times New Roman"/>
                <w:b/>
                <w:bCs/>
                <w:color w:val="auto"/>
                <w:sz w:val="24"/>
                <w:highlight w:val="none"/>
              </w:rPr>
              <w:t>、环境管理</w:t>
            </w:r>
          </w:p>
          <w:p w14:paraId="365BC5B8">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为了贯彻执行有关环境保护法规，及时了解项目及其周围环境质量变化情况，掌握环境保护措施实施的效果，保证该区域良好的环境质量，建设单位进行相应的环境管理。</w:t>
            </w:r>
          </w:p>
          <w:p w14:paraId="6CF4CE3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（1）环境管理要求</w:t>
            </w:r>
          </w:p>
          <w:p w14:paraId="7598BE4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①贯彻落实国家相关法律法规及政策，以国家相关法律法规为依据，落实防治环境污染和生态破坏的措施以及环境保护设施投资概算，及时当地环境保护部门汇报各阶段的情况。</w:t>
            </w:r>
          </w:p>
          <w:p w14:paraId="2EA800E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②项目的建设遵循</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三同时</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制度，即项目环保措施与主体工程同时设计、同时施工、同时投产使用。</w:t>
            </w:r>
          </w:p>
          <w:p w14:paraId="42329AE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rPr>
              <w:t>③排污许可制度衔接。根据《固定污染源排污许可分类管理名录（2019年版）》。建设单位应按照</w:t>
            </w:r>
            <w:r>
              <w:rPr>
                <w:rFonts w:hint="eastAsia" w:cs="Times New Roman"/>
                <w:color w:val="auto"/>
                <w:sz w:val="24"/>
                <w:highlight w:val="none"/>
                <w:lang w:eastAsia="zh-CN"/>
              </w:rPr>
              <w:t>《排污许可管理条例》》</w:t>
            </w:r>
            <w:r>
              <w:rPr>
                <w:rFonts w:hint="default" w:ascii="Times New Roman" w:hAnsi="Times New Roman" w:cs="Times New Roman"/>
                <w:color w:val="auto"/>
                <w:sz w:val="24"/>
                <w:highlight w:val="none"/>
              </w:rPr>
              <w:t>、《固定污染源排污许可分类管理名录（2019年版）》等排污许可证相关管理要求，在规定时限内申请排污许可证</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本项目为二十五、非金属矿物制品业-轻质建筑材料制造3024、</w:t>
            </w:r>
            <w:r>
              <w:rPr>
                <w:rFonts w:hint="default" w:ascii="Times New Roman" w:hAnsi="Times New Roman" w:eastAsia="宋体" w:cs="Times New Roman"/>
                <w:color w:val="auto"/>
                <w:sz w:val="24"/>
                <w:highlight w:val="none"/>
                <w:lang w:val="en-US" w:eastAsia="zh-CN"/>
              </w:rPr>
              <w:t>隔热和隔音材料制造 3034</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其他建筑材料制造3039</w:t>
            </w:r>
            <w:r>
              <w:rPr>
                <w:rFonts w:hint="default" w:ascii="Times New Roman" w:hAnsi="Times New Roman" w:cs="Times New Roman"/>
                <w:color w:val="auto"/>
                <w:sz w:val="24"/>
                <w:highlight w:val="none"/>
                <w:lang w:val="en-US" w:eastAsia="zh-CN"/>
              </w:rPr>
              <w:t>，属于简化管理。</w:t>
            </w:r>
          </w:p>
          <w:p w14:paraId="0C6587B3">
            <w:pPr>
              <w:pStyle w:val="2"/>
              <w:keepNext w:val="0"/>
              <w:keepLines w:val="0"/>
              <w:pageBreakBefore w:val="0"/>
              <w:widowControl w:val="0"/>
              <w:kinsoku/>
              <w:wordWrap/>
              <w:overflowPunct/>
              <w:topLinePunct w:val="0"/>
              <w:autoSpaceDE/>
              <w:autoSpaceDN/>
              <w:bidi w:val="0"/>
              <w:adjustRightInd/>
              <w:spacing w:line="360" w:lineRule="auto"/>
              <w:jc w:val="left"/>
              <w:textAlignment w:val="auto"/>
              <w:rPr>
                <w:rFonts w:hint="default" w:ascii="Times New Roman" w:hAnsi="Times New Roman" w:eastAsia="宋体" w:cs="Times New Roman"/>
                <w:bCs/>
                <w:color w:val="auto"/>
                <w:sz w:val="24"/>
                <w:highlight w:val="none"/>
              </w:rPr>
            </w:pPr>
            <w:r>
              <w:rPr>
                <w:rFonts w:hint="default" w:ascii="Times New Roman" w:hAnsi="Times New Roman" w:eastAsia="宋体" w:cs="Times New Roman"/>
                <w:color w:val="auto"/>
                <w:sz w:val="24"/>
                <w:highlight w:val="none"/>
              </w:rPr>
              <w:t>④建设项目竣工后，建设单位或者其委托的技术机构应当依照国家有关法律法规。建设项竣工环境保护验收技术规范。建设项目环境影响报告表和审批决定等要求，如实查验、监测、记载建设项目环境保护设施的建设和调试情况，同时还应如实记载其他环境保护对策措施</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三同时</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落实情况，编制竣工环境保护验收报告。</w:t>
            </w:r>
          </w:p>
          <w:p w14:paraId="38F614AE">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rPr>
              <w:fldChar w:fldCharType="begin"/>
            </w:r>
            <w:r>
              <w:rPr>
                <w:rFonts w:hint="default" w:ascii="Times New Roman" w:hAnsi="Times New Roman" w:eastAsia="宋体" w:cs="Times New Roman"/>
                <w:color w:val="auto"/>
                <w:sz w:val="24"/>
                <w:highlight w:val="none"/>
              </w:rPr>
              <w:instrText xml:space="preserve"> = 5 \* GB3 \* MERGEFORMAT </w:instrText>
            </w:r>
            <w:r>
              <w:rPr>
                <w:rFonts w:hint="default" w:ascii="Times New Roman" w:hAnsi="Times New Roman" w:eastAsia="宋体" w:cs="Times New Roman"/>
                <w:color w:val="auto"/>
                <w:sz w:val="24"/>
                <w:highlight w:val="none"/>
              </w:rPr>
              <w:fldChar w:fldCharType="separate"/>
            </w:r>
            <w:r>
              <w:rPr>
                <w:rFonts w:hint="default" w:ascii="Times New Roman" w:hAnsi="Times New Roman" w:eastAsia="宋体" w:cs="Times New Roman"/>
                <w:color w:val="auto"/>
                <w:sz w:val="24"/>
                <w:highlight w:val="none"/>
              </w:rPr>
              <w:t>⑤</w:t>
            </w:r>
            <w:r>
              <w:rPr>
                <w:rFonts w:hint="default" w:ascii="Times New Roman" w:hAnsi="Times New Roman" w:eastAsia="宋体" w:cs="Times New Roman"/>
                <w:color w:val="auto"/>
                <w:sz w:val="24"/>
                <w:highlight w:val="none"/>
              </w:rPr>
              <w:fldChar w:fldCharType="end"/>
            </w:r>
            <w:r>
              <w:rPr>
                <w:rFonts w:hint="default" w:ascii="Times New Roman" w:hAnsi="Times New Roman" w:eastAsia="宋体" w:cs="Times New Roman"/>
                <w:color w:val="auto"/>
                <w:sz w:val="24"/>
                <w:highlight w:val="none"/>
              </w:rPr>
              <w:t>验收报告编制完成后，建设单位</w:t>
            </w:r>
            <w:r>
              <w:rPr>
                <w:rFonts w:hint="default" w:ascii="Times New Roman" w:hAnsi="Times New Roman" w:cs="Times New Roman"/>
                <w:color w:val="auto"/>
                <w:sz w:val="24"/>
                <w:highlight w:val="none"/>
              </w:rPr>
              <w:t>应组织成立验收工作组。验收工作组由建设单位、设计单位、施工单位、环境影响报告表编制机构、验收报告编制机构等单位代表和专业技术专家组成。建设单位应当对验收工作组提出的问题进行整改，合格后方可出具验收合格的意见。建设项目配套建设的环境保护设施经验收合格后，其主体工程才可以投入生产或者使用，并纳入环境保护管理部门的管理，对项目各阶段工作进行监督、检查。</w:t>
            </w:r>
          </w:p>
          <w:p w14:paraId="0AC06F9E">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建设单位按照《环境保护信息公开办法》进行相关信息的公开。</w:t>
            </w:r>
          </w:p>
          <w:p w14:paraId="2006D2CE">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（2）排污口规范化管理</w:t>
            </w:r>
          </w:p>
          <w:p w14:paraId="7AC99AA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对排放口规范化整治的统一要求做到：首先排污口要设立标示管理，按照国家标准规定设立标志牌，根据排放口污染物的排放特点，设置提示性或警告性环境保护图形标志牌。一般污染源设置提示性标志牌。建设项目的污染源需设立提示性标志牌。其次废气排放口应按照国家有关规定，规范排气筒数量、高度，本项目不需设废水排放口。此外按照《固定污染源监测质量保证与质量控制技术规范（试行）》（HJ/T373</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2007），对现场监测条件按规范要求搭设采样监测平台，废气治理措施治理前、后预留监测孔，便于环境管理及监测部门的日常监督、检查及监测。</w:t>
            </w:r>
          </w:p>
          <w:p w14:paraId="1DC498F7">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a、建设规范化排污口</w:t>
            </w:r>
          </w:p>
          <w:p w14:paraId="1D20B632">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建设完善规范化排污口，同时建设的规范化排污口要充分考虑便于采集样品、便于监测计量、便于日常环境监督管理的要求。</w:t>
            </w:r>
          </w:p>
          <w:p w14:paraId="23F794C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b、设立标志牌</w:t>
            </w:r>
          </w:p>
          <w:p w14:paraId="5951EC20">
            <w:pPr>
              <w:widowControl/>
              <w:spacing w:line="440" w:lineRule="exact"/>
              <w:ind w:firstLine="480" w:firstLineChars="200"/>
              <w:rPr>
                <w:rFonts w:hint="default" w:ascii="Times New Roman" w:hAnsi="Times New Roman" w:eastAsia="MingLiU" w:cs="Times New Roman"/>
                <w:color w:val="auto"/>
                <w:kern w:val="0"/>
                <w:sz w:val="24"/>
                <w:szCs w:val="22"/>
                <w:highlight w:val="none"/>
              </w:rPr>
            </w:pPr>
            <w:r>
              <w:rPr>
                <w:rFonts w:hint="default" w:ascii="Times New Roman" w:hAnsi="Times New Roman" w:cs="Times New Roman"/>
                <w:color w:val="auto"/>
                <w:sz w:val="24"/>
                <w:highlight w:val="none"/>
              </w:rPr>
              <w:drawing>
                <wp:anchor distT="0" distB="0" distL="114300" distR="114300" simplePos="0" relativeHeight="251662336" behindDoc="0" locked="0" layoutInCell="1" allowOverlap="1">
                  <wp:simplePos x="0" y="0"/>
                  <wp:positionH relativeFrom="column">
                    <wp:posOffset>168275</wp:posOffset>
                  </wp:positionH>
                  <wp:positionV relativeFrom="paragraph">
                    <wp:posOffset>31115</wp:posOffset>
                  </wp:positionV>
                  <wp:extent cx="1462405" cy="864235"/>
                  <wp:effectExtent l="9525" t="9525" r="13970" b="21590"/>
                  <wp:wrapNone/>
                  <wp:docPr id="16" name="图片 1063" descr="687f15e72b2caa7fb261f25803ab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63" descr="687f15e72b2caa7fb261f25803ab729"/>
                          <pic:cNvPicPr>
                            <a:picLocks noChangeAspect="1"/>
                          </pic:cNvPicPr>
                        </pic:nvPicPr>
                        <pic:blipFill>
                          <a:blip r:embed="rId26"/>
                          <a:stretch>
                            <a:fillRect/>
                          </a:stretch>
                        </pic:blipFill>
                        <pic:spPr>
                          <a:xfrm>
                            <a:off x="0" y="0"/>
                            <a:ext cx="1462405" cy="864235"/>
                          </a:xfrm>
                          <a:prstGeom prst="rect">
                            <a:avLst/>
                          </a:prstGeom>
                          <a:noFill/>
                          <a:ln w="9525" cap="flat" cmpd="sng">
                            <a:solidFill>
                              <a:srgbClr val="000000"/>
                            </a:solidFill>
                            <a:prstDash val="solid"/>
                            <a:miter/>
                            <a:headEnd type="none" w="med" len="med"/>
                            <a:tailEnd type="none" w="med" len="med"/>
                          </a:ln>
                        </pic:spPr>
                      </pic:pic>
                    </a:graphicData>
                  </a:graphic>
                </wp:anchor>
              </w:drawing>
            </w:r>
            <w:r>
              <w:rPr>
                <w:rFonts w:hint="default" w:ascii="Times New Roman" w:hAnsi="Times New Roman" w:cs="Times New Roman"/>
                <w:color w:val="auto"/>
                <w:sz w:val="24"/>
                <w:highlight w:val="none"/>
              </w:rPr>
              <w:drawing>
                <wp:anchor distT="0" distB="0" distL="114300" distR="114300" simplePos="0" relativeHeight="251663360" behindDoc="0" locked="0" layoutInCell="1" allowOverlap="1">
                  <wp:simplePos x="0" y="0"/>
                  <wp:positionH relativeFrom="column">
                    <wp:posOffset>1779905</wp:posOffset>
                  </wp:positionH>
                  <wp:positionV relativeFrom="paragraph">
                    <wp:posOffset>26670</wp:posOffset>
                  </wp:positionV>
                  <wp:extent cx="1620520" cy="869950"/>
                  <wp:effectExtent l="9525" t="9525" r="27305" b="15875"/>
                  <wp:wrapNone/>
                  <wp:docPr id="17" name="图片 1062" descr="b8791a6bd6323c1da1ef52bfabe4d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62" descr="b8791a6bd6323c1da1ef52bfabe4d3b"/>
                          <pic:cNvPicPr>
                            <a:picLocks noChangeAspect="1"/>
                          </pic:cNvPicPr>
                        </pic:nvPicPr>
                        <pic:blipFill>
                          <a:blip r:embed="rId27"/>
                          <a:stretch>
                            <a:fillRect/>
                          </a:stretch>
                        </pic:blipFill>
                        <pic:spPr>
                          <a:xfrm>
                            <a:off x="0" y="0"/>
                            <a:ext cx="1620520" cy="869950"/>
                          </a:xfrm>
                          <a:prstGeom prst="rect">
                            <a:avLst/>
                          </a:prstGeom>
                          <a:noFill/>
                          <a:ln w="9525" cap="flat" cmpd="sng">
                            <a:solidFill>
                              <a:srgbClr val="000000"/>
                            </a:solidFill>
                            <a:prstDash val="solid"/>
                            <a:miter/>
                            <a:headEnd type="none" w="med" len="med"/>
                            <a:tailEnd type="none" w="med" len="med"/>
                          </a:ln>
                        </pic:spPr>
                      </pic:pic>
                    </a:graphicData>
                  </a:graphic>
                </wp:anchor>
              </w:drawing>
            </w:r>
            <w:r>
              <w:rPr>
                <w:rFonts w:hint="default" w:ascii="Times New Roman" w:hAnsi="Times New Roman" w:cs="Times New Roman"/>
                <w:color w:val="auto"/>
                <w:sz w:val="24"/>
                <w:highlight w:val="none"/>
              </w:rPr>
              <w:drawing>
                <wp:anchor distT="0" distB="0" distL="114300" distR="114300" simplePos="0" relativeHeight="251664384" behindDoc="0" locked="0" layoutInCell="1" allowOverlap="1">
                  <wp:simplePos x="0" y="0"/>
                  <wp:positionH relativeFrom="column">
                    <wp:posOffset>3507105</wp:posOffset>
                  </wp:positionH>
                  <wp:positionV relativeFrom="paragraph">
                    <wp:posOffset>37465</wp:posOffset>
                  </wp:positionV>
                  <wp:extent cx="1588135" cy="866140"/>
                  <wp:effectExtent l="9525" t="9525" r="21590" b="19685"/>
                  <wp:wrapNone/>
                  <wp:docPr id="18" name="图片 1067" descr="540faf47c2c3eaffb918b2647aa6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67" descr="540faf47c2c3eaffb918b2647aa6424"/>
                          <pic:cNvPicPr>
                            <a:picLocks noChangeAspect="1"/>
                          </pic:cNvPicPr>
                        </pic:nvPicPr>
                        <pic:blipFill>
                          <a:blip r:embed="rId28"/>
                          <a:stretch>
                            <a:fillRect/>
                          </a:stretch>
                        </pic:blipFill>
                        <pic:spPr>
                          <a:xfrm>
                            <a:off x="0" y="0"/>
                            <a:ext cx="1588135" cy="866140"/>
                          </a:xfrm>
                          <a:prstGeom prst="rect">
                            <a:avLst/>
                          </a:prstGeom>
                          <a:noFill/>
                          <a:ln w="9525" cap="flat" cmpd="sng">
                            <a:solidFill>
                              <a:srgbClr val="000000"/>
                            </a:solidFill>
                            <a:prstDash val="solid"/>
                            <a:miter/>
                            <a:headEnd type="none" w="med" len="med"/>
                            <a:tailEnd type="none" w="med" len="med"/>
                          </a:ln>
                        </pic:spPr>
                      </pic:pic>
                    </a:graphicData>
                  </a:graphic>
                </wp:anchor>
              </w:drawing>
            </w:r>
          </w:p>
          <w:p w14:paraId="78715D36">
            <w:pPr>
              <w:widowControl/>
              <w:spacing w:line="440" w:lineRule="exact"/>
              <w:ind w:firstLine="480" w:firstLineChars="200"/>
              <w:rPr>
                <w:rFonts w:hint="default" w:ascii="Times New Roman" w:hAnsi="Times New Roman" w:eastAsia="MingLiU" w:cs="Times New Roman"/>
                <w:color w:val="auto"/>
                <w:kern w:val="0"/>
                <w:sz w:val="24"/>
                <w:szCs w:val="22"/>
                <w:highlight w:val="none"/>
              </w:rPr>
            </w:pPr>
          </w:p>
          <w:p w14:paraId="70DCF643">
            <w:pPr>
              <w:spacing w:line="440" w:lineRule="exact"/>
              <w:rPr>
                <w:rFonts w:hint="default" w:ascii="Times New Roman" w:hAnsi="Times New Roman" w:eastAsia="等线" w:cs="Times New Roman"/>
                <w:color w:val="auto"/>
                <w:sz w:val="24"/>
                <w:szCs w:val="22"/>
                <w:highlight w:val="none"/>
              </w:rPr>
            </w:pPr>
          </w:p>
          <w:p w14:paraId="78CFDC11">
            <w:pPr>
              <w:keepNext/>
              <w:keepLines/>
              <w:widowControl/>
              <w:spacing w:line="440" w:lineRule="exact"/>
              <w:ind w:firstLine="479" w:firstLineChars="199"/>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图</w:t>
            </w:r>
            <w:r>
              <w:rPr>
                <w:rFonts w:hint="default" w:ascii="Times New Roman" w:hAnsi="Times New Roman" w:cs="Times New Roman"/>
                <w:b/>
                <w:color w:val="auto"/>
                <w:sz w:val="24"/>
                <w:highlight w:val="none"/>
                <w:lang w:val="en-US" w:eastAsia="zh-CN"/>
              </w:rPr>
              <w:t>4-1</w:t>
            </w:r>
            <w:r>
              <w:rPr>
                <w:rFonts w:hint="default" w:ascii="Times New Roman" w:hAnsi="Times New Roman" w:cs="Times New Roman"/>
                <w:b/>
                <w:color w:val="auto"/>
                <w:sz w:val="24"/>
                <w:highlight w:val="none"/>
              </w:rPr>
              <w:t xml:space="preserve">  环境保护图形标志牌</w:t>
            </w:r>
          </w:p>
          <w:p w14:paraId="0C89F878">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c、建立规范化排污口档案</w:t>
            </w:r>
          </w:p>
          <w:p w14:paraId="1EA6FECC">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建立各排污口相应的监督管理档案，内容包括排污单位名称，排污口性质及编号，排污口的地理位置（GPS定位经纬度），排污口所排放的主要污染物种类、数量、浓度及排放去向、</w:t>
            </w:r>
            <w:r>
              <w:rPr>
                <w:rFonts w:hint="default" w:ascii="Times New Roman" w:hAnsi="Times New Roman" w:cs="Times New Roman"/>
                <w:color w:val="auto"/>
                <w:sz w:val="24"/>
                <w:highlight w:val="none"/>
                <w:lang w:eastAsia="zh-CN"/>
              </w:rPr>
              <w:t>达</w:t>
            </w:r>
            <w:r>
              <w:rPr>
                <w:rFonts w:hint="default" w:ascii="Times New Roman" w:hAnsi="Times New Roman" w:eastAsia="宋体" w:cs="Times New Roman"/>
                <w:color w:val="auto"/>
                <w:sz w:val="24"/>
                <w:highlight w:val="none"/>
              </w:rPr>
              <w:t>标情况，设施运行及日常现场监督检查记录等有关资料和记录</w:t>
            </w:r>
            <w:r>
              <w:rPr>
                <w:rFonts w:hint="default" w:ascii="Times New Roman" w:hAnsi="Times New Roman" w:cs="Times New Roman"/>
                <w:color w:val="auto"/>
                <w:sz w:val="24"/>
                <w:highlight w:val="none"/>
                <w:lang w:eastAsia="zh-CN"/>
              </w:rPr>
              <w:t>。</w:t>
            </w:r>
          </w:p>
          <w:p w14:paraId="115F2F6A">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p>
          <w:p w14:paraId="3033094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p>
          <w:p w14:paraId="643EE036">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p>
          <w:p w14:paraId="0933B7DB">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p>
          <w:p w14:paraId="4CB55626">
            <w:pPr>
              <w:pStyle w:val="2"/>
              <w:rPr>
                <w:rFonts w:hint="default" w:ascii="Times New Roman" w:hAnsi="Times New Roman" w:eastAsia="宋体" w:cs="Times New Roman"/>
                <w:color w:val="auto"/>
                <w:sz w:val="24"/>
                <w:highlight w:val="none"/>
              </w:rPr>
            </w:pPr>
          </w:p>
          <w:p w14:paraId="449006C1">
            <w:pPr>
              <w:pStyle w:val="3"/>
              <w:rPr>
                <w:rFonts w:hint="default" w:ascii="Times New Roman" w:hAnsi="Times New Roman" w:eastAsia="宋体" w:cs="Times New Roman"/>
                <w:color w:val="auto"/>
                <w:sz w:val="24"/>
                <w:highlight w:val="none"/>
              </w:rPr>
            </w:pPr>
          </w:p>
          <w:p w14:paraId="604AF3C9">
            <w:pPr>
              <w:rPr>
                <w:rFonts w:hint="default" w:ascii="Times New Roman" w:hAnsi="Times New Roman" w:eastAsia="宋体" w:cs="Times New Roman"/>
                <w:color w:val="auto"/>
                <w:sz w:val="24"/>
                <w:highlight w:val="none"/>
              </w:rPr>
            </w:pPr>
          </w:p>
          <w:p w14:paraId="4453241E">
            <w:pPr>
              <w:pStyle w:val="2"/>
              <w:rPr>
                <w:rFonts w:hint="default" w:ascii="Times New Roman" w:hAnsi="Times New Roman" w:eastAsia="宋体" w:cs="Times New Roman"/>
                <w:color w:val="auto"/>
                <w:sz w:val="24"/>
                <w:highlight w:val="none"/>
              </w:rPr>
            </w:pPr>
          </w:p>
          <w:p w14:paraId="5ABC9184">
            <w:pPr>
              <w:pStyle w:val="3"/>
              <w:rPr>
                <w:rFonts w:hint="default" w:ascii="Times New Roman" w:hAnsi="Times New Roman" w:eastAsia="宋体" w:cs="Times New Roman"/>
                <w:color w:val="auto"/>
                <w:sz w:val="24"/>
                <w:highlight w:val="none"/>
              </w:rPr>
            </w:pPr>
          </w:p>
          <w:p w14:paraId="122AC145">
            <w:pPr>
              <w:rPr>
                <w:rFonts w:hint="default" w:ascii="Times New Roman" w:hAnsi="Times New Roman" w:eastAsia="宋体" w:cs="Times New Roman"/>
                <w:color w:val="auto"/>
                <w:sz w:val="24"/>
                <w:highlight w:val="none"/>
              </w:rPr>
            </w:pPr>
          </w:p>
          <w:p w14:paraId="6821F23B">
            <w:pPr>
              <w:pStyle w:val="2"/>
              <w:rPr>
                <w:rFonts w:hint="default" w:ascii="Times New Roman" w:hAnsi="Times New Roman" w:eastAsia="宋体" w:cs="Times New Roman"/>
                <w:color w:val="auto"/>
                <w:sz w:val="24"/>
                <w:highlight w:val="none"/>
              </w:rPr>
            </w:pPr>
          </w:p>
          <w:p w14:paraId="47604F96">
            <w:pPr>
              <w:pStyle w:val="3"/>
              <w:rPr>
                <w:rFonts w:hint="default" w:ascii="Times New Roman" w:hAnsi="Times New Roman" w:eastAsia="宋体" w:cs="Times New Roman"/>
                <w:color w:val="auto"/>
                <w:sz w:val="24"/>
                <w:highlight w:val="none"/>
              </w:rPr>
            </w:pPr>
          </w:p>
          <w:p w14:paraId="29E367D8">
            <w:pPr>
              <w:rPr>
                <w:rFonts w:hint="default" w:ascii="Times New Roman" w:hAnsi="Times New Roman" w:eastAsia="宋体" w:cs="Times New Roman"/>
                <w:color w:val="auto"/>
                <w:sz w:val="24"/>
                <w:highlight w:val="none"/>
              </w:rPr>
            </w:pPr>
          </w:p>
          <w:p w14:paraId="783E287A">
            <w:pPr>
              <w:pStyle w:val="2"/>
              <w:rPr>
                <w:rFonts w:hint="default" w:ascii="Times New Roman" w:hAnsi="Times New Roman" w:eastAsia="宋体" w:cs="Times New Roman"/>
                <w:color w:val="auto"/>
                <w:sz w:val="24"/>
                <w:highlight w:val="none"/>
              </w:rPr>
            </w:pPr>
          </w:p>
          <w:p w14:paraId="37671964">
            <w:pPr>
              <w:pStyle w:val="3"/>
              <w:rPr>
                <w:rFonts w:hint="default" w:ascii="Times New Roman" w:hAnsi="Times New Roman" w:eastAsia="宋体" w:cs="Times New Roman"/>
                <w:color w:val="auto"/>
                <w:sz w:val="24"/>
                <w:highlight w:val="none"/>
              </w:rPr>
            </w:pPr>
          </w:p>
          <w:p w14:paraId="25D91884">
            <w:pPr>
              <w:rPr>
                <w:rFonts w:hint="default" w:ascii="Times New Roman" w:hAnsi="Times New Roman" w:eastAsia="宋体" w:cs="Times New Roman"/>
                <w:color w:val="auto"/>
                <w:sz w:val="24"/>
                <w:highlight w:val="none"/>
              </w:rPr>
            </w:pPr>
          </w:p>
          <w:p w14:paraId="00BC63BE">
            <w:pPr>
              <w:pStyle w:val="2"/>
              <w:rPr>
                <w:rFonts w:hint="default" w:ascii="Times New Roman" w:hAnsi="Times New Roman" w:eastAsia="宋体" w:cs="Times New Roman"/>
                <w:color w:val="auto"/>
                <w:sz w:val="24"/>
                <w:highlight w:val="none"/>
              </w:rPr>
            </w:pPr>
          </w:p>
          <w:p w14:paraId="4BF3CA2D">
            <w:pPr>
              <w:pStyle w:val="3"/>
              <w:rPr>
                <w:rFonts w:hint="default" w:ascii="Times New Roman" w:hAnsi="Times New Roman" w:eastAsia="宋体" w:cs="Times New Roman"/>
                <w:color w:val="auto"/>
                <w:sz w:val="24"/>
                <w:highlight w:val="none"/>
              </w:rPr>
            </w:pPr>
          </w:p>
          <w:p w14:paraId="1AC99D4A">
            <w:pPr>
              <w:rPr>
                <w:rFonts w:hint="default"/>
              </w:rPr>
            </w:pPr>
          </w:p>
          <w:p w14:paraId="465FB474">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p>
          <w:p w14:paraId="6EE257D9">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p>
          <w:p w14:paraId="28FEBDBE">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p w14:paraId="66FE02F4">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p w14:paraId="0E05D7A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p w14:paraId="304CB37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p w14:paraId="1793A948">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p w14:paraId="60529747">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p w14:paraId="6C0595CA">
            <w:pPr>
              <w:pStyle w:val="2"/>
              <w:rPr>
                <w:rFonts w:hint="default" w:ascii="Times New Roman" w:hAnsi="Times New Roman" w:eastAsia="宋体" w:cs="Times New Roman"/>
                <w:color w:val="auto"/>
                <w:sz w:val="24"/>
                <w:highlight w:val="none"/>
                <w:lang w:val="en-US" w:eastAsia="zh-CN"/>
              </w:rPr>
            </w:pPr>
          </w:p>
          <w:p w14:paraId="179F2477">
            <w:pPr>
              <w:pStyle w:val="3"/>
              <w:rPr>
                <w:rFonts w:hint="default" w:ascii="Times New Roman" w:hAnsi="Times New Roman" w:eastAsia="宋体" w:cs="Times New Roman"/>
                <w:color w:val="auto"/>
                <w:sz w:val="24"/>
                <w:highlight w:val="none"/>
                <w:lang w:val="en-US" w:eastAsia="zh-CN"/>
              </w:rPr>
            </w:pPr>
          </w:p>
          <w:p w14:paraId="7E107E39">
            <w:pPr>
              <w:rPr>
                <w:rFonts w:hint="default"/>
                <w:lang w:val="en-US" w:eastAsia="zh-CN"/>
              </w:rPr>
            </w:pPr>
          </w:p>
          <w:p w14:paraId="6265E8CC">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p w14:paraId="5A96AA53">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tc>
      </w:tr>
    </w:tbl>
    <w:p w14:paraId="0FFFF6A0">
      <w:pPr>
        <w:rPr>
          <w:rFonts w:hint="default" w:ascii="Times New Roman" w:hAnsi="Times New Roman" w:cs="Times New Roman"/>
          <w:color w:val="auto"/>
          <w:highlight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FED04EF">
      <w:pPr>
        <w:pStyle w:val="36"/>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五、</w:t>
      </w:r>
      <w:bookmarkStart w:id="2" w:name="_Hlk54167917"/>
      <w:r>
        <w:rPr>
          <w:rFonts w:hint="default" w:ascii="Times New Roman" w:hAnsi="Times New Roman" w:eastAsia="黑体" w:cs="Times New Roman"/>
          <w:snapToGrid w:val="0"/>
          <w:color w:val="auto"/>
          <w:sz w:val="30"/>
          <w:szCs w:val="30"/>
          <w:highlight w:val="none"/>
          <w:lang w:val="en-US" w:eastAsia="zh-CN"/>
        </w:rPr>
        <w:t>项目</w:t>
      </w:r>
      <w:r>
        <w:rPr>
          <w:rFonts w:hint="default" w:ascii="Times New Roman" w:hAnsi="Times New Roman" w:eastAsia="黑体" w:cs="Times New Roman"/>
          <w:snapToGrid w:val="0"/>
          <w:color w:val="auto"/>
          <w:sz w:val="30"/>
          <w:szCs w:val="30"/>
          <w:highlight w:val="none"/>
        </w:rPr>
        <w:t>环境保护措施监督检查清单</w:t>
      </w:r>
      <w:bookmarkEnd w:id="2"/>
    </w:p>
    <w:tbl>
      <w:tblPr>
        <w:tblStyle w:val="40"/>
        <w:tblW w:w="511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3" w:type="dxa"/>
          <w:bottom w:w="0" w:type="dxa"/>
          <w:right w:w="23" w:type="dxa"/>
        </w:tblCellMar>
      </w:tblPr>
      <w:tblGrid>
        <w:gridCol w:w="1324"/>
        <w:gridCol w:w="600"/>
        <w:gridCol w:w="758"/>
        <w:gridCol w:w="1154"/>
        <w:gridCol w:w="1385"/>
        <w:gridCol w:w="945"/>
        <w:gridCol w:w="2925"/>
      </w:tblGrid>
      <w:tr w14:paraId="7F2A67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794" w:hRule="atLeast"/>
          <w:jc w:val="center"/>
        </w:trPr>
        <w:tc>
          <w:tcPr>
            <w:tcW w:w="728" w:type="pct"/>
            <w:tcBorders>
              <w:tl2br w:val="nil"/>
              <w:tr2bl w:val="nil"/>
            </w:tcBorders>
            <w:noWrap w:val="0"/>
            <w:vAlign w:val="top"/>
            <mc:AlternateContent>
              <mc:Choice Requires="wpsCustomData">
                <wpsCustomData:diagonals>
                  <wpsCustomData:diagonal from="10000" to="30000">
                    <wpsCustomData:border w:val="single" w:color="auto" w:sz="4" w:space="0"/>
                  </wpsCustomData:diagonal>
                </wpsCustomData:diagonals>
              </mc:Choice>
            </mc:AlternateContent>
          </w:tcPr>
          <w:p w14:paraId="5811F628">
            <w:pPr>
              <w:adjustRightInd w:val="0"/>
              <w:snapToGrid w:val="0"/>
              <w:spacing w:line="310" w:lineRule="exact"/>
              <w:rPr>
                <w:rFonts w:hint="default" w:ascii="Times New Roman" w:hAnsi="Times New Roman" w:eastAsia="宋体" w:cs="Times New Roman"/>
                <w:color w:val="auto"/>
                <w:sz w:val="21"/>
                <w:szCs w:val="21"/>
                <w:highlight w:val="none"/>
                <w:lang w:eastAsia="zh-CN"/>
              </w:rPr>
            </w:pPr>
          </w:p>
          <w:p w14:paraId="70FC86E6">
            <w:pPr>
              <w:adjustRightInd w:val="0"/>
              <w:snapToGrid w:val="0"/>
              <w:spacing w:line="310" w:lineRule="exact"/>
              <w:rPr>
                <w:rFonts w:hint="default" w:ascii="Times New Roman" w:hAnsi="Times New Roman" w:eastAsia="宋体" w:cs="Times New Roman"/>
                <w:color w:val="auto"/>
                <w:sz w:val="21"/>
                <w:szCs w:val="21"/>
                <w:highlight w:val="none"/>
                <w:lang w:eastAsia="zh-CN"/>
              </w:rPr>
            </w:pPr>
          </w:p>
          <w:p w14:paraId="103DD567">
            <w:pPr>
              <w:adjustRightInd w:val="0"/>
              <w:snapToGrid w:val="0"/>
              <w:spacing w:line="310" w:lineRule="exact"/>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要素</w:t>
            </w:r>
          </w:p>
          <w:p w14:paraId="5865B921">
            <w:pPr>
              <w:adjustRightInd w:val="0"/>
              <w:snapToGrid w:val="0"/>
              <w:spacing w:line="310" w:lineRule="exact"/>
              <mc:AlternateContent>
                <mc:Choice Requires="wpsCustomData">
                  <wpsCustomData:diagonalParaType/>
                </mc:Choice>
              </mc:AlternateContent>
              <w:rPr>
                <w:rFonts w:hint="default" w:ascii="Times New Roman" w:hAnsi="Times New Roman" w:eastAsia="宋体" w:cs="Times New Roman"/>
                <w:color w:val="auto"/>
                <w:sz w:val="21"/>
                <w:szCs w:val="21"/>
                <w:highlight w:val="none"/>
              </w:rPr>
            </w:pPr>
          </w:p>
          <w:p w14:paraId="223C645E">
            <w:pPr>
              <w:adjustRightInd w:val="0"/>
              <w:snapToGrid w:val="0"/>
              <w:spacing w:line="310" w:lineRule="exact"/>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内容</w:t>
            </w:r>
          </w:p>
          <w:p w14:paraId="538768E2">
            <w:pPr>
              <w:adjustRightInd w:val="0"/>
              <w:snapToGrid w:val="0"/>
              <w:spacing w:line="310" w:lineRule="exact"/>
              <w:rPr>
                <w:rFonts w:hint="default" w:ascii="Times New Roman" w:hAnsi="Times New Roman" w:eastAsia="宋体" w:cs="Times New Roman"/>
                <w:color w:val="auto"/>
                <w:sz w:val="21"/>
                <w:szCs w:val="21"/>
                <w:highlight w:val="none"/>
                <w:lang w:eastAsia="zh-CN"/>
              </w:rPr>
            </w:pPr>
          </w:p>
          <w:p w14:paraId="175154FB">
            <w:pPr>
              <w:adjustRightInd w:val="0"/>
              <w:snapToGrid w:val="0"/>
              <w:spacing w:line="310" w:lineRule="exact"/>
              <w:rPr>
                <w:rFonts w:hint="default" w:ascii="Times New Roman" w:hAnsi="Times New Roman" w:eastAsia="宋体" w:cs="Times New Roman"/>
                <w:color w:val="auto"/>
                <w:sz w:val="21"/>
                <w:szCs w:val="21"/>
                <w:highlight w:val="none"/>
                <w:lang w:eastAsia="zh-CN"/>
              </w:rPr>
            </w:pPr>
          </w:p>
        </w:tc>
        <w:tc>
          <w:tcPr>
            <w:tcW w:w="746" w:type="pct"/>
            <w:gridSpan w:val="2"/>
            <w:tcBorders>
              <w:tl2br w:val="nil"/>
              <w:tr2bl w:val="nil"/>
            </w:tcBorders>
            <w:noWrap w:val="0"/>
            <w:vAlign w:val="center"/>
          </w:tcPr>
          <w:p w14:paraId="29A575C1">
            <w:pPr>
              <w:adjustRightInd w:val="0"/>
              <w:snapToGrid w:val="0"/>
              <w:spacing w:line="31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排放口</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编号、名称</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/污染源</w:t>
            </w:r>
          </w:p>
        </w:tc>
        <w:tc>
          <w:tcPr>
            <w:tcW w:w="634" w:type="pct"/>
            <w:tcBorders>
              <w:tl2br w:val="nil"/>
              <w:tr2bl w:val="nil"/>
            </w:tcBorders>
            <w:noWrap w:val="0"/>
            <w:vAlign w:val="center"/>
          </w:tcPr>
          <w:p w14:paraId="5F8B37F2">
            <w:pPr>
              <w:adjustRightInd w:val="0"/>
              <w:snapToGrid w:val="0"/>
              <w:spacing w:line="31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p w14:paraId="1654FB98">
            <w:pPr>
              <w:adjustRightInd w:val="0"/>
              <w:snapToGrid w:val="0"/>
              <w:spacing w:line="31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w:t>
            </w:r>
          </w:p>
        </w:tc>
        <w:tc>
          <w:tcPr>
            <w:tcW w:w="1281" w:type="pct"/>
            <w:gridSpan w:val="2"/>
            <w:tcBorders>
              <w:tl2br w:val="nil"/>
              <w:tr2bl w:val="nil"/>
            </w:tcBorders>
            <w:noWrap w:val="0"/>
            <w:vAlign w:val="center"/>
          </w:tcPr>
          <w:p w14:paraId="1268B0A8">
            <w:pPr>
              <w:adjustRightInd w:val="0"/>
              <w:snapToGrid w:val="0"/>
              <w:spacing w:line="31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环境保护措施</w:t>
            </w:r>
          </w:p>
        </w:tc>
        <w:tc>
          <w:tcPr>
            <w:tcW w:w="1608" w:type="pct"/>
            <w:tcBorders>
              <w:tl2br w:val="nil"/>
              <w:tr2bl w:val="nil"/>
            </w:tcBorders>
            <w:noWrap w:val="0"/>
            <w:vAlign w:val="center"/>
          </w:tcPr>
          <w:p w14:paraId="53E4C212">
            <w:pPr>
              <w:adjustRightInd w:val="0"/>
              <w:snapToGrid w:val="0"/>
              <w:spacing w:line="31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执行标准</w:t>
            </w:r>
          </w:p>
        </w:tc>
      </w:tr>
      <w:tr w14:paraId="4B7061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425" w:hRule="atLeast"/>
          <w:jc w:val="center"/>
        </w:trPr>
        <w:tc>
          <w:tcPr>
            <w:tcW w:w="728" w:type="pct"/>
            <w:vMerge w:val="restart"/>
            <w:tcBorders>
              <w:tl2br w:val="nil"/>
              <w:tr2bl w:val="nil"/>
            </w:tcBorders>
            <w:noWrap w:val="0"/>
            <w:vAlign w:val="center"/>
          </w:tcPr>
          <w:p w14:paraId="54B49E8A">
            <w:pPr>
              <w:adjustRightInd w:val="0"/>
              <w:snapToGrid w:val="0"/>
              <w:spacing w:line="31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大气环境</w:t>
            </w:r>
          </w:p>
        </w:tc>
        <w:tc>
          <w:tcPr>
            <w:tcW w:w="329" w:type="pct"/>
            <w:vMerge w:val="restart"/>
            <w:tcBorders>
              <w:tl2br w:val="nil"/>
              <w:tr2bl w:val="nil"/>
            </w:tcBorders>
            <w:noWrap w:val="0"/>
            <w:vAlign w:val="center"/>
          </w:tcPr>
          <w:p w14:paraId="7892E53B">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排气筒</w:t>
            </w:r>
            <w:r>
              <w:rPr>
                <w:rFonts w:hint="default" w:ascii="Times New Roman" w:hAnsi="Times New Roman" w:eastAsia="宋体" w:cs="Times New Roman"/>
                <w:color w:val="auto"/>
                <w:sz w:val="21"/>
                <w:szCs w:val="21"/>
                <w:highlight w:val="none"/>
                <w:lang w:val="en-US" w:eastAsia="zh-CN"/>
              </w:rPr>
              <w:t>DA001</w:t>
            </w:r>
          </w:p>
        </w:tc>
        <w:tc>
          <w:tcPr>
            <w:tcW w:w="416" w:type="pct"/>
            <w:tcBorders>
              <w:tl2br w:val="nil"/>
              <w:tr2bl w:val="nil"/>
            </w:tcBorders>
            <w:shd w:val="clear" w:color="auto" w:fill="auto"/>
            <w:noWrap w:val="0"/>
            <w:vAlign w:val="center"/>
          </w:tcPr>
          <w:p w14:paraId="683B5FB8">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储罐呼吸废气</w:t>
            </w:r>
          </w:p>
        </w:tc>
        <w:tc>
          <w:tcPr>
            <w:tcW w:w="634" w:type="pct"/>
            <w:tcBorders>
              <w:tl2br w:val="nil"/>
              <w:tr2bl w:val="nil"/>
            </w:tcBorders>
            <w:noWrap w:val="0"/>
            <w:vAlign w:val="center"/>
          </w:tcPr>
          <w:p w14:paraId="08B752C1">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颗粒物</w:t>
            </w:r>
          </w:p>
        </w:tc>
        <w:tc>
          <w:tcPr>
            <w:tcW w:w="761" w:type="pct"/>
            <w:tcBorders>
              <w:tl2br w:val="nil"/>
              <w:tr2bl w:val="nil"/>
            </w:tcBorders>
            <w:noWrap w:val="0"/>
            <w:vAlign w:val="center"/>
          </w:tcPr>
          <w:p w14:paraId="5E087CEB">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集气管道+罐顶除尘器</w:t>
            </w:r>
          </w:p>
        </w:tc>
        <w:tc>
          <w:tcPr>
            <w:tcW w:w="519" w:type="pct"/>
            <w:vMerge w:val="restart"/>
            <w:tcBorders>
              <w:tl2br w:val="nil"/>
              <w:tr2bl w:val="nil"/>
            </w:tcBorders>
            <w:noWrap w:val="0"/>
            <w:vAlign w:val="center"/>
          </w:tcPr>
          <w:p w14:paraId="4F318828">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eastAsia="zh-CN"/>
              </w:rPr>
              <w:t>布袋除尘器</w:t>
            </w:r>
            <w:r>
              <w:rPr>
                <w:rFonts w:hint="default" w:ascii="Times New Roman" w:hAnsi="Times New Roman" w:eastAsia="宋体" w:cs="Times New Roman"/>
                <w:color w:val="auto"/>
                <w:kern w:val="0"/>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15m 高排气筒 DA001</w:t>
            </w:r>
          </w:p>
        </w:tc>
        <w:tc>
          <w:tcPr>
            <w:tcW w:w="1608" w:type="pct"/>
            <w:vMerge w:val="restart"/>
            <w:tcBorders>
              <w:tl2br w:val="nil"/>
              <w:tr2bl w:val="nil"/>
            </w:tcBorders>
            <w:noWrap w:val="0"/>
            <w:vAlign w:val="center"/>
          </w:tcPr>
          <w:p w14:paraId="40E9C84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《水泥工业大气污染物超低排放标准》（DB13/2167-2020）</w:t>
            </w:r>
            <w:r>
              <w:rPr>
                <w:rFonts w:hint="default" w:ascii="Times New Roman" w:hAnsi="Times New Roman" w:eastAsia="宋体" w:cs="Times New Roman"/>
                <w:color w:val="auto"/>
                <w:sz w:val="21"/>
                <w:szCs w:val="21"/>
                <w:highlight w:val="none"/>
                <w:lang w:val="en-US" w:eastAsia="zh-CN"/>
              </w:rPr>
              <w:t>表1中水泥仓及其它通风生产设备标准限值</w:t>
            </w:r>
          </w:p>
        </w:tc>
      </w:tr>
      <w:tr w14:paraId="3CC28C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556" w:hRule="atLeast"/>
          <w:jc w:val="center"/>
        </w:trPr>
        <w:tc>
          <w:tcPr>
            <w:tcW w:w="728" w:type="pct"/>
            <w:vMerge w:val="continue"/>
            <w:tcBorders>
              <w:tl2br w:val="nil"/>
              <w:tr2bl w:val="nil"/>
            </w:tcBorders>
            <w:noWrap w:val="0"/>
            <w:vAlign w:val="center"/>
          </w:tcPr>
          <w:p w14:paraId="78ED074B">
            <w:pPr>
              <w:adjustRightInd w:val="0"/>
              <w:snapToGrid w:val="0"/>
              <w:spacing w:line="310" w:lineRule="exact"/>
              <w:jc w:val="center"/>
              <w:rPr>
                <w:rFonts w:hint="default" w:ascii="Times New Roman" w:hAnsi="Times New Roman" w:eastAsia="宋体" w:cs="Times New Roman"/>
                <w:color w:val="auto"/>
                <w:sz w:val="21"/>
                <w:szCs w:val="21"/>
                <w:highlight w:val="none"/>
              </w:rPr>
            </w:pPr>
          </w:p>
        </w:tc>
        <w:tc>
          <w:tcPr>
            <w:tcW w:w="329" w:type="pct"/>
            <w:vMerge w:val="continue"/>
            <w:tcBorders>
              <w:tl2br w:val="nil"/>
              <w:tr2bl w:val="nil"/>
            </w:tcBorders>
            <w:noWrap w:val="0"/>
            <w:vAlign w:val="center"/>
          </w:tcPr>
          <w:p w14:paraId="1B810918">
            <w:pPr>
              <w:adjustRightInd w:val="0"/>
              <w:snapToGrid w:val="0"/>
              <w:jc w:val="center"/>
              <w:rPr>
                <w:rFonts w:hint="default" w:ascii="Times New Roman" w:hAnsi="Times New Roman" w:eastAsia="宋体" w:cs="Times New Roman"/>
                <w:color w:val="auto"/>
                <w:sz w:val="21"/>
                <w:szCs w:val="21"/>
                <w:highlight w:val="none"/>
                <w:lang w:val="en-US" w:eastAsia="zh-CN"/>
              </w:rPr>
            </w:pPr>
          </w:p>
        </w:tc>
        <w:tc>
          <w:tcPr>
            <w:tcW w:w="416" w:type="pct"/>
            <w:tcBorders>
              <w:tl2br w:val="nil"/>
              <w:tr2bl w:val="nil"/>
            </w:tcBorders>
            <w:shd w:val="clear" w:color="auto" w:fill="auto"/>
            <w:noWrap w:val="0"/>
            <w:vAlign w:val="center"/>
          </w:tcPr>
          <w:p w14:paraId="1742B9BA">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上料、搅拌废气</w:t>
            </w:r>
          </w:p>
        </w:tc>
        <w:tc>
          <w:tcPr>
            <w:tcW w:w="634" w:type="pct"/>
            <w:tcBorders>
              <w:tl2br w:val="nil"/>
              <w:tr2bl w:val="nil"/>
            </w:tcBorders>
            <w:noWrap w:val="0"/>
            <w:vAlign w:val="center"/>
          </w:tcPr>
          <w:p w14:paraId="3603E333">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761" w:type="pct"/>
            <w:tcBorders>
              <w:tl2br w:val="nil"/>
              <w:tr2bl w:val="nil"/>
            </w:tcBorders>
            <w:noWrap w:val="0"/>
            <w:vAlign w:val="center"/>
          </w:tcPr>
          <w:p w14:paraId="26509306">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集气管道</w:t>
            </w:r>
          </w:p>
        </w:tc>
        <w:tc>
          <w:tcPr>
            <w:tcW w:w="519" w:type="pct"/>
            <w:vMerge w:val="continue"/>
            <w:tcBorders>
              <w:tl2br w:val="nil"/>
              <w:tr2bl w:val="nil"/>
            </w:tcBorders>
            <w:noWrap w:val="0"/>
            <w:vAlign w:val="center"/>
          </w:tcPr>
          <w:p w14:paraId="6440DBE0">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val="en-US" w:eastAsia="zh-CN"/>
              </w:rPr>
            </w:pPr>
          </w:p>
        </w:tc>
        <w:tc>
          <w:tcPr>
            <w:tcW w:w="1608" w:type="pct"/>
            <w:vMerge w:val="continue"/>
            <w:tcBorders>
              <w:tl2br w:val="nil"/>
              <w:tr2bl w:val="nil"/>
            </w:tcBorders>
            <w:noWrap w:val="0"/>
            <w:vAlign w:val="center"/>
          </w:tcPr>
          <w:p w14:paraId="7B91E6E1">
            <w:pPr>
              <w:jc w:val="center"/>
              <w:rPr>
                <w:rFonts w:hint="default" w:ascii="Times New Roman" w:hAnsi="Times New Roman" w:eastAsia="宋体" w:cs="Times New Roman"/>
                <w:color w:val="auto"/>
                <w:sz w:val="21"/>
                <w:szCs w:val="21"/>
                <w:highlight w:val="none"/>
              </w:rPr>
            </w:pPr>
          </w:p>
        </w:tc>
      </w:tr>
      <w:tr w14:paraId="32EE26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590" w:hRule="atLeast"/>
          <w:jc w:val="center"/>
        </w:trPr>
        <w:tc>
          <w:tcPr>
            <w:tcW w:w="728" w:type="pct"/>
            <w:vMerge w:val="continue"/>
            <w:tcBorders>
              <w:tl2br w:val="nil"/>
              <w:tr2bl w:val="nil"/>
            </w:tcBorders>
            <w:noWrap w:val="0"/>
            <w:vAlign w:val="center"/>
          </w:tcPr>
          <w:p w14:paraId="2F145B91">
            <w:pPr>
              <w:adjustRightInd w:val="0"/>
              <w:snapToGrid w:val="0"/>
              <w:spacing w:line="310" w:lineRule="exact"/>
              <w:jc w:val="center"/>
              <w:rPr>
                <w:rFonts w:hint="default" w:ascii="Times New Roman" w:hAnsi="Times New Roman" w:eastAsia="宋体" w:cs="Times New Roman"/>
                <w:color w:val="auto"/>
                <w:sz w:val="21"/>
                <w:szCs w:val="21"/>
                <w:highlight w:val="none"/>
              </w:rPr>
            </w:pPr>
          </w:p>
        </w:tc>
        <w:tc>
          <w:tcPr>
            <w:tcW w:w="329" w:type="pct"/>
            <w:vMerge w:val="continue"/>
            <w:tcBorders>
              <w:tl2br w:val="nil"/>
              <w:tr2bl w:val="nil"/>
            </w:tcBorders>
            <w:noWrap w:val="0"/>
            <w:vAlign w:val="center"/>
          </w:tcPr>
          <w:p w14:paraId="4C29B5E9">
            <w:pPr>
              <w:adjustRightInd w:val="0"/>
              <w:snapToGrid w:val="0"/>
              <w:jc w:val="center"/>
              <w:rPr>
                <w:rFonts w:hint="default" w:ascii="Times New Roman" w:hAnsi="Times New Roman" w:eastAsia="宋体" w:cs="Times New Roman"/>
                <w:color w:val="auto"/>
                <w:sz w:val="21"/>
                <w:szCs w:val="21"/>
                <w:highlight w:val="none"/>
                <w:lang w:val="en-US" w:eastAsia="zh-CN"/>
              </w:rPr>
            </w:pPr>
          </w:p>
        </w:tc>
        <w:tc>
          <w:tcPr>
            <w:tcW w:w="416" w:type="pct"/>
            <w:tcBorders>
              <w:tl2br w:val="nil"/>
              <w:tr2bl w:val="nil"/>
            </w:tcBorders>
            <w:shd w:val="clear" w:color="auto" w:fill="auto"/>
            <w:noWrap w:val="0"/>
            <w:vAlign w:val="center"/>
          </w:tcPr>
          <w:p w14:paraId="53B0E76F">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分装废气</w:t>
            </w:r>
          </w:p>
        </w:tc>
        <w:tc>
          <w:tcPr>
            <w:tcW w:w="634" w:type="pct"/>
            <w:tcBorders>
              <w:tl2br w:val="nil"/>
              <w:tr2bl w:val="nil"/>
            </w:tcBorders>
            <w:noWrap w:val="0"/>
            <w:vAlign w:val="center"/>
          </w:tcPr>
          <w:p w14:paraId="12E7C74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761" w:type="pct"/>
            <w:tcBorders>
              <w:tl2br w:val="nil"/>
              <w:tr2bl w:val="nil"/>
            </w:tcBorders>
            <w:noWrap w:val="0"/>
            <w:vAlign w:val="center"/>
          </w:tcPr>
          <w:p w14:paraId="15EC8D44">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集气罩</w:t>
            </w:r>
          </w:p>
        </w:tc>
        <w:tc>
          <w:tcPr>
            <w:tcW w:w="519" w:type="pct"/>
            <w:vMerge w:val="continue"/>
            <w:tcBorders>
              <w:tl2br w:val="nil"/>
              <w:tr2bl w:val="nil"/>
            </w:tcBorders>
            <w:noWrap w:val="0"/>
            <w:vAlign w:val="center"/>
          </w:tcPr>
          <w:p w14:paraId="61A0D8C4">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val="en-US" w:eastAsia="zh-CN"/>
              </w:rPr>
            </w:pPr>
          </w:p>
        </w:tc>
        <w:tc>
          <w:tcPr>
            <w:tcW w:w="1608" w:type="pct"/>
            <w:vMerge w:val="continue"/>
            <w:tcBorders>
              <w:tl2br w:val="nil"/>
              <w:tr2bl w:val="nil"/>
            </w:tcBorders>
            <w:noWrap w:val="0"/>
            <w:vAlign w:val="center"/>
          </w:tcPr>
          <w:p w14:paraId="020A5C9B">
            <w:pPr>
              <w:jc w:val="center"/>
              <w:rPr>
                <w:rFonts w:hint="default" w:ascii="Times New Roman" w:hAnsi="Times New Roman" w:eastAsia="宋体" w:cs="Times New Roman"/>
                <w:color w:val="auto"/>
                <w:sz w:val="21"/>
                <w:szCs w:val="21"/>
                <w:highlight w:val="none"/>
              </w:rPr>
            </w:pPr>
          </w:p>
        </w:tc>
      </w:tr>
      <w:tr w14:paraId="65D9C6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425" w:hRule="atLeast"/>
          <w:jc w:val="center"/>
        </w:trPr>
        <w:tc>
          <w:tcPr>
            <w:tcW w:w="728" w:type="pct"/>
            <w:vMerge w:val="continue"/>
            <w:tcBorders>
              <w:tl2br w:val="nil"/>
              <w:tr2bl w:val="nil"/>
            </w:tcBorders>
            <w:noWrap w:val="0"/>
            <w:vAlign w:val="center"/>
          </w:tcPr>
          <w:p w14:paraId="7A199213">
            <w:pPr>
              <w:adjustRightInd w:val="0"/>
              <w:snapToGrid w:val="0"/>
              <w:spacing w:line="310" w:lineRule="exact"/>
              <w:jc w:val="center"/>
              <w:rPr>
                <w:rFonts w:hint="default" w:ascii="Times New Roman" w:hAnsi="Times New Roman" w:eastAsia="宋体" w:cs="Times New Roman"/>
                <w:color w:val="auto"/>
                <w:sz w:val="21"/>
                <w:szCs w:val="21"/>
                <w:highlight w:val="none"/>
              </w:rPr>
            </w:pPr>
          </w:p>
        </w:tc>
        <w:tc>
          <w:tcPr>
            <w:tcW w:w="329" w:type="pct"/>
            <w:vMerge w:val="restart"/>
            <w:tcBorders>
              <w:tl2br w:val="nil"/>
              <w:tr2bl w:val="nil"/>
            </w:tcBorders>
            <w:noWrap w:val="0"/>
            <w:vAlign w:val="center"/>
          </w:tcPr>
          <w:p w14:paraId="1B6DF89A">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eastAsia="zh-CN"/>
              </w:rPr>
              <w:t>无组织废气</w:t>
            </w:r>
          </w:p>
        </w:tc>
        <w:tc>
          <w:tcPr>
            <w:tcW w:w="416" w:type="pct"/>
            <w:tcBorders>
              <w:tl2br w:val="nil"/>
              <w:tr2bl w:val="nil"/>
            </w:tcBorders>
            <w:noWrap w:val="0"/>
            <w:vAlign w:val="center"/>
          </w:tcPr>
          <w:p w14:paraId="78FFB4BD">
            <w:pPr>
              <w:adjustRightInd w:val="0"/>
              <w:snapToGrid w:val="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集气罩未收集废气</w:t>
            </w:r>
          </w:p>
        </w:tc>
        <w:tc>
          <w:tcPr>
            <w:tcW w:w="634" w:type="pct"/>
            <w:tcBorders>
              <w:tl2br w:val="nil"/>
              <w:tr2bl w:val="nil"/>
            </w:tcBorders>
            <w:noWrap w:val="0"/>
            <w:vAlign w:val="center"/>
          </w:tcPr>
          <w:p w14:paraId="1363B735">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1281" w:type="pct"/>
            <w:gridSpan w:val="2"/>
            <w:tcBorders>
              <w:tl2br w:val="nil"/>
              <w:tr2bl w:val="nil"/>
            </w:tcBorders>
            <w:noWrap w:val="0"/>
            <w:vAlign w:val="center"/>
          </w:tcPr>
          <w:p w14:paraId="4B17AB52">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车间密闭</w:t>
            </w:r>
          </w:p>
        </w:tc>
        <w:tc>
          <w:tcPr>
            <w:tcW w:w="1608" w:type="pct"/>
            <w:vMerge w:val="restart"/>
            <w:tcBorders>
              <w:tl2br w:val="nil"/>
              <w:tr2bl w:val="nil"/>
            </w:tcBorders>
            <w:noWrap w:val="0"/>
            <w:vAlign w:val="center"/>
          </w:tcPr>
          <w:p w14:paraId="25A1255D">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《水泥工业大气污染物超低排放标准》（DB13/2167-2020）表2大气污染物无组织排放限值</w:t>
            </w:r>
          </w:p>
        </w:tc>
      </w:tr>
      <w:tr w14:paraId="75DB58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207" w:hRule="atLeast"/>
          <w:jc w:val="center"/>
        </w:trPr>
        <w:tc>
          <w:tcPr>
            <w:tcW w:w="728" w:type="pct"/>
            <w:vMerge w:val="continue"/>
            <w:tcBorders>
              <w:tl2br w:val="nil"/>
              <w:tr2bl w:val="nil"/>
            </w:tcBorders>
            <w:noWrap w:val="0"/>
            <w:vAlign w:val="center"/>
          </w:tcPr>
          <w:p w14:paraId="0AB34604">
            <w:pPr>
              <w:adjustRightInd w:val="0"/>
              <w:snapToGrid w:val="0"/>
              <w:spacing w:line="310" w:lineRule="exact"/>
              <w:jc w:val="center"/>
              <w:rPr>
                <w:rFonts w:hint="default" w:ascii="Times New Roman" w:hAnsi="Times New Roman" w:eastAsia="宋体" w:cs="Times New Roman"/>
                <w:color w:val="auto"/>
                <w:sz w:val="21"/>
                <w:szCs w:val="21"/>
                <w:highlight w:val="none"/>
              </w:rPr>
            </w:pPr>
          </w:p>
        </w:tc>
        <w:tc>
          <w:tcPr>
            <w:tcW w:w="329" w:type="pct"/>
            <w:vMerge w:val="continue"/>
            <w:tcBorders>
              <w:tl2br w:val="nil"/>
              <w:tr2bl w:val="nil"/>
            </w:tcBorders>
            <w:noWrap w:val="0"/>
            <w:vAlign w:val="center"/>
          </w:tcPr>
          <w:p w14:paraId="73B5DA77">
            <w:pPr>
              <w:adjustRightInd w:val="0"/>
              <w:snapToGrid w:val="0"/>
              <w:jc w:val="center"/>
              <w:rPr>
                <w:rFonts w:hint="default" w:ascii="Times New Roman" w:hAnsi="Times New Roman" w:eastAsia="宋体" w:cs="Times New Roman"/>
                <w:color w:val="auto"/>
                <w:sz w:val="21"/>
                <w:szCs w:val="21"/>
                <w:highlight w:val="none"/>
                <w:lang w:val="en-US" w:eastAsia="zh-CN"/>
              </w:rPr>
            </w:pPr>
          </w:p>
        </w:tc>
        <w:tc>
          <w:tcPr>
            <w:tcW w:w="416" w:type="pct"/>
            <w:tcBorders>
              <w:tl2br w:val="nil"/>
              <w:tr2bl w:val="nil"/>
            </w:tcBorders>
            <w:noWrap w:val="0"/>
            <w:vAlign w:val="center"/>
          </w:tcPr>
          <w:p w14:paraId="6DDC8E96">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焊接烟尘</w:t>
            </w:r>
          </w:p>
        </w:tc>
        <w:tc>
          <w:tcPr>
            <w:tcW w:w="634" w:type="pct"/>
            <w:tcBorders>
              <w:tl2br w:val="nil"/>
              <w:tr2bl w:val="nil"/>
            </w:tcBorders>
            <w:noWrap w:val="0"/>
            <w:vAlign w:val="center"/>
          </w:tcPr>
          <w:p w14:paraId="7DC107FE">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1281" w:type="pct"/>
            <w:gridSpan w:val="2"/>
            <w:tcBorders>
              <w:tl2br w:val="nil"/>
              <w:tr2bl w:val="nil"/>
            </w:tcBorders>
            <w:noWrap w:val="0"/>
            <w:vAlign w:val="center"/>
          </w:tcPr>
          <w:p w14:paraId="55F0BECC">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移动式焊烟净化器</w:t>
            </w:r>
          </w:p>
        </w:tc>
        <w:tc>
          <w:tcPr>
            <w:tcW w:w="1608" w:type="pct"/>
            <w:vMerge w:val="continue"/>
            <w:tcBorders>
              <w:tl2br w:val="nil"/>
              <w:tr2bl w:val="nil"/>
            </w:tcBorders>
            <w:noWrap w:val="0"/>
            <w:vAlign w:val="center"/>
          </w:tcPr>
          <w:p w14:paraId="0E730740">
            <w:pPr>
              <w:jc w:val="center"/>
              <w:rPr>
                <w:rFonts w:hint="default" w:ascii="Times New Roman" w:hAnsi="Times New Roman" w:eastAsia="宋体" w:cs="Times New Roman"/>
                <w:color w:val="auto"/>
                <w:sz w:val="21"/>
                <w:szCs w:val="21"/>
                <w:highlight w:val="none"/>
                <w:lang w:val="en-US" w:eastAsia="zh-CN"/>
              </w:rPr>
            </w:pPr>
          </w:p>
        </w:tc>
      </w:tr>
      <w:tr w14:paraId="3481CE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228" w:hRule="atLeast"/>
          <w:jc w:val="center"/>
        </w:trPr>
        <w:tc>
          <w:tcPr>
            <w:tcW w:w="728" w:type="pct"/>
            <w:vMerge w:val="continue"/>
            <w:tcBorders>
              <w:tl2br w:val="nil"/>
              <w:tr2bl w:val="nil"/>
            </w:tcBorders>
            <w:noWrap w:val="0"/>
            <w:vAlign w:val="center"/>
          </w:tcPr>
          <w:p w14:paraId="54DAE660">
            <w:pPr>
              <w:adjustRightInd w:val="0"/>
              <w:snapToGrid w:val="0"/>
              <w:spacing w:line="310" w:lineRule="exact"/>
              <w:jc w:val="center"/>
              <w:rPr>
                <w:rFonts w:hint="default" w:ascii="Times New Roman" w:hAnsi="Times New Roman" w:eastAsia="宋体" w:cs="Times New Roman"/>
                <w:color w:val="auto"/>
                <w:sz w:val="21"/>
                <w:szCs w:val="21"/>
                <w:highlight w:val="none"/>
              </w:rPr>
            </w:pPr>
          </w:p>
        </w:tc>
        <w:tc>
          <w:tcPr>
            <w:tcW w:w="329" w:type="pct"/>
            <w:vMerge w:val="continue"/>
            <w:tcBorders>
              <w:tl2br w:val="nil"/>
              <w:tr2bl w:val="nil"/>
            </w:tcBorders>
            <w:shd w:val="clear" w:color="auto" w:fill="auto"/>
            <w:noWrap w:val="0"/>
            <w:vAlign w:val="center"/>
          </w:tcPr>
          <w:p w14:paraId="5FC10EEA">
            <w:pPr>
              <w:spacing w:line="360" w:lineRule="exact"/>
              <w:jc w:val="center"/>
              <w:rPr>
                <w:rFonts w:hint="default" w:ascii="Times New Roman" w:hAnsi="Times New Roman" w:eastAsia="宋体" w:cs="Times New Roman"/>
                <w:bCs/>
                <w:color w:val="auto"/>
                <w:kern w:val="2"/>
                <w:sz w:val="21"/>
                <w:szCs w:val="21"/>
                <w:highlight w:val="none"/>
                <w:lang w:val="en-US" w:eastAsia="zh-CN" w:bidi="ar-SA"/>
              </w:rPr>
            </w:pPr>
          </w:p>
        </w:tc>
        <w:tc>
          <w:tcPr>
            <w:tcW w:w="416" w:type="pct"/>
            <w:tcBorders>
              <w:tl2br w:val="nil"/>
              <w:tr2bl w:val="nil"/>
            </w:tcBorders>
            <w:shd w:val="clear" w:color="auto" w:fill="auto"/>
            <w:noWrap w:val="0"/>
            <w:vAlign w:val="center"/>
          </w:tcPr>
          <w:p w14:paraId="678B3674">
            <w:pPr>
              <w:spacing w:line="360" w:lineRule="exact"/>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车辆运输</w:t>
            </w:r>
          </w:p>
          <w:p w14:paraId="2155E204">
            <w:pPr>
              <w:spacing w:line="360" w:lineRule="exact"/>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扬尘</w:t>
            </w:r>
          </w:p>
        </w:tc>
        <w:tc>
          <w:tcPr>
            <w:tcW w:w="634" w:type="pct"/>
            <w:tcBorders>
              <w:tl2br w:val="nil"/>
              <w:tr2bl w:val="nil"/>
            </w:tcBorders>
            <w:shd w:val="clear" w:color="auto" w:fill="auto"/>
            <w:noWrap w:val="0"/>
            <w:vAlign w:val="center"/>
          </w:tcPr>
          <w:p w14:paraId="4B401C55">
            <w:pPr>
              <w:spacing w:line="360" w:lineRule="exact"/>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eastAsia="zh-CN"/>
              </w:rPr>
              <w:t>颗粒物</w:t>
            </w:r>
          </w:p>
        </w:tc>
        <w:tc>
          <w:tcPr>
            <w:tcW w:w="1281" w:type="pct"/>
            <w:gridSpan w:val="2"/>
            <w:tcBorders>
              <w:tl2br w:val="nil"/>
              <w:tr2bl w:val="nil"/>
            </w:tcBorders>
            <w:shd w:val="clear" w:color="auto" w:fill="auto"/>
            <w:noWrap w:val="0"/>
            <w:vAlign w:val="center"/>
          </w:tcPr>
          <w:p w14:paraId="5C8D8755">
            <w:pPr>
              <w:spacing w:line="360" w:lineRule="exact"/>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采取车辆加盖苫布、道路硬化、定期清扫、进出厂车辆冲洗等控制措施。</w:t>
            </w:r>
          </w:p>
        </w:tc>
        <w:tc>
          <w:tcPr>
            <w:tcW w:w="1608" w:type="pct"/>
            <w:vMerge w:val="continue"/>
            <w:tcBorders>
              <w:tl2br w:val="nil"/>
              <w:tr2bl w:val="nil"/>
            </w:tcBorders>
            <w:noWrap w:val="0"/>
            <w:vAlign w:val="center"/>
          </w:tcPr>
          <w:p w14:paraId="57023B98">
            <w:pPr>
              <w:jc w:val="center"/>
              <w:rPr>
                <w:rFonts w:hint="default" w:ascii="Times New Roman" w:hAnsi="Times New Roman" w:eastAsia="宋体" w:cs="Times New Roman"/>
                <w:color w:val="auto"/>
                <w:sz w:val="21"/>
                <w:szCs w:val="21"/>
                <w:highlight w:val="none"/>
                <w:lang w:val="en-US" w:eastAsia="zh-CN"/>
              </w:rPr>
            </w:pPr>
          </w:p>
        </w:tc>
      </w:tr>
      <w:tr w14:paraId="1C88F6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297" w:hRule="atLeast"/>
          <w:jc w:val="center"/>
        </w:trPr>
        <w:tc>
          <w:tcPr>
            <w:tcW w:w="728" w:type="pct"/>
            <w:vMerge w:val="restart"/>
            <w:tcBorders>
              <w:tl2br w:val="nil"/>
              <w:tr2bl w:val="nil"/>
            </w:tcBorders>
            <w:noWrap w:val="0"/>
            <w:vAlign w:val="center"/>
          </w:tcPr>
          <w:p w14:paraId="68F420C6">
            <w:pPr>
              <w:adjustRightInd w:val="0"/>
              <w:snapToGrid w:val="0"/>
              <w:spacing w:line="31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地表水环境</w:t>
            </w:r>
          </w:p>
        </w:tc>
        <w:tc>
          <w:tcPr>
            <w:tcW w:w="746" w:type="pct"/>
            <w:gridSpan w:val="2"/>
            <w:tcBorders>
              <w:tl2br w:val="nil"/>
              <w:tr2bl w:val="nil"/>
            </w:tcBorders>
            <w:noWrap w:val="0"/>
            <w:vAlign w:val="center"/>
          </w:tcPr>
          <w:p w14:paraId="15D61C4F">
            <w:pPr>
              <w:spacing w:line="31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车辆冲洗水、模具冲洗水</w:t>
            </w:r>
          </w:p>
        </w:tc>
        <w:tc>
          <w:tcPr>
            <w:tcW w:w="634" w:type="pct"/>
            <w:tcBorders>
              <w:tl2br w:val="nil"/>
              <w:tr2bl w:val="nil"/>
            </w:tcBorders>
            <w:noWrap w:val="0"/>
            <w:vAlign w:val="center"/>
          </w:tcPr>
          <w:p w14:paraId="73D90638">
            <w:pPr>
              <w:snapToGrid w:val="0"/>
              <w:spacing w:line="31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SS</w:t>
            </w:r>
          </w:p>
        </w:tc>
        <w:tc>
          <w:tcPr>
            <w:tcW w:w="1281" w:type="pct"/>
            <w:gridSpan w:val="2"/>
            <w:tcBorders>
              <w:tl2br w:val="nil"/>
              <w:tr2bl w:val="nil"/>
            </w:tcBorders>
            <w:noWrap w:val="0"/>
            <w:vAlign w:val="center"/>
          </w:tcPr>
          <w:p w14:paraId="7BB6D4DB">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经各自沉淀池沉淀后循环利用，不外排</w:t>
            </w:r>
          </w:p>
        </w:tc>
        <w:tc>
          <w:tcPr>
            <w:tcW w:w="1608" w:type="pct"/>
            <w:vMerge w:val="restart"/>
            <w:tcBorders>
              <w:tl2br w:val="nil"/>
              <w:tr2bl w:val="nil"/>
            </w:tcBorders>
            <w:noWrap w:val="0"/>
            <w:vAlign w:val="center"/>
          </w:tcPr>
          <w:p w14:paraId="6B6E9F68">
            <w:pPr>
              <w:spacing w:line="260" w:lineRule="exact"/>
              <w:jc w:val="center"/>
              <w:rPr>
                <w:rFonts w:hint="default" w:ascii="Times New Roman" w:hAnsi="Times New Roman" w:eastAsia="宋体" w:cs="Times New Roman"/>
                <w:color w:val="auto"/>
                <w:spacing w:val="-4"/>
                <w:kern w:val="2"/>
                <w:sz w:val="21"/>
                <w:szCs w:val="21"/>
                <w:highlight w:val="none"/>
                <w:lang w:val="en-US" w:eastAsia="zh-CN" w:bidi="ar-SA"/>
              </w:rPr>
            </w:pPr>
            <w:r>
              <w:rPr>
                <w:rFonts w:hint="default" w:ascii="Times New Roman" w:hAnsi="Times New Roman" w:eastAsia="宋体" w:cs="Times New Roman"/>
                <w:color w:val="auto"/>
                <w:spacing w:val="-4"/>
                <w:kern w:val="2"/>
                <w:sz w:val="21"/>
                <w:szCs w:val="21"/>
                <w:highlight w:val="none"/>
                <w:lang w:val="en-US" w:eastAsia="zh-CN" w:bidi="ar-SA"/>
              </w:rPr>
              <w:t>---</w:t>
            </w:r>
          </w:p>
        </w:tc>
      </w:tr>
      <w:tr w14:paraId="7BAF75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425" w:hRule="atLeast"/>
          <w:jc w:val="center"/>
        </w:trPr>
        <w:tc>
          <w:tcPr>
            <w:tcW w:w="728" w:type="pct"/>
            <w:vMerge w:val="continue"/>
            <w:tcBorders>
              <w:tl2br w:val="nil"/>
              <w:tr2bl w:val="nil"/>
            </w:tcBorders>
            <w:noWrap w:val="0"/>
            <w:vAlign w:val="center"/>
          </w:tcPr>
          <w:p w14:paraId="43D6F391">
            <w:pPr>
              <w:adjustRightInd w:val="0"/>
              <w:snapToGrid w:val="0"/>
              <w:spacing w:line="310" w:lineRule="exact"/>
              <w:jc w:val="center"/>
              <w:rPr>
                <w:rFonts w:hint="default" w:ascii="Times New Roman" w:hAnsi="Times New Roman" w:eastAsia="宋体" w:cs="Times New Roman"/>
                <w:color w:val="auto"/>
                <w:sz w:val="21"/>
                <w:szCs w:val="21"/>
                <w:highlight w:val="none"/>
              </w:rPr>
            </w:pPr>
          </w:p>
        </w:tc>
        <w:tc>
          <w:tcPr>
            <w:tcW w:w="746" w:type="pct"/>
            <w:gridSpan w:val="2"/>
            <w:tcBorders>
              <w:tl2br w:val="nil"/>
              <w:tr2bl w:val="nil"/>
            </w:tcBorders>
            <w:noWrap w:val="0"/>
            <w:vAlign w:val="center"/>
          </w:tcPr>
          <w:p w14:paraId="1338C523">
            <w:pPr>
              <w:spacing w:line="31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职工生活废水</w:t>
            </w:r>
          </w:p>
        </w:tc>
        <w:tc>
          <w:tcPr>
            <w:tcW w:w="634" w:type="pct"/>
            <w:tcBorders>
              <w:tl2br w:val="nil"/>
              <w:tr2bl w:val="nil"/>
            </w:tcBorders>
            <w:noWrap w:val="0"/>
            <w:vAlign w:val="center"/>
          </w:tcPr>
          <w:p w14:paraId="65059879">
            <w:pPr>
              <w:adjustRightInd w:val="0"/>
              <w:snapToGrid w:val="0"/>
              <w:spacing w:line="240" w:lineRule="atLeas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COD</w:t>
            </w:r>
          </w:p>
          <w:p w14:paraId="6B0EAD67">
            <w:pPr>
              <w:adjustRightInd w:val="0"/>
              <w:snapToGrid w:val="0"/>
              <w:spacing w:line="240" w:lineRule="atLeas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BOD</w:t>
            </w:r>
            <w:r>
              <w:rPr>
                <w:rFonts w:hint="default" w:ascii="Times New Roman" w:hAnsi="Times New Roman" w:eastAsia="宋体" w:cs="Times New Roman"/>
                <w:color w:val="auto"/>
                <w:sz w:val="21"/>
                <w:szCs w:val="21"/>
                <w:highlight w:val="none"/>
                <w:vertAlign w:val="subscript"/>
              </w:rPr>
              <w:t>5</w:t>
            </w:r>
          </w:p>
          <w:p w14:paraId="63307E91">
            <w:pPr>
              <w:adjustRightInd w:val="0"/>
              <w:snapToGrid w:val="0"/>
              <w:spacing w:line="240" w:lineRule="atLeas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SS</w:t>
            </w:r>
          </w:p>
          <w:p w14:paraId="47857DE1">
            <w:pPr>
              <w:snapToGrid w:val="0"/>
              <w:spacing w:line="31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氨氮</w:t>
            </w:r>
          </w:p>
        </w:tc>
        <w:tc>
          <w:tcPr>
            <w:tcW w:w="1281" w:type="pct"/>
            <w:gridSpan w:val="2"/>
            <w:tcBorders>
              <w:tl2br w:val="nil"/>
              <w:tr2bl w:val="nil"/>
            </w:tcBorders>
            <w:noWrap w:val="0"/>
            <w:vAlign w:val="center"/>
          </w:tcPr>
          <w:p w14:paraId="0204220F">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生活污水排入化粪池，定期清掏用于农肥</w:t>
            </w:r>
          </w:p>
        </w:tc>
        <w:tc>
          <w:tcPr>
            <w:tcW w:w="1608" w:type="pct"/>
            <w:vMerge w:val="continue"/>
            <w:tcBorders>
              <w:tl2br w:val="nil"/>
              <w:tr2bl w:val="nil"/>
            </w:tcBorders>
            <w:noWrap w:val="0"/>
            <w:vAlign w:val="center"/>
          </w:tcPr>
          <w:p w14:paraId="6B9E5278">
            <w:pPr>
              <w:spacing w:line="260" w:lineRule="exact"/>
              <w:jc w:val="center"/>
              <w:rPr>
                <w:rFonts w:hint="default" w:ascii="Times New Roman" w:hAnsi="Times New Roman" w:eastAsia="宋体" w:cs="Times New Roman"/>
                <w:color w:val="auto"/>
                <w:spacing w:val="-4"/>
                <w:kern w:val="2"/>
                <w:sz w:val="21"/>
                <w:szCs w:val="21"/>
                <w:highlight w:val="none"/>
                <w:lang w:val="en-US" w:eastAsia="zh-CN" w:bidi="ar-SA"/>
              </w:rPr>
            </w:pPr>
          </w:p>
        </w:tc>
      </w:tr>
      <w:tr w14:paraId="7D0C27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425" w:hRule="atLeast"/>
          <w:jc w:val="center"/>
        </w:trPr>
        <w:tc>
          <w:tcPr>
            <w:tcW w:w="728" w:type="pct"/>
            <w:tcBorders>
              <w:tl2br w:val="nil"/>
              <w:tr2bl w:val="nil"/>
            </w:tcBorders>
            <w:noWrap w:val="0"/>
            <w:vAlign w:val="center"/>
          </w:tcPr>
          <w:p w14:paraId="28786904">
            <w:pPr>
              <w:adjustRightInd w:val="0"/>
              <w:snapToGrid w:val="0"/>
              <w:spacing w:line="31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声环境</w:t>
            </w:r>
          </w:p>
        </w:tc>
        <w:tc>
          <w:tcPr>
            <w:tcW w:w="746" w:type="pct"/>
            <w:gridSpan w:val="2"/>
            <w:tcBorders>
              <w:tl2br w:val="nil"/>
              <w:tr2bl w:val="nil"/>
            </w:tcBorders>
            <w:shd w:val="clear" w:color="auto" w:fill="auto"/>
            <w:noWrap w:val="0"/>
            <w:vAlign w:val="center"/>
          </w:tcPr>
          <w:p w14:paraId="3F23E1F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设备噪声</w:t>
            </w:r>
          </w:p>
        </w:tc>
        <w:tc>
          <w:tcPr>
            <w:tcW w:w="634" w:type="pct"/>
            <w:tcBorders>
              <w:tl2br w:val="nil"/>
              <w:tr2bl w:val="nil"/>
            </w:tcBorders>
            <w:shd w:val="clear" w:color="auto" w:fill="auto"/>
            <w:noWrap w:val="0"/>
            <w:vAlign w:val="center"/>
          </w:tcPr>
          <w:p w14:paraId="2A11C87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Leq（A）</w:t>
            </w:r>
          </w:p>
        </w:tc>
        <w:tc>
          <w:tcPr>
            <w:tcW w:w="1281" w:type="pct"/>
            <w:gridSpan w:val="2"/>
            <w:tcBorders>
              <w:tl2br w:val="nil"/>
              <w:tr2bl w:val="nil"/>
            </w:tcBorders>
            <w:shd w:val="clear" w:color="auto" w:fill="auto"/>
            <w:noWrap w:val="0"/>
            <w:vAlign w:val="center"/>
          </w:tcPr>
          <w:p w14:paraId="65EBD277">
            <w:pPr>
              <w:keepNext w:val="0"/>
              <w:keepLines w:val="0"/>
              <w:pageBreakBefore w:val="0"/>
              <w:widowControl w:val="0"/>
              <w:kinsoku/>
              <w:wordWrap/>
              <w:overflowPunct/>
              <w:topLinePunct w:val="0"/>
              <w:autoSpaceDE/>
              <w:autoSpaceDN/>
              <w:bidi w:val="0"/>
              <w:adjustRightInd w:val="0"/>
              <w:snapToGrid w:val="0"/>
              <w:spacing w:before="63" w:beforeLines="20" w:line="4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采取选用低噪声设备、</w:t>
            </w:r>
            <w:r>
              <w:rPr>
                <w:rFonts w:hint="default" w:ascii="Times New Roman" w:hAnsi="Times New Roman" w:eastAsia="宋体" w:cs="Times New Roman"/>
                <w:color w:val="auto"/>
                <w:sz w:val="21"/>
                <w:szCs w:val="21"/>
                <w:highlight w:val="none"/>
              </w:rPr>
              <w:t>基础减振、厂房隔声</w:t>
            </w:r>
            <w:r>
              <w:rPr>
                <w:rFonts w:hint="default" w:ascii="Times New Roman" w:hAnsi="Times New Roman" w:eastAsia="宋体" w:cs="Times New Roman"/>
                <w:color w:val="auto"/>
                <w:sz w:val="21"/>
                <w:szCs w:val="21"/>
                <w:highlight w:val="none"/>
                <w:lang w:val="en-US" w:eastAsia="zh-CN"/>
              </w:rPr>
              <w:t>等降噪措施</w:t>
            </w:r>
          </w:p>
        </w:tc>
        <w:tc>
          <w:tcPr>
            <w:tcW w:w="1608" w:type="pct"/>
            <w:tcBorders>
              <w:tl2br w:val="nil"/>
              <w:tr2bl w:val="nil"/>
            </w:tcBorders>
            <w:shd w:val="clear" w:color="auto" w:fill="auto"/>
            <w:noWrap w:val="0"/>
            <w:vAlign w:val="center"/>
          </w:tcPr>
          <w:p w14:paraId="4D84C885">
            <w:pPr>
              <w:keepNext w:val="0"/>
              <w:keepLines w:val="0"/>
              <w:pageBreakBefore w:val="0"/>
              <w:widowControl w:val="0"/>
              <w:kinsoku/>
              <w:wordWrap/>
              <w:overflowPunct/>
              <w:topLinePunct w:val="0"/>
              <w:autoSpaceDE/>
              <w:autoSpaceDN/>
              <w:bidi w:val="0"/>
              <w:adjustRightInd w:val="0"/>
              <w:snapToGrid w:val="0"/>
              <w:spacing w:before="63" w:beforeLines="20" w:line="4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《工业企业厂界环境噪声排放标准》（GB12348-2008）中</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类标准</w:t>
            </w:r>
          </w:p>
        </w:tc>
      </w:tr>
      <w:tr w14:paraId="6F4F33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90" w:hRule="atLeast"/>
          <w:jc w:val="center"/>
        </w:trPr>
        <w:tc>
          <w:tcPr>
            <w:tcW w:w="728" w:type="pct"/>
            <w:tcBorders>
              <w:tl2br w:val="nil"/>
              <w:tr2bl w:val="nil"/>
            </w:tcBorders>
            <w:noWrap w:val="0"/>
            <w:vAlign w:val="center"/>
          </w:tcPr>
          <w:p w14:paraId="7D87A22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固体废物</w:t>
            </w:r>
          </w:p>
        </w:tc>
        <w:tc>
          <w:tcPr>
            <w:tcW w:w="4271" w:type="pct"/>
            <w:gridSpan w:val="6"/>
            <w:tcBorders>
              <w:tl2br w:val="nil"/>
              <w:tr2bl w:val="nil"/>
            </w:tcBorders>
            <w:noWrap w:val="0"/>
            <w:vAlign w:val="center"/>
          </w:tcPr>
          <w:p w14:paraId="1F8320FE">
            <w:pPr>
              <w:keepNext w:val="0"/>
              <w:keepLines w:val="0"/>
              <w:pageBreakBefore w:val="0"/>
              <w:widowControl w:val="0"/>
              <w:tabs>
                <w:tab w:val="left" w:pos="-423"/>
              </w:tabs>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项目废焊材、废包装袋、沉淀池底泥</w:t>
            </w:r>
            <w:r>
              <w:rPr>
                <w:rFonts w:hint="default" w:ascii="Times New Roman" w:hAnsi="Times New Roman" w:cs="Times New Roman"/>
                <w:color w:val="auto"/>
                <w:sz w:val="21"/>
                <w:szCs w:val="21"/>
                <w:highlight w:val="none"/>
                <w:lang w:val="en-US" w:eastAsia="zh-CN"/>
              </w:rPr>
              <w:t>、废布袋</w:t>
            </w:r>
            <w:r>
              <w:rPr>
                <w:rFonts w:hint="default" w:ascii="Times New Roman" w:hAnsi="Times New Roman" w:eastAsia="宋体" w:cs="Times New Roman"/>
                <w:color w:val="auto"/>
                <w:sz w:val="21"/>
                <w:szCs w:val="21"/>
                <w:highlight w:val="none"/>
                <w:lang w:val="en-US" w:eastAsia="zh-CN"/>
              </w:rPr>
              <w:t>，分类收集后外售；除尘灰收集后回用于生产；生活垃圾交由环卫部门统一收集处理。</w:t>
            </w:r>
          </w:p>
        </w:tc>
      </w:tr>
      <w:tr w14:paraId="11E517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606" w:hRule="atLeast"/>
          <w:jc w:val="center"/>
        </w:trPr>
        <w:tc>
          <w:tcPr>
            <w:tcW w:w="728" w:type="pct"/>
            <w:tcBorders>
              <w:tl2br w:val="nil"/>
              <w:tr2bl w:val="nil"/>
            </w:tcBorders>
            <w:noWrap w:val="0"/>
            <w:vAlign w:val="center"/>
          </w:tcPr>
          <w:p w14:paraId="4D7E14B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土壤及地下水污染防治措施</w:t>
            </w:r>
          </w:p>
        </w:tc>
        <w:tc>
          <w:tcPr>
            <w:tcW w:w="4271" w:type="pct"/>
            <w:gridSpan w:val="6"/>
            <w:tcBorders>
              <w:tl2br w:val="nil"/>
              <w:tr2bl w:val="nil"/>
            </w:tcBorders>
            <w:noWrap w:val="0"/>
            <w:vAlign w:val="center"/>
          </w:tcPr>
          <w:p w14:paraId="42FB8458">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一般防渗区（生产车间）：生产车间</w:t>
            </w:r>
            <w:r>
              <w:rPr>
                <w:rFonts w:hint="default" w:ascii="Times New Roman" w:hAnsi="Times New Roman" w:eastAsia="宋体" w:cs="Times New Roman"/>
                <w:color w:val="auto"/>
                <w:sz w:val="21"/>
                <w:szCs w:val="21"/>
                <w:highlight w:val="none"/>
              </w:rPr>
              <w:t>地面采取三合土铺底，再在上层铺15～20cm的</w:t>
            </w:r>
            <w:r>
              <w:rPr>
                <w:rFonts w:hint="default" w:ascii="Times New Roman" w:hAnsi="Times New Roman" w:eastAsia="宋体" w:cs="Times New Roman"/>
                <w:color w:val="auto"/>
                <w:sz w:val="21"/>
                <w:szCs w:val="21"/>
                <w:highlight w:val="none"/>
                <w:lang w:eastAsia="zh-CN"/>
              </w:rPr>
              <w:t>混凝土</w:t>
            </w:r>
            <w:r>
              <w:rPr>
                <w:rFonts w:hint="default" w:ascii="Times New Roman" w:hAnsi="Times New Roman" w:eastAsia="宋体" w:cs="Times New Roman"/>
                <w:color w:val="auto"/>
                <w:sz w:val="21"/>
                <w:szCs w:val="21"/>
                <w:highlight w:val="none"/>
              </w:rPr>
              <w:t>进行硬化。</w:t>
            </w:r>
            <w:r>
              <w:rPr>
                <w:rFonts w:hint="default" w:ascii="Times New Roman" w:hAnsi="Times New Roman" w:eastAsia="宋体" w:cs="Times New Roman"/>
                <w:color w:val="auto"/>
                <w:sz w:val="21"/>
                <w:szCs w:val="21"/>
                <w:highlight w:val="none"/>
                <w:lang w:eastAsia="zh-CN"/>
              </w:rPr>
              <w:t>沉淀池</w:t>
            </w:r>
            <w:r>
              <w:rPr>
                <w:rFonts w:hint="default" w:ascii="Times New Roman" w:hAnsi="Times New Roman" w:eastAsia="宋体" w:cs="Times New Roman"/>
                <w:color w:val="auto"/>
                <w:sz w:val="21"/>
                <w:szCs w:val="21"/>
                <w:highlight w:val="none"/>
                <w:lang w:val="en-US" w:eastAsia="zh-CN"/>
              </w:rPr>
              <w:t>底部用三合土铺底，上层用15~20cm的水泥混凝土浇底。四周壁用砖砌再用抗渗混凝土浇筑，混凝土的抗渗等级不应低于P8，使渗透系数低于1×10</w:t>
            </w:r>
            <w:r>
              <w:rPr>
                <w:rFonts w:hint="default" w:ascii="Times New Roman" w:hAnsi="Times New Roman" w:eastAsia="宋体" w:cs="Times New Roman"/>
                <w:color w:val="auto"/>
                <w:sz w:val="21"/>
                <w:szCs w:val="21"/>
                <w:highlight w:val="none"/>
                <w:vertAlign w:val="superscript"/>
                <w:lang w:val="en-US" w:eastAsia="zh-CN"/>
              </w:rPr>
              <w:t>-7</w:t>
            </w:r>
            <w:r>
              <w:rPr>
                <w:rFonts w:hint="default" w:ascii="Times New Roman" w:hAnsi="Times New Roman" w:eastAsia="宋体" w:cs="Times New Roman"/>
                <w:color w:val="auto"/>
                <w:sz w:val="21"/>
                <w:szCs w:val="21"/>
                <w:highlight w:val="none"/>
                <w:lang w:val="en-US" w:eastAsia="zh-CN"/>
              </w:rPr>
              <w:t>cm/s。防渗性能应与1.5m厚粘土层等效。</w:t>
            </w:r>
          </w:p>
          <w:p w14:paraId="3FCF41BF">
            <w:pPr>
              <w:keepNext w:val="0"/>
              <w:keepLines w:val="0"/>
              <w:pageBreakBefore w:val="0"/>
              <w:widowControl w:val="0"/>
              <w:tabs>
                <w:tab w:val="left" w:pos="-423"/>
              </w:tabs>
              <w:kinsoku/>
              <w:wordWrap/>
              <w:overflowPunct/>
              <w:topLinePunct w:val="0"/>
              <w:autoSpaceDE/>
              <w:autoSpaceDN/>
              <w:bidi w:val="0"/>
              <w:spacing w:line="360" w:lineRule="exac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简单防渗区：办公室、厂区道路采用</w:t>
            </w:r>
            <w:r>
              <w:rPr>
                <w:rFonts w:hint="default" w:ascii="Times New Roman" w:hAnsi="Times New Roman" w:eastAsia="宋体" w:cs="Times New Roman"/>
                <w:color w:val="auto"/>
                <w:sz w:val="21"/>
                <w:szCs w:val="21"/>
                <w:highlight w:val="none"/>
                <w:lang w:val="en-US" w:eastAsia="zh-CN"/>
              </w:rPr>
              <w:t>10-15cm水泥硬化处理。</w:t>
            </w:r>
          </w:p>
        </w:tc>
      </w:tr>
      <w:tr w14:paraId="16037F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186" w:hRule="atLeast"/>
          <w:jc w:val="center"/>
        </w:trPr>
        <w:tc>
          <w:tcPr>
            <w:tcW w:w="728" w:type="pct"/>
            <w:tcBorders>
              <w:tl2br w:val="nil"/>
              <w:tr2bl w:val="nil"/>
            </w:tcBorders>
            <w:noWrap w:val="0"/>
            <w:vAlign w:val="center"/>
          </w:tcPr>
          <w:p w14:paraId="3EFFC97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生态保护措施</w:t>
            </w:r>
          </w:p>
        </w:tc>
        <w:tc>
          <w:tcPr>
            <w:tcW w:w="4271" w:type="pct"/>
            <w:gridSpan w:val="6"/>
            <w:tcBorders>
              <w:tl2br w:val="nil"/>
              <w:tr2bl w:val="nil"/>
            </w:tcBorders>
            <w:noWrap w:val="0"/>
            <w:vAlign w:val="center"/>
          </w:tcPr>
          <w:p w14:paraId="12D69459">
            <w:pPr>
              <w:keepNext w:val="0"/>
              <w:keepLines w:val="0"/>
              <w:pageBreakBefore w:val="0"/>
              <w:widowControl w:val="0"/>
              <w:tabs>
                <w:tab w:val="left" w:pos="-423"/>
              </w:tabs>
              <w:kinsoku/>
              <w:wordWrap/>
              <w:overflowPunct/>
              <w:topLinePunct w:val="0"/>
              <w:autoSpaceDE/>
              <w:autoSpaceDN/>
              <w:bidi w:val="0"/>
              <w:spacing w:line="360" w:lineRule="exact"/>
              <w:ind w:firstLine="3570" w:firstLineChars="1700"/>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无</w:t>
            </w:r>
          </w:p>
        </w:tc>
      </w:tr>
      <w:tr w14:paraId="7D8E4C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674" w:hRule="atLeast"/>
          <w:jc w:val="center"/>
        </w:trPr>
        <w:tc>
          <w:tcPr>
            <w:tcW w:w="728" w:type="pct"/>
            <w:tcBorders>
              <w:tl2br w:val="nil"/>
              <w:tr2bl w:val="nil"/>
            </w:tcBorders>
            <w:noWrap w:val="0"/>
            <w:vAlign w:val="center"/>
          </w:tcPr>
          <w:p w14:paraId="6F8B1EC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环境风险防范措施</w:t>
            </w:r>
          </w:p>
        </w:tc>
        <w:tc>
          <w:tcPr>
            <w:tcW w:w="4271" w:type="pct"/>
            <w:gridSpan w:val="6"/>
            <w:tcBorders>
              <w:tl2br w:val="nil"/>
              <w:tr2bl w:val="nil"/>
            </w:tcBorders>
            <w:noWrap w:val="0"/>
            <w:vAlign w:val="center"/>
          </w:tcPr>
          <w:p w14:paraId="580638AB">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14:paraId="2F8C08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117" w:hRule="atLeast"/>
          <w:jc w:val="center"/>
        </w:trPr>
        <w:tc>
          <w:tcPr>
            <w:tcW w:w="728" w:type="pct"/>
            <w:tcBorders>
              <w:tl2br w:val="nil"/>
              <w:tr2bl w:val="nil"/>
            </w:tcBorders>
            <w:noWrap w:val="0"/>
            <w:vAlign w:val="center"/>
          </w:tcPr>
          <w:p w14:paraId="56762F6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其他环境</w:t>
            </w:r>
          </w:p>
          <w:p w14:paraId="4C0D685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管理要求</w:t>
            </w:r>
          </w:p>
        </w:tc>
        <w:tc>
          <w:tcPr>
            <w:tcW w:w="4271" w:type="pct"/>
            <w:gridSpan w:val="6"/>
            <w:tcBorders>
              <w:tl2br w:val="nil"/>
              <w:tr2bl w:val="nil"/>
            </w:tcBorders>
            <w:noWrap w:val="0"/>
            <w:vAlign w:val="center"/>
          </w:tcPr>
          <w:p w14:paraId="48F0BFF0">
            <w:pPr>
              <w:pStyle w:val="14"/>
              <w:rPr>
                <w:rFonts w:hint="default" w:ascii="Times New Roman" w:hAnsi="Times New Roman" w:eastAsia="宋体" w:cs="Times New Roman"/>
                <w:color w:val="auto"/>
                <w:sz w:val="21"/>
                <w:szCs w:val="21"/>
                <w:highlight w:val="none"/>
                <w:lang w:eastAsia="zh-CN"/>
              </w:rPr>
            </w:pPr>
          </w:p>
          <w:p w14:paraId="023B7F58">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①项目的建设遵循“三同时”制度，即项目环保措施与主体工程同时设计、同时施工、同时投产使用。</w:t>
            </w:r>
          </w:p>
          <w:p w14:paraId="3949B156">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②排污许可制度衔接。根据《固定污染源排污许可分类管理名录（2019年版）》。建设单位应按照</w:t>
            </w:r>
            <w:r>
              <w:rPr>
                <w:rFonts w:hint="eastAsia" w:cs="Times New Roman"/>
                <w:color w:val="auto"/>
                <w:sz w:val="21"/>
                <w:szCs w:val="21"/>
                <w:highlight w:val="none"/>
                <w:lang w:eastAsia="zh-CN"/>
              </w:rPr>
              <w:t>《排污许可管理条例》》</w:t>
            </w:r>
            <w:r>
              <w:rPr>
                <w:rFonts w:hint="default" w:ascii="Times New Roman" w:hAnsi="Times New Roman" w:eastAsia="宋体" w:cs="Times New Roman"/>
                <w:color w:val="auto"/>
                <w:sz w:val="21"/>
                <w:szCs w:val="21"/>
                <w:highlight w:val="none"/>
                <w:lang w:eastAsia="zh-CN"/>
              </w:rPr>
              <w:t>、《固定污染源排污许可分类管理名录（2019年版）》等排污许可证相关管理要求，在规定时限内申请排污许可证，</w:t>
            </w:r>
            <w:r>
              <w:rPr>
                <w:rFonts w:hint="default" w:ascii="Times New Roman" w:hAnsi="Times New Roman" w:eastAsia="宋体" w:cs="Times New Roman"/>
                <w:color w:val="auto"/>
                <w:sz w:val="21"/>
                <w:szCs w:val="21"/>
                <w:highlight w:val="none"/>
                <w:lang w:val="en-US" w:eastAsia="zh-CN"/>
              </w:rPr>
              <w:t>本项目为二十五、非金属矿物制品业-轻质建筑材料制造3024、隔热和隔音材料制造 3034、其他建筑材料制造3039，属于简化管理。</w:t>
            </w:r>
          </w:p>
          <w:p w14:paraId="4531E6A5">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③排污口规范化管理</w:t>
            </w:r>
          </w:p>
          <w:p w14:paraId="6D2C712F">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对排放口规范化整治的统一要求做到：首先排污口要设立标示管理，按照国家标准规定设立标志牌，根据排放口污染物的排放特点，设置提示性或警告性环境保护图形标志牌。一般污染源设置提示性标志牌。建设项目的污染源需设立提示性标志牌。其次废气排放口应按照国家有关规定，规范排气筒数量、高度，本项目不需设废水排放口。此外按照《固定污染源监测质量保证与质量控制技术规范（试行）》（HJ/T373</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eastAsia="zh-CN"/>
              </w:rPr>
              <w:t>2007），对现场监测条件按规范要求搭设采样监测平台，废气治理措施治理前、后预留监测孔，便于环境管理及监测部门的日常监督、检查及监测。</w:t>
            </w:r>
          </w:p>
          <w:p w14:paraId="2BC9280D">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a、建设规范化排污口</w:t>
            </w:r>
          </w:p>
          <w:p w14:paraId="1E25731F">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建设完善规范化排污口，同时建设的规范化排污口要充分考虑便于采集样品、便于监测计量、便于日常环境监督管理的要求。</w:t>
            </w:r>
          </w:p>
          <w:p w14:paraId="763A0816">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b、设立标志牌</w:t>
            </w:r>
          </w:p>
          <w:p w14:paraId="00B58F56">
            <w:pPr>
              <w:pStyle w:val="13"/>
              <w:rPr>
                <w:rFonts w:hint="default" w:ascii="Times New Roman" w:hAnsi="Times New Roman" w:cs="Times New Roman"/>
                <w:color w:val="auto"/>
                <w:highlight w:val="none"/>
                <w:lang w:eastAsia="zh-CN"/>
              </w:rPr>
            </w:pPr>
            <w:r>
              <w:rPr>
                <w:rFonts w:hint="default" w:ascii="Times New Roman" w:hAnsi="Times New Roman" w:eastAsia="宋体" w:cs="Times New Roman"/>
                <w:color w:val="auto"/>
                <w:sz w:val="21"/>
                <w:szCs w:val="21"/>
                <w:highlight w:val="none"/>
                <w:lang w:eastAsia="zh-CN"/>
              </w:rPr>
              <w:drawing>
                <wp:anchor distT="0" distB="0" distL="114300" distR="114300" simplePos="0" relativeHeight="251670528" behindDoc="0" locked="0" layoutInCell="1" allowOverlap="1">
                  <wp:simplePos x="0" y="0"/>
                  <wp:positionH relativeFrom="column">
                    <wp:posOffset>3314700</wp:posOffset>
                  </wp:positionH>
                  <wp:positionV relativeFrom="paragraph">
                    <wp:posOffset>123190</wp:posOffset>
                  </wp:positionV>
                  <wp:extent cx="1588135" cy="866140"/>
                  <wp:effectExtent l="9525" t="9525" r="21590" b="19685"/>
                  <wp:wrapNone/>
                  <wp:docPr id="8" name="图片 1067" descr="540faf47c2c3eaffb918b2647aa6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67" descr="540faf47c2c3eaffb918b2647aa6424"/>
                          <pic:cNvPicPr>
                            <a:picLocks noChangeAspect="1"/>
                          </pic:cNvPicPr>
                        </pic:nvPicPr>
                        <pic:blipFill>
                          <a:blip r:embed="rId28"/>
                          <a:stretch>
                            <a:fillRect/>
                          </a:stretch>
                        </pic:blipFill>
                        <pic:spPr>
                          <a:xfrm>
                            <a:off x="0" y="0"/>
                            <a:ext cx="1588135" cy="866140"/>
                          </a:xfrm>
                          <a:prstGeom prst="rect">
                            <a:avLst/>
                          </a:prstGeom>
                          <a:noFill/>
                          <a:ln w="9525" cap="flat" cmpd="sng">
                            <a:solidFill>
                              <a:srgbClr val="000000"/>
                            </a:solidFill>
                            <a:prstDash val="solid"/>
                            <a:miter/>
                            <a:headEnd type="none" w="med" len="med"/>
                            <a:tailEnd type="none" w="med" len="med"/>
                          </a:ln>
                        </pic:spPr>
                      </pic:pic>
                    </a:graphicData>
                  </a:graphic>
                </wp:anchor>
              </w:drawing>
            </w:r>
            <w:r>
              <w:rPr>
                <w:rFonts w:hint="default" w:ascii="Times New Roman" w:hAnsi="Times New Roman" w:eastAsia="宋体" w:cs="Times New Roman"/>
                <w:color w:val="auto"/>
                <w:sz w:val="21"/>
                <w:szCs w:val="21"/>
                <w:highlight w:val="none"/>
                <w:lang w:eastAsia="zh-CN"/>
              </w:rPr>
              <w:drawing>
                <wp:anchor distT="0" distB="0" distL="114300" distR="114300" simplePos="0" relativeHeight="251669504" behindDoc="0" locked="0" layoutInCell="1" allowOverlap="1">
                  <wp:simplePos x="0" y="0"/>
                  <wp:positionH relativeFrom="column">
                    <wp:posOffset>1635760</wp:posOffset>
                  </wp:positionH>
                  <wp:positionV relativeFrom="paragraph">
                    <wp:posOffset>112395</wp:posOffset>
                  </wp:positionV>
                  <wp:extent cx="1620520" cy="869950"/>
                  <wp:effectExtent l="9525" t="9525" r="27305" b="15875"/>
                  <wp:wrapNone/>
                  <wp:docPr id="7" name="图片 1062" descr="b8791a6bd6323c1da1ef52bfabe4d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62" descr="b8791a6bd6323c1da1ef52bfabe4d3b"/>
                          <pic:cNvPicPr>
                            <a:picLocks noChangeAspect="1"/>
                          </pic:cNvPicPr>
                        </pic:nvPicPr>
                        <pic:blipFill>
                          <a:blip r:embed="rId27"/>
                          <a:stretch>
                            <a:fillRect/>
                          </a:stretch>
                        </pic:blipFill>
                        <pic:spPr>
                          <a:xfrm>
                            <a:off x="0" y="0"/>
                            <a:ext cx="1620520" cy="869950"/>
                          </a:xfrm>
                          <a:prstGeom prst="rect">
                            <a:avLst/>
                          </a:prstGeom>
                          <a:noFill/>
                          <a:ln w="9525" cap="flat" cmpd="sng">
                            <a:solidFill>
                              <a:srgbClr val="000000"/>
                            </a:solidFill>
                            <a:prstDash val="solid"/>
                            <a:miter/>
                            <a:headEnd type="none" w="med" len="med"/>
                            <a:tailEnd type="none" w="med" len="med"/>
                          </a:ln>
                        </pic:spPr>
                      </pic:pic>
                    </a:graphicData>
                  </a:graphic>
                </wp:anchor>
              </w:drawing>
            </w:r>
            <w:r>
              <w:rPr>
                <w:rFonts w:hint="default" w:ascii="Times New Roman" w:hAnsi="Times New Roman" w:eastAsia="宋体" w:cs="Times New Roman"/>
                <w:color w:val="auto"/>
                <w:sz w:val="21"/>
                <w:szCs w:val="21"/>
                <w:highlight w:val="none"/>
                <w:lang w:eastAsia="zh-CN"/>
              </w:rPr>
              <w:drawing>
                <wp:anchor distT="0" distB="0" distL="114300" distR="114300" simplePos="0" relativeHeight="251668480" behindDoc="0" locked="0" layoutInCell="1" allowOverlap="1">
                  <wp:simplePos x="0" y="0"/>
                  <wp:positionH relativeFrom="column">
                    <wp:posOffset>80010</wp:posOffset>
                  </wp:positionH>
                  <wp:positionV relativeFrom="paragraph">
                    <wp:posOffset>112395</wp:posOffset>
                  </wp:positionV>
                  <wp:extent cx="1462405" cy="864235"/>
                  <wp:effectExtent l="9525" t="9525" r="13970" b="21590"/>
                  <wp:wrapNone/>
                  <wp:docPr id="6" name="图片 1063" descr="687f15e72b2caa7fb261f25803ab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63" descr="687f15e72b2caa7fb261f25803ab729"/>
                          <pic:cNvPicPr>
                            <a:picLocks noChangeAspect="1"/>
                          </pic:cNvPicPr>
                        </pic:nvPicPr>
                        <pic:blipFill>
                          <a:blip r:embed="rId26"/>
                          <a:stretch>
                            <a:fillRect/>
                          </a:stretch>
                        </pic:blipFill>
                        <pic:spPr>
                          <a:xfrm>
                            <a:off x="0" y="0"/>
                            <a:ext cx="1462405" cy="864235"/>
                          </a:xfrm>
                          <a:prstGeom prst="rect">
                            <a:avLst/>
                          </a:prstGeom>
                          <a:noFill/>
                          <a:ln w="9525" cap="flat" cmpd="sng">
                            <a:solidFill>
                              <a:srgbClr val="000000"/>
                            </a:solidFill>
                            <a:prstDash val="solid"/>
                            <a:miter/>
                            <a:headEnd type="none" w="med" len="med"/>
                            <a:tailEnd type="none" w="med" len="med"/>
                          </a:ln>
                        </pic:spPr>
                      </pic:pic>
                    </a:graphicData>
                  </a:graphic>
                </wp:anchor>
              </w:drawing>
            </w:r>
          </w:p>
          <w:p w14:paraId="0D1AA98B">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p>
          <w:p w14:paraId="438912FF">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p>
          <w:p w14:paraId="407486CC">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p>
          <w:p w14:paraId="3F4A1C71">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p>
          <w:p w14:paraId="23ADA46B">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p>
          <w:p w14:paraId="5E9567E6">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center"/>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图</w:t>
            </w:r>
            <w:r>
              <w:rPr>
                <w:rFonts w:hint="default" w:ascii="Times New Roman" w:hAnsi="Times New Roman" w:eastAsia="宋体" w:cs="Times New Roman"/>
                <w:color w:val="auto"/>
                <w:sz w:val="21"/>
                <w:szCs w:val="21"/>
                <w:highlight w:val="none"/>
                <w:lang w:val="en-US" w:eastAsia="zh-CN"/>
              </w:rPr>
              <w:t>5-1</w:t>
            </w:r>
            <w:r>
              <w:rPr>
                <w:rFonts w:hint="default" w:ascii="Times New Roman" w:hAnsi="Times New Roman" w:eastAsia="宋体" w:cs="Times New Roman"/>
                <w:color w:val="auto"/>
                <w:sz w:val="21"/>
                <w:szCs w:val="21"/>
                <w:highlight w:val="none"/>
                <w:lang w:eastAsia="zh-CN"/>
              </w:rPr>
              <w:t xml:space="preserve">  环境保护图形标志牌</w:t>
            </w:r>
          </w:p>
          <w:p w14:paraId="1D7E1199">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c、建立规范化排污口档案</w:t>
            </w:r>
          </w:p>
          <w:p w14:paraId="69CC1B6D">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建立各排污口相应的监督管理档案，内容包括排污单位名称，排污口性质及编号，排污口的地理位置（GPS定位经纬度），排污口所排放的主要污染物种类、数量、浓度及排放去向、达标情况，设施运行及日常现场监督检查记录等有关资料和记录。</w:t>
            </w:r>
          </w:p>
          <w:p w14:paraId="147FB666">
            <w:pPr>
              <w:pStyle w:val="13"/>
              <w:rPr>
                <w:rFonts w:hint="default" w:ascii="Times New Roman" w:hAnsi="Times New Roman" w:eastAsia="宋体" w:cs="Times New Roman"/>
                <w:color w:val="auto"/>
                <w:sz w:val="21"/>
                <w:szCs w:val="21"/>
                <w:highlight w:val="none"/>
                <w:lang w:eastAsia="zh-CN"/>
              </w:rPr>
            </w:pPr>
          </w:p>
          <w:p w14:paraId="4385E9DE">
            <w:pPr>
              <w:pStyle w:val="14"/>
              <w:rPr>
                <w:rFonts w:hint="default" w:ascii="Times New Roman" w:hAnsi="Times New Roman" w:eastAsia="宋体" w:cs="Times New Roman"/>
                <w:color w:val="auto"/>
                <w:sz w:val="21"/>
                <w:szCs w:val="21"/>
                <w:highlight w:val="none"/>
                <w:lang w:eastAsia="zh-CN"/>
              </w:rPr>
            </w:pPr>
          </w:p>
          <w:p w14:paraId="0594ABAA">
            <w:pPr>
              <w:rPr>
                <w:rFonts w:hint="default" w:ascii="Times New Roman" w:hAnsi="Times New Roman" w:eastAsia="宋体" w:cs="Times New Roman"/>
                <w:color w:val="auto"/>
                <w:sz w:val="21"/>
                <w:szCs w:val="21"/>
                <w:highlight w:val="none"/>
                <w:lang w:eastAsia="zh-CN"/>
              </w:rPr>
            </w:pPr>
          </w:p>
          <w:p w14:paraId="2E2C89B6">
            <w:pPr>
              <w:rPr>
                <w:rFonts w:hint="default" w:ascii="Times New Roman" w:hAnsi="Times New Roman" w:eastAsia="宋体" w:cs="Times New Roman"/>
                <w:color w:val="auto"/>
                <w:sz w:val="21"/>
                <w:szCs w:val="21"/>
                <w:highlight w:val="none"/>
                <w:lang w:eastAsia="zh-CN"/>
              </w:rPr>
            </w:pPr>
          </w:p>
          <w:p w14:paraId="4DD535E4">
            <w:pPr>
              <w:rPr>
                <w:rFonts w:hint="default" w:ascii="Times New Roman" w:hAnsi="Times New Roman" w:eastAsia="宋体" w:cs="Times New Roman"/>
                <w:color w:val="auto"/>
                <w:sz w:val="21"/>
                <w:szCs w:val="21"/>
                <w:highlight w:val="none"/>
                <w:lang w:eastAsia="zh-CN"/>
              </w:rPr>
            </w:pPr>
          </w:p>
          <w:p w14:paraId="55DD84F1">
            <w:pPr>
              <w:rPr>
                <w:rFonts w:hint="default" w:ascii="Times New Roman" w:hAnsi="Times New Roman" w:eastAsia="宋体" w:cs="Times New Roman"/>
                <w:color w:val="auto"/>
                <w:sz w:val="21"/>
                <w:szCs w:val="21"/>
                <w:highlight w:val="none"/>
                <w:lang w:eastAsia="zh-CN"/>
              </w:rPr>
            </w:pPr>
          </w:p>
          <w:p w14:paraId="1E3AC08E">
            <w:pPr>
              <w:rPr>
                <w:rFonts w:hint="default" w:ascii="Times New Roman" w:hAnsi="Times New Roman" w:eastAsia="宋体" w:cs="Times New Roman"/>
                <w:color w:val="auto"/>
                <w:sz w:val="21"/>
                <w:szCs w:val="21"/>
                <w:highlight w:val="none"/>
                <w:lang w:eastAsia="zh-CN"/>
              </w:rPr>
            </w:pPr>
          </w:p>
          <w:p w14:paraId="733C4AE4">
            <w:pPr>
              <w:rPr>
                <w:rFonts w:hint="default" w:ascii="Times New Roman" w:hAnsi="Times New Roman" w:eastAsia="宋体" w:cs="Times New Roman"/>
                <w:color w:val="auto"/>
                <w:sz w:val="21"/>
                <w:szCs w:val="21"/>
                <w:highlight w:val="none"/>
                <w:lang w:eastAsia="zh-CN"/>
              </w:rPr>
            </w:pPr>
          </w:p>
          <w:p w14:paraId="64A827F8">
            <w:pPr>
              <w:rPr>
                <w:rFonts w:hint="default" w:ascii="Times New Roman" w:hAnsi="Times New Roman" w:eastAsia="宋体" w:cs="Times New Roman"/>
                <w:color w:val="auto"/>
                <w:sz w:val="21"/>
                <w:szCs w:val="21"/>
                <w:highlight w:val="none"/>
                <w:lang w:eastAsia="zh-CN"/>
              </w:rPr>
            </w:pPr>
          </w:p>
          <w:p w14:paraId="384FAF94">
            <w:pPr>
              <w:rPr>
                <w:rFonts w:hint="default" w:ascii="Times New Roman" w:hAnsi="Times New Roman" w:eastAsia="宋体" w:cs="Times New Roman"/>
                <w:color w:val="auto"/>
                <w:sz w:val="21"/>
                <w:szCs w:val="21"/>
                <w:highlight w:val="none"/>
                <w:lang w:eastAsia="zh-CN"/>
              </w:rPr>
            </w:pPr>
          </w:p>
          <w:p w14:paraId="17E4B837">
            <w:pPr>
              <w:rPr>
                <w:rFonts w:hint="default" w:ascii="Times New Roman" w:hAnsi="Times New Roman" w:eastAsia="宋体" w:cs="Times New Roman"/>
                <w:color w:val="auto"/>
                <w:sz w:val="21"/>
                <w:szCs w:val="21"/>
                <w:highlight w:val="none"/>
                <w:lang w:eastAsia="zh-CN"/>
              </w:rPr>
            </w:pPr>
          </w:p>
          <w:p w14:paraId="23251651">
            <w:pPr>
              <w:rPr>
                <w:rFonts w:hint="default" w:ascii="Times New Roman" w:hAnsi="Times New Roman" w:eastAsia="宋体" w:cs="Times New Roman"/>
                <w:color w:val="auto"/>
                <w:sz w:val="21"/>
                <w:szCs w:val="21"/>
                <w:highlight w:val="none"/>
                <w:lang w:eastAsia="zh-CN"/>
              </w:rPr>
            </w:pPr>
          </w:p>
          <w:p w14:paraId="0B1C4976">
            <w:pPr>
              <w:rPr>
                <w:rFonts w:hint="default" w:ascii="Times New Roman" w:hAnsi="Times New Roman" w:eastAsia="宋体" w:cs="Times New Roman"/>
                <w:color w:val="auto"/>
                <w:sz w:val="21"/>
                <w:szCs w:val="21"/>
                <w:highlight w:val="none"/>
                <w:lang w:eastAsia="zh-CN"/>
              </w:rPr>
            </w:pPr>
          </w:p>
          <w:p w14:paraId="3295E2B2">
            <w:pPr>
              <w:rPr>
                <w:rFonts w:hint="default" w:ascii="Times New Roman" w:hAnsi="Times New Roman" w:eastAsia="宋体" w:cs="Times New Roman"/>
                <w:color w:val="auto"/>
                <w:sz w:val="21"/>
                <w:szCs w:val="21"/>
                <w:highlight w:val="none"/>
                <w:lang w:eastAsia="zh-CN"/>
              </w:rPr>
            </w:pPr>
          </w:p>
          <w:p w14:paraId="035CA64F">
            <w:pPr>
              <w:rPr>
                <w:rFonts w:hint="default" w:ascii="Times New Roman" w:hAnsi="Times New Roman" w:eastAsia="宋体" w:cs="Times New Roman"/>
                <w:color w:val="auto"/>
                <w:sz w:val="21"/>
                <w:szCs w:val="21"/>
                <w:highlight w:val="none"/>
                <w:lang w:eastAsia="zh-CN"/>
              </w:rPr>
            </w:pPr>
          </w:p>
          <w:p w14:paraId="46D56D2F">
            <w:pPr>
              <w:rPr>
                <w:rFonts w:hint="default" w:ascii="Times New Roman" w:hAnsi="Times New Roman" w:eastAsia="宋体" w:cs="Times New Roman"/>
                <w:color w:val="auto"/>
                <w:sz w:val="21"/>
                <w:szCs w:val="21"/>
                <w:highlight w:val="none"/>
                <w:lang w:eastAsia="zh-CN"/>
              </w:rPr>
            </w:pPr>
          </w:p>
          <w:p w14:paraId="47D33598">
            <w:pPr>
              <w:rPr>
                <w:rFonts w:hint="default" w:ascii="Times New Roman" w:hAnsi="Times New Roman" w:eastAsia="宋体" w:cs="Times New Roman"/>
                <w:color w:val="auto"/>
                <w:sz w:val="21"/>
                <w:szCs w:val="21"/>
                <w:highlight w:val="none"/>
                <w:lang w:eastAsia="zh-CN"/>
              </w:rPr>
            </w:pPr>
          </w:p>
          <w:p w14:paraId="47BBFFD2">
            <w:pPr>
              <w:rPr>
                <w:rFonts w:hint="default" w:ascii="Times New Roman" w:hAnsi="Times New Roman" w:eastAsia="宋体" w:cs="Times New Roman"/>
                <w:color w:val="auto"/>
                <w:sz w:val="21"/>
                <w:szCs w:val="21"/>
                <w:highlight w:val="none"/>
                <w:lang w:eastAsia="zh-CN"/>
              </w:rPr>
            </w:pPr>
          </w:p>
          <w:p w14:paraId="632E7875">
            <w:pPr>
              <w:rPr>
                <w:rFonts w:hint="default" w:ascii="Times New Roman" w:hAnsi="Times New Roman" w:cs="Times New Roman"/>
                <w:color w:val="auto"/>
                <w:sz w:val="24"/>
                <w:highlight w:val="none"/>
                <w:lang w:val="en-US" w:eastAsia="zh-CN"/>
              </w:rPr>
            </w:pPr>
          </w:p>
        </w:tc>
      </w:tr>
    </w:tbl>
    <w:p w14:paraId="589216E4">
      <w:pPr>
        <w:pStyle w:val="36"/>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cs="Times New Roman"/>
          <w:snapToGrid w:val="0"/>
          <w:color w:val="auto"/>
          <w:sz w:val="21"/>
          <w:szCs w:val="21"/>
          <w:highlight w:val="none"/>
        </w:rPr>
        <w:br w:type="page"/>
      </w:r>
      <w:r>
        <w:rPr>
          <w:rFonts w:hint="default" w:ascii="Times New Roman" w:hAnsi="Times New Roman" w:eastAsia="黑体" w:cs="Times New Roman"/>
          <w:snapToGrid w:val="0"/>
          <w:color w:val="auto"/>
          <w:sz w:val="30"/>
          <w:szCs w:val="30"/>
          <w:highlight w:val="none"/>
        </w:rPr>
        <w:t>六、结论</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962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60" w:type="dxa"/>
          </w:tcPr>
          <w:p w14:paraId="457149B6">
            <w:pPr>
              <w:spacing w:line="360" w:lineRule="auto"/>
              <w:ind w:firstLine="480" w:firstLineChars="200"/>
              <w:rPr>
                <w:rFonts w:hint="default" w:ascii="Times New Roman" w:hAnsi="Times New Roman" w:eastAsia="宋体" w:cs="Times New Roman"/>
                <w:color w:val="auto"/>
                <w:kern w:val="0"/>
                <w:sz w:val="24"/>
                <w:highlight w:val="none"/>
              </w:rPr>
            </w:pPr>
          </w:p>
          <w:p w14:paraId="2539EDF8">
            <w:pPr>
              <w:spacing w:line="360" w:lineRule="auto"/>
              <w:ind w:firstLine="480" w:firstLineChars="200"/>
              <w:rPr>
                <w:rFonts w:hint="default" w:ascii="Times New Roman" w:hAnsi="Times New Roman" w:eastAsia="宋体" w:cs="Times New Roman"/>
                <w:color w:val="auto"/>
                <w:kern w:val="0"/>
                <w:sz w:val="24"/>
                <w:highlight w:val="none"/>
              </w:rPr>
            </w:pPr>
          </w:p>
          <w:p w14:paraId="6C2B7015">
            <w:pPr>
              <w:spacing w:line="360" w:lineRule="auto"/>
              <w:ind w:firstLine="480" w:firstLineChars="200"/>
              <w:rPr>
                <w:rFonts w:hint="default" w:ascii="Times New Roman" w:hAnsi="Times New Roman" w:eastAsia="宋体" w:cs="Times New Roman"/>
                <w:color w:val="auto"/>
                <w:kern w:val="0"/>
                <w:sz w:val="24"/>
                <w:highlight w:val="none"/>
              </w:rPr>
            </w:pPr>
          </w:p>
          <w:p w14:paraId="503ABA53">
            <w:pPr>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本项目符合国家产业政策要求，在认真贯彻执行国家环保法律、法规，严格落实环评规定的各项环保措施，加强环境管理情况下，污染物的排放可以实现达标排放</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sz w:val="24"/>
                <w:highlight w:val="none"/>
                <w:lang w:val="en-US" w:eastAsia="zh-CN"/>
              </w:rPr>
              <w:t>可满足主要污染物总量控制要求，</w:t>
            </w:r>
            <w:r>
              <w:rPr>
                <w:rFonts w:hint="default" w:ascii="Times New Roman" w:hAnsi="Times New Roman" w:eastAsia="宋体" w:cs="Times New Roman"/>
                <w:color w:val="auto"/>
                <w:sz w:val="24"/>
                <w:highlight w:val="none"/>
              </w:rPr>
              <w:t>不会对区域环境产生明显不利影响</w:t>
            </w:r>
            <w:r>
              <w:rPr>
                <w:rFonts w:hint="default" w:ascii="Times New Roman" w:hAnsi="Times New Roman" w:eastAsia="宋体" w:cs="Times New Roman"/>
                <w:color w:val="auto"/>
                <w:kern w:val="0"/>
                <w:sz w:val="24"/>
                <w:highlight w:val="none"/>
              </w:rPr>
              <w:t>。</w:t>
            </w:r>
          </w:p>
          <w:p w14:paraId="5F794FCC">
            <w:pPr>
              <w:spacing w:line="360" w:lineRule="auto"/>
              <w:ind w:firstLine="480" w:firstLineChars="200"/>
              <w:rPr>
                <w:rFonts w:hint="default" w:ascii="Times New Roman" w:hAnsi="Times New Roman" w:eastAsia="黑体" w:cs="Times New Roman"/>
                <w:snapToGrid w:val="0"/>
                <w:color w:val="auto"/>
                <w:sz w:val="30"/>
                <w:szCs w:val="30"/>
                <w:highlight w:val="none"/>
              </w:rPr>
            </w:pPr>
            <w:r>
              <w:rPr>
                <w:rFonts w:hint="default" w:ascii="Times New Roman" w:hAnsi="Times New Roman" w:eastAsia="宋体" w:cs="Times New Roman"/>
                <w:color w:val="auto"/>
                <w:kern w:val="0"/>
                <w:sz w:val="24"/>
                <w:highlight w:val="none"/>
              </w:rPr>
              <w:t>因此，从环境保护角度分析，该项目环境影响可行。</w:t>
            </w:r>
          </w:p>
          <w:p w14:paraId="2E8EE507">
            <w:pPr>
              <w:pStyle w:val="36"/>
              <w:jc w:val="center"/>
              <w:outlineLvl w:val="0"/>
              <w:rPr>
                <w:rFonts w:hint="default" w:ascii="Times New Roman" w:hAnsi="Times New Roman" w:eastAsia="黑体" w:cs="Times New Roman"/>
                <w:snapToGrid w:val="0"/>
                <w:color w:val="auto"/>
                <w:sz w:val="30"/>
                <w:szCs w:val="30"/>
                <w:highlight w:val="none"/>
              </w:rPr>
            </w:pPr>
          </w:p>
          <w:p w14:paraId="3AD1BA6D">
            <w:pPr>
              <w:pStyle w:val="36"/>
              <w:jc w:val="center"/>
              <w:outlineLvl w:val="0"/>
              <w:rPr>
                <w:rFonts w:hint="default" w:ascii="Times New Roman" w:hAnsi="Times New Roman" w:eastAsia="黑体" w:cs="Times New Roman"/>
                <w:snapToGrid w:val="0"/>
                <w:color w:val="auto"/>
                <w:sz w:val="30"/>
                <w:szCs w:val="30"/>
                <w:highlight w:val="none"/>
              </w:rPr>
            </w:pPr>
          </w:p>
          <w:p w14:paraId="30BB8C2F">
            <w:pPr>
              <w:pStyle w:val="36"/>
              <w:jc w:val="center"/>
              <w:outlineLvl w:val="0"/>
              <w:rPr>
                <w:rFonts w:hint="default" w:ascii="Times New Roman" w:hAnsi="Times New Roman" w:eastAsia="黑体" w:cs="Times New Roman"/>
                <w:snapToGrid w:val="0"/>
                <w:color w:val="auto"/>
                <w:sz w:val="30"/>
                <w:szCs w:val="30"/>
                <w:highlight w:val="none"/>
              </w:rPr>
            </w:pPr>
          </w:p>
          <w:p w14:paraId="50B32937">
            <w:pPr>
              <w:pStyle w:val="36"/>
              <w:jc w:val="center"/>
              <w:outlineLvl w:val="0"/>
              <w:rPr>
                <w:rFonts w:hint="default" w:ascii="Times New Roman" w:hAnsi="Times New Roman" w:eastAsia="黑体" w:cs="Times New Roman"/>
                <w:snapToGrid w:val="0"/>
                <w:color w:val="auto"/>
                <w:sz w:val="30"/>
                <w:szCs w:val="30"/>
                <w:highlight w:val="none"/>
              </w:rPr>
            </w:pPr>
          </w:p>
          <w:p w14:paraId="6367808E">
            <w:pPr>
              <w:pStyle w:val="36"/>
              <w:jc w:val="center"/>
              <w:outlineLvl w:val="0"/>
              <w:rPr>
                <w:rFonts w:hint="default" w:ascii="Times New Roman" w:hAnsi="Times New Roman" w:eastAsia="黑体" w:cs="Times New Roman"/>
                <w:snapToGrid w:val="0"/>
                <w:color w:val="auto"/>
                <w:sz w:val="30"/>
                <w:szCs w:val="30"/>
                <w:highlight w:val="none"/>
              </w:rPr>
            </w:pPr>
          </w:p>
          <w:p w14:paraId="2BFF9D30">
            <w:pPr>
              <w:pStyle w:val="36"/>
              <w:jc w:val="center"/>
              <w:outlineLvl w:val="0"/>
              <w:rPr>
                <w:rFonts w:hint="default" w:ascii="Times New Roman" w:hAnsi="Times New Roman" w:eastAsia="黑体" w:cs="Times New Roman"/>
                <w:snapToGrid w:val="0"/>
                <w:color w:val="auto"/>
                <w:sz w:val="30"/>
                <w:szCs w:val="30"/>
                <w:highlight w:val="none"/>
              </w:rPr>
            </w:pPr>
          </w:p>
          <w:p w14:paraId="23801374">
            <w:pPr>
              <w:pStyle w:val="36"/>
              <w:jc w:val="center"/>
              <w:outlineLvl w:val="0"/>
              <w:rPr>
                <w:rFonts w:hint="default" w:ascii="Times New Roman" w:hAnsi="Times New Roman" w:eastAsia="黑体" w:cs="Times New Roman"/>
                <w:snapToGrid w:val="0"/>
                <w:color w:val="auto"/>
                <w:sz w:val="30"/>
                <w:szCs w:val="30"/>
                <w:highlight w:val="none"/>
              </w:rPr>
            </w:pPr>
          </w:p>
          <w:p w14:paraId="7515071D">
            <w:pPr>
              <w:pStyle w:val="36"/>
              <w:jc w:val="center"/>
              <w:outlineLvl w:val="0"/>
              <w:rPr>
                <w:rFonts w:hint="default" w:ascii="Times New Roman" w:hAnsi="Times New Roman" w:eastAsia="黑体" w:cs="Times New Roman"/>
                <w:snapToGrid w:val="0"/>
                <w:color w:val="auto"/>
                <w:sz w:val="30"/>
                <w:szCs w:val="30"/>
                <w:highlight w:val="none"/>
              </w:rPr>
            </w:pPr>
          </w:p>
          <w:p w14:paraId="4BAA5780">
            <w:pPr>
              <w:pStyle w:val="36"/>
              <w:jc w:val="center"/>
              <w:outlineLvl w:val="0"/>
              <w:rPr>
                <w:rFonts w:hint="default" w:ascii="Times New Roman" w:hAnsi="Times New Roman" w:eastAsia="黑体" w:cs="Times New Roman"/>
                <w:snapToGrid w:val="0"/>
                <w:color w:val="auto"/>
                <w:sz w:val="30"/>
                <w:szCs w:val="30"/>
                <w:highlight w:val="none"/>
              </w:rPr>
            </w:pPr>
          </w:p>
          <w:p w14:paraId="32B02FDC">
            <w:pPr>
              <w:pStyle w:val="36"/>
              <w:jc w:val="center"/>
              <w:outlineLvl w:val="0"/>
              <w:rPr>
                <w:rFonts w:hint="default" w:ascii="Times New Roman" w:hAnsi="Times New Roman" w:eastAsia="黑体" w:cs="Times New Roman"/>
                <w:snapToGrid w:val="0"/>
                <w:color w:val="auto"/>
                <w:sz w:val="30"/>
                <w:szCs w:val="30"/>
                <w:highlight w:val="none"/>
              </w:rPr>
            </w:pPr>
          </w:p>
          <w:p w14:paraId="59851920">
            <w:pPr>
              <w:pStyle w:val="36"/>
              <w:jc w:val="center"/>
              <w:outlineLvl w:val="0"/>
              <w:rPr>
                <w:rFonts w:hint="default" w:ascii="Times New Roman" w:hAnsi="Times New Roman" w:eastAsia="黑体" w:cs="Times New Roman"/>
                <w:snapToGrid w:val="0"/>
                <w:color w:val="auto"/>
                <w:sz w:val="30"/>
                <w:szCs w:val="30"/>
                <w:highlight w:val="none"/>
                <w:lang w:val="en-US" w:eastAsia="zh-CN"/>
              </w:rPr>
            </w:pPr>
          </w:p>
          <w:p w14:paraId="581BF675">
            <w:pPr>
              <w:pStyle w:val="36"/>
              <w:jc w:val="center"/>
              <w:outlineLvl w:val="0"/>
              <w:rPr>
                <w:rFonts w:hint="default" w:ascii="Times New Roman" w:hAnsi="Times New Roman" w:eastAsia="黑体" w:cs="Times New Roman"/>
                <w:snapToGrid w:val="0"/>
                <w:color w:val="auto"/>
                <w:sz w:val="30"/>
                <w:szCs w:val="30"/>
                <w:highlight w:val="none"/>
              </w:rPr>
            </w:pPr>
          </w:p>
          <w:p w14:paraId="77A6A919">
            <w:pPr>
              <w:pStyle w:val="36"/>
              <w:jc w:val="both"/>
              <w:outlineLvl w:val="0"/>
              <w:rPr>
                <w:rFonts w:hint="default" w:ascii="Times New Roman" w:hAnsi="Times New Roman" w:eastAsia="黑体" w:cs="Times New Roman"/>
                <w:snapToGrid w:val="0"/>
                <w:color w:val="auto"/>
                <w:sz w:val="30"/>
                <w:szCs w:val="30"/>
                <w:highlight w:val="none"/>
              </w:rPr>
            </w:pPr>
          </w:p>
        </w:tc>
      </w:tr>
    </w:tbl>
    <w:p w14:paraId="0C762320">
      <w:pPr>
        <w:rPr>
          <w:rFonts w:hint="default" w:ascii="Times New Roman" w:hAnsi="Times New Roman" w:cs="Times New Roman"/>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497A3F8">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textAlignment w:val="auto"/>
        <w:outlineLvl w:val="0"/>
        <w:rPr>
          <w:rFonts w:hint="default" w:ascii="Times New Roman" w:hAnsi="Times New Roman" w:eastAsia="黑体" w:cs="Times New Roman"/>
          <w:snapToGrid w:val="0"/>
          <w:color w:val="auto"/>
          <w:sz w:val="40"/>
          <w:szCs w:val="40"/>
          <w:highlight w:val="none"/>
        </w:rPr>
      </w:pPr>
      <w:r>
        <w:rPr>
          <w:rFonts w:hint="default" w:ascii="Times New Roman" w:hAnsi="Times New Roman" w:eastAsia="黑体" w:cs="Times New Roman"/>
          <w:snapToGrid w:val="0"/>
          <w:color w:val="auto"/>
          <w:sz w:val="32"/>
          <w:szCs w:val="32"/>
          <w:highlight w:val="none"/>
        </w:rPr>
        <w:t>附表</w:t>
      </w:r>
    </w:p>
    <w:p w14:paraId="52E39442">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default" w:ascii="Times New Roman" w:hAnsi="Times New Roman" w:eastAsia="方正小标宋_GBK" w:cs="Times New Roman"/>
          <w:snapToGrid w:val="0"/>
          <w:color w:val="auto"/>
          <w:sz w:val="32"/>
          <w:szCs w:val="32"/>
          <w:highlight w:val="none"/>
        </w:rPr>
      </w:pPr>
      <w:r>
        <w:rPr>
          <w:rFonts w:hint="default" w:ascii="Times New Roman" w:hAnsi="Times New Roman" w:cs="Times New Roman"/>
          <w:b/>
          <w:bCs/>
          <w:color w:val="auto"/>
          <w:sz w:val="32"/>
          <w:szCs w:val="32"/>
          <w:highlight w:val="none"/>
        </w:rPr>
        <w:t>建设项目污染物排放量汇总表</w:t>
      </w:r>
    </w:p>
    <w:tbl>
      <w:tblPr>
        <w:tblStyle w:val="40"/>
        <w:tblW w:w="1387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604"/>
        <w:gridCol w:w="1712"/>
        <w:gridCol w:w="1137"/>
        <w:gridCol w:w="1859"/>
        <w:gridCol w:w="1569"/>
        <w:gridCol w:w="1297"/>
        <w:gridCol w:w="2053"/>
        <w:gridCol w:w="1225"/>
      </w:tblGrid>
      <w:tr w14:paraId="2A29F0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tcBorders>
              <w:tl2br w:val="single" w:color="auto" w:sz="4" w:space="0"/>
            </w:tcBorders>
            <w:tcMar>
              <w:left w:w="28" w:type="dxa"/>
              <w:right w:w="28" w:type="dxa"/>
            </w:tcMar>
            <w:vAlign w:val="center"/>
          </w:tcPr>
          <w:p w14:paraId="6731227E">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项目</w:t>
            </w:r>
          </w:p>
          <w:p w14:paraId="61B07308">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分类</w:t>
            </w:r>
          </w:p>
        </w:tc>
        <w:tc>
          <w:tcPr>
            <w:tcW w:w="1604" w:type="dxa"/>
            <w:tcMar>
              <w:left w:w="28" w:type="dxa"/>
              <w:right w:w="28" w:type="dxa"/>
            </w:tcMar>
            <w:vAlign w:val="center"/>
          </w:tcPr>
          <w:p w14:paraId="4A201832">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污染物名称</w:t>
            </w:r>
          </w:p>
        </w:tc>
        <w:tc>
          <w:tcPr>
            <w:tcW w:w="1712" w:type="dxa"/>
            <w:tcMar>
              <w:left w:w="28" w:type="dxa"/>
              <w:right w:w="28" w:type="dxa"/>
            </w:tcMar>
            <w:vAlign w:val="center"/>
          </w:tcPr>
          <w:p w14:paraId="6AF0F646">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现有工程</w:t>
            </w:r>
          </w:p>
          <w:p w14:paraId="6028F90A">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排放量（固体废物产生量）</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1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snapToGrid w:val="0"/>
                <w:color w:val="auto"/>
                <w:spacing w:val="-16"/>
                <w:kern w:val="21"/>
                <w:szCs w:val="21"/>
                <w:highlight w:val="none"/>
              </w:rPr>
              <w:t>①</w:t>
            </w:r>
            <w:r>
              <w:rPr>
                <w:rFonts w:hint="default" w:ascii="Times New Roman" w:hAnsi="Times New Roman" w:eastAsia="黑体" w:cs="Times New Roman"/>
                <w:snapToGrid w:val="0"/>
                <w:color w:val="auto"/>
                <w:spacing w:val="-16"/>
                <w:kern w:val="21"/>
                <w:szCs w:val="21"/>
                <w:highlight w:val="none"/>
              </w:rPr>
              <w:fldChar w:fldCharType="end"/>
            </w:r>
          </w:p>
        </w:tc>
        <w:tc>
          <w:tcPr>
            <w:tcW w:w="1137" w:type="dxa"/>
            <w:tcMar>
              <w:left w:w="28" w:type="dxa"/>
              <w:right w:w="28" w:type="dxa"/>
            </w:tcMar>
            <w:vAlign w:val="center"/>
          </w:tcPr>
          <w:p w14:paraId="2F0150A2">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现有工程</w:t>
            </w:r>
          </w:p>
          <w:p w14:paraId="54D3F49B">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许可排放量</w:t>
            </w:r>
          </w:p>
          <w:p w14:paraId="501B97E2">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2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snapToGrid w:val="0"/>
                <w:color w:val="auto"/>
                <w:spacing w:val="-16"/>
                <w:kern w:val="21"/>
                <w:szCs w:val="21"/>
                <w:highlight w:val="none"/>
              </w:rPr>
              <w:t>②</w:t>
            </w:r>
            <w:r>
              <w:rPr>
                <w:rFonts w:hint="default" w:ascii="Times New Roman" w:hAnsi="Times New Roman" w:eastAsia="黑体" w:cs="Times New Roman"/>
                <w:snapToGrid w:val="0"/>
                <w:color w:val="auto"/>
                <w:spacing w:val="-16"/>
                <w:kern w:val="21"/>
                <w:szCs w:val="21"/>
                <w:highlight w:val="none"/>
              </w:rPr>
              <w:fldChar w:fldCharType="end"/>
            </w:r>
          </w:p>
        </w:tc>
        <w:tc>
          <w:tcPr>
            <w:tcW w:w="1859" w:type="dxa"/>
            <w:tcMar>
              <w:left w:w="28" w:type="dxa"/>
              <w:right w:w="28" w:type="dxa"/>
            </w:tcMar>
            <w:vAlign w:val="center"/>
          </w:tcPr>
          <w:p w14:paraId="3A120018">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在建工程</w:t>
            </w:r>
          </w:p>
          <w:p w14:paraId="78CEFE0F">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排放量（固体废物产生量）</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3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snapToGrid w:val="0"/>
                <w:color w:val="auto"/>
                <w:spacing w:val="-16"/>
                <w:kern w:val="21"/>
                <w:szCs w:val="21"/>
                <w:highlight w:val="none"/>
              </w:rPr>
              <w:t>③</w:t>
            </w:r>
            <w:r>
              <w:rPr>
                <w:rFonts w:hint="default" w:ascii="Times New Roman" w:hAnsi="Times New Roman" w:eastAsia="黑体" w:cs="Times New Roman"/>
                <w:snapToGrid w:val="0"/>
                <w:color w:val="auto"/>
                <w:spacing w:val="-16"/>
                <w:kern w:val="21"/>
                <w:szCs w:val="21"/>
                <w:highlight w:val="none"/>
              </w:rPr>
              <w:fldChar w:fldCharType="end"/>
            </w:r>
          </w:p>
        </w:tc>
        <w:tc>
          <w:tcPr>
            <w:tcW w:w="1569" w:type="dxa"/>
            <w:tcMar>
              <w:left w:w="28" w:type="dxa"/>
              <w:right w:w="28" w:type="dxa"/>
            </w:tcMar>
            <w:vAlign w:val="center"/>
          </w:tcPr>
          <w:p w14:paraId="440C92DD">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本项目</w:t>
            </w:r>
          </w:p>
          <w:p w14:paraId="1263C31C">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排放量（固体废物产生量）</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4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snapToGrid w:val="0"/>
                <w:color w:val="auto"/>
                <w:spacing w:val="-16"/>
                <w:kern w:val="21"/>
                <w:szCs w:val="21"/>
                <w:highlight w:val="none"/>
              </w:rPr>
              <w:t>④</w:t>
            </w:r>
            <w:r>
              <w:rPr>
                <w:rFonts w:hint="default" w:ascii="Times New Roman" w:hAnsi="Times New Roman" w:eastAsia="黑体" w:cs="Times New Roman"/>
                <w:snapToGrid w:val="0"/>
                <w:color w:val="auto"/>
                <w:spacing w:val="-16"/>
                <w:kern w:val="21"/>
                <w:szCs w:val="21"/>
                <w:highlight w:val="none"/>
              </w:rPr>
              <w:fldChar w:fldCharType="end"/>
            </w:r>
          </w:p>
        </w:tc>
        <w:tc>
          <w:tcPr>
            <w:tcW w:w="1297" w:type="dxa"/>
            <w:tcMar>
              <w:left w:w="28" w:type="dxa"/>
              <w:right w:w="28" w:type="dxa"/>
            </w:tcMar>
            <w:vAlign w:val="center"/>
          </w:tcPr>
          <w:p w14:paraId="5846CF51">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以新带老削减量（新建项目不填）</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5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snapToGrid w:val="0"/>
                <w:color w:val="auto"/>
                <w:spacing w:val="-16"/>
                <w:kern w:val="21"/>
                <w:szCs w:val="21"/>
                <w:highlight w:val="none"/>
              </w:rPr>
              <w:t>⑤</w:t>
            </w:r>
            <w:r>
              <w:rPr>
                <w:rFonts w:hint="default" w:ascii="Times New Roman" w:hAnsi="Times New Roman" w:eastAsia="黑体" w:cs="Times New Roman"/>
                <w:snapToGrid w:val="0"/>
                <w:color w:val="auto"/>
                <w:spacing w:val="-16"/>
                <w:kern w:val="21"/>
                <w:szCs w:val="21"/>
                <w:highlight w:val="none"/>
              </w:rPr>
              <w:fldChar w:fldCharType="end"/>
            </w:r>
          </w:p>
        </w:tc>
        <w:tc>
          <w:tcPr>
            <w:tcW w:w="2053" w:type="dxa"/>
            <w:tcMar>
              <w:left w:w="28" w:type="dxa"/>
              <w:right w:w="28" w:type="dxa"/>
            </w:tcMar>
            <w:vAlign w:val="center"/>
          </w:tcPr>
          <w:p w14:paraId="37C48AB7">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本项目建成后全厂排放量（固体废物产生量）</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6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color w:val="auto"/>
                <w:kern w:val="2"/>
                <w:szCs w:val="21"/>
                <w:highlight w:val="none"/>
              </w:rPr>
              <w:t>⑥</w:t>
            </w:r>
            <w:r>
              <w:rPr>
                <w:rFonts w:hint="default" w:ascii="Times New Roman" w:hAnsi="Times New Roman" w:eastAsia="黑体" w:cs="Times New Roman"/>
                <w:snapToGrid w:val="0"/>
                <w:color w:val="auto"/>
                <w:spacing w:val="-16"/>
                <w:kern w:val="21"/>
                <w:szCs w:val="21"/>
                <w:highlight w:val="none"/>
              </w:rPr>
              <w:fldChar w:fldCharType="end"/>
            </w:r>
          </w:p>
        </w:tc>
        <w:tc>
          <w:tcPr>
            <w:tcW w:w="1225" w:type="dxa"/>
            <w:tcMar>
              <w:left w:w="28" w:type="dxa"/>
              <w:right w:w="28" w:type="dxa"/>
            </w:tcMar>
            <w:vAlign w:val="center"/>
          </w:tcPr>
          <w:p w14:paraId="30BEE576">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变化量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7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⑦</w:t>
            </w:r>
            <w:r>
              <w:rPr>
                <w:rFonts w:hint="default" w:ascii="Times New Roman" w:hAnsi="Times New Roman" w:eastAsia="黑体" w:cs="Times New Roman"/>
                <w:snapToGrid w:val="0"/>
                <w:color w:val="auto"/>
                <w:spacing w:val="-6"/>
                <w:kern w:val="21"/>
                <w:szCs w:val="21"/>
                <w:highlight w:val="none"/>
              </w:rPr>
              <w:fldChar w:fldCharType="end"/>
            </w:r>
          </w:p>
        </w:tc>
      </w:tr>
      <w:tr w14:paraId="7CA2FA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restart"/>
            <w:vAlign w:val="center"/>
          </w:tcPr>
          <w:p w14:paraId="2F3858C4">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r>
              <w:rPr>
                <w:rFonts w:hint="default" w:ascii="Times New Roman" w:hAnsi="Times New Roman" w:cs="Times New Roman"/>
                <w:color w:val="auto"/>
                <w:spacing w:val="-20"/>
                <w:szCs w:val="21"/>
                <w:highlight w:val="none"/>
              </w:rPr>
              <w:t>废气</w:t>
            </w:r>
          </w:p>
        </w:tc>
        <w:tc>
          <w:tcPr>
            <w:tcW w:w="1604" w:type="dxa"/>
            <w:vAlign w:val="center"/>
          </w:tcPr>
          <w:p w14:paraId="368345B0">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SO</w:t>
            </w:r>
            <w:r>
              <w:rPr>
                <w:rFonts w:hint="default" w:ascii="Times New Roman" w:hAnsi="Times New Roman" w:cs="Times New Roman"/>
                <w:color w:val="auto"/>
                <w:szCs w:val="21"/>
                <w:highlight w:val="none"/>
                <w:vertAlign w:val="subscript"/>
              </w:rPr>
              <w:t>2</w:t>
            </w:r>
          </w:p>
        </w:tc>
        <w:tc>
          <w:tcPr>
            <w:tcW w:w="1712" w:type="dxa"/>
            <w:vAlign w:val="center"/>
          </w:tcPr>
          <w:p w14:paraId="555A8AEF">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w:t>
            </w:r>
          </w:p>
        </w:tc>
        <w:tc>
          <w:tcPr>
            <w:tcW w:w="1137" w:type="dxa"/>
            <w:vAlign w:val="center"/>
          </w:tcPr>
          <w:p w14:paraId="0A2D5F09">
            <w:pPr>
              <w:keepNext w:val="0"/>
              <w:keepLines w:val="0"/>
              <w:pageBreakBefore w:val="0"/>
              <w:kinsoku/>
              <w:wordWrap/>
              <w:overflowPunct/>
              <w:topLinePunct w:val="0"/>
              <w:autoSpaceDE/>
              <w:autoSpaceDN/>
              <w:bidi w:val="0"/>
              <w:spacing w:line="400" w:lineRule="exact"/>
              <w:ind w:firstLine="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1859" w:type="dxa"/>
            <w:vAlign w:val="center"/>
          </w:tcPr>
          <w:p w14:paraId="75FF3C70">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569" w:type="dxa"/>
            <w:vAlign w:val="center"/>
          </w:tcPr>
          <w:p w14:paraId="3062B438">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0</w:t>
            </w:r>
          </w:p>
        </w:tc>
        <w:tc>
          <w:tcPr>
            <w:tcW w:w="1297" w:type="dxa"/>
            <w:vAlign w:val="center"/>
          </w:tcPr>
          <w:p w14:paraId="5246901C">
            <w:pPr>
              <w:keepNext w:val="0"/>
              <w:keepLines w:val="0"/>
              <w:pageBreakBefore w:val="0"/>
              <w:kinsoku/>
              <w:wordWrap/>
              <w:overflowPunct/>
              <w:topLinePunct w:val="0"/>
              <w:autoSpaceDE/>
              <w:autoSpaceDN/>
              <w:bidi w:val="0"/>
              <w:spacing w:line="400" w:lineRule="exact"/>
              <w:ind w:firstLine="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2053" w:type="dxa"/>
            <w:shd w:val="clear" w:color="auto" w:fill="auto"/>
            <w:vAlign w:val="center"/>
          </w:tcPr>
          <w:p w14:paraId="0E7C4243">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rPr>
              <w:t>0</w:t>
            </w:r>
          </w:p>
        </w:tc>
        <w:tc>
          <w:tcPr>
            <w:tcW w:w="1225" w:type="dxa"/>
            <w:shd w:val="clear" w:color="auto" w:fill="auto"/>
            <w:vAlign w:val="center"/>
          </w:tcPr>
          <w:p w14:paraId="4C39BE48">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rPr>
              <w:t>0</w:t>
            </w:r>
          </w:p>
        </w:tc>
      </w:tr>
      <w:tr w14:paraId="5C9A9B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continue"/>
            <w:vAlign w:val="center"/>
          </w:tcPr>
          <w:p w14:paraId="1E394006">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p>
        </w:tc>
        <w:tc>
          <w:tcPr>
            <w:tcW w:w="1604" w:type="dxa"/>
            <w:vAlign w:val="center"/>
          </w:tcPr>
          <w:p w14:paraId="4A36330C">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NO</w:t>
            </w:r>
            <w:r>
              <w:rPr>
                <w:rFonts w:hint="default" w:ascii="Times New Roman" w:hAnsi="Times New Roman" w:cs="Times New Roman"/>
                <w:color w:val="auto"/>
                <w:szCs w:val="21"/>
                <w:highlight w:val="none"/>
                <w:vertAlign w:val="subscript"/>
              </w:rPr>
              <w:t>x</w:t>
            </w:r>
          </w:p>
        </w:tc>
        <w:tc>
          <w:tcPr>
            <w:tcW w:w="1712" w:type="dxa"/>
            <w:vAlign w:val="center"/>
          </w:tcPr>
          <w:p w14:paraId="0C28E9AF">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w:t>
            </w:r>
          </w:p>
        </w:tc>
        <w:tc>
          <w:tcPr>
            <w:tcW w:w="1137" w:type="dxa"/>
            <w:vAlign w:val="center"/>
          </w:tcPr>
          <w:p w14:paraId="3B9C5EC8">
            <w:pPr>
              <w:keepNext w:val="0"/>
              <w:keepLines w:val="0"/>
              <w:pageBreakBefore w:val="0"/>
              <w:kinsoku/>
              <w:wordWrap/>
              <w:overflowPunct/>
              <w:topLinePunct w:val="0"/>
              <w:autoSpaceDE/>
              <w:autoSpaceDN/>
              <w:bidi w:val="0"/>
              <w:spacing w:line="400" w:lineRule="exact"/>
              <w:ind w:firstLine="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1859" w:type="dxa"/>
            <w:vAlign w:val="center"/>
          </w:tcPr>
          <w:p w14:paraId="1E9C79CC">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569" w:type="dxa"/>
            <w:vAlign w:val="center"/>
          </w:tcPr>
          <w:p w14:paraId="1499F2B6">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snapToGrid w:val="0"/>
                <w:color w:val="auto"/>
                <w:kern w:val="21"/>
                <w:szCs w:val="21"/>
                <w:highlight w:val="none"/>
                <w:lang w:val="en-US" w:eastAsia="zh-CN"/>
              </w:rPr>
              <w:t>0</w:t>
            </w:r>
          </w:p>
        </w:tc>
        <w:tc>
          <w:tcPr>
            <w:tcW w:w="1297" w:type="dxa"/>
            <w:vAlign w:val="center"/>
          </w:tcPr>
          <w:p w14:paraId="4E99149F">
            <w:pPr>
              <w:keepNext w:val="0"/>
              <w:keepLines w:val="0"/>
              <w:pageBreakBefore w:val="0"/>
              <w:kinsoku/>
              <w:wordWrap/>
              <w:overflowPunct/>
              <w:topLinePunct w:val="0"/>
              <w:autoSpaceDE/>
              <w:autoSpaceDN/>
              <w:bidi w:val="0"/>
              <w:spacing w:line="400" w:lineRule="exact"/>
              <w:ind w:firstLine="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2053" w:type="dxa"/>
            <w:shd w:val="clear" w:color="auto" w:fill="auto"/>
            <w:vAlign w:val="center"/>
          </w:tcPr>
          <w:p w14:paraId="140B9EF7">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0</w:t>
            </w:r>
          </w:p>
        </w:tc>
        <w:tc>
          <w:tcPr>
            <w:tcW w:w="1225" w:type="dxa"/>
            <w:shd w:val="clear" w:color="auto" w:fill="auto"/>
            <w:vAlign w:val="center"/>
          </w:tcPr>
          <w:p w14:paraId="3D5910A7">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0</w:t>
            </w:r>
          </w:p>
        </w:tc>
      </w:tr>
      <w:tr w14:paraId="38A697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continue"/>
            <w:vAlign w:val="center"/>
          </w:tcPr>
          <w:p w14:paraId="4FD92FCF">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p>
        </w:tc>
        <w:tc>
          <w:tcPr>
            <w:tcW w:w="1604" w:type="dxa"/>
            <w:vAlign w:val="center"/>
          </w:tcPr>
          <w:p w14:paraId="519E8F9C">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颗粒物</w:t>
            </w:r>
          </w:p>
        </w:tc>
        <w:tc>
          <w:tcPr>
            <w:tcW w:w="1712" w:type="dxa"/>
            <w:vAlign w:val="center"/>
          </w:tcPr>
          <w:p w14:paraId="2617897B">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w:t>
            </w:r>
          </w:p>
        </w:tc>
        <w:tc>
          <w:tcPr>
            <w:tcW w:w="1137" w:type="dxa"/>
            <w:vAlign w:val="center"/>
          </w:tcPr>
          <w:p w14:paraId="1E145CF5">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1859" w:type="dxa"/>
            <w:vAlign w:val="center"/>
          </w:tcPr>
          <w:p w14:paraId="0C6AEBBD">
            <w:pPr>
              <w:pStyle w:val="59"/>
              <w:keepNext w:val="0"/>
              <w:keepLines w:val="0"/>
              <w:pageBreakBefore w:val="0"/>
              <w:kinsoku/>
              <w:wordWrap/>
              <w:overflowPunct/>
              <w:topLinePunct w:val="0"/>
              <w:autoSpaceDE/>
              <w:autoSpaceDN/>
              <w:bidi w:val="0"/>
              <w:spacing w:beforeLines="0" w:afterLines="0" w:line="400" w:lineRule="exact"/>
              <w:ind w:left="0" w:leftChars="0"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rPr>
              <w:t>--</w:t>
            </w:r>
          </w:p>
        </w:tc>
        <w:tc>
          <w:tcPr>
            <w:tcW w:w="1569" w:type="dxa"/>
            <w:vAlign w:val="center"/>
          </w:tcPr>
          <w:p w14:paraId="594A7103">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kern w:val="2"/>
                <w:sz w:val="21"/>
                <w:szCs w:val="21"/>
                <w:highlight w:val="cyan"/>
                <w:lang w:val="en-US" w:eastAsia="zh-CN" w:bidi="ar-SA"/>
              </w:rPr>
            </w:pPr>
            <w:r>
              <w:rPr>
                <w:rFonts w:hint="default" w:ascii="Times New Roman" w:hAnsi="Times New Roman" w:cs="Times New Roman"/>
                <w:color w:val="auto"/>
                <w:kern w:val="2"/>
                <w:sz w:val="21"/>
                <w:szCs w:val="21"/>
                <w:highlight w:val="cyan"/>
                <w:lang w:val="en-US" w:eastAsia="zh-CN" w:bidi="ar-SA"/>
              </w:rPr>
              <w:t>0.1</w:t>
            </w:r>
            <w:r>
              <w:rPr>
                <w:rFonts w:hint="eastAsia" w:cs="Times New Roman"/>
                <w:color w:val="auto"/>
                <w:kern w:val="2"/>
                <w:sz w:val="21"/>
                <w:szCs w:val="21"/>
                <w:highlight w:val="cyan"/>
                <w:lang w:val="en-US" w:eastAsia="zh-CN" w:bidi="ar-SA"/>
              </w:rPr>
              <w:t>66</w:t>
            </w:r>
          </w:p>
        </w:tc>
        <w:tc>
          <w:tcPr>
            <w:tcW w:w="1297" w:type="dxa"/>
            <w:vAlign w:val="center"/>
          </w:tcPr>
          <w:p w14:paraId="336E1E3D">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cyan"/>
                <w:lang w:val="en-US" w:eastAsia="zh-CN" w:bidi="ar-SA"/>
              </w:rPr>
            </w:pPr>
            <w:r>
              <w:rPr>
                <w:rFonts w:hint="default" w:ascii="Times New Roman" w:hAnsi="Times New Roman" w:cs="Times New Roman"/>
                <w:snapToGrid w:val="0"/>
                <w:color w:val="auto"/>
                <w:kern w:val="21"/>
                <w:sz w:val="21"/>
                <w:szCs w:val="21"/>
                <w:highlight w:val="cyan"/>
                <w:lang w:val="en-US" w:eastAsia="zh-CN" w:bidi="ar-SA"/>
              </w:rPr>
              <w:t>/</w:t>
            </w:r>
          </w:p>
        </w:tc>
        <w:tc>
          <w:tcPr>
            <w:tcW w:w="2053" w:type="dxa"/>
            <w:shd w:val="clear" w:color="auto" w:fill="auto"/>
            <w:vAlign w:val="center"/>
          </w:tcPr>
          <w:p w14:paraId="254EC784">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kern w:val="2"/>
                <w:sz w:val="21"/>
                <w:szCs w:val="21"/>
                <w:highlight w:val="cyan"/>
                <w:lang w:val="en-US" w:eastAsia="zh-CN" w:bidi="ar-SA"/>
              </w:rPr>
            </w:pPr>
            <w:r>
              <w:rPr>
                <w:rFonts w:hint="default" w:ascii="Times New Roman" w:hAnsi="Times New Roman" w:cs="Times New Roman"/>
                <w:color w:val="auto"/>
                <w:kern w:val="2"/>
                <w:sz w:val="21"/>
                <w:szCs w:val="21"/>
                <w:highlight w:val="cyan"/>
                <w:lang w:val="en-US" w:eastAsia="zh-CN" w:bidi="ar-SA"/>
              </w:rPr>
              <w:t>0.1</w:t>
            </w:r>
            <w:r>
              <w:rPr>
                <w:rFonts w:hint="eastAsia" w:cs="Times New Roman"/>
                <w:color w:val="auto"/>
                <w:kern w:val="2"/>
                <w:sz w:val="21"/>
                <w:szCs w:val="21"/>
                <w:highlight w:val="cyan"/>
                <w:lang w:val="en-US" w:eastAsia="zh-CN" w:bidi="ar-SA"/>
              </w:rPr>
              <w:t>66</w:t>
            </w:r>
          </w:p>
        </w:tc>
        <w:tc>
          <w:tcPr>
            <w:tcW w:w="1225" w:type="dxa"/>
            <w:shd w:val="clear" w:color="auto" w:fill="auto"/>
            <w:vAlign w:val="center"/>
          </w:tcPr>
          <w:p w14:paraId="7ADF7A73">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kern w:val="2"/>
                <w:sz w:val="21"/>
                <w:szCs w:val="21"/>
                <w:highlight w:val="cyan"/>
                <w:lang w:val="en-US" w:eastAsia="zh-CN" w:bidi="ar-SA"/>
              </w:rPr>
            </w:pPr>
            <w:r>
              <w:rPr>
                <w:rFonts w:hint="default" w:ascii="Times New Roman" w:hAnsi="Times New Roman" w:cs="Times New Roman"/>
                <w:color w:val="auto"/>
                <w:kern w:val="2"/>
                <w:sz w:val="21"/>
                <w:szCs w:val="21"/>
                <w:highlight w:val="cyan"/>
                <w:lang w:val="en-US" w:eastAsia="zh-CN" w:bidi="ar-SA"/>
              </w:rPr>
              <w:t>+0.1</w:t>
            </w:r>
            <w:r>
              <w:rPr>
                <w:rFonts w:hint="eastAsia" w:cs="Times New Roman"/>
                <w:color w:val="auto"/>
                <w:kern w:val="2"/>
                <w:sz w:val="21"/>
                <w:szCs w:val="21"/>
                <w:highlight w:val="cyan"/>
                <w:lang w:val="en-US" w:eastAsia="zh-CN" w:bidi="ar-SA"/>
              </w:rPr>
              <w:t>66</w:t>
            </w:r>
          </w:p>
        </w:tc>
      </w:tr>
      <w:tr w14:paraId="2A3B66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restart"/>
            <w:vAlign w:val="center"/>
          </w:tcPr>
          <w:p w14:paraId="3E72DA13">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r>
              <w:rPr>
                <w:rFonts w:hint="default" w:ascii="Times New Roman" w:hAnsi="Times New Roman" w:cs="Times New Roman"/>
                <w:color w:val="auto"/>
                <w:spacing w:val="-20"/>
                <w:szCs w:val="21"/>
                <w:highlight w:val="none"/>
              </w:rPr>
              <w:t>废水</w:t>
            </w:r>
          </w:p>
        </w:tc>
        <w:tc>
          <w:tcPr>
            <w:tcW w:w="1604" w:type="dxa"/>
            <w:vAlign w:val="center"/>
          </w:tcPr>
          <w:p w14:paraId="7B64EB4C">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color w:val="auto"/>
                <w:spacing w:val="-20"/>
                <w:szCs w:val="21"/>
                <w:highlight w:val="none"/>
              </w:rPr>
              <w:t>COD</w:t>
            </w:r>
          </w:p>
        </w:tc>
        <w:tc>
          <w:tcPr>
            <w:tcW w:w="1712" w:type="dxa"/>
            <w:vAlign w:val="center"/>
          </w:tcPr>
          <w:p w14:paraId="34DCBCE0">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w:t>
            </w:r>
          </w:p>
        </w:tc>
        <w:tc>
          <w:tcPr>
            <w:tcW w:w="1137" w:type="dxa"/>
            <w:vAlign w:val="center"/>
          </w:tcPr>
          <w:p w14:paraId="54CDCCF5">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1859" w:type="dxa"/>
            <w:vAlign w:val="center"/>
          </w:tcPr>
          <w:p w14:paraId="3A306D6D">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569" w:type="dxa"/>
            <w:vAlign w:val="center"/>
          </w:tcPr>
          <w:p w14:paraId="27C6BDD6">
            <w:pPr>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lang w:val="en-US" w:eastAsia="zh-CN"/>
              </w:rPr>
              <w:t>0</w:t>
            </w:r>
          </w:p>
        </w:tc>
        <w:tc>
          <w:tcPr>
            <w:tcW w:w="1297" w:type="dxa"/>
            <w:vAlign w:val="center"/>
          </w:tcPr>
          <w:p w14:paraId="29FCB004">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2053" w:type="dxa"/>
            <w:shd w:val="clear" w:color="auto" w:fill="auto"/>
            <w:vAlign w:val="center"/>
          </w:tcPr>
          <w:p w14:paraId="6C9F987C">
            <w:pPr>
              <w:keepNext w:val="0"/>
              <w:keepLines w:val="0"/>
              <w:pageBreakBefore w:val="0"/>
              <w:kinsoku/>
              <w:wordWrap/>
              <w:overflowPunct/>
              <w:topLinePunct w:val="0"/>
              <w:autoSpaceDE/>
              <w:autoSpaceDN/>
              <w:bidi w:val="0"/>
              <w:spacing w:beforeLines="0" w:afterLines="0"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0</w:t>
            </w:r>
          </w:p>
        </w:tc>
        <w:tc>
          <w:tcPr>
            <w:tcW w:w="1225" w:type="dxa"/>
            <w:shd w:val="clear" w:color="auto" w:fill="auto"/>
            <w:vAlign w:val="center"/>
          </w:tcPr>
          <w:p w14:paraId="705FCCF0">
            <w:pPr>
              <w:keepNext w:val="0"/>
              <w:keepLines w:val="0"/>
              <w:pageBreakBefore w:val="0"/>
              <w:kinsoku/>
              <w:wordWrap/>
              <w:overflowPunct/>
              <w:topLinePunct w:val="0"/>
              <w:autoSpaceDE/>
              <w:autoSpaceDN/>
              <w:bidi w:val="0"/>
              <w:spacing w:beforeLines="0" w:afterLines="0"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0</w:t>
            </w:r>
          </w:p>
        </w:tc>
      </w:tr>
      <w:tr w14:paraId="4B2926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continue"/>
            <w:vAlign w:val="center"/>
          </w:tcPr>
          <w:p w14:paraId="38B225E5">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p>
        </w:tc>
        <w:tc>
          <w:tcPr>
            <w:tcW w:w="1604" w:type="dxa"/>
            <w:vAlign w:val="center"/>
          </w:tcPr>
          <w:p w14:paraId="43A9ACF2">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color w:val="auto"/>
                <w:spacing w:val="-20"/>
                <w:szCs w:val="21"/>
                <w:highlight w:val="none"/>
              </w:rPr>
              <w:t>氨氮</w:t>
            </w:r>
          </w:p>
        </w:tc>
        <w:tc>
          <w:tcPr>
            <w:tcW w:w="1712" w:type="dxa"/>
            <w:vAlign w:val="center"/>
          </w:tcPr>
          <w:p w14:paraId="1364F529">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w:t>
            </w:r>
          </w:p>
        </w:tc>
        <w:tc>
          <w:tcPr>
            <w:tcW w:w="1137" w:type="dxa"/>
            <w:vAlign w:val="center"/>
          </w:tcPr>
          <w:p w14:paraId="40BBB0DA">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1859" w:type="dxa"/>
            <w:vAlign w:val="center"/>
          </w:tcPr>
          <w:p w14:paraId="0EBE7F2E">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569" w:type="dxa"/>
            <w:vAlign w:val="center"/>
          </w:tcPr>
          <w:p w14:paraId="6ADA8679">
            <w:pPr>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lang w:val="en-US" w:eastAsia="zh-CN"/>
              </w:rPr>
              <w:t>0</w:t>
            </w:r>
          </w:p>
        </w:tc>
        <w:tc>
          <w:tcPr>
            <w:tcW w:w="1297" w:type="dxa"/>
            <w:vAlign w:val="center"/>
          </w:tcPr>
          <w:p w14:paraId="0F018C81">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2053" w:type="dxa"/>
            <w:shd w:val="clear" w:color="auto" w:fill="auto"/>
            <w:vAlign w:val="center"/>
          </w:tcPr>
          <w:p w14:paraId="161AE5C9">
            <w:pPr>
              <w:keepNext w:val="0"/>
              <w:keepLines w:val="0"/>
              <w:pageBreakBefore w:val="0"/>
              <w:kinsoku/>
              <w:wordWrap/>
              <w:overflowPunct/>
              <w:topLinePunct w:val="0"/>
              <w:autoSpaceDE/>
              <w:autoSpaceDN/>
              <w:bidi w:val="0"/>
              <w:spacing w:beforeLines="0" w:afterLines="0"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0</w:t>
            </w:r>
          </w:p>
        </w:tc>
        <w:tc>
          <w:tcPr>
            <w:tcW w:w="1225" w:type="dxa"/>
            <w:shd w:val="clear" w:color="auto" w:fill="auto"/>
            <w:vAlign w:val="center"/>
          </w:tcPr>
          <w:p w14:paraId="5739A133">
            <w:pPr>
              <w:keepNext w:val="0"/>
              <w:keepLines w:val="0"/>
              <w:pageBreakBefore w:val="0"/>
              <w:kinsoku/>
              <w:wordWrap/>
              <w:overflowPunct/>
              <w:topLinePunct w:val="0"/>
              <w:autoSpaceDE/>
              <w:autoSpaceDN/>
              <w:bidi w:val="0"/>
              <w:spacing w:beforeLines="0" w:afterLines="0"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0</w:t>
            </w:r>
          </w:p>
        </w:tc>
      </w:tr>
      <w:tr w14:paraId="5CA23B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restart"/>
            <w:vAlign w:val="center"/>
          </w:tcPr>
          <w:p w14:paraId="6950FBA8">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r>
              <w:rPr>
                <w:rFonts w:hint="default" w:ascii="Times New Roman" w:hAnsi="Times New Roman" w:cs="Times New Roman"/>
                <w:color w:val="auto"/>
                <w:spacing w:val="-20"/>
                <w:szCs w:val="21"/>
                <w:highlight w:val="none"/>
              </w:rPr>
              <w:t>一般工业</w:t>
            </w:r>
          </w:p>
          <w:p w14:paraId="2EF2A748">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r>
              <w:rPr>
                <w:rFonts w:hint="default" w:ascii="Times New Roman" w:hAnsi="Times New Roman" w:cs="Times New Roman"/>
                <w:color w:val="auto"/>
                <w:spacing w:val="-20"/>
                <w:szCs w:val="21"/>
                <w:highlight w:val="none"/>
              </w:rPr>
              <w:t>固体废物</w:t>
            </w:r>
          </w:p>
        </w:tc>
        <w:tc>
          <w:tcPr>
            <w:tcW w:w="1604" w:type="dxa"/>
            <w:vAlign w:val="center"/>
          </w:tcPr>
          <w:p w14:paraId="39B53E0D">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废焊材</w:t>
            </w:r>
          </w:p>
        </w:tc>
        <w:tc>
          <w:tcPr>
            <w:tcW w:w="1712" w:type="dxa"/>
            <w:vAlign w:val="center"/>
          </w:tcPr>
          <w:p w14:paraId="0563A25D">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137" w:type="dxa"/>
            <w:vAlign w:val="center"/>
          </w:tcPr>
          <w:p w14:paraId="497E5E4F">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1859" w:type="dxa"/>
            <w:vAlign w:val="center"/>
          </w:tcPr>
          <w:p w14:paraId="7A48D498">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569" w:type="dxa"/>
            <w:vAlign w:val="center"/>
          </w:tcPr>
          <w:p w14:paraId="2D030789">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0.1</w:t>
            </w:r>
          </w:p>
        </w:tc>
        <w:tc>
          <w:tcPr>
            <w:tcW w:w="1297" w:type="dxa"/>
            <w:vAlign w:val="center"/>
          </w:tcPr>
          <w:p w14:paraId="1FCE5F15">
            <w:pPr>
              <w:keepNext w:val="0"/>
              <w:keepLines w:val="0"/>
              <w:pageBreakBefore w:val="0"/>
              <w:kinsoku/>
              <w:wordWrap/>
              <w:overflowPunct/>
              <w:topLinePunct w:val="0"/>
              <w:autoSpaceDE/>
              <w:autoSpaceDN/>
              <w:bidi w:val="0"/>
              <w:spacing w:line="400" w:lineRule="exact"/>
              <w:ind w:firstLine="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2053" w:type="dxa"/>
            <w:shd w:val="clear" w:color="auto" w:fill="auto"/>
            <w:vAlign w:val="center"/>
          </w:tcPr>
          <w:p w14:paraId="33799A07">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0.1</w:t>
            </w:r>
          </w:p>
        </w:tc>
        <w:tc>
          <w:tcPr>
            <w:tcW w:w="1225" w:type="dxa"/>
            <w:shd w:val="clear" w:color="auto" w:fill="auto"/>
            <w:vAlign w:val="center"/>
          </w:tcPr>
          <w:p w14:paraId="1DE12553">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+0.1</w:t>
            </w:r>
          </w:p>
        </w:tc>
      </w:tr>
      <w:tr w14:paraId="40B590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continue"/>
            <w:vAlign w:val="center"/>
          </w:tcPr>
          <w:p w14:paraId="1958BF67">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p>
        </w:tc>
        <w:tc>
          <w:tcPr>
            <w:tcW w:w="1604" w:type="dxa"/>
            <w:vAlign w:val="center"/>
          </w:tcPr>
          <w:p w14:paraId="2858F1EC">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cs="Times New Roman"/>
                <w:color w:val="auto"/>
                <w:spacing w:val="0"/>
                <w:kern w:val="2"/>
                <w:sz w:val="21"/>
                <w:szCs w:val="21"/>
                <w:highlight w:val="none"/>
                <w:lang w:val="en-US" w:eastAsia="zh-CN" w:bidi="ar-SA"/>
              </w:rPr>
              <w:t>废包装袋</w:t>
            </w:r>
          </w:p>
        </w:tc>
        <w:tc>
          <w:tcPr>
            <w:tcW w:w="1712" w:type="dxa"/>
            <w:vAlign w:val="center"/>
          </w:tcPr>
          <w:p w14:paraId="2CA1B1DC">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137" w:type="dxa"/>
            <w:vAlign w:val="center"/>
          </w:tcPr>
          <w:p w14:paraId="248B5530">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1859" w:type="dxa"/>
            <w:vAlign w:val="center"/>
          </w:tcPr>
          <w:p w14:paraId="593CB0D3">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1569" w:type="dxa"/>
            <w:vAlign w:val="center"/>
          </w:tcPr>
          <w:p w14:paraId="0BE9C6C0">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0.05</w:t>
            </w:r>
          </w:p>
        </w:tc>
        <w:tc>
          <w:tcPr>
            <w:tcW w:w="1297" w:type="dxa"/>
            <w:vAlign w:val="center"/>
          </w:tcPr>
          <w:p w14:paraId="41353AB6">
            <w:pPr>
              <w:keepNext w:val="0"/>
              <w:keepLines w:val="0"/>
              <w:pageBreakBefore w:val="0"/>
              <w:kinsoku/>
              <w:wordWrap/>
              <w:overflowPunct/>
              <w:topLinePunct w:val="0"/>
              <w:autoSpaceDE/>
              <w:autoSpaceDN/>
              <w:bidi w:val="0"/>
              <w:spacing w:line="400" w:lineRule="exact"/>
              <w:ind w:firstLine="0"/>
              <w:jc w:val="center"/>
              <w:textAlignment w:val="auto"/>
              <w:rPr>
                <w:rFonts w:hint="default"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2053" w:type="dxa"/>
            <w:shd w:val="clear" w:color="auto" w:fill="auto"/>
            <w:vAlign w:val="center"/>
          </w:tcPr>
          <w:p w14:paraId="0BF7241B">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0.05</w:t>
            </w:r>
          </w:p>
        </w:tc>
        <w:tc>
          <w:tcPr>
            <w:tcW w:w="1225" w:type="dxa"/>
            <w:shd w:val="clear" w:color="auto" w:fill="auto"/>
            <w:vAlign w:val="center"/>
          </w:tcPr>
          <w:p w14:paraId="43792898">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+0.05</w:t>
            </w:r>
          </w:p>
        </w:tc>
      </w:tr>
      <w:tr w14:paraId="73EBB9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continue"/>
            <w:vAlign w:val="center"/>
          </w:tcPr>
          <w:p w14:paraId="43B50B4E">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p>
        </w:tc>
        <w:tc>
          <w:tcPr>
            <w:tcW w:w="1604" w:type="dxa"/>
            <w:vAlign w:val="center"/>
          </w:tcPr>
          <w:p w14:paraId="670CE61A">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沉淀池底泥</w:t>
            </w:r>
          </w:p>
        </w:tc>
        <w:tc>
          <w:tcPr>
            <w:tcW w:w="1712" w:type="dxa"/>
            <w:vAlign w:val="center"/>
          </w:tcPr>
          <w:p w14:paraId="3A474830">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137" w:type="dxa"/>
            <w:vAlign w:val="center"/>
          </w:tcPr>
          <w:p w14:paraId="3856FE77">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1859" w:type="dxa"/>
            <w:vAlign w:val="center"/>
          </w:tcPr>
          <w:p w14:paraId="3347BD99">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1569" w:type="dxa"/>
            <w:vAlign w:val="center"/>
          </w:tcPr>
          <w:p w14:paraId="54B5C74F">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1.2</w:t>
            </w:r>
          </w:p>
        </w:tc>
        <w:tc>
          <w:tcPr>
            <w:tcW w:w="1297" w:type="dxa"/>
            <w:vAlign w:val="center"/>
          </w:tcPr>
          <w:p w14:paraId="52F38040">
            <w:pPr>
              <w:keepNext w:val="0"/>
              <w:keepLines w:val="0"/>
              <w:pageBreakBefore w:val="0"/>
              <w:kinsoku/>
              <w:wordWrap/>
              <w:overflowPunct/>
              <w:topLinePunct w:val="0"/>
              <w:autoSpaceDE/>
              <w:autoSpaceDN/>
              <w:bidi w:val="0"/>
              <w:spacing w:line="400" w:lineRule="exact"/>
              <w:ind w:firstLine="0"/>
              <w:jc w:val="center"/>
              <w:textAlignment w:val="auto"/>
              <w:rPr>
                <w:rFonts w:hint="default"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2053" w:type="dxa"/>
            <w:shd w:val="clear" w:color="auto" w:fill="auto"/>
            <w:vAlign w:val="center"/>
          </w:tcPr>
          <w:p w14:paraId="12BE4681">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1.2</w:t>
            </w:r>
          </w:p>
        </w:tc>
        <w:tc>
          <w:tcPr>
            <w:tcW w:w="1225" w:type="dxa"/>
            <w:shd w:val="clear" w:color="auto" w:fill="auto"/>
            <w:vAlign w:val="center"/>
          </w:tcPr>
          <w:p w14:paraId="57F6DC10">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+1.2</w:t>
            </w:r>
          </w:p>
        </w:tc>
      </w:tr>
      <w:tr w14:paraId="1A066E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continue"/>
            <w:vAlign w:val="center"/>
          </w:tcPr>
          <w:p w14:paraId="20C1671B">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p>
        </w:tc>
        <w:tc>
          <w:tcPr>
            <w:tcW w:w="1604" w:type="dxa"/>
            <w:shd w:val="clear" w:color="auto" w:fill="auto"/>
            <w:vAlign w:val="center"/>
          </w:tcPr>
          <w:p w14:paraId="7E2A5661">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cs="Times New Roman"/>
                <w:color w:val="auto"/>
                <w:spacing w:val="0"/>
                <w:kern w:val="2"/>
                <w:sz w:val="21"/>
                <w:szCs w:val="21"/>
                <w:highlight w:val="none"/>
                <w:lang w:val="en-US" w:eastAsia="zh-CN" w:bidi="ar-SA"/>
              </w:rPr>
              <w:t>除尘灰</w:t>
            </w:r>
          </w:p>
        </w:tc>
        <w:tc>
          <w:tcPr>
            <w:tcW w:w="1712" w:type="dxa"/>
            <w:shd w:val="clear" w:color="auto" w:fill="auto"/>
            <w:vAlign w:val="center"/>
          </w:tcPr>
          <w:p w14:paraId="63D54E71">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137" w:type="dxa"/>
            <w:shd w:val="clear" w:color="auto" w:fill="auto"/>
            <w:vAlign w:val="center"/>
          </w:tcPr>
          <w:p w14:paraId="166FFF8B">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1859" w:type="dxa"/>
            <w:shd w:val="clear" w:color="auto" w:fill="auto"/>
            <w:vAlign w:val="center"/>
          </w:tcPr>
          <w:p w14:paraId="7BEDC0CF">
            <w:pPr>
              <w:pStyle w:val="59"/>
              <w:keepNext w:val="0"/>
              <w:keepLines w:val="0"/>
              <w:pageBreakBefore w:val="0"/>
              <w:kinsoku/>
              <w:wordWrap/>
              <w:overflowPunct/>
              <w:topLinePunct w:val="0"/>
              <w:autoSpaceDE/>
              <w:autoSpaceDN/>
              <w:bidi w:val="0"/>
              <w:spacing w:beforeLines="0" w:afterLines="0" w:line="400" w:lineRule="exact"/>
              <w:ind w:left="0" w:leftChars="0"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w:t>
            </w:r>
          </w:p>
        </w:tc>
        <w:tc>
          <w:tcPr>
            <w:tcW w:w="1569" w:type="dxa"/>
            <w:shd w:val="clear" w:color="auto" w:fill="auto"/>
            <w:vAlign w:val="center"/>
          </w:tcPr>
          <w:p w14:paraId="4D1C2587">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cyan"/>
                <w:lang w:val="en-US" w:eastAsia="zh-CN" w:bidi="ar-SA"/>
              </w:rPr>
            </w:pPr>
            <w:r>
              <w:rPr>
                <w:rFonts w:hint="eastAsia" w:cs="Times New Roman"/>
                <w:snapToGrid w:val="0"/>
                <w:color w:val="auto"/>
                <w:kern w:val="21"/>
                <w:sz w:val="21"/>
                <w:szCs w:val="21"/>
                <w:highlight w:val="cyan"/>
                <w:lang w:val="en-US" w:eastAsia="zh-CN" w:bidi="ar-SA"/>
              </w:rPr>
              <w:t>55.191</w:t>
            </w:r>
          </w:p>
        </w:tc>
        <w:tc>
          <w:tcPr>
            <w:tcW w:w="1297" w:type="dxa"/>
            <w:shd w:val="clear" w:color="auto" w:fill="auto"/>
            <w:vAlign w:val="center"/>
          </w:tcPr>
          <w:p w14:paraId="1CC85F17">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cyan"/>
                <w:lang w:val="en-US" w:eastAsia="zh-CN" w:bidi="ar-SA"/>
              </w:rPr>
            </w:pPr>
            <w:r>
              <w:rPr>
                <w:rFonts w:hint="default" w:ascii="Times New Roman" w:hAnsi="Times New Roman" w:cs="Times New Roman"/>
                <w:snapToGrid w:val="0"/>
                <w:color w:val="auto"/>
                <w:kern w:val="21"/>
                <w:sz w:val="21"/>
                <w:szCs w:val="21"/>
                <w:highlight w:val="cyan"/>
                <w:lang w:val="en-US" w:eastAsia="zh-CN" w:bidi="ar-SA"/>
              </w:rPr>
              <w:t>/</w:t>
            </w:r>
          </w:p>
        </w:tc>
        <w:tc>
          <w:tcPr>
            <w:tcW w:w="2053" w:type="dxa"/>
            <w:shd w:val="clear" w:color="auto" w:fill="auto"/>
            <w:vAlign w:val="center"/>
          </w:tcPr>
          <w:p w14:paraId="7F6A9A73">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cyan"/>
                <w:lang w:val="en-US" w:eastAsia="zh-CN" w:bidi="ar-SA"/>
              </w:rPr>
            </w:pPr>
            <w:r>
              <w:rPr>
                <w:rFonts w:hint="eastAsia" w:cs="Times New Roman"/>
                <w:snapToGrid w:val="0"/>
                <w:color w:val="auto"/>
                <w:kern w:val="21"/>
                <w:sz w:val="21"/>
                <w:szCs w:val="21"/>
                <w:highlight w:val="cyan"/>
                <w:lang w:val="en-US" w:eastAsia="zh-CN" w:bidi="ar-SA"/>
              </w:rPr>
              <w:t>55.191</w:t>
            </w:r>
          </w:p>
        </w:tc>
        <w:tc>
          <w:tcPr>
            <w:tcW w:w="1225" w:type="dxa"/>
            <w:shd w:val="clear" w:color="auto" w:fill="auto"/>
            <w:vAlign w:val="center"/>
          </w:tcPr>
          <w:p w14:paraId="5BA8995D">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cyan"/>
                <w:lang w:val="en-US" w:eastAsia="zh-CN" w:bidi="ar-SA"/>
              </w:rPr>
            </w:pPr>
            <w:r>
              <w:rPr>
                <w:rFonts w:hint="default" w:ascii="Times New Roman" w:hAnsi="Times New Roman" w:cs="Times New Roman"/>
                <w:snapToGrid w:val="0"/>
                <w:color w:val="auto"/>
                <w:kern w:val="21"/>
                <w:sz w:val="21"/>
                <w:szCs w:val="21"/>
                <w:highlight w:val="cyan"/>
                <w:lang w:val="en-US" w:eastAsia="zh-CN" w:bidi="ar-SA"/>
              </w:rPr>
              <w:t>+</w:t>
            </w:r>
            <w:r>
              <w:rPr>
                <w:rFonts w:hint="eastAsia" w:cs="Times New Roman"/>
                <w:snapToGrid w:val="0"/>
                <w:color w:val="auto"/>
                <w:kern w:val="21"/>
                <w:sz w:val="21"/>
                <w:szCs w:val="21"/>
                <w:highlight w:val="cyan"/>
                <w:lang w:val="en-US" w:eastAsia="zh-CN" w:bidi="ar-SA"/>
              </w:rPr>
              <w:t>55.191</w:t>
            </w:r>
          </w:p>
        </w:tc>
      </w:tr>
      <w:tr w14:paraId="7996E0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continue"/>
            <w:vAlign w:val="center"/>
          </w:tcPr>
          <w:p w14:paraId="082273C2">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p>
        </w:tc>
        <w:tc>
          <w:tcPr>
            <w:tcW w:w="1604" w:type="dxa"/>
            <w:vAlign w:val="center"/>
          </w:tcPr>
          <w:p w14:paraId="53249048">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cs="Times New Roman"/>
                <w:color w:val="auto"/>
                <w:spacing w:val="0"/>
                <w:kern w:val="2"/>
                <w:sz w:val="21"/>
                <w:szCs w:val="21"/>
                <w:highlight w:val="none"/>
                <w:lang w:val="en-US" w:eastAsia="zh-CN" w:bidi="ar-SA"/>
              </w:rPr>
              <w:t>废布袋</w:t>
            </w:r>
          </w:p>
        </w:tc>
        <w:tc>
          <w:tcPr>
            <w:tcW w:w="1712" w:type="dxa"/>
            <w:shd w:val="clear" w:color="auto" w:fill="auto"/>
            <w:vAlign w:val="center"/>
          </w:tcPr>
          <w:p w14:paraId="703B2220">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137" w:type="dxa"/>
            <w:shd w:val="clear" w:color="auto" w:fill="auto"/>
            <w:vAlign w:val="center"/>
          </w:tcPr>
          <w:p w14:paraId="239785C3">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1859" w:type="dxa"/>
            <w:vAlign w:val="center"/>
          </w:tcPr>
          <w:p w14:paraId="406AF2E3">
            <w:pPr>
              <w:pStyle w:val="59"/>
              <w:keepNext w:val="0"/>
              <w:keepLines w:val="0"/>
              <w:pageBreakBefore w:val="0"/>
              <w:kinsoku/>
              <w:wordWrap/>
              <w:overflowPunct/>
              <w:topLinePunct w:val="0"/>
              <w:autoSpaceDE/>
              <w:autoSpaceDN/>
              <w:bidi w:val="0"/>
              <w:spacing w:beforeLines="0" w:afterLines="0" w:line="400" w:lineRule="exact"/>
              <w:ind w:left="0" w:leftChars="0"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p>
        </w:tc>
        <w:tc>
          <w:tcPr>
            <w:tcW w:w="1569" w:type="dxa"/>
            <w:vAlign w:val="center"/>
          </w:tcPr>
          <w:p w14:paraId="5A517048">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0.2</w:t>
            </w:r>
          </w:p>
        </w:tc>
        <w:tc>
          <w:tcPr>
            <w:tcW w:w="1297" w:type="dxa"/>
            <w:vAlign w:val="center"/>
          </w:tcPr>
          <w:p w14:paraId="0F6277D0">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2053" w:type="dxa"/>
            <w:shd w:val="clear" w:color="auto" w:fill="auto"/>
            <w:vAlign w:val="center"/>
          </w:tcPr>
          <w:p w14:paraId="57FC9F15">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0.2</w:t>
            </w:r>
          </w:p>
        </w:tc>
        <w:tc>
          <w:tcPr>
            <w:tcW w:w="1225" w:type="dxa"/>
            <w:shd w:val="clear" w:color="auto" w:fill="auto"/>
            <w:vAlign w:val="center"/>
          </w:tcPr>
          <w:p w14:paraId="158E3E50">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+0.2</w:t>
            </w:r>
          </w:p>
        </w:tc>
      </w:tr>
      <w:tr w14:paraId="3302B3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Align w:val="center"/>
          </w:tcPr>
          <w:p w14:paraId="1D8A700F">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spacing w:val="-20"/>
                <w:szCs w:val="21"/>
                <w:highlight w:val="none"/>
                <w:lang w:val="en-US" w:eastAsia="zh-CN"/>
              </w:rPr>
            </w:pPr>
            <w:r>
              <w:rPr>
                <w:rFonts w:hint="default" w:ascii="Times New Roman" w:hAnsi="Times New Roman" w:cs="Times New Roman"/>
                <w:color w:val="auto"/>
                <w:spacing w:val="-20"/>
                <w:szCs w:val="21"/>
                <w:highlight w:val="none"/>
                <w:lang w:val="en-US" w:eastAsia="zh-CN"/>
              </w:rPr>
              <w:t>职工生活垃圾</w:t>
            </w:r>
          </w:p>
        </w:tc>
        <w:tc>
          <w:tcPr>
            <w:tcW w:w="1604" w:type="dxa"/>
            <w:vAlign w:val="center"/>
          </w:tcPr>
          <w:p w14:paraId="5223E60D">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生活垃圾</w:t>
            </w:r>
          </w:p>
        </w:tc>
        <w:tc>
          <w:tcPr>
            <w:tcW w:w="1712" w:type="dxa"/>
            <w:vAlign w:val="center"/>
          </w:tcPr>
          <w:p w14:paraId="2DC02A8D">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137" w:type="dxa"/>
            <w:vAlign w:val="center"/>
          </w:tcPr>
          <w:p w14:paraId="2F22CBE2">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1859" w:type="dxa"/>
            <w:vAlign w:val="center"/>
          </w:tcPr>
          <w:p w14:paraId="6B851ED8">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569" w:type="dxa"/>
            <w:vAlign w:val="center"/>
          </w:tcPr>
          <w:p w14:paraId="259D6AD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3</w:t>
            </w:r>
          </w:p>
        </w:tc>
        <w:tc>
          <w:tcPr>
            <w:tcW w:w="1297" w:type="dxa"/>
            <w:vAlign w:val="center"/>
          </w:tcPr>
          <w:p w14:paraId="2C734CFB">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2053" w:type="dxa"/>
            <w:shd w:val="clear" w:color="auto" w:fill="auto"/>
            <w:vAlign w:val="center"/>
          </w:tcPr>
          <w:p w14:paraId="0961E2A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3</w:t>
            </w:r>
          </w:p>
        </w:tc>
        <w:tc>
          <w:tcPr>
            <w:tcW w:w="1225" w:type="dxa"/>
            <w:shd w:val="clear" w:color="auto" w:fill="auto"/>
            <w:vAlign w:val="center"/>
          </w:tcPr>
          <w:p w14:paraId="793B7C3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+3</w:t>
            </w:r>
          </w:p>
        </w:tc>
      </w:tr>
    </w:tbl>
    <w:p w14:paraId="7E218419">
      <w:pPr>
        <w:pStyle w:val="59"/>
        <w:keepNext w:val="0"/>
        <w:keepLines w:val="0"/>
        <w:pageBreakBefore w:val="0"/>
        <w:widowControl/>
        <w:kinsoku/>
        <w:wordWrap/>
        <w:overflowPunct/>
        <w:topLinePunct w:val="0"/>
        <w:autoSpaceDE/>
        <w:autoSpaceDN/>
        <w:bidi w:val="0"/>
        <w:adjustRightInd w:val="0"/>
        <w:snapToGrid w:val="0"/>
        <w:spacing w:beforeLines="0" w:afterLines="0" w:line="240" w:lineRule="auto"/>
        <w:jc w:val="left"/>
        <w:textAlignment w:val="auto"/>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kern w:val="21"/>
          <w:szCs w:val="21"/>
          <w:highlight w:val="none"/>
        </w:rPr>
        <w:t>注：</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3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③</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4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④</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5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⑤</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7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⑦</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p>
    <w:p w14:paraId="36F22FD6">
      <w:pPr>
        <w:pStyle w:val="2"/>
        <w:rPr>
          <w:rFonts w:hint="default" w:ascii="Times New Roman" w:hAnsi="Times New Roman" w:cs="Times New Roman"/>
          <w:snapToGrid w:val="0"/>
          <w:color w:val="auto"/>
          <w:spacing w:val="-6"/>
          <w:kern w:val="21"/>
          <w:szCs w:val="21"/>
          <w:highlight w:val="none"/>
        </w:rPr>
      </w:pPr>
    </w:p>
    <w:p w14:paraId="454A5DBC">
      <w:pPr>
        <w:rPr>
          <w:rFonts w:hint="default" w:ascii="Times New Roman" w:hAnsi="Times New Roman" w:cs="Times New Roman"/>
          <w:snapToGrid w:val="0"/>
          <w:color w:val="auto"/>
          <w:spacing w:val="-6"/>
          <w:kern w:val="21"/>
          <w:szCs w:val="21"/>
          <w:highlight w:val="none"/>
        </w:rPr>
      </w:pPr>
    </w:p>
    <w:p w14:paraId="65C0B9BF">
      <w:pPr>
        <w:rPr>
          <w:rFonts w:hint="default" w:ascii="Times New Roman" w:hAnsi="Times New Roman" w:cs="Times New Roman"/>
          <w:snapToGrid w:val="0"/>
          <w:color w:val="auto"/>
          <w:spacing w:val="-6"/>
          <w:kern w:val="21"/>
          <w:szCs w:val="21"/>
          <w:highlight w:val="none"/>
        </w:rPr>
      </w:pPr>
    </w:p>
    <w:p w14:paraId="774C48A9">
      <w:pPr>
        <w:rPr>
          <w:rFonts w:hint="default" w:ascii="Times New Roman" w:hAnsi="Times New Roman" w:cs="Times New Roman"/>
          <w:snapToGrid w:val="0"/>
          <w:color w:val="auto"/>
          <w:spacing w:val="-6"/>
          <w:kern w:val="21"/>
          <w:szCs w:val="21"/>
          <w:highlight w:val="none"/>
          <w:lang w:val="en-US" w:eastAsia="zh-CN"/>
        </w:rPr>
      </w:pPr>
    </w:p>
    <w:sectPr>
      <w:footerReference r:id="rId6"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MingLiU">
    <w:altName w:val="PMingLiU-ExtB"/>
    <w:panose1 w:val="02020509000000000000"/>
    <w:charset w:val="88"/>
    <w:family w:val="modern"/>
    <w:pitch w:val="default"/>
    <w:sig w:usb0="00000000" w:usb1="00000000" w:usb2="00000016" w:usb3="00000000" w:csb0="00100001"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D0A17">
    <w:pPr>
      <w:pStyle w:val="2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05372">
    <w:pPr>
      <w:pStyle w:val="26"/>
      <w:framePr w:wrap="around" w:vAnchor="text" w:hAnchor="margin" w:xAlign="center" w:y="1"/>
      <w:rPr>
        <w:rStyle w:val="44"/>
      </w:rPr>
    </w:pPr>
    <w:r>
      <w:fldChar w:fldCharType="begin"/>
    </w:r>
    <w:r>
      <w:rPr>
        <w:rStyle w:val="44"/>
      </w:rPr>
      <w:instrText xml:space="preserve">PAGE  </w:instrText>
    </w:r>
    <w:r>
      <w:fldChar w:fldCharType="end"/>
    </w:r>
  </w:p>
  <w:p w14:paraId="77FC72B2">
    <w:pPr>
      <w:pStyle w:val="2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FA3C9">
    <w:pPr>
      <w:pStyle w:val="26"/>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F3775B">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DF3775B">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CAF6A">
    <w:pPr>
      <w:pStyle w:val="26"/>
      <w:ind w:right="360" w:firstLine="360"/>
      <w:jc w:val="both"/>
    </w:pPr>
    <w:r>
      <w:rPr>
        <w:sz w:val="18"/>
      </w:rPr>
      <mc:AlternateContent>
        <mc:Choice Requires="wps">
          <w:drawing>
            <wp:anchor distT="0" distB="0" distL="114300" distR="114300" simplePos="0" relativeHeight="251660288" behindDoc="0" locked="0" layoutInCell="1" allowOverlap="1">
              <wp:simplePos x="0" y="0"/>
              <wp:positionH relativeFrom="margin">
                <wp:posOffset>4213225</wp:posOffset>
              </wp:positionH>
              <wp:positionV relativeFrom="paragraph">
                <wp:posOffset>-56515</wp:posOffset>
              </wp:positionV>
              <wp:extent cx="437515" cy="236220"/>
              <wp:effectExtent l="0" t="0" r="0" b="0"/>
              <wp:wrapNone/>
              <wp:docPr id="5" name="文本框 5"/>
              <wp:cNvGraphicFramePr/>
              <a:graphic xmlns:a="http://schemas.openxmlformats.org/drawingml/2006/main">
                <a:graphicData uri="http://schemas.microsoft.com/office/word/2010/wordprocessingShape">
                  <wps:wsp>
                    <wps:cNvSpPr txBox="1"/>
                    <wps:spPr>
                      <a:xfrm>
                        <a:off x="0" y="0"/>
                        <a:ext cx="437515" cy="2362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17EAD">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31.75pt;margin-top:-4.45pt;height:18.6pt;width:34.45pt;mso-position-horizontal-relative:margin;z-index:251660288;mso-width-relative:page;mso-height-relative:page;" filled="f" stroked="f" coordsize="21600,21600" o:gfxdata="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ZJMoCdkAAAAJAQAADwAAAAAAAAABACAAAAAiAAAAZHJzL2Rvd25y&#10;ZXYueG1sUEsBAhQAFAAAAAgAh07iQCvtmWY2AgAAYQQAAA4AAAAAAAAAAQAgAAAAKAEAAGRycy9l&#10;Mm9Eb2MueG1sUEsFBgAAAAAGAAYAWQEAANAFAAAAAA==&#10;">
              <v:fill on="f" focussize="0,0"/>
              <v:stroke on="f" weight="0.5pt"/>
              <v:imagedata o:title=""/>
              <o:lock v:ext="edit" aspectratio="f"/>
              <v:textbox inset="0mm,0mm,0mm,0mm">
                <w:txbxContent>
                  <w:p w14:paraId="10E17EAD">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F3EFE6"/>
    <w:multiLevelType w:val="singleLevel"/>
    <w:tmpl w:val="88F3EFE6"/>
    <w:lvl w:ilvl="0" w:tentative="0">
      <w:start w:val="1"/>
      <w:numFmt w:val="chineseCounting"/>
      <w:lvlText w:val="(%1)"/>
      <w:lvlJc w:val="left"/>
      <w:pPr>
        <w:tabs>
          <w:tab w:val="left" w:pos="312"/>
        </w:tabs>
      </w:pPr>
      <w:rPr>
        <w:rFonts w:hint="eastAsia"/>
      </w:rPr>
    </w:lvl>
  </w:abstractNum>
  <w:abstractNum w:abstractNumId="1">
    <w:nsid w:val="B3C39FCB"/>
    <w:multiLevelType w:val="singleLevel"/>
    <w:tmpl w:val="B3C39FCB"/>
    <w:lvl w:ilvl="0" w:tentative="0">
      <w:start w:val="2"/>
      <w:numFmt w:val="decimal"/>
      <w:suff w:val="nothing"/>
      <w:lvlText w:val="%1、"/>
      <w:lvlJc w:val="left"/>
    </w:lvl>
  </w:abstractNum>
  <w:abstractNum w:abstractNumId="2">
    <w:nsid w:val="BA506A1B"/>
    <w:multiLevelType w:val="singleLevel"/>
    <w:tmpl w:val="BA506A1B"/>
    <w:lvl w:ilvl="0" w:tentative="0">
      <w:start w:val="4"/>
      <w:numFmt w:val="decimal"/>
      <w:suff w:val="nothing"/>
      <w:lvlText w:val="%1、"/>
      <w:lvlJc w:val="left"/>
    </w:lvl>
  </w:abstractNum>
  <w:abstractNum w:abstractNumId="3">
    <w:nsid w:val="C0CFCEFB"/>
    <w:multiLevelType w:val="singleLevel"/>
    <w:tmpl w:val="C0CFCEFB"/>
    <w:lvl w:ilvl="0" w:tentative="0">
      <w:start w:val="8"/>
      <w:numFmt w:val="decimal"/>
      <w:suff w:val="nothing"/>
      <w:lvlText w:val="%1、"/>
      <w:lvlJc w:val="left"/>
    </w:lvl>
  </w:abstractNum>
  <w:abstractNum w:abstractNumId="4">
    <w:nsid w:val="EA2B07E4"/>
    <w:multiLevelType w:val="singleLevel"/>
    <w:tmpl w:val="EA2B07E4"/>
    <w:lvl w:ilvl="0" w:tentative="0">
      <w:start w:val="1"/>
      <w:numFmt w:val="bullet"/>
      <w:pStyle w:val="17"/>
      <w:lvlText w:val=""/>
      <w:lvlJc w:val="left"/>
      <w:pPr>
        <w:tabs>
          <w:tab w:val="left" w:pos="780"/>
        </w:tabs>
        <w:ind w:left="780" w:hanging="360"/>
      </w:pPr>
      <w:rPr>
        <w:rFonts w:hint="default" w:ascii="Wingdings" w:hAnsi="Wingdings"/>
      </w:rPr>
    </w:lvl>
  </w:abstractNum>
  <w:abstractNum w:abstractNumId="5">
    <w:nsid w:val="04B284F3"/>
    <w:multiLevelType w:val="singleLevel"/>
    <w:tmpl w:val="04B284F3"/>
    <w:lvl w:ilvl="0" w:tentative="0">
      <w:start w:val="9"/>
      <w:numFmt w:val="decimal"/>
      <w:suff w:val="nothing"/>
      <w:lvlText w:val="%1、"/>
      <w:lvlJc w:val="left"/>
    </w:lvl>
  </w:abstractNum>
  <w:abstractNum w:abstractNumId="6">
    <w:nsid w:val="5D35E48E"/>
    <w:multiLevelType w:val="singleLevel"/>
    <w:tmpl w:val="5D35E48E"/>
    <w:lvl w:ilvl="0" w:tentative="0">
      <w:start w:val="1"/>
      <w:numFmt w:val="bullet"/>
      <w:pStyle w:val="22"/>
      <w:lvlText w:val=""/>
      <w:lvlJc w:val="left"/>
      <w:pPr>
        <w:tabs>
          <w:tab w:val="left" w:pos="2040"/>
        </w:tabs>
        <w:ind w:left="2040" w:hanging="360"/>
      </w:pPr>
      <w:rPr>
        <w:rFonts w:hint="default" w:ascii="Wingdings" w:hAnsi="Wingdings"/>
      </w:rPr>
    </w:lvl>
  </w:abstractNum>
  <w:abstractNum w:abstractNumId="7">
    <w:nsid w:val="60822EE5"/>
    <w:multiLevelType w:val="multilevel"/>
    <w:tmpl w:val="60822EE5"/>
    <w:lvl w:ilvl="0" w:tentative="0">
      <w:start w:val="1"/>
      <w:numFmt w:val="decimal"/>
      <w:pStyle w:val="35"/>
      <w:lvlText w:val="表%1 "/>
      <w:lvlJc w:val="left"/>
      <w:pPr>
        <w:tabs>
          <w:tab w:val="left" w:pos="1365"/>
        </w:tabs>
        <w:ind w:left="285" w:firstLine="0"/>
      </w:pPr>
      <w:rPr>
        <w:rFonts w:hint="eastAsia"/>
      </w:rPr>
    </w:lvl>
    <w:lvl w:ilvl="1" w:tentative="0">
      <w:start w:val="1"/>
      <w:numFmt w:val="lowerLetter"/>
      <w:lvlText w:val="%2)"/>
      <w:lvlJc w:val="left"/>
      <w:pPr>
        <w:tabs>
          <w:tab w:val="left" w:pos="1125"/>
        </w:tabs>
        <w:ind w:left="1125" w:hanging="420"/>
      </w:pPr>
    </w:lvl>
    <w:lvl w:ilvl="2" w:tentative="0">
      <w:start w:val="1"/>
      <w:numFmt w:val="lowerRoman"/>
      <w:lvlText w:val="%3."/>
      <w:lvlJc w:val="right"/>
      <w:pPr>
        <w:tabs>
          <w:tab w:val="left" w:pos="1545"/>
        </w:tabs>
        <w:ind w:left="1545" w:hanging="420"/>
      </w:pPr>
    </w:lvl>
    <w:lvl w:ilvl="3" w:tentative="0">
      <w:start w:val="1"/>
      <w:numFmt w:val="decimal"/>
      <w:lvlText w:val="%4."/>
      <w:lvlJc w:val="left"/>
      <w:pPr>
        <w:tabs>
          <w:tab w:val="left" w:pos="1965"/>
        </w:tabs>
        <w:ind w:left="1965" w:hanging="420"/>
      </w:pPr>
    </w:lvl>
    <w:lvl w:ilvl="4" w:tentative="0">
      <w:start w:val="1"/>
      <w:numFmt w:val="lowerLetter"/>
      <w:lvlText w:val="%5)"/>
      <w:lvlJc w:val="left"/>
      <w:pPr>
        <w:tabs>
          <w:tab w:val="left" w:pos="2385"/>
        </w:tabs>
        <w:ind w:left="2385" w:hanging="420"/>
      </w:pPr>
    </w:lvl>
    <w:lvl w:ilvl="5" w:tentative="0">
      <w:start w:val="1"/>
      <w:numFmt w:val="lowerRoman"/>
      <w:lvlText w:val="%6."/>
      <w:lvlJc w:val="right"/>
      <w:pPr>
        <w:tabs>
          <w:tab w:val="left" w:pos="2805"/>
        </w:tabs>
        <w:ind w:left="2805" w:hanging="420"/>
      </w:pPr>
    </w:lvl>
    <w:lvl w:ilvl="6" w:tentative="0">
      <w:start w:val="1"/>
      <w:numFmt w:val="decimal"/>
      <w:lvlText w:val="%7."/>
      <w:lvlJc w:val="left"/>
      <w:pPr>
        <w:tabs>
          <w:tab w:val="left" w:pos="3225"/>
        </w:tabs>
        <w:ind w:left="3225" w:hanging="420"/>
      </w:pPr>
    </w:lvl>
    <w:lvl w:ilvl="7" w:tentative="0">
      <w:start w:val="1"/>
      <w:numFmt w:val="lowerLetter"/>
      <w:lvlText w:val="%8)"/>
      <w:lvlJc w:val="left"/>
      <w:pPr>
        <w:tabs>
          <w:tab w:val="left" w:pos="3645"/>
        </w:tabs>
        <w:ind w:left="3645" w:hanging="420"/>
      </w:pPr>
    </w:lvl>
    <w:lvl w:ilvl="8" w:tentative="0">
      <w:start w:val="1"/>
      <w:numFmt w:val="lowerRoman"/>
      <w:lvlText w:val="%9."/>
      <w:lvlJc w:val="right"/>
      <w:pPr>
        <w:tabs>
          <w:tab w:val="left" w:pos="4065"/>
        </w:tabs>
        <w:ind w:left="4065" w:hanging="420"/>
      </w:pPr>
    </w:lvl>
  </w:abstractNum>
  <w:abstractNum w:abstractNumId="8">
    <w:nsid w:val="79AFEA13"/>
    <w:multiLevelType w:val="singleLevel"/>
    <w:tmpl w:val="79AFEA13"/>
    <w:lvl w:ilvl="0" w:tentative="0">
      <w:start w:val="7"/>
      <w:numFmt w:val="decimal"/>
      <w:suff w:val="nothing"/>
      <w:lvlText w:val="%1、"/>
      <w:lvlJc w:val="left"/>
    </w:lvl>
  </w:abstractNum>
  <w:abstractNum w:abstractNumId="9">
    <w:nsid w:val="7B73E116"/>
    <w:multiLevelType w:val="singleLevel"/>
    <w:tmpl w:val="7B73E116"/>
    <w:lvl w:ilvl="0" w:tentative="0">
      <w:start w:val="1"/>
      <w:numFmt w:val="decimal"/>
      <w:suff w:val="nothing"/>
      <w:lvlText w:val="%1、"/>
      <w:lvlJc w:val="left"/>
    </w:lvl>
  </w:abstractNum>
  <w:num w:numId="1">
    <w:abstractNumId w:val="4"/>
  </w:num>
  <w:num w:numId="2">
    <w:abstractNumId w:val="6"/>
  </w:num>
  <w:num w:numId="3">
    <w:abstractNumId w:val="7"/>
  </w:num>
  <w:num w:numId="4">
    <w:abstractNumId w:val="9"/>
  </w:num>
  <w:num w:numId="5">
    <w:abstractNumId w:val="8"/>
  </w:num>
  <w:num w:numId="6">
    <w:abstractNumId w:val="0"/>
  </w:num>
  <w:num w:numId="7">
    <w:abstractNumId w:val="5"/>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jNzdhMDdmMTIwZjFiYTRiNjY3ODU3MTk3ZWMwNjMifQ=="/>
  </w:docVars>
  <w:rsids>
    <w:rsidRoot w:val="00172A27"/>
    <w:rsid w:val="001859A2"/>
    <w:rsid w:val="001E511F"/>
    <w:rsid w:val="00200D10"/>
    <w:rsid w:val="002A7341"/>
    <w:rsid w:val="002B06A5"/>
    <w:rsid w:val="002F07ED"/>
    <w:rsid w:val="00486BF0"/>
    <w:rsid w:val="0056460B"/>
    <w:rsid w:val="00627875"/>
    <w:rsid w:val="007007DA"/>
    <w:rsid w:val="009E70F5"/>
    <w:rsid w:val="00A72960"/>
    <w:rsid w:val="00AB55F5"/>
    <w:rsid w:val="00B2683C"/>
    <w:rsid w:val="00C86C7C"/>
    <w:rsid w:val="00CB1EB4"/>
    <w:rsid w:val="00DD185C"/>
    <w:rsid w:val="00EC1BEC"/>
    <w:rsid w:val="00ED7F54"/>
    <w:rsid w:val="00F66F31"/>
    <w:rsid w:val="00F849DA"/>
    <w:rsid w:val="01193612"/>
    <w:rsid w:val="01423F24"/>
    <w:rsid w:val="014829A9"/>
    <w:rsid w:val="01625F54"/>
    <w:rsid w:val="017716F4"/>
    <w:rsid w:val="018856AF"/>
    <w:rsid w:val="01A40574"/>
    <w:rsid w:val="01AA0E00"/>
    <w:rsid w:val="01CE45E8"/>
    <w:rsid w:val="01DD3C4D"/>
    <w:rsid w:val="01E40A39"/>
    <w:rsid w:val="01ED4B11"/>
    <w:rsid w:val="01F30330"/>
    <w:rsid w:val="01F80BD4"/>
    <w:rsid w:val="01FB40D3"/>
    <w:rsid w:val="021900C6"/>
    <w:rsid w:val="022842E3"/>
    <w:rsid w:val="02296099"/>
    <w:rsid w:val="022B2AA8"/>
    <w:rsid w:val="023837C2"/>
    <w:rsid w:val="024504DC"/>
    <w:rsid w:val="02661E94"/>
    <w:rsid w:val="02820350"/>
    <w:rsid w:val="02952973"/>
    <w:rsid w:val="029C7664"/>
    <w:rsid w:val="02C1531D"/>
    <w:rsid w:val="02E60849"/>
    <w:rsid w:val="02EE5EC8"/>
    <w:rsid w:val="0328245F"/>
    <w:rsid w:val="03547F3F"/>
    <w:rsid w:val="036F39FE"/>
    <w:rsid w:val="03727399"/>
    <w:rsid w:val="03747731"/>
    <w:rsid w:val="0381176B"/>
    <w:rsid w:val="039859AF"/>
    <w:rsid w:val="03B32210"/>
    <w:rsid w:val="03D552B6"/>
    <w:rsid w:val="03E2226C"/>
    <w:rsid w:val="03FF6B3C"/>
    <w:rsid w:val="041E5BEC"/>
    <w:rsid w:val="041F054D"/>
    <w:rsid w:val="043A3831"/>
    <w:rsid w:val="04407652"/>
    <w:rsid w:val="044D71EC"/>
    <w:rsid w:val="047B14FB"/>
    <w:rsid w:val="04A46CA4"/>
    <w:rsid w:val="04AD13E6"/>
    <w:rsid w:val="04B21229"/>
    <w:rsid w:val="04BA572C"/>
    <w:rsid w:val="04C904B8"/>
    <w:rsid w:val="05290F57"/>
    <w:rsid w:val="053C4E5B"/>
    <w:rsid w:val="054A0676"/>
    <w:rsid w:val="05790131"/>
    <w:rsid w:val="059E1945"/>
    <w:rsid w:val="05E355AA"/>
    <w:rsid w:val="05E57574"/>
    <w:rsid w:val="05EC4399"/>
    <w:rsid w:val="05F72E03"/>
    <w:rsid w:val="05FB4360"/>
    <w:rsid w:val="06011FDA"/>
    <w:rsid w:val="060C343B"/>
    <w:rsid w:val="06105359"/>
    <w:rsid w:val="061B2716"/>
    <w:rsid w:val="06293905"/>
    <w:rsid w:val="06345E06"/>
    <w:rsid w:val="06383B48"/>
    <w:rsid w:val="063E557E"/>
    <w:rsid w:val="064D0468"/>
    <w:rsid w:val="06565D7C"/>
    <w:rsid w:val="065E7767"/>
    <w:rsid w:val="06624DC0"/>
    <w:rsid w:val="066C6FCD"/>
    <w:rsid w:val="066E57BB"/>
    <w:rsid w:val="067F3525"/>
    <w:rsid w:val="06840E03"/>
    <w:rsid w:val="069C2342"/>
    <w:rsid w:val="06AD3D5A"/>
    <w:rsid w:val="06BD217D"/>
    <w:rsid w:val="06D66EBD"/>
    <w:rsid w:val="06F4202F"/>
    <w:rsid w:val="06FB7EA8"/>
    <w:rsid w:val="070E032F"/>
    <w:rsid w:val="071661B3"/>
    <w:rsid w:val="072145DC"/>
    <w:rsid w:val="07222102"/>
    <w:rsid w:val="072E0AA7"/>
    <w:rsid w:val="072E6CF9"/>
    <w:rsid w:val="07707311"/>
    <w:rsid w:val="07724E37"/>
    <w:rsid w:val="077706A0"/>
    <w:rsid w:val="077A3CEC"/>
    <w:rsid w:val="078D65CE"/>
    <w:rsid w:val="07A7140F"/>
    <w:rsid w:val="07B11C80"/>
    <w:rsid w:val="07D57174"/>
    <w:rsid w:val="07DE24CD"/>
    <w:rsid w:val="07F020C4"/>
    <w:rsid w:val="08176839"/>
    <w:rsid w:val="082937FE"/>
    <w:rsid w:val="0850116D"/>
    <w:rsid w:val="085A7C6F"/>
    <w:rsid w:val="08BE5414"/>
    <w:rsid w:val="08BF5E5A"/>
    <w:rsid w:val="08C01BD2"/>
    <w:rsid w:val="08C2594B"/>
    <w:rsid w:val="08CA47FF"/>
    <w:rsid w:val="08D7003B"/>
    <w:rsid w:val="08E1634A"/>
    <w:rsid w:val="08E53B03"/>
    <w:rsid w:val="08FB7096"/>
    <w:rsid w:val="09065CF8"/>
    <w:rsid w:val="092C7405"/>
    <w:rsid w:val="093700E7"/>
    <w:rsid w:val="0954735E"/>
    <w:rsid w:val="0956304F"/>
    <w:rsid w:val="09615163"/>
    <w:rsid w:val="09655B93"/>
    <w:rsid w:val="096F46DC"/>
    <w:rsid w:val="0983123C"/>
    <w:rsid w:val="098F079E"/>
    <w:rsid w:val="09B56A42"/>
    <w:rsid w:val="09E57B43"/>
    <w:rsid w:val="09F44EF5"/>
    <w:rsid w:val="09F834B5"/>
    <w:rsid w:val="09F971AC"/>
    <w:rsid w:val="0A1466EC"/>
    <w:rsid w:val="0A2255B5"/>
    <w:rsid w:val="0A232419"/>
    <w:rsid w:val="0A382368"/>
    <w:rsid w:val="0A3D2B7D"/>
    <w:rsid w:val="0A434869"/>
    <w:rsid w:val="0A4535DA"/>
    <w:rsid w:val="0A455A91"/>
    <w:rsid w:val="0A5A222E"/>
    <w:rsid w:val="0A5E16A3"/>
    <w:rsid w:val="0A5F093B"/>
    <w:rsid w:val="0A693D18"/>
    <w:rsid w:val="0A8F08D3"/>
    <w:rsid w:val="0A9A4573"/>
    <w:rsid w:val="0AA9445D"/>
    <w:rsid w:val="0AA95618"/>
    <w:rsid w:val="0AAE242B"/>
    <w:rsid w:val="0AD6707D"/>
    <w:rsid w:val="0ADF0A36"/>
    <w:rsid w:val="0AEF553C"/>
    <w:rsid w:val="0AF0679F"/>
    <w:rsid w:val="0B332B30"/>
    <w:rsid w:val="0B350656"/>
    <w:rsid w:val="0B4D18EA"/>
    <w:rsid w:val="0B6346B2"/>
    <w:rsid w:val="0B884C29"/>
    <w:rsid w:val="0BAA5E29"/>
    <w:rsid w:val="0BC35C62"/>
    <w:rsid w:val="0C070B8D"/>
    <w:rsid w:val="0C105A94"/>
    <w:rsid w:val="0C1110C3"/>
    <w:rsid w:val="0C1A690B"/>
    <w:rsid w:val="0C1B3CF0"/>
    <w:rsid w:val="0C1C7A68"/>
    <w:rsid w:val="0C293328"/>
    <w:rsid w:val="0C331D6A"/>
    <w:rsid w:val="0C362140"/>
    <w:rsid w:val="0C49689F"/>
    <w:rsid w:val="0C4A6E11"/>
    <w:rsid w:val="0C4F7110"/>
    <w:rsid w:val="0C53598C"/>
    <w:rsid w:val="0C6B191F"/>
    <w:rsid w:val="0C6B7B04"/>
    <w:rsid w:val="0C764185"/>
    <w:rsid w:val="0C8D68F1"/>
    <w:rsid w:val="0C8E44C1"/>
    <w:rsid w:val="0C9C1937"/>
    <w:rsid w:val="0CA65542"/>
    <w:rsid w:val="0CAD06C0"/>
    <w:rsid w:val="0CB84BC0"/>
    <w:rsid w:val="0CC954FA"/>
    <w:rsid w:val="0CE7345E"/>
    <w:rsid w:val="0CF307C8"/>
    <w:rsid w:val="0CFA2A16"/>
    <w:rsid w:val="0D1C0C45"/>
    <w:rsid w:val="0D336E17"/>
    <w:rsid w:val="0D483080"/>
    <w:rsid w:val="0D892CEA"/>
    <w:rsid w:val="0DA90E87"/>
    <w:rsid w:val="0DB23C69"/>
    <w:rsid w:val="0DB37F58"/>
    <w:rsid w:val="0DB41C2A"/>
    <w:rsid w:val="0DD848A5"/>
    <w:rsid w:val="0DDE4FD5"/>
    <w:rsid w:val="0DEE3ED5"/>
    <w:rsid w:val="0DFD5FDB"/>
    <w:rsid w:val="0E0132C0"/>
    <w:rsid w:val="0E0E083C"/>
    <w:rsid w:val="0E1924B1"/>
    <w:rsid w:val="0E1C7E73"/>
    <w:rsid w:val="0E2A3F84"/>
    <w:rsid w:val="0E372937"/>
    <w:rsid w:val="0E39220B"/>
    <w:rsid w:val="0E492F5D"/>
    <w:rsid w:val="0E5F4D01"/>
    <w:rsid w:val="0E6613CC"/>
    <w:rsid w:val="0E6B25E0"/>
    <w:rsid w:val="0E884F40"/>
    <w:rsid w:val="0E913D81"/>
    <w:rsid w:val="0E975183"/>
    <w:rsid w:val="0E9900D5"/>
    <w:rsid w:val="0EA0672E"/>
    <w:rsid w:val="0EA13C25"/>
    <w:rsid w:val="0ED74CBC"/>
    <w:rsid w:val="0EF44384"/>
    <w:rsid w:val="0EFB6149"/>
    <w:rsid w:val="0F0740B7"/>
    <w:rsid w:val="0F225395"/>
    <w:rsid w:val="0F420E54"/>
    <w:rsid w:val="0F5B0213"/>
    <w:rsid w:val="0F931DEF"/>
    <w:rsid w:val="0FA167F1"/>
    <w:rsid w:val="0FAB538A"/>
    <w:rsid w:val="0FAD4BEC"/>
    <w:rsid w:val="0FAE7D89"/>
    <w:rsid w:val="0FBE05E8"/>
    <w:rsid w:val="0FE4286D"/>
    <w:rsid w:val="0FF46D31"/>
    <w:rsid w:val="100D1BA1"/>
    <w:rsid w:val="100D7DF3"/>
    <w:rsid w:val="103A670E"/>
    <w:rsid w:val="10466E02"/>
    <w:rsid w:val="10606175"/>
    <w:rsid w:val="107402E3"/>
    <w:rsid w:val="1075579C"/>
    <w:rsid w:val="107602D1"/>
    <w:rsid w:val="107B798B"/>
    <w:rsid w:val="10B77D5F"/>
    <w:rsid w:val="10FE14EA"/>
    <w:rsid w:val="11052878"/>
    <w:rsid w:val="111F7DDE"/>
    <w:rsid w:val="114A2981"/>
    <w:rsid w:val="116E041E"/>
    <w:rsid w:val="11736708"/>
    <w:rsid w:val="118714DF"/>
    <w:rsid w:val="11AC122D"/>
    <w:rsid w:val="11B85B3D"/>
    <w:rsid w:val="11BD13A5"/>
    <w:rsid w:val="11BD734F"/>
    <w:rsid w:val="11C12C43"/>
    <w:rsid w:val="12107F7D"/>
    <w:rsid w:val="122639D3"/>
    <w:rsid w:val="1226519C"/>
    <w:rsid w:val="12331667"/>
    <w:rsid w:val="123E24E6"/>
    <w:rsid w:val="123F000C"/>
    <w:rsid w:val="12541D09"/>
    <w:rsid w:val="12661A3D"/>
    <w:rsid w:val="12751C80"/>
    <w:rsid w:val="12805118"/>
    <w:rsid w:val="12912466"/>
    <w:rsid w:val="129E12BF"/>
    <w:rsid w:val="12A02C05"/>
    <w:rsid w:val="12BE7E65"/>
    <w:rsid w:val="12CA1FCB"/>
    <w:rsid w:val="12CD768E"/>
    <w:rsid w:val="12E52C53"/>
    <w:rsid w:val="12EA61CA"/>
    <w:rsid w:val="12F108FF"/>
    <w:rsid w:val="130D3D18"/>
    <w:rsid w:val="131D659F"/>
    <w:rsid w:val="13405D5B"/>
    <w:rsid w:val="13414AC1"/>
    <w:rsid w:val="1344018C"/>
    <w:rsid w:val="13511D2B"/>
    <w:rsid w:val="13737F6D"/>
    <w:rsid w:val="137D703E"/>
    <w:rsid w:val="139B55D1"/>
    <w:rsid w:val="13AA084E"/>
    <w:rsid w:val="13D74FD7"/>
    <w:rsid w:val="14021322"/>
    <w:rsid w:val="14060DE1"/>
    <w:rsid w:val="140E7C96"/>
    <w:rsid w:val="141771D4"/>
    <w:rsid w:val="141D25CF"/>
    <w:rsid w:val="1431615E"/>
    <w:rsid w:val="143811B7"/>
    <w:rsid w:val="143F0797"/>
    <w:rsid w:val="1441006B"/>
    <w:rsid w:val="144C6A8C"/>
    <w:rsid w:val="1470709B"/>
    <w:rsid w:val="147A17CF"/>
    <w:rsid w:val="147E306D"/>
    <w:rsid w:val="14AB3CAB"/>
    <w:rsid w:val="14B22D17"/>
    <w:rsid w:val="14BF5434"/>
    <w:rsid w:val="14CE709B"/>
    <w:rsid w:val="14D27753"/>
    <w:rsid w:val="14DA35C2"/>
    <w:rsid w:val="14E94384"/>
    <w:rsid w:val="14ED1FA1"/>
    <w:rsid w:val="14F670A8"/>
    <w:rsid w:val="15164747"/>
    <w:rsid w:val="152320D3"/>
    <w:rsid w:val="1525173B"/>
    <w:rsid w:val="152A6D51"/>
    <w:rsid w:val="153C6A85"/>
    <w:rsid w:val="155142DE"/>
    <w:rsid w:val="155344FA"/>
    <w:rsid w:val="155C5937"/>
    <w:rsid w:val="155D0ED5"/>
    <w:rsid w:val="15602773"/>
    <w:rsid w:val="156F04D3"/>
    <w:rsid w:val="15842E59"/>
    <w:rsid w:val="15860009"/>
    <w:rsid w:val="158A30CB"/>
    <w:rsid w:val="15A35D00"/>
    <w:rsid w:val="15BD1C48"/>
    <w:rsid w:val="15FD7FC2"/>
    <w:rsid w:val="161433C1"/>
    <w:rsid w:val="161F43DC"/>
    <w:rsid w:val="16287735"/>
    <w:rsid w:val="16522B9A"/>
    <w:rsid w:val="16536716"/>
    <w:rsid w:val="16565924"/>
    <w:rsid w:val="16765F7F"/>
    <w:rsid w:val="16DA0094"/>
    <w:rsid w:val="17186491"/>
    <w:rsid w:val="17287018"/>
    <w:rsid w:val="173152B0"/>
    <w:rsid w:val="17352987"/>
    <w:rsid w:val="17354305"/>
    <w:rsid w:val="173C4B1A"/>
    <w:rsid w:val="17442587"/>
    <w:rsid w:val="17514A69"/>
    <w:rsid w:val="175D1DEA"/>
    <w:rsid w:val="175E7186"/>
    <w:rsid w:val="176F6C9D"/>
    <w:rsid w:val="17931083"/>
    <w:rsid w:val="17A821AF"/>
    <w:rsid w:val="17C23271"/>
    <w:rsid w:val="17D47448"/>
    <w:rsid w:val="1809651A"/>
    <w:rsid w:val="180D3921"/>
    <w:rsid w:val="182C1032"/>
    <w:rsid w:val="18506ACF"/>
    <w:rsid w:val="18636CAE"/>
    <w:rsid w:val="1864257A"/>
    <w:rsid w:val="187622AE"/>
    <w:rsid w:val="188E15F2"/>
    <w:rsid w:val="18AE4EC6"/>
    <w:rsid w:val="18B14413"/>
    <w:rsid w:val="18C4126B"/>
    <w:rsid w:val="18C81F31"/>
    <w:rsid w:val="18D01ED3"/>
    <w:rsid w:val="18D547D1"/>
    <w:rsid w:val="18D73BAB"/>
    <w:rsid w:val="18F02060"/>
    <w:rsid w:val="18FE29CF"/>
    <w:rsid w:val="19044755"/>
    <w:rsid w:val="190F5F83"/>
    <w:rsid w:val="19153806"/>
    <w:rsid w:val="192835A8"/>
    <w:rsid w:val="193E726F"/>
    <w:rsid w:val="195352F3"/>
    <w:rsid w:val="19662886"/>
    <w:rsid w:val="199155F1"/>
    <w:rsid w:val="19987A91"/>
    <w:rsid w:val="19A03A86"/>
    <w:rsid w:val="19F908B3"/>
    <w:rsid w:val="1A1146FA"/>
    <w:rsid w:val="1A123628"/>
    <w:rsid w:val="1A26479D"/>
    <w:rsid w:val="1A3D35ED"/>
    <w:rsid w:val="1A46462D"/>
    <w:rsid w:val="1A756CC1"/>
    <w:rsid w:val="1A8413AE"/>
    <w:rsid w:val="1A8B64E4"/>
    <w:rsid w:val="1A8E05FE"/>
    <w:rsid w:val="1A9058A9"/>
    <w:rsid w:val="1A9B49B0"/>
    <w:rsid w:val="1A9D6CCC"/>
    <w:rsid w:val="1AA07C78"/>
    <w:rsid w:val="1AA80E44"/>
    <w:rsid w:val="1AC75042"/>
    <w:rsid w:val="1AD734D7"/>
    <w:rsid w:val="1AEE7DE9"/>
    <w:rsid w:val="1AF8344E"/>
    <w:rsid w:val="1B040787"/>
    <w:rsid w:val="1B043BA1"/>
    <w:rsid w:val="1B061813"/>
    <w:rsid w:val="1B130357"/>
    <w:rsid w:val="1B185171"/>
    <w:rsid w:val="1B395F40"/>
    <w:rsid w:val="1B4B5C73"/>
    <w:rsid w:val="1B6A434C"/>
    <w:rsid w:val="1B7675E1"/>
    <w:rsid w:val="1B776A68"/>
    <w:rsid w:val="1B8F453C"/>
    <w:rsid w:val="1B99078D"/>
    <w:rsid w:val="1B992B6C"/>
    <w:rsid w:val="1BB750B7"/>
    <w:rsid w:val="1BBE4697"/>
    <w:rsid w:val="1BDB2B53"/>
    <w:rsid w:val="1BE161A1"/>
    <w:rsid w:val="1BE837DE"/>
    <w:rsid w:val="1C0365C2"/>
    <w:rsid w:val="1C0C7820"/>
    <w:rsid w:val="1C1E6EE4"/>
    <w:rsid w:val="1C2E71DA"/>
    <w:rsid w:val="1C322CD6"/>
    <w:rsid w:val="1C392313"/>
    <w:rsid w:val="1C3C2680"/>
    <w:rsid w:val="1C5A4155"/>
    <w:rsid w:val="1C705EEB"/>
    <w:rsid w:val="1C71170A"/>
    <w:rsid w:val="1C832EF3"/>
    <w:rsid w:val="1C853F25"/>
    <w:rsid w:val="1C9B22E3"/>
    <w:rsid w:val="1CA5716B"/>
    <w:rsid w:val="1CCC07A5"/>
    <w:rsid w:val="1CD04682"/>
    <w:rsid w:val="1CDC4DD5"/>
    <w:rsid w:val="1CE1063D"/>
    <w:rsid w:val="1CE11B43"/>
    <w:rsid w:val="1D1C31C6"/>
    <w:rsid w:val="1D2F6359"/>
    <w:rsid w:val="1D5A229C"/>
    <w:rsid w:val="1D677755"/>
    <w:rsid w:val="1D6B6159"/>
    <w:rsid w:val="1D7E7C3A"/>
    <w:rsid w:val="1D890952"/>
    <w:rsid w:val="1D9751A0"/>
    <w:rsid w:val="1D9E6D33"/>
    <w:rsid w:val="1DA11B7B"/>
    <w:rsid w:val="1DB83649"/>
    <w:rsid w:val="1DBD698E"/>
    <w:rsid w:val="1DEC54EC"/>
    <w:rsid w:val="1DF3687A"/>
    <w:rsid w:val="1E114F52"/>
    <w:rsid w:val="1E1F1D09"/>
    <w:rsid w:val="1E3626DA"/>
    <w:rsid w:val="1E3A109E"/>
    <w:rsid w:val="1E6257AE"/>
    <w:rsid w:val="1E696B3C"/>
    <w:rsid w:val="1E72018F"/>
    <w:rsid w:val="1E910AAB"/>
    <w:rsid w:val="1EC74F46"/>
    <w:rsid w:val="1ED61AE4"/>
    <w:rsid w:val="1EE91639"/>
    <w:rsid w:val="1EE937D9"/>
    <w:rsid w:val="1EF108E0"/>
    <w:rsid w:val="1F0F03C8"/>
    <w:rsid w:val="1F161CFA"/>
    <w:rsid w:val="1F330EF8"/>
    <w:rsid w:val="1F427627"/>
    <w:rsid w:val="1F4849A4"/>
    <w:rsid w:val="1F780DC2"/>
    <w:rsid w:val="1F7E51EF"/>
    <w:rsid w:val="1F932648"/>
    <w:rsid w:val="1FA63478"/>
    <w:rsid w:val="1FB77434"/>
    <w:rsid w:val="1FB931AC"/>
    <w:rsid w:val="1FBA1D7F"/>
    <w:rsid w:val="1FD11463"/>
    <w:rsid w:val="1FD1619B"/>
    <w:rsid w:val="200B48BA"/>
    <w:rsid w:val="202028F3"/>
    <w:rsid w:val="202820DF"/>
    <w:rsid w:val="202C0BB7"/>
    <w:rsid w:val="204131A1"/>
    <w:rsid w:val="206155F1"/>
    <w:rsid w:val="206669E0"/>
    <w:rsid w:val="20711CD8"/>
    <w:rsid w:val="20812B54"/>
    <w:rsid w:val="20891716"/>
    <w:rsid w:val="20A86FBE"/>
    <w:rsid w:val="20D109C9"/>
    <w:rsid w:val="20D373A8"/>
    <w:rsid w:val="20D64231"/>
    <w:rsid w:val="20D83B05"/>
    <w:rsid w:val="20F0075B"/>
    <w:rsid w:val="20FA5D35"/>
    <w:rsid w:val="21110B54"/>
    <w:rsid w:val="211A2370"/>
    <w:rsid w:val="211B1C44"/>
    <w:rsid w:val="212B146E"/>
    <w:rsid w:val="213D7E0C"/>
    <w:rsid w:val="214007BA"/>
    <w:rsid w:val="21425423"/>
    <w:rsid w:val="214817EA"/>
    <w:rsid w:val="21501789"/>
    <w:rsid w:val="21582E98"/>
    <w:rsid w:val="215C74FD"/>
    <w:rsid w:val="217F05AB"/>
    <w:rsid w:val="218F2908"/>
    <w:rsid w:val="21AD2B8D"/>
    <w:rsid w:val="21C1459A"/>
    <w:rsid w:val="21D51EED"/>
    <w:rsid w:val="21E37019"/>
    <w:rsid w:val="21E87AF7"/>
    <w:rsid w:val="21F030D1"/>
    <w:rsid w:val="22080D83"/>
    <w:rsid w:val="221C2118"/>
    <w:rsid w:val="224534CB"/>
    <w:rsid w:val="224551CB"/>
    <w:rsid w:val="22460F43"/>
    <w:rsid w:val="226C2429"/>
    <w:rsid w:val="22704963"/>
    <w:rsid w:val="2295370E"/>
    <w:rsid w:val="22A243CB"/>
    <w:rsid w:val="22B50792"/>
    <w:rsid w:val="22BD7793"/>
    <w:rsid w:val="22C049F4"/>
    <w:rsid w:val="22C1192F"/>
    <w:rsid w:val="22D12F52"/>
    <w:rsid w:val="22E04EF3"/>
    <w:rsid w:val="22F455A3"/>
    <w:rsid w:val="23005595"/>
    <w:rsid w:val="23194618"/>
    <w:rsid w:val="232A22F4"/>
    <w:rsid w:val="23325C2E"/>
    <w:rsid w:val="234046F8"/>
    <w:rsid w:val="234A5E6F"/>
    <w:rsid w:val="23536C52"/>
    <w:rsid w:val="23675615"/>
    <w:rsid w:val="237473A2"/>
    <w:rsid w:val="23897339"/>
    <w:rsid w:val="23A6613D"/>
    <w:rsid w:val="23AE0B4E"/>
    <w:rsid w:val="23B76AA0"/>
    <w:rsid w:val="23CE7442"/>
    <w:rsid w:val="23D039AD"/>
    <w:rsid w:val="23DD1433"/>
    <w:rsid w:val="23E66539"/>
    <w:rsid w:val="23EB4896"/>
    <w:rsid w:val="23ED24C7"/>
    <w:rsid w:val="23ED3D6C"/>
    <w:rsid w:val="240A094B"/>
    <w:rsid w:val="24373239"/>
    <w:rsid w:val="244D3E7B"/>
    <w:rsid w:val="2492046F"/>
    <w:rsid w:val="249E0BC2"/>
    <w:rsid w:val="24A8003A"/>
    <w:rsid w:val="24C55EF5"/>
    <w:rsid w:val="24D533AB"/>
    <w:rsid w:val="24E0567E"/>
    <w:rsid w:val="24E43F8D"/>
    <w:rsid w:val="24FF39DA"/>
    <w:rsid w:val="25021151"/>
    <w:rsid w:val="251635AE"/>
    <w:rsid w:val="25166994"/>
    <w:rsid w:val="25290DD3"/>
    <w:rsid w:val="25355210"/>
    <w:rsid w:val="25565511"/>
    <w:rsid w:val="2584425C"/>
    <w:rsid w:val="259205FB"/>
    <w:rsid w:val="259E4DFF"/>
    <w:rsid w:val="25C64874"/>
    <w:rsid w:val="261667EB"/>
    <w:rsid w:val="261E62D9"/>
    <w:rsid w:val="26211AAB"/>
    <w:rsid w:val="263F26B6"/>
    <w:rsid w:val="26551754"/>
    <w:rsid w:val="267A0A9A"/>
    <w:rsid w:val="26984DDB"/>
    <w:rsid w:val="26A95C00"/>
    <w:rsid w:val="26B02FEB"/>
    <w:rsid w:val="26DF3043"/>
    <w:rsid w:val="26DF7DC9"/>
    <w:rsid w:val="26E1123A"/>
    <w:rsid w:val="26E46B23"/>
    <w:rsid w:val="271138CD"/>
    <w:rsid w:val="271702FC"/>
    <w:rsid w:val="27606B25"/>
    <w:rsid w:val="276C31F9"/>
    <w:rsid w:val="276D0AA4"/>
    <w:rsid w:val="27941333"/>
    <w:rsid w:val="27973840"/>
    <w:rsid w:val="27A6495D"/>
    <w:rsid w:val="27A7243F"/>
    <w:rsid w:val="27BA21B7"/>
    <w:rsid w:val="27BA2BE8"/>
    <w:rsid w:val="27BB437C"/>
    <w:rsid w:val="27CF7F46"/>
    <w:rsid w:val="27E40FE2"/>
    <w:rsid w:val="27E70AD2"/>
    <w:rsid w:val="27F24AAA"/>
    <w:rsid w:val="27F4387E"/>
    <w:rsid w:val="28140DD6"/>
    <w:rsid w:val="281A6515"/>
    <w:rsid w:val="281C7B42"/>
    <w:rsid w:val="28324A94"/>
    <w:rsid w:val="284149E4"/>
    <w:rsid w:val="28557BBE"/>
    <w:rsid w:val="28777A3E"/>
    <w:rsid w:val="28852C5D"/>
    <w:rsid w:val="28A61B63"/>
    <w:rsid w:val="28C130D1"/>
    <w:rsid w:val="28CD0E1E"/>
    <w:rsid w:val="28D52BFD"/>
    <w:rsid w:val="28DD687E"/>
    <w:rsid w:val="28E62B38"/>
    <w:rsid w:val="28FE3ECA"/>
    <w:rsid w:val="29142FE5"/>
    <w:rsid w:val="29262DDF"/>
    <w:rsid w:val="2928313A"/>
    <w:rsid w:val="29307225"/>
    <w:rsid w:val="294E5694"/>
    <w:rsid w:val="295F3950"/>
    <w:rsid w:val="295F3E24"/>
    <w:rsid w:val="296E125F"/>
    <w:rsid w:val="297C578D"/>
    <w:rsid w:val="297C5EB8"/>
    <w:rsid w:val="297D349C"/>
    <w:rsid w:val="29902EF6"/>
    <w:rsid w:val="29994FCF"/>
    <w:rsid w:val="29CD6601"/>
    <w:rsid w:val="29D23945"/>
    <w:rsid w:val="29D303B0"/>
    <w:rsid w:val="29D651AE"/>
    <w:rsid w:val="29DA08EE"/>
    <w:rsid w:val="29F23F07"/>
    <w:rsid w:val="29F568F4"/>
    <w:rsid w:val="29FF2103"/>
    <w:rsid w:val="2A1536D4"/>
    <w:rsid w:val="2A17641D"/>
    <w:rsid w:val="2A187669"/>
    <w:rsid w:val="2A2C0695"/>
    <w:rsid w:val="2A5306A1"/>
    <w:rsid w:val="2A73664D"/>
    <w:rsid w:val="2A752544"/>
    <w:rsid w:val="2A8B71DD"/>
    <w:rsid w:val="2AA1011F"/>
    <w:rsid w:val="2AD67DAC"/>
    <w:rsid w:val="2AE435F6"/>
    <w:rsid w:val="2B1159A3"/>
    <w:rsid w:val="2B205CF7"/>
    <w:rsid w:val="2B481888"/>
    <w:rsid w:val="2B4845BB"/>
    <w:rsid w:val="2B616B27"/>
    <w:rsid w:val="2B6577D7"/>
    <w:rsid w:val="2B6D576B"/>
    <w:rsid w:val="2B807273"/>
    <w:rsid w:val="2B964CE9"/>
    <w:rsid w:val="2BAC1E16"/>
    <w:rsid w:val="2BBE5766"/>
    <w:rsid w:val="2BCE4483"/>
    <w:rsid w:val="2BD55811"/>
    <w:rsid w:val="2BD5753D"/>
    <w:rsid w:val="2BEF6D77"/>
    <w:rsid w:val="2BFB2F70"/>
    <w:rsid w:val="2C120226"/>
    <w:rsid w:val="2C163734"/>
    <w:rsid w:val="2C1778A4"/>
    <w:rsid w:val="2C2748E2"/>
    <w:rsid w:val="2C493B09"/>
    <w:rsid w:val="2C73502A"/>
    <w:rsid w:val="2C7E5774"/>
    <w:rsid w:val="2C9338FE"/>
    <w:rsid w:val="2C9F5E1F"/>
    <w:rsid w:val="2CBB67AC"/>
    <w:rsid w:val="2CBC077F"/>
    <w:rsid w:val="2CC43190"/>
    <w:rsid w:val="2CCF6239"/>
    <w:rsid w:val="2CF5279B"/>
    <w:rsid w:val="2D070AF3"/>
    <w:rsid w:val="2D2D342B"/>
    <w:rsid w:val="2D2E0C20"/>
    <w:rsid w:val="2D4A18E7"/>
    <w:rsid w:val="2D684463"/>
    <w:rsid w:val="2D69155B"/>
    <w:rsid w:val="2D727370"/>
    <w:rsid w:val="2D7A6EC3"/>
    <w:rsid w:val="2D83304B"/>
    <w:rsid w:val="2DC316F0"/>
    <w:rsid w:val="2DCC67A0"/>
    <w:rsid w:val="2DDD6BFF"/>
    <w:rsid w:val="2DDE40A7"/>
    <w:rsid w:val="2DE51610"/>
    <w:rsid w:val="2DEC6E42"/>
    <w:rsid w:val="2E01712F"/>
    <w:rsid w:val="2E075A2A"/>
    <w:rsid w:val="2E13617D"/>
    <w:rsid w:val="2E2501F1"/>
    <w:rsid w:val="2E2F28DC"/>
    <w:rsid w:val="2E361327"/>
    <w:rsid w:val="2E4A4884"/>
    <w:rsid w:val="2E516CA5"/>
    <w:rsid w:val="2E6115DE"/>
    <w:rsid w:val="2E635445"/>
    <w:rsid w:val="2E894691"/>
    <w:rsid w:val="2EA63495"/>
    <w:rsid w:val="2EA65243"/>
    <w:rsid w:val="2EC56214"/>
    <w:rsid w:val="2EE53948"/>
    <w:rsid w:val="2EE87609"/>
    <w:rsid w:val="2EED10C4"/>
    <w:rsid w:val="2EEE0998"/>
    <w:rsid w:val="2F2D326E"/>
    <w:rsid w:val="2F3A1296"/>
    <w:rsid w:val="2F4036AC"/>
    <w:rsid w:val="2F566798"/>
    <w:rsid w:val="2F5E657A"/>
    <w:rsid w:val="2F715D49"/>
    <w:rsid w:val="2F7470EF"/>
    <w:rsid w:val="2F7702D9"/>
    <w:rsid w:val="2F77273B"/>
    <w:rsid w:val="2F7C7158"/>
    <w:rsid w:val="2F8428F5"/>
    <w:rsid w:val="2F884949"/>
    <w:rsid w:val="2FAA307F"/>
    <w:rsid w:val="2FB67708"/>
    <w:rsid w:val="2FBE036A"/>
    <w:rsid w:val="2FD07CB9"/>
    <w:rsid w:val="2FD37947"/>
    <w:rsid w:val="2FDB1904"/>
    <w:rsid w:val="2FE27FF6"/>
    <w:rsid w:val="2FF858A2"/>
    <w:rsid w:val="300940D8"/>
    <w:rsid w:val="301B57BD"/>
    <w:rsid w:val="301D1535"/>
    <w:rsid w:val="30212C9E"/>
    <w:rsid w:val="30270434"/>
    <w:rsid w:val="303A20E7"/>
    <w:rsid w:val="303C60D6"/>
    <w:rsid w:val="3048206E"/>
    <w:rsid w:val="305667F5"/>
    <w:rsid w:val="306308E6"/>
    <w:rsid w:val="30713E8F"/>
    <w:rsid w:val="307B44AD"/>
    <w:rsid w:val="309D23E8"/>
    <w:rsid w:val="30A62ED2"/>
    <w:rsid w:val="30B4066F"/>
    <w:rsid w:val="30C9474B"/>
    <w:rsid w:val="30CD0532"/>
    <w:rsid w:val="30D53205"/>
    <w:rsid w:val="30DA5678"/>
    <w:rsid w:val="30E327D8"/>
    <w:rsid w:val="30E738F1"/>
    <w:rsid w:val="30ED33C0"/>
    <w:rsid w:val="31077AEF"/>
    <w:rsid w:val="311E6901"/>
    <w:rsid w:val="31275445"/>
    <w:rsid w:val="312B4C3D"/>
    <w:rsid w:val="31572824"/>
    <w:rsid w:val="31654DA4"/>
    <w:rsid w:val="3166515D"/>
    <w:rsid w:val="3179279B"/>
    <w:rsid w:val="318003A1"/>
    <w:rsid w:val="318D460E"/>
    <w:rsid w:val="31926A3D"/>
    <w:rsid w:val="31937418"/>
    <w:rsid w:val="31B44F02"/>
    <w:rsid w:val="31C205E6"/>
    <w:rsid w:val="31C679AA"/>
    <w:rsid w:val="31C95503"/>
    <w:rsid w:val="31FC5E7B"/>
    <w:rsid w:val="31FD7641"/>
    <w:rsid w:val="31FF379E"/>
    <w:rsid w:val="32081D71"/>
    <w:rsid w:val="325E256C"/>
    <w:rsid w:val="325F0664"/>
    <w:rsid w:val="32650F71"/>
    <w:rsid w:val="32655415"/>
    <w:rsid w:val="32657585"/>
    <w:rsid w:val="327877A7"/>
    <w:rsid w:val="328C3849"/>
    <w:rsid w:val="32943604"/>
    <w:rsid w:val="329F26D5"/>
    <w:rsid w:val="32A36BD3"/>
    <w:rsid w:val="32AE4058"/>
    <w:rsid w:val="32B92375"/>
    <w:rsid w:val="32D0288E"/>
    <w:rsid w:val="32DA195F"/>
    <w:rsid w:val="32DF2AD1"/>
    <w:rsid w:val="32EB3B6C"/>
    <w:rsid w:val="32F3657D"/>
    <w:rsid w:val="330B5E98"/>
    <w:rsid w:val="330F2DD1"/>
    <w:rsid w:val="33153715"/>
    <w:rsid w:val="331A615D"/>
    <w:rsid w:val="3342381F"/>
    <w:rsid w:val="33582884"/>
    <w:rsid w:val="33945FB2"/>
    <w:rsid w:val="33B02C3E"/>
    <w:rsid w:val="33BA52ED"/>
    <w:rsid w:val="33BE6B8B"/>
    <w:rsid w:val="33C27B28"/>
    <w:rsid w:val="33C60603"/>
    <w:rsid w:val="33CD330B"/>
    <w:rsid w:val="33D72473"/>
    <w:rsid w:val="33E10ACB"/>
    <w:rsid w:val="33F12522"/>
    <w:rsid w:val="33F64577"/>
    <w:rsid w:val="33F808FE"/>
    <w:rsid w:val="341E3ACD"/>
    <w:rsid w:val="341E6330"/>
    <w:rsid w:val="34311A53"/>
    <w:rsid w:val="3452665F"/>
    <w:rsid w:val="34802092"/>
    <w:rsid w:val="349316FF"/>
    <w:rsid w:val="349A75F8"/>
    <w:rsid w:val="349C6095"/>
    <w:rsid w:val="34B00D56"/>
    <w:rsid w:val="34B42434"/>
    <w:rsid w:val="34D67F04"/>
    <w:rsid w:val="34DC3DD3"/>
    <w:rsid w:val="34F14D3E"/>
    <w:rsid w:val="34F211E2"/>
    <w:rsid w:val="34FD1135"/>
    <w:rsid w:val="35076310"/>
    <w:rsid w:val="352275ED"/>
    <w:rsid w:val="35366A4B"/>
    <w:rsid w:val="353E40D6"/>
    <w:rsid w:val="35501CDF"/>
    <w:rsid w:val="356B689E"/>
    <w:rsid w:val="357131C3"/>
    <w:rsid w:val="35737566"/>
    <w:rsid w:val="35A35F28"/>
    <w:rsid w:val="35AF70D3"/>
    <w:rsid w:val="35B80D7F"/>
    <w:rsid w:val="35DC0EB4"/>
    <w:rsid w:val="35EB3E83"/>
    <w:rsid w:val="364C66D0"/>
    <w:rsid w:val="36525CB0"/>
    <w:rsid w:val="365407B3"/>
    <w:rsid w:val="36550A62"/>
    <w:rsid w:val="3678078F"/>
    <w:rsid w:val="36802E61"/>
    <w:rsid w:val="369E0EF6"/>
    <w:rsid w:val="36A03767"/>
    <w:rsid w:val="36C4095C"/>
    <w:rsid w:val="36D668E1"/>
    <w:rsid w:val="37182A56"/>
    <w:rsid w:val="374F6108"/>
    <w:rsid w:val="37563849"/>
    <w:rsid w:val="377E7262"/>
    <w:rsid w:val="37850AE5"/>
    <w:rsid w:val="37B60631"/>
    <w:rsid w:val="37C64260"/>
    <w:rsid w:val="37CB7AC8"/>
    <w:rsid w:val="37EF4766"/>
    <w:rsid w:val="37F4701F"/>
    <w:rsid w:val="37F92887"/>
    <w:rsid w:val="37FE1410"/>
    <w:rsid w:val="380272DD"/>
    <w:rsid w:val="383A69FC"/>
    <w:rsid w:val="384A6C3F"/>
    <w:rsid w:val="384E3015"/>
    <w:rsid w:val="384F06F9"/>
    <w:rsid w:val="38710670"/>
    <w:rsid w:val="38A20CA3"/>
    <w:rsid w:val="38B90269"/>
    <w:rsid w:val="38CB3534"/>
    <w:rsid w:val="38CD5B52"/>
    <w:rsid w:val="38D1110E"/>
    <w:rsid w:val="39134109"/>
    <w:rsid w:val="391B121D"/>
    <w:rsid w:val="3925145A"/>
    <w:rsid w:val="39291720"/>
    <w:rsid w:val="393618B9"/>
    <w:rsid w:val="393E5699"/>
    <w:rsid w:val="39535FC7"/>
    <w:rsid w:val="397C415A"/>
    <w:rsid w:val="39A86313"/>
    <w:rsid w:val="39CF4D7E"/>
    <w:rsid w:val="39EB4452"/>
    <w:rsid w:val="39EC3D26"/>
    <w:rsid w:val="39FC4F8E"/>
    <w:rsid w:val="3A0A12D0"/>
    <w:rsid w:val="3A211C22"/>
    <w:rsid w:val="3A21426F"/>
    <w:rsid w:val="3A257350"/>
    <w:rsid w:val="3A4174C2"/>
    <w:rsid w:val="3A443B62"/>
    <w:rsid w:val="3A4D0A67"/>
    <w:rsid w:val="3A5A1E64"/>
    <w:rsid w:val="3A6A35C8"/>
    <w:rsid w:val="3A6C5593"/>
    <w:rsid w:val="3A833317"/>
    <w:rsid w:val="3A914B86"/>
    <w:rsid w:val="3A9248CD"/>
    <w:rsid w:val="3AA27206"/>
    <w:rsid w:val="3ABB0921"/>
    <w:rsid w:val="3ABE56C2"/>
    <w:rsid w:val="3AC214F7"/>
    <w:rsid w:val="3AC72C7F"/>
    <w:rsid w:val="3AD62A0C"/>
    <w:rsid w:val="3ADC3D9A"/>
    <w:rsid w:val="3AED0254"/>
    <w:rsid w:val="3AF9494C"/>
    <w:rsid w:val="3B052EBF"/>
    <w:rsid w:val="3B0F54F5"/>
    <w:rsid w:val="3B1B5D74"/>
    <w:rsid w:val="3B2933F5"/>
    <w:rsid w:val="3B3610A3"/>
    <w:rsid w:val="3B4D2D14"/>
    <w:rsid w:val="3B6748CC"/>
    <w:rsid w:val="3B69515A"/>
    <w:rsid w:val="3B6E59E1"/>
    <w:rsid w:val="3B86038F"/>
    <w:rsid w:val="3B96663F"/>
    <w:rsid w:val="3B980847"/>
    <w:rsid w:val="3BAB20EB"/>
    <w:rsid w:val="3BAE7642"/>
    <w:rsid w:val="3BB80364"/>
    <w:rsid w:val="3BCB0097"/>
    <w:rsid w:val="3BCB2F17"/>
    <w:rsid w:val="3BD3519D"/>
    <w:rsid w:val="3BDA29D0"/>
    <w:rsid w:val="3BE64B49"/>
    <w:rsid w:val="3BF70E8C"/>
    <w:rsid w:val="3C061C3A"/>
    <w:rsid w:val="3C0C16D2"/>
    <w:rsid w:val="3C215F09"/>
    <w:rsid w:val="3C2644B3"/>
    <w:rsid w:val="3C2C1139"/>
    <w:rsid w:val="3C3C57D7"/>
    <w:rsid w:val="3C591B47"/>
    <w:rsid w:val="3C7D4BCA"/>
    <w:rsid w:val="3C932872"/>
    <w:rsid w:val="3C957E0A"/>
    <w:rsid w:val="3CAA4150"/>
    <w:rsid w:val="3CB041C8"/>
    <w:rsid w:val="3CB3037C"/>
    <w:rsid w:val="3CE50D56"/>
    <w:rsid w:val="3CEF38BE"/>
    <w:rsid w:val="3CF06E58"/>
    <w:rsid w:val="3D02607E"/>
    <w:rsid w:val="3D0B619B"/>
    <w:rsid w:val="3D1B0EB9"/>
    <w:rsid w:val="3D2A34E3"/>
    <w:rsid w:val="3D2F7E4F"/>
    <w:rsid w:val="3D344362"/>
    <w:rsid w:val="3D3561A5"/>
    <w:rsid w:val="3D3A332A"/>
    <w:rsid w:val="3D4F3A0A"/>
    <w:rsid w:val="3D6D7E54"/>
    <w:rsid w:val="3D6F7148"/>
    <w:rsid w:val="3D806AA1"/>
    <w:rsid w:val="3D8E75CE"/>
    <w:rsid w:val="3D9A3A01"/>
    <w:rsid w:val="3DA46DF1"/>
    <w:rsid w:val="3DAB313C"/>
    <w:rsid w:val="3DB01C3A"/>
    <w:rsid w:val="3DD36F8D"/>
    <w:rsid w:val="3DD650C3"/>
    <w:rsid w:val="3DD77969"/>
    <w:rsid w:val="3DD935D9"/>
    <w:rsid w:val="3DDA38B1"/>
    <w:rsid w:val="3DE23DBE"/>
    <w:rsid w:val="3E040708"/>
    <w:rsid w:val="3E2664E7"/>
    <w:rsid w:val="3E4B3711"/>
    <w:rsid w:val="3E5439B5"/>
    <w:rsid w:val="3E692AB3"/>
    <w:rsid w:val="3E976956"/>
    <w:rsid w:val="3E9D6017"/>
    <w:rsid w:val="3EAA6689"/>
    <w:rsid w:val="3EC62D97"/>
    <w:rsid w:val="3EDC080D"/>
    <w:rsid w:val="3EEA117C"/>
    <w:rsid w:val="3EF73792"/>
    <w:rsid w:val="3EFB6EE5"/>
    <w:rsid w:val="3EFE35F1"/>
    <w:rsid w:val="3F591E5E"/>
    <w:rsid w:val="3F763CF5"/>
    <w:rsid w:val="3F7722E4"/>
    <w:rsid w:val="3F793AA4"/>
    <w:rsid w:val="3F7B2750"/>
    <w:rsid w:val="3F924981"/>
    <w:rsid w:val="3FA97081"/>
    <w:rsid w:val="3FBD253E"/>
    <w:rsid w:val="3FD84D1B"/>
    <w:rsid w:val="3FD85478"/>
    <w:rsid w:val="3FE26475"/>
    <w:rsid w:val="3FEB6997"/>
    <w:rsid w:val="3FEF16C7"/>
    <w:rsid w:val="401F30A7"/>
    <w:rsid w:val="4024246B"/>
    <w:rsid w:val="402C30CE"/>
    <w:rsid w:val="40320264"/>
    <w:rsid w:val="403A60A9"/>
    <w:rsid w:val="40453641"/>
    <w:rsid w:val="40583113"/>
    <w:rsid w:val="40611E66"/>
    <w:rsid w:val="406528C8"/>
    <w:rsid w:val="40703AA6"/>
    <w:rsid w:val="408847A8"/>
    <w:rsid w:val="4098711A"/>
    <w:rsid w:val="40AB0497"/>
    <w:rsid w:val="40B03CFF"/>
    <w:rsid w:val="40B76E3C"/>
    <w:rsid w:val="40E5060C"/>
    <w:rsid w:val="40E8193A"/>
    <w:rsid w:val="40EC2740"/>
    <w:rsid w:val="40F53929"/>
    <w:rsid w:val="40F9018D"/>
    <w:rsid w:val="40FC7AE7"/>
    <w:rsid w:val="41140732"/>
    <w:rsid w:val="41265D6F"/>
    <w:rsid w:val="412F2E76"/>
    <w:rsid w:val="41317676"/>
    <w:rsid w:val="41452699"/>
    <w:rsid w:val="414E4604"/>
    <w:rsid w:val="4151103E"/>
    <w:rsid w:val="41647B3C"/>
    <w:rsid w:val="41670862"/>
    <w:rsid w:val="41707804"/>
    <w:rsid w:val="41764F49"/>
    <w:rsid w:val="41792343"/>
    <w:rsid w:val="417B41BA"/>
    <w:rsid w:val="417E6D7A"/>
    <w:rsid w:val="418F600A"/>
    <w:rsid w:val="41907AE0"/>
    <w:rsid w:val="41B6751F"/>
    <w:rsid w:val="41C24C34"/>
    <w:rsid w:val="41C96E7B"/>
    <w:rsid w:val="41E77BF5"/>
    <w:rsid w:val="42176C30"/>
    <w:rsid w:val="42245DA7"/>
    <w:rsid w:val="422B73A6"/>
    <w:rsid w:val="425C413F"/>
    <w:rsid w:val="42686225"/>
    <w:rsid w:val="426F49B7"/>
    <w:rsid w:val="42802924"/>
    <w:rsid w:val="428764C9"/>
    <w:rsid w:val="42966A2F"/>
    <w:rsid w:val="429E0EC5"/>
    <w:rsid w:val="42BE6797"/>
    <w:rsid w:val="42D24401"/>
    <w:rsid w:val="42EA250D"/>
    <w:rsid w:val="430B3992"/>
    <w:rsid w:val="431617BC"/>
    <w:rsid w:val="43313E52"/>
    <w:rsid w:val="433A53C5"/>
    <w:rsid w:val="43446753"/>
    <w:rsid w:val="4363194B"/>
    <w:rsid w:val="437D1F7B"/>
    <w:rsid w:val="43972F54"/>
    <w:rsid w:val="43996CCD"/>
    <w:rsid w:val="43A90197"/>
    <w:rsid w:val="43C52FFD"/>
    <w:rsid w:val="43C91A95"/>
    <w:rsid w:val="44153252"/>
    <w:rsid w:val="44223166"/>
    <w:rsid w:val="442C012E"/>
    <w:rsid w:val="44330EDC"/>
    <w:rsid w:val="443C1CE9"/>
    <w:rsid w:val="44430277"/>
    <w:rsid w:val="447A13F2"/>
    <w:rsid w:val="449C0EE5"/>
    <w:rsid w:val="44A26055"/>
    <w:rsid w:val="44BC521D"/>
    <w:rsid w:val="44BE60C7"/>
    <w:rsid w:val="44CA5DAE"/>
    <w:rsid w:val="44F22059"/>
    <w:rsid w:val="44F3240C"/>
    <w:rsid w:val="44FE0749"/>
    <w:rsid w:val="450E5498"/>
    <w:rsid w:val="45144DBC"/>
    <w:rsid w:val="451707F1"/>
    <w:rsid w:val="45252F0E"/>
    <w:rsid w:val="45260A34"/>
    <w:rsid w:val="452F41CA"/>
    <w:rsid w:val="453330AC"/>
    <w:rsid w:val="453B2FDB"/>
    <w:rsid w:val="45476FB4"/>
    <w:rsid w:val="456C13EA"/>
    <w:rsid w:val="456D3B5A"/>
    <w:rsid w:val="4574179F"/>
    <w:rsid w:val="458B50A4"/>
    <w:rsid w:val="45913242"/>
    <w:rsid w:val="45941E41"/>
    <w:rsid w:val="45962F9C"/>
    <w:rsid w:val="45BF387F"/>
    <w:rsid w:val="45C0778F"/>
    <w:rsid w:val="45F412BC"/>
    <w:rsid w:val="4605689B"/>
    <w:rsid w:val="463347D5"/>
    <w:rsid w:val="4644109C"/>
    <w:rsid w:val="465046DC"/>
    <w:rsid w:val="466C2476"/>
    <w:rsid w:val="466F1207"/>
    <w:rsid w:val="468E1055"/>
    <w:rsid w:val="46BC6448"/>
    <w:rsid w:val="46CF05BF"/>
    <w:rsid w:val="46D34892"/>
    <w:rsid w:val="46DD15C6"/>
    <w:rsid w:val="46FD5B8B"/>
    <w:rsid w:val="4707219F"/>
    <w:rsid w:val="470B1E18"/>
    <w:rsid w:val="470F489F"/>
    <w:rsid w:val="47246F9A"/>
    <w:rsid w:val="4740402F"/>
    <w:rsid w:val="474156B1"/>
    <w:rsid w:val="47555600"/>
    <w:rsid w:val="477737C9"/>
    <w:rsid w:val="47A619B8"/>
    <w:rsid w:val="47BE1056"/>
    <w:rsid w:val="47C00CCC"/>
    <w:rsid w:val="47C63E08"/>
    <w:rsid w:val="47CD5197"/>
    <w:rsid w:val="47DC702C"/>
    <w:rsid w:val="47DD1369"/>
    <w:rsid w:val="47E60EC0"/>
    <w:rsid w:val="48067DB7"/>
    <w:rsid w:val="480908C5"/>
    <w:rsid w:val="480B3F64"/>
    <w:rsid w:val="48282F4E"/>
    <w:rsid w:val="483530F7"/>
    <w:rsid w:val="48355072"/>
    <w:rsid w:val="48497EBD"/>
    <w:rsid w:val="484E1A14"/>
    <w:rsid w:val="48623B31"/>
    <w:rsid w:val="48CD05CF"/>
    <w:rsid w:val="48F86243"/>
    <w:rsid w:val="48FC0433"/>
    <w:rsid w:val="48FD7CFE"/>
    <w:rsid w:val="4904108C"/>
    <w:rsid w:val="490E1F0B"/>
    <w:rsid w:val="492E42BB"/>
    <w:rsid w:val="4933167E"/>
    <w:rsid w:val="4935521C"/>
    <w:rsid w:val="493C6A78"/>
    <w:rsid w:val="49507A41"/>
    <w:rsid w:val="497004D0"/>
    <w:rsid w:val="4970626B"/>
    <w:rsid w:val="498B70B7"/>
    <w:rsid w:val="49912428"/>
    <w:rsid w:val="49983FEA"/>
    <w:rsid w:val="49B106A6"/>
    <w:rsid w:val="49B12AC2"/>
    <w:rsid w:val="49B22896"/>
    <w:rsid w:val="49C04B09"/>
    <w:rsid w:val="49C56A6D"/>
    <w:rsid w:val="49D64E06"/>
    <w:rsid w:val="49E044F4"/>
    <w:rsid w:val="49E61FDE"/>
    <w:rsid w:val="49E974A5"/>
    <w:rsid w:val="49EF5898"/>
    <w:rsid w:val="4A083C34"/>
    <w:rsid w:val="4A0E0D42"/>
    <w:rsid w:val="4A106B02"/>
    <w:rsid w:val="4A186FB0"/>
    <w:rsid w:val="4A3E5E39"/>
    <w:rsid w:val="4A4B0EC0"/>
    <w:rsid w:val="4A5C2802"/>
    <w:rsid w:val="4A835FE1"/>
    <w:rsid w:val="4A9E2E1A"/>
    <w:rsid w:val="4AA2290B"/>
    <w:rsid w:val="4ABB51F8"/>
    <w:rsid w:val="4AD52225"/>
    <w:rsid w:val="4B0041CC"/>
    <w:rsid w:val="4B3519D1"/>
    <w:rsid w:val="4B462A8B"/>
    <w:rsid w:val="4B4E53A1"/>
    <w:rsid w:val="4B50680B"/>
    <w:rsid w:val="4B5A31E5"/>
    <w:rsid w:val="4B6407A8"/>
    <w:rsid w:val="4B7668BA"/>
    <w:rsid w:val="4B7746F1"/>
    <w:rsid w:val="4B981532"/>
    <w:rsid w:val="4BEB587B"/>
    <w:rsid w:val="4C143DBE"/>
    <w:rsid w:val="4C365D83"/>
    <w:rsid w:val="4C507FC8"/>
    <w:rsid w:val="4C547C35"/>
    <w:rsid w:val="4C7D362F"/>
    <w:rsid w:val="4C823E34"/>
    <w:rsid w:val="4C891FD4"/>
    <w:rsid w:val="4C9A7D60"/>
    <w:rsid w:val="4CA706AC"/>
    <w:rsid w:val="4CB3384D"/>
    <w:rsid w:val="4CBC0C52"/>
    <w:rsid w:val="4CBE503D"/>
    <w:rsid w:val="4CC565F2"/>
    <w:rsid w:val="4CDF363B"/>
    <w:rsid w:val="4CEC2563"/>
    <w:rsid w:val="4CEC4311"/>
    <w:rsid w:val="4D01744E"/>
    <w:rsid w:val="4D094EC3"/>
    <w:rsid w:val="4D0B466A"/>
    <w:rsid w:val="4D204730"/>
    <w:rsid w:val="4D205D81"/>
    <w:rsid w:val="4D292E6F"/>
    <w:rsid w:val="4D3E26E3"/>
    <w:rsid w:val="4D422183"/>
    <w:rsid w:val="4D63201E"/>
    <w:rsid w:val="4D77777D"/>
    <w:rsid w:val="4D782049"/>
    <w:rsid w:val="4D924EB8"/>
    <w:rsid w:val="4D9C2615"/>
    <w:rsid w:val="4DCB2178"/>
    <w:rsid w:val="4DF73F1B"/>
    <w:rsid w:val="4E0120CB"/>
    <w:rsid w:val="4E3A10AC"/>
    <w:rsid w:val="4E593C28"/>
    <w:rsid w:val="4E5D32BC"/>
    <w:rsid w:val="4E620DD0"/>
    <w:rsid w:val="4E7844AA"/>
    <w:rsid w:val="4E7F5118"/>
    <w:rsid w:val="4E854A1D"/>
    <w:rsid w:val="4EB250E6"/>
    <w:rsid w:val="4EB64BD7"/>
    <w:rsid w:val="4EBF1F17"/>
    <w:rsid w:val="4EC54E1A"/>
    <w:rsid w:val="4EC63995"/>
    <w:rsid w:val="4ECA586D"/>
    <w:rsid w:val="4ED53717"/>
    <w:rsid w:val="4EDD6607"/>
    <w:rsid w:val="4EED611E"/>
    <w:rsid w:val="4F161F9E"/>
    <w:rsid w:val="4F1D07B2"/>
    <w:rsid w:val="4F29184C"/>
    <w:rsid w:val="4F4F2935"/>
    <w:rsid w:val="4F636E86"/>
    <w:rsid w:val="4FA17635"/>
    <w:rsid w:val="4FA9473B"/>
    <w:rsid w:val="4FAC15D6"/>
    <w:rsid w:val="4FAE3B00"/>
    <w:rsid w:val="4FAE58AE"/>
    <w:rsid w:val="4FAE737E"/>
    <w:rsid w:val="4FC41575"/>
    <w:rsid w:val="4FCB46B2"/>
    <w:rsid w:val="4FEF6085"/>
    <w:rsid w:val="50106568"/>
    <w:rsid w:val="501C315F"/>
    <w:rsid w:val="5029129B"/>
    <w:rsid w:val="503009B9"/>
    <w:rsid w:val="5035135F"/>
    <w:rsid w:val="504D50C7"/>
    <w:rsid w:val="505F385E"/>
    <w:rsid w:val="508A1E77"/>
    <w:rsid w:val="50A13664"/>
    <w:rsid w:val="50A53155"/>
    <w:rsid w:val="50C555A5"/>
    <w:rsid w:val="50C64592"/>
    <w:rsid w:val="50CD4459"/>
    <w:rsid w:val="50EB383B"/>
    <w:rsid w:val="510A2FB8"/>
    <w:rsid w:val="512978E2"/>
    <w:rsid w:val="5138600D"/>
    <w:rsid w:val="513B5867"/>
    <w:rsid w:val="51467590"/>
    <w:rsid w:val="515E0E2C"/>
    <w:rsid w:val="51782617"/>
    <w:rsid w:val="517B624D"/>
    <w:rsid w:val="5191705C"/>
    <w:rsid w:val="51A228F5"/>
    <w:rsid w:val="51A45531"/>
    <w:rsid w:val="51B80C66"/>
    <w:rsid w:val="51C45B07"/>
    <w:rsid w:val="51CF512B"/>
    <w:rsid w:val="51D81054"/>
    <w:rsid w:val="51E82964"/>
    <w:rsid w:val="520B7E44"/>
    <w:rsid w:val="52154215"/>
    <w:rsid w:val="522E5B2E"/>
    <w:rsid w:val="5237602E"/>
    <w:rsid w:val="5253098E"/>
    <w:rsid w:val="525F10E1"/>
    <w:rsid w:val="526607F5"/>
    <w:rsid w:val="52666914"/>
    <w:rsid w:val="52756B57"/>
    <w:rsid w:val="52833A1E"/>
    <w:rsid w:val="528812FD"/>
    <w:rsid w:val="52886F26"/>
    <w:rsid w:val="529010A5"/>
    <w:rsid w:val="52A336C4"/>
    <w:rsid w:val="52AD009F"/>
    <w:rsid w:val="52B07B8F"/>
    <w:rsid w:val="52B24E1B"/>
    <w:rsid w:val="52C22471"/>
    <w:rsid w:val="52C84ED8"/>
    <w:rsid w:val="52D50053"/>
    <w:rsid w:val="52E84E13"/>
    <w:rsid w:val="52EB6BD2"/>
    <w:rsid w:val="52F537F4"/>
    <w:rsid w:val="5322283B"/>
    <w:rsid w:val="533372E9"/>
    <w:rsid w:val="533D01A8"/>
    <w:rsid w:val="533F7726"/>
    <w:rsid w:val="534239E1"/>
    <w:rsid w:val="53777580"/>
    <w:rsid w:val="53852DC9"/>
    <w:rsid w:val="53A64B92"/>
    <w:rsid w:val="53A7022E"/>
    <w:rsid w:val="53AE0572"/>
    <w:rsid w:val="53B00B8A"/>
    <w:rsid w:val="53BF452D"/>
    <w:rsid w:val="53C31CC7"/>
    <w:rsid w:val="53EE4E13"/>
    <w:rsid w:val="53FE1CC8"/>
    <w:rsid w:val="543F11CA"/>
    <w:rsid w:val="543F4752"/>
    <w:rsid w:val="54574766"/>
    <w:rsid w:val="54593C6E"/>
    <w:rsid w:val="545C3B2A"/>
    <w:rsid w:val="545E246E"/>
    <w:rsid w:val="5466533F"/>
    <w:rsid w:val="5470756A"/>
    <w:rsid w:val="54912DDC"/>
    <w:rsid w:val="549F7EBB"/>
    <w:rsid w:val="54A37489"/>
    <w:rsid w:val="54A86D6F"/>
    <w:rsid w:val="54AA6B53"/>
    <w:rsid w:val="54B73456"/>
    <w:rsid w:val="54BB5779"/>
    <w:rsid w:val="54E0475B"/>
    <w:rsid w:val="55054CF5"/>
    <w:rsid w:val="550E6DA4"/>
    <w:rsid w:val="5516017D"/>
    <w:rsid w:val="551B4F2A"/>
    <w:rsid w:val="552704DE"/>
    <w:rsid w:val="55425C16"/>
    <w:rsid w:val="55451C44"/>
    <w:rsid w:val="55541606"/>
    <w:rsid w:val="55546EF7"/>
    <w:rsid w:val="55652EB2"/>
    <w:rsid w:val="55732A10"/>
    <w:rsid w:val="55855303"/>
    <w:rsid w:val="559D2A51"/>
    <w:rsid w:val="55AA6B17"/>
    <w:rsid w:val="55C01586"/>
    <w:rsid w:val="55C052CF"/>
    <w:rsid w:val="55D250DC"/>
    <w:rsid w:val="55D42759"/>
    <w:rsid w:val="55EE4C56"/>
    <w:rsid w:val="56130CE1"/>
    <w:rsid w:val="56145486"/>
    <w:rsid w:val="562F0520"/>
    <w:rsid w:val="56336E29"/>
    <w:rsid w:val="564317C0"/>
    <w:rsid w:val="564735D2"/>
    <w:rsid w:val="565105AC"/>
    <w:rsid w:val="56551179"/>
    <w:rsid w:val="565C42B5"/>
    <w:rsid w:val="5680587D"/>
    <w:rsid w:val="569C40BF"/>
    <w:rsid w:val="569E1568"/>
    <w:rsid w:val="56A04C49"/>
    <w:rsid w:val="56CE6835"/>
    <w:rsid w:val="56D93B58"/>
    <w:rsid w:val="56E66275"/>
    <w:rsid w:val="56F226E1"/>
    <w:rsid w:val="56F42740"/>
    <w:rsid w:val="56F664B8"/>
    <w:rsid w:val="57233722"/>
    <w:rsid w:val="57565F36"/>
    <w:rsid w:val="57605D52"/>
    <w:rsid w:val="57642DCB"/>
    <w:rsid w:val="57743881"/>
    <w:rsid w:val="57961A49"/>
    <w:rsid w:val="57A56669"/>
    <w:rsid w:val="57D24673"/>
    <w:rsid w:val="57D745C4"/>
    <w:rsid w:val="57F657DD"/>
    <w:rsid w:val="57F96F45"/>
    <w:rsid w:val="58226E39"/>
    <w:rsid w:val="583F6A66"/>
    <w:rsid w:val="583F7EB4"/>
    <w:rsid w:val="587C3E2F"/>
    <w:rsid w:val="58883A0E"/>
    <w:rsid w:val="588A3951"/>
    <w:rsid w:val="58975A79"/>
    <w:rsid w:val="589F449B"/>
    <w:rsid w:val="58B73A25"/>
    <w:rsid w:val="58C425E6"/>
    <w:rsid w:val="58DA7713"/>
    <w:rsid w:val="58FA6008"/>
    <w:rsid w:val="58FA7DB6"/>
    <w:rsid w:val="590F0BCB"/>
    <w:rsid w:val="59117084"/>
    <w:rsid w:val="591E1CF6"/>
    <w:rsid w:val="592C4D06"/>
    <w:rsid w:val="593C3F2A"/>
    <w:rsid w:val="594A0E4B"/>
    <w:rsid w:val="59542516"/>
    <w:rsid w:val="596A6CE9"/>
    <w:rsid w:val="597D4D3F"/>
    <w:rsid w:val="598A2EE8"/>
    <w:rsid w:val="59967ADE"/>
    <w:rsid w:val="599F5D2C"/>
    <w:rsid w:val="599F6E74"/>
    <w:rsid w:val="59D86349"/>
    <w:rsid w:val="59DB2C1E"/>
    <w:rsid w:val="59E4185E"/>
    <w:rsid w:val="59F57C32"/>
    <w:rsid w:val="5A0A04CC"/>
    <w:rsid w:val="5A27795C"/>
    <w:rsid w:val="5A290952"/>
    <w:rsid w:val="5A2D4959"/>
    <w:rsid w:val="5A517EA9"/>
    <w:rsid w:val="5A544645"/>
    <w:rsid w:val="5A5A4FB0"/>
    <w:rsid w:val="5A6000EC"/>
    <w:rsid w:val="5A664029"/>
    <w:rsid w:val="5A8A0640"/>
    <w:rsid w:val="5AA721C9"/>
    <w:rsid w:val="5AB3646E"/>
    <w:rsid w:val="5AD52888"/>
    <w:rsid w:val="5AE81188"/>
    <w:rsid w:val="5AF87969"/>
    <w:rsid w:val="5AFD7202"/>
    <w:rsid w:val="5B1C5E7E"/>
    <w:rsid w:val="5B5D4AC3"/>
    <w:rsid w:val="5B667984"/>
    <w:rsid w:val="5BA0468F"/>
    <w:rsid w:val="5BB57FC4"/>
    <w:rsid w:val="5BC621D1"/>
    <w:rsid w:val="5BE81608"/>
    <w:rsid w:val="5BF07EDE"/>
    <w:rsid w:val="5BF94355"/>
    <w:rsid w:val="5C002691"/>
    <w:rsid w:val="5C1178F0"/>
    <w:rsid w:val="5C156FF2"/>
    <w:rsid w:val="5C17799A"/>
    <w:rsid w:val="5C1D2204"/>
    <w:rsid w:val="5C213749"/>
    <w:rsid w:val="5C335AB8"/>
    <w:rsid w:val="5C3929A3"/>
    <w:rsid w:val="5C44702F"/>
    <w:rsid w:val="5C5978FD"/>
    <w:rsid w:val="5C614E96"/>
    <w:rsid w:val="5C82434A"/>
    <w:rsid w:val="5C94136B"/>
    <w:rsid w:val="5CA97B29"/>
    <w:rsid w:val="5CAC7619"/>
    <w:rsid w:val="5CC2748F"/>
    <w:rsid w:val="5CC91F79"/>
    <w:rsid w:val="5CCC5C7F"/>
    <w:rsid w:val="5CD66444"/>
    <w:rsid w:val="5CF30860"/>
    <w:rsid w:val="5D14082E"/>
    <w:rsid w:val="5D1E1622"/>
    <w:rsid w:val="5D3F223B"/>
    <w:rsid w:val="5D573A29"/>
    <w:rsid w:val="5D5757D7"/>
    <w:rsid w:val="5D651EA0"/>
    <w:rsid w:val="5D6D40C4"/>
    <w:rsid w:val="5D753EAF"/>
    <w:rsid w:val="5D781545"/>
    <w:rsid w:val="5D7874FB"/>
    <w:rsid w:val="5D816391"/>
    <w:rsid w:val="5D9D1833"/>
    <w:rsid w:val="5DC05AF8"/>
    <w:rsid w:val="5DCA5FA9"/>
    <w:rsid w:val="5DEA37ED"/>
    <w:rsid w:val="5DFF73FE"/>
    <w:rsid w:val="5E062D59"/>
    <w:rsid w:val="5E0C65C1"/>
    <w:rsid w:val="5E1751CC"/>
    <w:rsid w:val="5E4E5B59"/>
    <w:rsid w:val="5E5A4E7F"/>
    <w:rsid w:val="5E623D7B"/>
    <w:rsid w:val="5E6737F7"/>
    <w:rsid w:val="5E68756F"/>
    <w:rsid w:val="5E7423B8"/>
    <w:rsid w:val="5E773DBF"/>
    <w:rsid w:val="5E7A298D"/>
    <w:rsid w:val="5E7F6EA9"/>
    <w:rsid w:val="5E9371FE"/>
    <w:rsid w:val="5E954808"/>
    <w:rsid w:val="5E9C20DB"/>
    <w:rsid w:val="5EA83F26"/>
    <w:rsid w:val="5EAE7678"/>
    <w:rsid w:val="5EB94D0D"/>
    <w:rsid w:val="5EBB07EC"/>
    <w:rsid w:val="5EC549C2"/>
    <w:rsid w:val="5EFE2324"/>
    <w:rsid w:val="5F1A355E"/>
    <w:rsid w:val="5F1D035A"/>
    <w:rsid w:val="5F2B2A77"/>
    <w:rsid w:val="5F3A0E5B"/>
    <w:rsid w:val="5F3E282E"/>
    <w:rsid w:val="5F405520"/>
    <w:rsid w:val="5F4709B1"/>
    <w:rsid w:val="5F5024DD"/>
    <w:rsid w:val="5F546472"/>
    <w:rsid w:val="5F5F2ED4"/>
    <w:rsid w:val="5F5F4E16"/>
    <w:rsid w:val="5F710660"/>
    <w:rsid w:val="5F9C1BC7"/>
    <w:rsid w:val="5FA12C4E"/>
    <w:rsid w:val="5FFA18F8"/>
    <w:rsid w:val="60003F04"/>
    <w:rsid w:val="60013D09"/>
    <w:rsid w:val="60107EBF"/>
    <w:rsid w:val="60153438"/>
    <w:rsid w:val="601D2D07"/>
    <w:rsid w:val="6025396A"/>
    <w:rsid w:val="603558A2"/>
    <w:rsid w:val="603D6F06"/>
    <w:rsid w:val="603D7236"/>
    <w:rsid w:val="606A16CD"/>
    <w:rsid w:val="606A3A73"/>
    <w:rsid w:val="6071156F"/>
    <w:rsid w:val="607C44DA"/>
    <w:rsid w:val="60830691"/>
    <w:rsid w:val="60932FCA"/>
    <w:rsid w:val="60B349C5"/>
    <w:rsid w:val="60C54C6A"/>
    <w:rsid w:val="60D86C2E"/>
    <w:rsid w:val="60FB0B6F"/>
    <w:rsid w:val="610434FA"/>
    <w:rsid w:val="611F03B9"/>
    <w:rsid w:val="612E2CF2"/>
    <w:rsid w:val="613C540F"/>
    <w:rsid w:val="61405B16"/>
    <w:rsid w:val="614B11AE"/>
    <w:rsid w:val="614B6DC0"/>
    <w:rsid w:val="61591058"/>
    <w:rsid w:val="61655CFF"/>
    <w:rsid w:val="617436E2"/>
    <w:rsid w:val="61A45010"/>
    <w:rsid w:val="61AD1E69"/>
    <w:rsid w:val="61B10332"/>
    <w:rsid w:val="61CA4558"/>
    <w:rsid w:val="61E75A7E"/>
    <w:rsid w:val="61EF3C1A"/>
    <w:rsid w:val="61F3030C"/>
    <w:rsid w:val="6200643D"/>
    <w:rsid w:val="62141EE8"/>
    <w:rsid w:val="62223BC5"/>
    <w:rsid w:val="623D7E7B"/>
    <w:rsid w:val="62451B9E"/>
    <w:rsid w:val="62473124"/>
    <w:rsid w:val="627806C9"/>
    <w:rsid w:val="62873F19"/>
    <w:rsid w:val="6297662A"/>
    <w:rsid w:val="629D6FE8"/>
    <w:rsid w:val="62B31701"/>
    <w:rsid w:val="62B51D06"/>
    <w:rsid w:val="62B72874"/>
    <w:rsid w:val="62C236F2"/>
    <w:rsid w:val="62D033F2"/>
    <w:rsid w:val="62EA2C49"/>
    <w:rsid w:val="62EC69C1"/>
    <w:rsid w:val="630520B9"/>
    <w:rsid w:val="63126166"/>
    <w:rsid w:val="6332277A"/>
    <w:rsid w:val="634B635B"/>
    <w:rsid w:val="638D7D9C"/>
    <w:rsid w:val="638E5CCA"/>
    <w:rsid w:val="639C7B1B"/>
    <w:rsid w:val="63C90AB0"/>
    <w:rsid w:val="63CD05A1"/>
    <w:rsid w:val="63DE27AE"/>
    <w:rsid w:val="63EC7641"/>
    <w:rsid w:val="63F52C25"/>
    <w:rsid w:val="63F83144"/>
    <w:rsid w:val="6414022D"/>
    <w:rsid w:val="641764C1"/>
    <w:rsid w:val="64177A6E"/>
    <w:rsid w:val="64246E37"/>
    <w:rsid w:val="643B3768"/>
    <w:rsid w:val="6449001F"/>
    <w:rsid w:val="644D7568"/>
    <w:rsid w:val="647C4AA2"/>
    <w:rsid w:val="64807AAB"/>
    <w:rsid w:val="6489421A"/>
    <w:rsid w:val="64A4523A"/>
    <w:rsid w:val="64B67287"/>
    <w:rsid w:val="64D43BB1"/>
    <w:rsid w:val="64E91312"/>
    <w:rsid w:val="65106F49"/>
    <w:rsid w:val="6517130F"/>
    <w:rsid w:val="651E5130"/>
    <w:rsid w:val="653E20AC"/>
    <w:rsid w:val="653E5DE3"/>
    <w:rsid w:val="65402FF4"/>
    <w:rsid w:val="65586590"/>
    <w:rsid w:val="656211BC"/>
    <w:rsid w:val="65C218F1"/>
    <w:rsid w:val="65DF5AD0"/>
    <w:rsid w:val="65E14B73"/>
    <w:rsid w:val="660318B3"/>
    <w:rsid w:val="66044022"/>
    <w:rsid w:val="660837F5"/>
    <w:rsid w:val="66263892"/>
    <w:rsid w:val="66417365"/>
    <w:rsid w:val="664F2169"/>
    <w:rsid w:val="6654046B"/>
    <w:rsid w:val="66561EF5"/>
    <w:rsid w:val="665B66EF"/>
    <w:rsid w:val="66723681"/>
    <w:rsid w:val="667473F9"/>
    <w:rsid w:val="669C06FE"/>
    <w:rsid w:val="66B7342C"/>
    <w:rsid w:val="66BC4C81"/>
    <w:rsid w:val="66BE41E9"/>
    <w:rsid w:val="66C53820"/>
    <w:rsid w:val="66CF4630"/>
    <w:rsid w:val="66D25ECE"/>
    <w:rsid w:val="66DE2AC5"/>
    <w:rsid w:val="66E31E89"/>
    <w:rsid w:val="66FE4031"/>
    <w:rsid w:val="66FF0566"/>
    <w:rsid w:val="6712276E"/>
    <w:rsid w:val="674548F2"/>
    <w:rsid w:val="674A1F08"/>
    <w:rsid w:val="6751723B"/>
    <w:rsid w:val="67662E07"/>
    <w:rsid w:val="67693F7C"/>
    <w:rsid w:val="677B35B2"/>
    <w:rsid w:val="677D278D"/>
    <w:rsid w:val="678A1795"/>
    <w:rsid w:val="678E7EE6"/>
    <w:rsid w:val="67991E0D"/>
    <w:rsid w:val="67AE693B"/>
    <w:rsid w:val="67C34AF6"/>
    <w:rsid w:val="67C54FA5"/>
    <w:rsid w:val="68185C71"/>
    <w:rsid w:val="682928C3"/>
    <w:rsid w:val="682A2E9C"/>
    <w:rsid w:val="685C6FC5"/>
    <w:rsid w:val="68647EAA"/>
    <w:rsid w:val="686D5EAE"/>
    <w:rsid w:val="68725BBA"/>
    <w:rsid w:val="6877151D"/>
    <w:rsid w:val="687C2595"/>
    <w:rsid w:val="6882347F"/>
    <w:rsid w:val="688431F8"/>
    <w:rsid w:val="689E0D42"/>
    <w:rsid w:val="68AD63C2"/>
    <w:rsid w:val="68C375EA"/>
    <w:rsid w:val="68CA3301"/>
    <w:rsid w:val="68D17B10"/>
    <w:rsid w:val="68F93BE6"/>
    <w:rsid w:val="69217410"/>
    <w:rsid w:val="69320EA6"/>
    <w:rsid w:val="693243EA"/>
    <w:rsid w:val="694D5CE0"/>
    <w:rsid w:val="694E2184"/>
    <w:rsid w:val="695F6A02"/>
    <w:rsid w:val="696C085C"/>
    <w:rsid w:val="69765236"/>
    <w:rsid w:val="698C2CAC"/>
    <w:rsid w:val="69A333D3"/>
    <w:rsid w:val="69AF27B9"/>
    <w:rsid w:val="69B53592"/>
    <w:rsid w:val="69BE110A"/>
    <w:rsid w:val="69DA3A17"/>
    <w:rsid w:val="69E01537"/>
    <w:rsid w:val="69E74C2E"/>
    <w:rsid w:val="69EB1780"/>
    <w:rsid w:val="6A101373"/>
    <w:rsid w:val="6A1231B1"/>
    <w:rsid w:val="6A1359CC"/>
    <w:rsid w:val="6A167914"/>
    <w:rsid w:val="6A1F142A"/>
    <w:rsid w:val="6A2F04E7"/>
    <w:rsid w:val="6A366FE5"/>
    <w:rsid w:val="6A38073E"/>
    <w:rsid w:val="6A4638EC"/>
    <w:rsid w:val="6A4E1D0F"/>
    <w:rsid w:val="6A5E1AEC"/>
    <w:rsid w:val="6A73256B"/>
    <w:rsid w:val="6A755107"/>
    <w:rsid w:val="6AA3205B"/>
    <w:rsid w:val="6AAA2FD2"/>
    <w:rsid w:val="6AD761A9"/>
    <w:rsid w:val="6AD8558E"/>
    <w:rsid w:val="6AFC79BD"/>
    <w:rsid w:val="6B162E0E"/>
    <w:rsid w:val="6B1C1E0E"/>
    <w:rsid w:val="6B290378"/>
    <w:rsid w:val="6B464619"/>
    <w:rsid w:val="6B67752D"/>
    <w:rsid w:val="6B9C33A1"/>
    <w:rsid w:val="6BA33A9B"/>
    <w:rsid w:val="6BA41CBA"/>
    <w:rsid w:val="6BAA7419"/>
    <w:rsid w:val="6BAD2A66"/>
    <w:rsid w:val="6BD90EEB"/>
    <w:rsid w:val="6BDA5D56"/>
    <w:rsid w:val="6BEB1F0C"/>
    <w:rsid w:val="6BFB5EC7"/>
    <w:rsid w:val="6C042FCD"/>
    <w:rsid w:val="6C07661A"/>
    <w:rsid w:val="6C1B20C5"/>
    <w:rsid w:val="6C231BEC"/>
    <w:rsid w:val="6C2D5C41"/>
    <w:rsid w:val="6C30791F"/>
    <w:rsid w:val="6C547201"/>
    <w:rsid w:val="6C694EB6"/>
    <w:rsid w:val="6C72466F"/>
    <w:rsid w:val="6C8B0FF9"/>
    <w:rsid w:val="6C9B1160"/>
    <w:rsid w:val="6CA839FA"/>
    <w:rsid w:val="6CA8643D"/>
    <w:rsid w:val="6CBE1374"/>
    <w:rsid w:val="6CC664D5"/>
    <w:rsid w:val="6CF7043C"/>
    <w:rsid w:val="6D111C1F"/>
    <w:rsid w:val="6D176D30"/>
    <w:rsid w:val="6D2531FB"/>
    <w:rsid w:val="6D2B458A"/>
    <w:rsid w:val="6D376864"/>
    <w:rsid w:val="6D4A4A10"/>
    <w:rsid w:val="6D4B10C2"/>
    <w:rsid w:val="6D5C4743"/>
    <w:rsid w:val="6D702803"/>
    <w:rsid w:val="6D8B1355"/>
    <w:rsid w:val="6D97577B"/>
    <w:rsid w:val="6DA2593E"/>
    <w:rsid w:val="6DAB5CF5"/>
    <w:rsid w:val="6DC91645"/>
    <w:rsid w:val="6DCE0124"/>
    <w:rsid w:val="6DCE72FC"/>
    <w:rsid w:val="6DDF784E"/>
    <w:rsid w:val="6DF17581"/>
    <w:rsid w:val="6DFD1A82"/>
    <w:rsid w:val="6E0C43BB"/>
    <w:rsid w:val="6E1F7C4B"/>
    <w:rsid w:val="6E2214E9"/>
    <w:rsid w:val="6E7855AD"/>
    <w:rsid w:val="6E7F4573"/>
    <w:rsid w:val="6E800B9A"/>
    <w:rsid w:val="6E860609"/>
    <w:rsid w:val="6E9028F6"/>
    <w:rsid w:val="6E9A3775"/>
    <w:rsid w:val="6EAF0DFA"/>
    <w:rsid w:val="6EC66318"/>
    <w:rsid w:val="6EDE7B06"/>
    <w:rsid w:val="6EEA25D7"/>
    <w:rsid w:val="6EEB2223"/>
    <w:rsid w:val="6EFF4997"/>
    <w:rsid w:val="6F03131A"/>
    <w:rsid w:val="6F1028E5"/>
    <w:rsid w:val="6F23376B"/>
    <w:rsid w:val="6F390B64"/>
    <w:rsid w:val="6F4B07C4"/>
    <w:rsid w:val="6F4D248D"/>
    <w:rsid w:val="6F550DF4"/>
    <w:rsid w:val="6F5C0A2B"/>
    <w:rsid w:val="6F6F075E"/>
    <w:rsid w:val="6F8D32DA"/>
    <w:rsid w:val="6F96218E"/>
    <w:rsid w:val="6F997ED1"/>
    <w:rsid w:val="6F9D3B23"/>
    <w:rsid w:val="6FAF3250"/>
    <w:rsid w:val="6FD9207B"/>
    <w:rsid w:val="6FDE1382"/>
    <w:rsid w:val="6FFB6495"/>
    <w:rsid w:val="700417EE"/>
    <w:rsid w:val="70092E84"/>
    <w:rsid w:val="7012558D"/>
    <w:rsid w:val="70142579"/>
    <w:rsid w:val="70195397"/>
    <w:rsid w:val="702C2AF3"/>
    <w:rsid w:val="70333E81"/>
    <w:rsid w:val="7034480E"/>
    <w:rsid w:val="705362D1"/>
    <w:rsid w:val="70710506"/>
    <w:rsid w:val="707204FE"/>
    <w:rsid w:val="707F5128"/>
    <w:rsid w:val="707F70C6"/>
    <w:rsid w:val="708741CD"/>
    <w:rsid w:val="70911F17"/>
    <w:rsid w:val="70A703CB"/>
    <w:rsid w:val="70B52AE8"/>
    <w:rsid w:val="70C41F88"/>
    <w:rsid w:val="70C42D2B"/>
    <w:rsid w:val="70C66AA3"/>
    <w:rsid w:val="70DC6C58"/>
    <w:rsid w:val="70DE7C09"/>
    <w:rsid w:val="70E1568B"/>
    <w:rsid w:val="710B2708"/>
    <w:rsid w:val="711C4915"/>
    <w:rsid w:val="713734FD"/>
    <w:rsid w:val="713F6856"/>
    <w:rsid w:val="7158161A"/>
    <w:rsid w:val="7170032A"/>
    <w:rsid w:val="7174385B"/>
    <w:rsid w:val="71B903B6"/>
    <w:rsid w:val="71E847F7"/>
    <w:rsid w:val="71F6235D"/>
    <w:rsid w:val="722D66AE"/>
    <w:rsid w:val="7231588F"/>
    <w:rsid w:val="724539F8"/>
    <w:rsid w:val="72501360"/>
    <w:rsid w:val="725A42CF"/>
    <w:rsid w:val="72603AD5"/>
    <w:rsid w:val="726D6E28"/>
    <w:rsid w:val="72734BFB"/>
    <w:rsid w:val="727D6E59"/>
    <w:rsid w:val="728361F1"/>
    <w:rsid w:val="72884885"/>
    <w:rsid w:val="7292178F"/>
    <w:rsid w:val="729D1A86"/>
    <w:rsid w:val="72A042BA"/>
    <w:rsid w:val="72A608B6"/>
    <w:rsid w:val="72AE3C93"/>
    <w:rsid w:val="72BD7A32"/>
    <w:rsid w:val="72DD6345"/>
    <w:rsid w:val="72EF6313"/>
    <w:rsid w:val="7306587D"/>
    <w:rsid w:val="7318110C"/>
    <w:rsid w:val="733A1083"/>
    <w:rsid w:val="73504D4A"/>
    <w:rsid w:val="7350525D"/>
    <w:rsid w:val="735F13CC"/>
    <w:rsid w:val="7366631C"/>
    <w:rsid w:val="7371350F"/>
    <w:rsid w:val="737E5413"/>
    <w:rsid w:val="738710C9"/>
    <w:rsid w:val="73952CB2"/>
    <w:rsid w:val="73A74ACF"/>
    <w:rsid w:val="73AA26AC"/>
    <w:rsid w:val="73C11D4A"/>
    <w:rsid w:val="740576D2"/>
    <w:rsid w:val="741823F9"/>
    <w:rsid w:val="74235FBB"/>
    <w:rsid w:val="744B757C"/>
    <w:rsid w:val="74512B28"/>
    <w:rsid w:val="7463285B"/>
    <w:rsid w:val="74686904"/>
    <w:rsid w:val="746B4828"/>
    <w:rsid w:val="748146B0"/>
    <w:rsid w:val="748F65BF"/>
    <w:rsid w:val="74911176"/>
    <w:rsid w:val="74963081"/>
    <w:rsid w:val="749F1DDA"/>
    <w:rsid w:val="749F7D37"/>
    <w:rsid w:val="74B17A6A"/>
    <w:rsid w:val="74B3733F"/>
    <w:rsid w:val="74C07CAE"/>
    <w:rsid w:val="74CB41FC"/>
    <w:rsid w:val="74D62632"/>
    <w:rsid w:val="74F82288"/>
    <w:rsid w:val="74FF07D6"/>
    <w:rsid w:val="7509537E"/>
    <w:rsid w:val="750C1A9B"/>
    <w:rsid w:val="751002F7"/>
    <w:rsid w:val="75241137"/>
    <w:rsid w:val="752B3379"/>
    <w:rsid w:val="75504D57"/>
    <w:rsid w:val="75583B26"/>
    <w:rsid w:val="757167ED"/>
    <w:rsid w:val="7575192F"/>
    <w:rsid w:val="75893F3B"/>
    <w:rsid w:val="758C3786"/>
    <w:rsid w:val="75AA6994"/>
    <w:rsid w:val="75C24112"/>
    <w:rsid w:val="75D532E5"/>
    <w:rsid w:val="75D62373"/>
    <w:rsid w:val="75E20B13"/>
    <w:rsid w:val="760A2D26"/>
    <w:rsid w:val="761F0029"/>
    <w:rsid w:val="76215762"/>
    <w:rsid w:val="7625426C"/>
    <w:rsid w:val="764C17F9"/>
    <w:rsid w:val="76685F07"/>
    <w:rsid w:val="766A1C7F"/>
    <w:rsid w:val="76705210"/>
    <w:rsid w:val="76724FD8"/>
    <w:rsid w:val="76742AFE"/>
    <w:rsid w:val="767E397C"/>
    <w:rsid w:val="768C6099"/>
    <w:rsid w:val="768F4C90"/>
    <w:rsid w:val="76BE44B0"/>
    <w:rsid w:val="76BF021D"/>
    <w:rsid w:val="76C525D5"/>
    <w:rsid w:val="76D161A2"/>
    <w:rsid w:val="77014FC9"/>
    <w:rsid w:val="770F151A"/>
    <w:rsid w:val="771F2069"/>
    <w:rsid w:val="77277E88"/>
    <w:rsid w:val="772C5186"/>
    <w:rsid w:val="772E0EFE"/>
    <w:rsid w:val="77366005"/>
    <w:rsid w:val="77386B89"/>
    <w:rsid w:val="774C6DA9"/>
    <w:rsid w:val="77600662"/>
    <w:rsid w:val="77647B8E"/>
    <w:rsid w:val="776D390E"/>
    <w:rsid w:val="776D70E7"/>
    <w:rsid w:val="777059BB"/>
    <w:rsid w:val="777234E1"/>
    <w:rsid w:val="77737E6E"/>
    <w:rsid w:val="77780F8F"/>
    <w:rsid w:val="77811976"/>
    <w:rsid w:val="779A3023"/>
    <w:rsid w:val="77B05DB7"/>
    <w:rsid w:val="77B70517"/>
    <w:rsid w:val="77CF26E1"/>
    <w:rsid w:val="77D43216"/>
    <w:rsid w:val="77D918EA"/>
    <w:rsid w:val="77DF78A8"/>
    <w:rsid w:val="77E43CB3"/>
    <w:rsid w:val="77E51F05"/>
    <w:rsid w:val="78090CD5"/>
    <w:rsid w:val="780D6D66"/>
    <w:rsid w:val="781323F0"/>
    <w:rsid w:val="78142F74"/>
    <w:rsid w:val="783F0EE9"/>
    <w:rsid w:val="785C7CED"/>
    <w:rsid w:val="785E6F7A"/>
    <w:rsid w:val="78760DAF"/>
    <w:rsid w:val="7877237B"/>
    <w:rsid w:val="788A03B6"/>
    <w:rsid w:val="78A21BA4"/>
    <w:rsid w:val="78AC657F"/>
    <w:rsid w:val="78C31B1A"/>
    <w:rsid w:val="78DD0C76"/>
    <w:rsid w:val="78DD2BDC"/>
    <w:rsid w:val="78E026CC"/>
    <w:rsid w:val="79052133"/>
    <w:rsid w:val="791475A0"/>
    <w:rsid w:val="792532AC"/>
    <w:rsid w:val="796F1BBD"/>
    <w:rsid w:val="797057FE"/>
    <w:rsid w:val="797D5C14"/>
    <w:rsid w:val="79893CEC"/>
    <w:rsid w:val="79894B12"/>
    <w:rsid w:val="79927E6B"/>
    <w:rsid w:val="799C5397"/>
    <w:rsid w:val="79A436FA"/>
    <w:rsid w:val="79A47B9E"/>
    <w:rsid w:val="79C124FE"/>
    <w:rsid w:val="79D313F3"/>
    <w:rsid w:val="79E93803"/>
    <w:rsid w:val="79F31A57"/>
    <w:rsid w:val="7A0348C4"/>
    <w:rsid w:val="7A0B7A1A"/>
    <w:rsid w:val="7A101646"/>
    <w:rsid w:val="7A120192"/>
    <w:rsid w:val="7A1B04E8"/>
    <w:rsid w:val="7A1E16FE"/>
    <w:rsid w:val="7A432C88"/>
    <w:rsid w:val="7A5B2F65"/>
    <w:rsid w:val="7A5D697F"/>
    <w:rsid w:val="7A6367FF"/>
    <w:rsid w:val="7A9171D7"/>
    <w:rsid w:val="7A9D399F"/>
    <w:rsid w:val="7A9D535E"/>
    <w:rsid w:val="7AB00934"/>
    <w:rsid w:val="7ABE2599"/>
    <w:rsid w:val="7AC60FE6"/>
    <w:rsid w:val="7AD922EE"/>
    <w:rsid w:val="7AE24CA4"/>
    <w:rsid w:val="7B112F8D"/>
    <w:rsid w:val="7B153B30"/>
    <w:rsid w:val="7B197943"/>
    <w:rsid w:val="7B326164"/>
    <w:rsid w:val="7B4F7FD1"/>
    <w:rsid w:val="7B666BC6"/>
    <w:rsid w:val="7B7535A0"/>
    <w:rsid w:val="7B7610C6"/>
    <w:rsid w:val="7BA525E1"/>
    <w:rsid w:val="7BA7127F"/>
    <w:rsid w:val="7BB771F3"/>
    <w:rsid w:val="7BBD6CF5"/>
    <w:rsid w:val="7BC84319"/>
    <w:rsid w:val="7BCD7C4D"/>
    <w:rsid w:val="7BCE4A5E"/>
    <w:rsid w:val="7BEB2FA3"/>
    <w:rsid w:val="7C0200BE"/>
    <w:rsid w:val="7C116823"/>
    <w:rsid w:val="7C2526AC"/>
    <w:rsid w:val="7C442F72"/>
    <w:rsid w:val="7C666B6C"/>
    <w:rsid w:val="7C6A0C2B"/>
    <w:rsid w:val="7C6F583F"/>
    <w:rsid w:val="7C7E1AF1"/>
    <w:rsid w:val="7C8415C1"/>
    <w:rsid w:val="7C9B7036"/>
    <w:rsid w:val="7C9E6B26"/>
    <w:rsid w:val="7CA51C63"/>
    <w:rsid w:val="7CAB7044"/>
    <w:rsid w:val="7CB66027"/>
    <w:rsid w:val="7CD24A22"/>
    <w:rsid w:val="7CE02C9B"/>
    <w:rsid w:val="7CEC7892"/>
    <w:rsid w:val="7D3A09DC"/>
    <w:rsid w:val="7D4C2098"/>
    <w:rsid w:val="7D697134"/>
    <w:rsid w:val="7D737BE9"/>
    <w:rsid w:val="7D8F69A2"/>
    <w:rsid w:val="7D916843"/>
    <w:rsid w:val="7D9F1414"/>
    <w:rsid w:val="7DAA1EE2"/>
    <w:rsid w:val="7DB93B7B"/>
    <w:rsid w:val="7DBF541D"/>
    <w:rsid w:val="7DE82A78"/>
    <w:rsid w:val="7DF61893"/>
    <w:rsid w:val="7DF83116"/>
    <w:rsid w:val="7DFF386A"/>
    <w:rsid w:val="7E075A35"/>
    <w:rsid w:val="7E205A3E"/>
    <w:rsid w:val="7E2748F9"/>
    <w:rsid w:val="7E374B3D"/>
    <w:rsid w:val="7E435D95"/>
    <w:rsid w:val="7E4F3982"/>
    <w:rsid w:val="7E5E47BF"/>
    <w:rsid w:val="7E613C35"/>
    <w:rsid w:val="7E742552"/>
    <w:rsid w:val="7E892AE3"/>
    <w:rsid w:val="7E8B30DA"/>
    <w:rsid w:val="7EA85A3A"/>
    <w:rsid w:val="7EC363D0"/>
    <w:rsid w:val="7EC6449D"/>
    <w:rsid w:val="7EF24F07"/>
    <w:rsid w:val="7EFE38AC"/>
    <w:rsid w:val="7F101A12"/>
    <w:rsid w:val="7F3379FA"/>
    <w:rsid w:val="7F4A728E"/>
    <w:rsid w:val="7F6C2F0C"/>
    <w:rsid w:val="7F921F85"/>
    <w:rsid w:val="7F9A395A"/>
    <w:rsid w:val="7FAE0E2E"/>
    <w:rsid w:val="7FB00A22"/>
    <w:rsid w:val="7FB7116D"/>
    <w:rsid w:val="7FBB079E"/>
    <w:rsid w:val="7FC51AE7"/>
    <w:rsid w:val="7FC713F5"/>
    <w:rsid w:val="7FCD497B"/>
    <w:rsid w:val="7FDC4FE0"/>
    <w:rsid w:val="7FE82679"/>
    <w:rsid w:val="7FF91C21"/>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4"/>
    <w:basedOn w:val="1"/>
    <w:next w:val="1"/>
    <w:autoRedefine/>
    <w:qFormat/>
    <w:uiPriority w:val="1"/>
    <w:pPr>
      <w:spacing w:line="480" w:lineRule="exact"/>
      <w:outlineLvl w:val="3"/>
    </w:pPr>
    <w:rPr>
      <w:b/>
      <w:bCs/>
    </w:rPr>
  </w:style>
  <w:style w:type="character" w:default="1" w:styleId="42">
    <w:name w:val="Default Paragraph Font"/>
    <w:autoRedefine/>
    <w:semiHidden/>
    <w:unhideWhenUsed/>
    <w:qFormat/>
    <w:uiPriority w:val="1"/>
  </w:style>
  <w:style w:type="table" w:default="1" w:styleId="40">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next w:val="3"/>
    <w:autoRedefine/>
    <w:qFormat/>
    <w:uiPriority w:val="99"/>
    <w:pPr>
      <w:ind w:firstLine="420"/>
    </w:pPr>
    <w:rPr>
      <w:szCs w:val="20"/>
    </w:rPr>
  </w:style>
  <w:style w:type="paragraph" w:styleId="3">
    <w:name w:val="Note Heading"/>
    <w:basedOn w:val="1"/>
    <w:next w:val="1"/>
    <w:autoRedefine/>
    <w:qFormat/>
    <w:uiPriority w:val="0"/>
    <w:pPr>
      <w:jc w:val="center"/>
    </w:pPr>
    <w:rPr>
      <w:rFonts w:ascii="宋体"/>
      <w:szCs w:val="20"/>
    </w:rPr>
  </w:style>
  <w:style w:type="paragraph" w:styleId="6">
    <w:name w:val="caption"/>
    <w:basedOn w:val="1"/>
    <w:next w:val="1"/>
    <w:autoRedefine/>
    <w:qFormat/>
    <w:uiPriority w:val="0"/>
    <w:pPr>
      <w:snapToGrid w:val="0"/>
      <w:spacing w:before="160" w:after="160" w:line="288" w:lineRule="auto"/>
      <w:ind w:firstLine="510" w:firstLineChars="200"/>
    </w:pPr>
    <w:rPr>
      <w:rFonts w:ascii="Arial" w:hAnsi="Arial" w:eastAsia="黑体"/>
    </w:rPr>
  </w:style>
  <w:style w:type="paragraph" w:styleId="7">
    <w:name w:val="Document Map"/>
    <w:basedOn w:val="1"/>
    <w:next w:val="8"/>
    <w:autoRedefine/>
    <w:qFormat/>
    <w:uiPriority w:val="0"/>
    <w:pPr>
      <w:shd w:val="clear" w:color="auto" w:fill="000080"/>
    </w:pPr>
  </w:style>
  <w:style w:type="paragraph" w:customStyle="1" w:styleId="8">
    <w:name w:val="Char Char"/>
    <w:basedOn w:val="1"/>
    <w:next w:val="9"/>
    <w:autoRedefine/>
    <w:qFormat/>
    <w:uiPriority w:val="0"/>
    <w:pPr>
      <w:widowControl/>
      <w:spacing w:after="160" w:afterLines="0" w:line="240" w:lineRule="exact"/>
      <w:jc w:val="left"/>
    </w:pPr>
  </w:style>
  <w:style w:type="paragraph" w:customStyle="1" w:styleId="9">
    <w:name w:val="Body Text 2"/>
    <w:basedOn w:val="1"/>
    <w:next w:val="10"/>
    <w:autoRedefine/>
    <w:qFormat/>
    <w:uiPriority w:val="0"/>
    <w:pPr>
      <w:adjustRightInd w:val="0"/>
      <w:spacing w:line="432" w:lineRule="auto"/>
      <w:ind w:firstLine="480"/>
      <w:textAlignment w:val="baseline"/>
    </w:pPr>
    <w:rPr>
      <w:sz w:val="24"/>
      <w:szCs w:val="20"/>
    </w:rPr>
  </w:style>
  <w:style w:type="paragraph" w:customStyle="1" w:styleId="10">
    <w:name w:val="2级"/>
    <w:basedOn w:val="1"/>
    <w:next w:val="1"/>
    <w:autoRedefine/>
    <w:qFormat/>
    <w:uiPriority w:val="0"/>
    <w:rPr>
      <w:rFonts w:eastAsia="黑体"/>
      <w:b/>
      <w:sz w:val="28"/>
      <w:szCs w:val="20"/>
    </w:rPr>
  </w:style>
  <w:style w:type="paragraph" w:styleId="11">
    <w:name w:val="toa heading"/>
    <w:basedOn w:val="1"/>
    <w:next w:val="1"/>
    <w:autoRedefine/>
    <w:qFormat/>
    <w:uiPriority w:val="0"/>
    <w:pPr>
      <w:spacing w:before="120" w:beforeLines="0" w:beforeAutospacing="0"/>
    </w:pPr>
    <w:rPr>
      <w:rFonts w:ascii="Arial" w:hAnsi="Arial"/>
      <w:sz w:val="24"/>
    </w:rPr>
  </w:style>
  <w:style w:type="paragraph" w:styleId="12">
    <w:name w:val="annotation text"/>
    <w:basedOn w:val="1"/>
    <w:link w:val="72"/>
    <w:autoRedefine/>
    <w:semiHidden/>
    <w:qFormat/>
    <w:uiPriority w:val="0"/>
    <w:pPr>
      <w:jc w:val="left"/>
    </w:pPr>
    <w:rPr>
      <w:kern w:val="0"/>
      <w:sz w:val="24"/>
      <w:szCs w:val="20"/>
    </w:rPr>
  </w:style>
  <w:style w:type="paragraph" w:styleId="13">
    <w:name w:val="Body Text"/>
    <w:basedOn w:val="1"/>
    <w:next w:val="14"/>
    <w:autoRedefine/>
    <w:qFormat/>
    <w:uiPriority w:val="0"/>
    <w:pPr>
      <w:widowControl/>
      <w:snapToGrid w:val="0"/>
      <w:spacing w:before="60" w:after="160" w:line="259" w:lineRule="auto"/>
      <w:ind w:right="113"/>
    </w:pPr>
    <w:rPr>
      <w:kern w:val="0"/>
      <w:sz w:val="18"/>
      <w:szCs w:val="20"/>
    </w:rPr>
  </w:style>
  <w:style w:type="paragraph" w:styleId="14">
    <w:name w:val="toc 2"/>
    <w:basedOn w:val="1"/>
    <w:next w:val="1"/>
    <w:autoRedefine/>
    <w:qFormat/>
    <w:uiPriority w:val="0"/>
    <w:pPr>
      <w:ind w:left="420" w:leftChars="200"/>
    </w:pPr>
  </w:style>
  <w:style w:type="paragraph" w:styleId="15">
    <w:name w:val="Body Text Indent"/>
    <w:basedOn w:val="1"/>
    <w:next w:val="6"/>
    <w:autoRedefine/>
    <w:qFormat/>
    <w:uiPriority w:val="0"/>
    <w:pPr>
      <w:spacing w:after="120"/>
      <w:ind w:left="420" w:leftChars="200"/>
    </w:pPr>
    <w:rPr>
      <w:kern w:val="0"/>
      <w:sz w:val="24"/>
      <w:szCs w:val="20"/>
    </w:rPr>
  </w:style>
  <w:style w:type="paragraph" w:styleId="16">
    <w:name w:val="Block Text"/>
    <w:basedOn w:val="1"/>
    <w:next w:val="1"/>
    <w:qFormat/>
    <w:uiPriority w:val="0"/>
    <w:pPr>
      <w:ind w:left="113" w:right="113" w:firstLine="555"/>
      <w:jc w:val="left"/>
    </w:pPr>
    <w:rPr>
      <w:sz w:val="28"/>
    </w:rPr>
  </w:style>
  <w:style w:type="paragraph" w:styleId="17">
    <w:name w:val="List Bullet 2"/>
    <w:basedOn w:val="1"/>
    <w:next w:val="18"/>
    <w:autoRedefine/>
    <w:qFormat/>
    <w:uiPriority w:val="0"/>
    <w:pPr>
      <w:numPr>
        <w:ilvl w:val="0"/>
        <w:numId w:val="1"/>
      </w:numPr>
    </w:pPr>
  </w:style>
  <w:style w:type="paragraph" w:customStyle="1" w:styleId="18">
    <w:name w:val="xl70"/>
    <w:basedOn w:val="1"/>
    <w:next w:val="19"/>
    <w:autoRedefine/>
    <w:qFormat/>
    <w:uiPriority w:val="0"/>
    <w:pPr>
      <w:widowControl/>
      <w:spacing w:before="280" w:after="280" w:line="240" w:lineRule="auto"/>
    </w:pPr>
    <w:rPr>
      <w:rFonts w:ascii="宋体"/>
    </w:rPr>
  </w:style>
  <w:style w:type="paragraph" w:customStyle="1" w:styleId="19">
    <w:name w:val="正文缩进1"/>
    <w:basedOn w:val="1"/>
    <w:next w:val="20"/>
    <w:autoRedefine/>
    <w:qFormat/>
    <w:uiPriority w:val="0"/>
    <w:pPr>
      <w:spacing w:line="240" w:lineRule="auto"/>
      <w:ind w:firstLine="420" w:firstLineChars="0"/>
    </w:pPr>
    <w:rPr>
      <w:sz w:val="21"/>
      <w:szCs w:val="20"/>
    </w:rPr>
  </w:style>
  <w:style w:type="paragraph" w:customStyle="1" w:styleId="20">
    <w:name w:val="td1"/>
    <w:basedOn w:val="1"/>
    <w:next w:val="1"/>
    <w:autoRedefine/>
    <w:qFormat/>
    <w:uiPriority w:val="0"/>
    <w:pPr>
      <w:widowControl/>
      <w:spacing w:before="280" w:after="280" w:line="300" w:lineRule="atLeast"/>
      <w:ind w:firstLine="200"/>
    </w:pPr>
    <w:rPr>
      <w:color w:val="000000"/>
      <w:sz w:val="18"/>
    </w:rPr>
  </w:style>
  <w:style w:type="paragraph" w:styleId="21">
    <w:name w:val="Plain Text"/>
    <w:basedOn w:val="1"/>
    <w:autoRedefine/>
    <w:qFormat/>
    <w:uiPriority w:val="99"/>
    <w:rPr>
      <w:rFonts w:ascii="宋体" w:hAnsi="Courier New"/>
      <w:szCs w:val="20"/>
    </w:rPr>
  </w:style>
  <w:style w:type="paragraph" w:styleId="22">
    <w:name w:val="List Bullet 5"/>
    <w:basedOn w:val="1"/>
    <w:autoRedefine/>
    <w:qFormat/>
    <w:uiPriority w:val="0"/>
    <w:pPr>
      <w:numPr>
        <w:ilvl w:val="0"/>
        <w:numId w:val="2"/>
      </w:numPr>
    </w:pPr>
  </w:style>
  <w:style w:type="paragraph" w:styleId="23">
    <w:name w:val="Body Text Indent 2"/>
    <w:basedOn w:val="1"/>
    <w:autoRedefine/>
    <w:qFormat/>
    <w:uiPriority w:val="0"/>
    <w:pPr>
      <w:spacing w:line="360" w:lineRule="exact"/>
      <w:ind w:firstLine="522" w:firstLineChars="200"/>
      <w:jc w:val="left"/>
    </w:pPr>
    <w:rPr>
      <w:rFonts w:ascii="宋体" w:hAnsi="宋体"/>
      <w:sz w:val="28"/>
    </w:rPr>
  </w:style>
  <w:style w:type="paragraph" w:styleId="24">
    <w:name w:val="endnote text"/>
    <w:basedOn w:val="1"/>
    <w:autoRedefine/>
    <w:qFormat/>
    <w:uiPriority w:val="0"/>
    <w:pPr>
      <w:snapToGrid w:val="0"/>
      <w:jc w:val="left"/>
    </w:pPr>
    <w:rPr>
      <w:rFonts w:ascii="Cambria" w:hAnsi="Cambria"/>
      <w:b/>
      <w:bCs/>
      <w:kern w:val="0"/>
      <w:sz w:val="32"/>
      <w:szCs w:val="32"/>
    </w:rPr>
  </w:style>
  <w:style w:type="paragraph" w:styleId="25">
    <w:name w:val="Balloon Text"/>
    <w:basedOn w:val="1"/>
    <w:link w:val="74"/>
    <w:autoRedefine/>
    <w:qFormat/>
    <w:uiPriority w:val="0"/>
    <w:rPr>
      <w:sz w:val="18"/>
      <w:szCs w:val="18"/>
    </w:rPr>
  </w:style>
  <w:style w:type="paragraph" w:styleId="26">
    <w:name w:val="footer"/>
    <w:basedOn w:val="1"/>
    <w:autoRedefine/>
    <w:qFormat/>
    <w:uiPriority w:val="99"/>
    <w:pPr>
      <w:tabs>
        <w:tab w:val="center" w:pos="4153"/>
        <w:tab w:val="right" w:pos="8306"/>
      </w:tabs>
      <w:snapToGrid w:val="0"/>
      <w:jc w:val="left"/>
    </w:pPr>
    <w:rPr>
      <w:kern w:val="0"/>
      <w:sz w:val="18"/>
      <w:szCs w:val="20"/>
    </w:rPr>
  </w:style>
  <w:style w:type="paragraph" w:styleId="27">
    <w:name w:val="header"/>
    <w:basedOn w:val="1"/>
    <w:next w:val="28"/>
    <w:autoRedefine/>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28">
    <w:name w:val="样式5"/>
    <w:basedOn w:val="29"/>
    <w:next w:val="24"/>
    <w:autoRedefine/>
    <w:qFormat/>
    <w:uiPriority w:val="0"/>
    <w:pPr>
      <w:snapToGrid w:val="0"/>
      <w:spacing w:beforeLines="20" w:afterLines="20" w:line="480" w:lineRule="exact"/>
      <w:ind w:firstLine="523" w:firstLineChars="218"/>
      <w:jc w:val="both"/>
    </w:pPr>
    <w:rPr>
      <w:i/>
      <w:iCs/>
      <w:kern w:val="2"/>
      <w:sz w:val="24"/>
      <w:szCs w:val="20"/>
    </w:rPr>
  </w:style>
  <w:style w:type="paragraph" w:customStyle="1" w:styleId="29">
    <w:name w:val="正文1"/>
    <w:basedOn w:val="1"/>
    <w:next w:val="1"/>
    <w:autoRedefine/>
    <w:qFormat/>
    <w:uiPriority w:val="0"/>
    <w:pPr>
      <w:jc w:val="center"/>
    </w:pPr>
    <w:rPr>
      <w:rFonts w:ascii="宋体" w:hAnsi="宋体"/>
      <w:kern w:val="36"/>
    </w:rPr>
  </w:style>
  <w:style w:type="paragraph" w:styleId="30">
    <w:name w:val="toc 1"/>
    <w:basedOn w:val="1"/>
    <w:next w:val="1"/>
    <w:autoRedefine/>
    <w:qFormat/>
    <w:uiPriority w:val="0"/>
    <w:rPr>
      <w:rFonts w:ascii="仿宋_GB2312" w:hAnsi="宋体" w:eastAsia="仿宋_GB2312"/>
      <w:spacing w:val="-14"/>
      <w:sz w:val="24"/>
      <w:szCs w:val="24"/>
    </w:rPr>
  </w:style>
  <w:style w:type="paragraph" w:styleId="31">
    <w:name w:val="index heading"/>
    <w:basedOn w:val="1"/>
    <w:next w:val="32"/>
    <w:autoRedefine/>
    <w:qFormat/>
    <w:uiPriority w:val="0"/>
  </w:style>
  <w:style w:type="paragraph" w:styleId="32">
    <w:name w:val="index 1"/>
    <w:basedOn w:val="1"/>
    <w:next w:val="1"/>
    <w:autoRedefine/>
    <w:unhideWhenUsed/>
    <w:qFormat/>
    <w:uiPriority w:val="0"/>
    <w:rPr>
      <w:rFonts w:ascii="Calibri" w:hAnsi="Calibri"/>
      <w:szCs w:val="22"/>
    </w:rPr>
  </w:style>
  <w:style w:type="paragraph" w:styleId="33">
    <w:name w:val="List"/>
    <w:basedOn w:val="1"/>
    <w:autoRedefine/>
    <w:qFormat/>
    <w:uiPriority w:val="99"/>
    <w:pPr>
      <w:widowControl/>
      <w:spacing w:line="240" w:lineRule="auto"/>
      <w:ind w:left="0" w:firstLine="0" w:firstLineChars="0"/>
      <w:jc w:val="center"/>
    </w:pPr>
    <w:rPr>
      <w:rFonts w:ascii="Times New Roman" w:hAnsi="Times New Roman"/>
      <w:kern w:val="0"/>
      <w:sz w:val="21"/>
      <w:szCs w:val="21"/>
    </w:rPr>
  </w:style>
  <w:style w:type="paragraph" w:styleId="34">
    <w:name w:val="Body Text Indent 3"/>
    <w:basedOn w:val="1"/>
    <w:autoRedefine/>
    <w:qFormat/>
    <w:uiPriority w:val="0"/>
    <w:pPr>
      <w:spacing w:after="120"/>
      <w:ind w:left="420"/>
    </w:pPr>
    <w:rPr>
      <w:kern w:val="0"/>
      <w:sz w:val="16"/>
      <w:szCs w:val="20"/>
    </w:rPr>
  </w:style>
  <w:style w:type="paragraph" w:styleId="35">
    <w:name w:val="table of figures"/>
    <w:basedOn w:val="1"/>
    <w:next w:val="1"/>
    <w:qFormat/>
    <w:uiPriority w:val="0"/>
    <w:pPr>
      <w:widowControl w:val="0"/>
      <w:numPr>
        <w:ilvl w:val="0"/>
        <w:numId w:val="3"/>
      </w:numPr>
      <w:adjustRightInd w:val="0"/>
      <w:snapToGrid w:val="0"/>
      <w:spacing w:line="240" w:lineRule="auto"/>
      <w:jc w:val="center"/>
    </w:pPr>
    <w:rPr>
      <w:rFonts w:ascii="宋体"/>
      <w:spacing w:val="5"/>
      <w:kern w:val="2"/>
      <w:sz w:val="28"/>
      <w:szCs w:val="20"/>
    </w:rPr>
  </w:style>
  <w:style w:type="paragraph" w:styleId="36">
    <w:name w:val="Normal (Web)"/>
    <w:basedOn w:val="1"/>
    <w:autoRedefine/>
    <w:qFormat/>
    <w:uiPriority w:val="0"/>
    <w:pPr>
      <w:widowControl/>
      <w:spacing w:before="100" w:beforeAutospacing="1" w:after="100" w:afterAutospacing="1"/>
      <w:jc w:val="left"/>
    </w:pPr>
    <w:rPr>
      <w:rFonts w:ascii="宋体" w:hAnsi="宋体"/>
      <w:kern w:val="0"/>
      <w:sz w:val="24"/>
      <w:szCs w:val="20"/>
    </w:rPr>
  </w:style>
  <w:style w:type="paragraph" w:styleId="37">
    <w:name w:val="annotation subject"/>
    <w:basedOn w:val="12"/>
    <w:next w:val="12"/>
    <w:link w:val="73"/>
    <w:autoRedefine/>
    <w:qFormat/>
    <w:uiPriority w:val="0"/>
    <w:rPr>
      <w:b/>
      <w:bCs/>
      <w:kern w:val="2"/>
      <w:sz w:val="21"/>
      <w:szCs w:val="24"/>
    </w:rPr>
  </w:style>
  <w:style w:type="paragraph" w:styleId="38">
    <w:name w:val="Body Text First Indent"/>
    <w:basedOn w:val="13"/>
    <w:autoRedefine/>
    <w:qFormat/>
    <w:uiPriority w:val="0"/>
    <w:pPr>
      <w:spacing w:after="120"/>
      <w:ind w:firstLine="420" w:firstLineChars="100"/>
    </w:pPr>
    <w:rPr>
      <w:sz w:val="21"/>
      <w:szCs w:val="24"/>
    </w:rPr>
  </w:style>
  <w:style w:type="paragraph" w:styleId="39">
    <w:name w:val="Body Text First Indent 2"/>
    <w:basedOn w:val="15"/>
    <w:next w:val="1"/>
    <w:autoRedefine/>
    <w:qFormat/>
    <w:uiPriority w:val="0"/>
    <w:pPr>
      <w:ind w:firstLine="420" w:firstLineChars="200"/>
    </w:pPr>
  </w:style>
  <w:style w:type="table" w:styleId="41">
    <w:name w:val="Table Grid"/>
    <w:basedOn w:val="4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3">
    <w:name w:val="Strong"/>
    <w:basedOn w:val="42"/>
    <w:qFormat/>
    <w:uiPriority w:val="0"/>
    <w:rPr>
      <w:b/>
    </w:rPr>
  </w:style>
  <w:style w:type="character" w:styleId="44">
    <w:name w:val="page number"/>
    <w:basedOn w:val="42"/>
    <w:autoRedefine/>
    <w:qFormat/>
    <w:uiPriority w:val="0"/>
  </w:style>
  <w:style w:type="character" w:styleId="45">
    <w:name w:val="Emphasis"/>
    <w:basedOn w:val="42"/>
    <w:autoRedefine/>
    <w:qFormat/>
    <w:uiPriority w:val="0"/>
    <w:rPr>
      <w:i/>
    </w:rPr>
  </w:style>
  <w:style w:type="character" w:styleId="46">
    <w:name w:val="Hyperlink"/>
    <w:basedOn w:val="42"/>
    <w:autoRedefine/>
    <w:qFormat/>
    <w:uiPriority w:val="0"/>
    <w:rPr>
      <w:color w:val="0000FF"/>
      <w:u w:val="single"/>
    </w:rPr>
  </w:style>
  <w:style w:type="character" w:styleId="47">
    <w:name w:val="annotation reference"/>
    <w:basedOn w:val="42"/>
    <w:autoRedefine/>
    <w:qFormat/>
    <w:uiPriority w:val="0"/>
    <w:rPr>
      <w:sz w:val="21"/>
      <w:szCs w:val="21"/>
    </w:rPr>
  </w:style>
  <w:style w:type="paragraph" w:customStyle="1" w:styleId="48">
    <w:name w:val="style4"/>
    <w:basedOn w:val="1"/>
    <w:next w:val="49"/>
    <w:qFormat/>
    <w:uiPriority w:val="0"/>
    <w:pPr>
      <w:spacing w:before="100" w:beforeAutospacing="1" w:after="100" w:afterAutospacing="1" w:line="450" w:lineRule="atLeast"/>
    </w:pPr>
    <w:rPr>
      <w:rFonts w:ascii="Arial Unicode MS" w:hAnsi="Arial Unicode MS" w:eastAsia="Arial Unicode MS" w:cs="Arial Unicode MS"/>
      <w:sz w:val="21"/>
      <w:szCs w:val="21"/>
    </w:rPr>
  </w:style>
  <w:style w:type="paragraph" w:customStyle="1" w:styleId="49">
    <w:name w:val="2"/>
    <w:basedOn w:val="1"/>
    <w:next w:val="1"/>
    <w:qFormat/>
    <w:uiPriority w:val="0"/>
    <w:pPr>
      <w:ind w:firstLine="527"/>
    </w:pPr>
    <w:rPr>
      <w:spacing w:val="5"/>
      <w:szCs w:val="25"/>
    </w:rPr>
  </w:style>
  <w:style w:type="paragraph" w:customStyle="1" w:styleId="50">
    <w:name w:val="样式 正文文本 + 首行缩进:  2 字符"/>
    <w:basedOn w:val="13"/>
    <w:next w:val="1"/>
    <w:autoRedefine/>
    <w:qFormat/>
    <w:uiPriority w:val="99"/>
    <w:pPr>
      <w:spacing w:after="200" w:line="480" w:lineRule="exact"/>
      <w:ind w:firstLine="480" w:firstLineChars="200"/>
    </w:pPr>
    <w:rPr>
      <w:rFonts w:ascii="宋体" w:hAnsi="宋体"/>
      <w:sz w:val="24"/>
      <w:lang w:val="en-US" w:eastAsia="zh-CN" w:bidi="ar-SA"/>
    </w:rPr>
  </w:style>
  <w:style w:type="paragraph" w:customStyle="1" w:styleId="51">
    <w:name w:val="Default"/>
    <w:basedOn w:val="52"/>
    <w:autoRedefine/>
    <w:qFormat/>
    <w:uiPriority w:val="0"/>
    <w:pPr>
      <w:widowControl w:val="0"/>
      <w:autoSpaceDE w:val="0"/>
      <w:autoSpaceDN w:val="0"/>
      <w:adjustRightInd w:val="0"/>
    </w:pPr>
    <w:rPr>
      <w:rFonts w:ascii="宋体" w:cs="宋体"/>
      <w:color w:val="000000"/>
      <w:szCs w:val="24"/>
    </w:rPr>
  </w:style>
  <w:style w:type="paragraph" w:customStyle="1" w:styleId="52">
    <w:name w:val="纯文本1"/>
    <w:basedOn w:val="1"/>
    <w:next w:val="1"/>
    <w:autoRedefine/>
    <w:qFormat/>
    <w:uiPriority w:val="0"/>
    <w:pPr>
      <w:adjustRightInd w:val="0"/>
    </w:pPr>
    <w:rPr>
      <w:rFonts w:ascii="宋体" w:hAnsi="Courier New"/>
      <w:szCs w:val="20"/>
    </w:rPr>
  </w:style>
  <w:style w:type="paragraph" w:customStyle="1" w:styleId="53">
    <w:name w:val="Default1"/>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4">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55">
    <w:name w:val="样式 样式 样式 四号 左侧:  1.53 厘米 + 首行缩进:  2 字符 + 居中 左侧:  2 字符 首行缩进:  2..."/>
    <w:basedOn w:val="56"/>
    <w:autoRedefine/>
    <w:qFormat/>
    <w:uiPriority w:val="0"/>
    <w:pPr>
      <w:ind w:firstLine="0" w:firstLineChars="0"/>
      <w:jc w:val="center"/>
    </w:pPr>
  </w:style>
  <w:style w:type="paragraph" w:customStyle="1" w:styleId="56">
    <w:name w:val="样式 样式 四号 左侧:  1.53 厘米 + 首行缩进:  2 字符"/>
    <w:basedOn w:val="57"/>
    <w:autoRedefine/>
    <w:qFormat/>
    <w:uiPriority w:val="0"/>
    <w:pPr>
      <w:ind w:left="200" w:leftChars="200"/>
    </w:pPr>
    <w:rPr>
      <w:szCs w:val="20"/>
    </w:rPr>
  </w:style>
  <w:style w:type="paragraph" w:customStyle="1" w:styleId="57">
    <w:name w:val="样式 四号 左侧:  1.53 厘米"/>
    <w:basedOn w:val="1"/>
    <w:autoRedefine/>
    <w:qFormat/>
    <w:uiPriority w:val="0"/>
    <w:pPr>
      <w:adjustRightInd w:val="0"/>
    </w:pPr>
    <w:rPr>
      <w:w w:val="90"/>
      <w:sz w:val="28"/>
      <w:szCs w:val="28"/>
    </w:rPr>
  </w:style>
  <w:style w:type="paragraph" w:customStyle="1" w:styleId="58">
    <w:name w:val="标正文格式"/>
    <w:autoRedefine/>
    <w:qFormat/>
    <w:uiPriority w:val="0"/>
    <w:pPr>
      <w:spacing w:line="480" w:lineRule="exact"/>
      <w:ind w:firstLine="1092" w:firstLineChars="200"/>
      <w:jc w:val="both"/>
    </w:pPr>
    <w:rPr>
      <w:rFonts w:ascii="Times New Roman" w:hAnsi="Times New Roman" w:eastAsia="宋体" w:cs="Times New Roman"/>
      <w:sz w:val="24"/>
      <w:lang w:val="en-US" w:eastAsia="zh-CN" w:bidi="ar-SA"/>
    </w:rPr>
  </w:style>
  <w:style w:type="paragraph" w:customStyle="1" w:styleId="59">
    <w:name w:val="表格"/>
    <w:basedOn w:val="33"/>
    <w:next w:val="2"/>
    <w:autoRedefine/>
    <w:qFormat/>
    <w:uiPriority w:val="0"/>
    <w:pPr>
      <w:adjustRightInd w:val="0"/>
      <w:snapToGrid w:val="0"/>
      <w:spacing w:beforeLines="10" w:afterLines="10" w:line="259" w:lineRule="auto"/>
      <w:jc w:val="center"/>
    </w:pPr>
    <w:rPr>
      <w:rFonts w:ascii="宋体"/>
      <w:kern w:val="0"/>
    </w:rPr>
  </w:style>
  <w:style w:type="paragraph" w:customStyle="1" w:styleId="60">
    <w:name w:val="12121212"/>
    <w:basedOn w:val="1"/>
    <w:autoRedefine/>
    <w:qFormat/>
    <w:uiPriority w:val="0"/>
    <w:pPr>
      <w:jc w:val="left"/>
    </w:pPr>
    <w:rPr>
      <w:b/>
      <w:sz w:val="28"/>
    </w:rPr>
  </w:style>
  <w:style w:type="paragraph" w:customStyle="1" w:styleId="61">
    <w:name w:val="表格内容格式"/>
    <w:basedOn w:val="1"/>
    <w:autoRedefine/>
    <w:qFormat/>
    <w:uiPriority w:val="0"/>
    <w:pPr>
      <w:tabs>
        <w:tab w:val="left" w:pos="1755"/>
      </w:tabs>
      <w:contextualSpacing/>
      <w:jc w:val="center"/>
      <w:textAlignment w:val="baseline"/>
    </w:pPr>
    <w:rPr>
      <w:snapToGrid w:val="0"/>
      <w:kern w:val="0"/>
    </w:rPr>
  </w:style>
  <w:style w:type="paragraph" w:customStyle="1" w:styleId="62">
    <w:name w:val="小罗文本"/>
    <w:basedOn w:val="1"/>
    <w:autoRedefine/>
    <w:qFormat/>
    <w:uiPriority w:val="0"/>
    <w:pPr>
      <w:spacing w:line="500" w:lineRule="exact"/>
      <w:ind w:firstLine="200" w:firstLineChars="200"/>
    </w:pPr>
    <w:rPr>
      <w:rFonts w:ascii="宋体"/>
    </w:rPr>
  </w:style>
  <w:style w:type="paragraph" w:customStyle="1" w:styleId="63">
    <w:name w:val="样式 表格样式"/>
    <w:basedOn w:val="1"/>
    <w:autoRedefine/>
    <w:qFormat/>
    <w:uiPriority w:val="0"/>
    <w:pPr>
      <w:snapToGrid w:val="0"/>
      <w:spacing w:line="240" w:lineRule="atLeast"/>
    </w:pPr>
    <w:rPr>
      <w:szCs w:val="20"/>
    </w:rPr>
  </w:style>
  <w:style w:type="paragraph" w:customStyle="1" w:styleId="64">
    <w:name w:val="0--表格文字"/>
    <w:basedOn w:val="1"/>
    <w:autoRedefine/>
    <w:qFormat/>
    <w:uiPriority w:val="0"/>
    <w:pPr>
      <w:contextualSpacing/>
      <w:jc w:val="center"/>
    </w:pPr>
    <w:rPr>
      <w:bCs/>
    </w:rPr>
  </w:style>
  <w:style w:type="table" w:customStyle="1" w:styleId="65">
    <w:name w:val="Table Normal"/>
    <w:autoRedefine/>
    <w:unhideWhenUsed/>
    <w:qFormat/>
    <w:uiPriority w:val="2"/>
    <w:tblPr>
      <w:tblCellMar>
        <w:top w:w="0" w:type="dxa"/>
        <w:left w:w="0" w:type="dxa"/>
        <w:bottom w:w="0" w:type="dxa"/>
        <w:right w:w="0" w:type="dxa"/>
      </w:tblCellMar>
    </w:tblPr>
  </w:style>
  <w:style w:type="paragraph" w:styleId="66">
    <w:name w:val="List Paragraph"/>
    <w:basedOn w:val="1"/>
    <w:autoRedefine/>
    <w:qFormat/>
    <w:uiPriority w:val="34"/>
    <w:pPr>
      <w:ind w:firstLine="420" w:firstLineChars="200"/>
    </w:pPr>
  </w:style>
  <w:style w:type="paragraph" w:customStyle="1" w:styleId="67">
    <w:name w:val="_Style 2"/>
    <w:basedOn w:val="1"/>
    <w:autoRedefine/>
    <w:qFormat/>
    <w:uiPriority w:val="34"/>
    <w:pPr>
      <w:ind w:firstLine="420" w:firstLineChars="200"/>
    </w:pPr>
  </w:style>
  <w:style w:type="paragraph" w:customStyle="1" w:styleId="68">
    <w:name w:val="Table Paragraph"/>
    <w:basedOn w:val="1"/>
    <w:autoRedefine/>
    <w:qFormat/>
    <w:uiPriority w:val="1"/>
    <w:rPr>
      <w:rFonts w:ascii="宋体" w:hAnsi="宋体" w:cs="宋体"/>
      <w:lang w:val="zh-CN" w:bidi="zh-CN"/>
    </w:rPr>
  </w:style>
  <w:style w:type="paragraph" w:customStyle="1" w:styleId="69">
    <w:name w:val="表格正文"/>
    <w:basedOn w:val="1"/>
    <w:next w:val="1"/>
    <w:autoRedefine/>
    <w:qFormat/>
    <w:uiPriority w:val="0"/>
    <w:pPr>
      <w:jc w:val="center"/>
    </w:pPr>
  </w:style>
  <w:style w:type="paragraph" w:customStyle="1" w:styleId="70">
    <w:name w:val="表格居中"/>
    <w:basedOn w:val="59"/>
    <w:next w:val="71"/>
    <w:autoRedefine/>
    <w:qFormat/>
    <w:uiPriority w:val="0"/>
    <w:pPr>
      <w:spacing w:line="440" w:lineRule="exact"/>
      <w:jc w:val="center"/>
    </w:pPr>
    <w:rPr>
      <w:rFonts w:ascii="Arial Unicode MS" w:hAnsi="Arial Unicode MS" w:eastAsia="MingLiU" w:cs="Arial Unicode MS"/>
      <w:kern w:val="2"/>
      <w:sz w:val="24"/>
      <w:szCs w:val="24"/>
      <w:lang w:val="en-US" w:eastAsia="zh-CN" w:bidi="ar-SA"/>
    </w:rPr>
  </w:style>
  <w:style w:type="paragraph" w:customStyle="1" w:styleId="71">
    <w:name w:val="新正文"/>
    <w:basedOn w:val="1"/>
    <w:qFormat/>
    <w:uiPriority w:val="0"/>
    <w:pPr>
      <w:spacing w:line="480" w:lineRule="exact"/>
      <w:ind w:firstLine="482" w:firstLineChars="0"/>
    </w:pPr>
    <w:rPr>
      <w:rFonts w:hint="eastAsia" w:ascii="仿宋_GB2312" w:eastAsia="仿宋_GB2312" w:cs="Times New Roman"/>
      <w:bCs/>
      <w:kern w:val="0"/>
      <w:sz w:val="28"/>
      <w:szCs w:val="20"/>
    </w:rPr>
  </w:style>
  <w:style w:type="character" w:customStyle="1" w:styleId="72">
    <w:name w:val="批注文字 Char"/>
    <w:basedOn w:val="42"/>
    <w:link w:val="12"/>
    <w:autoRedefine/>
    <w:semiHidden/>
    <w:qFormat/>
    <w:uiPriority w:val="0"/>
    <w:rPr>
      <w:sz w:val="24"/>
    </w:rPr>
  </w:style>
  <w:style w:type="character" w:customStyle="1" w:styleId="73">
    <w:name w:val="批注主题 Char"/>
    <w:basedOn w:val="72"/>
    <w:link w:val="37"/>
    <w:autoRedefine/>
    <w:qFormat/>
    <w:uiPriority w:val="0"/>
  </w:style>
  <w:style w:type="character" w:customStyle="1" w:styleId="74">
    <w:name w:val="批注框文本 Char"/>
    <w:basedOn w:val="42"/>
    <w:link w:val="25"/>
    <w:autoRedefine/>
    <w:qFormat/>
    <w:uiPriority w:val="0"/>
    <w:rPr>
      <w:kern w:val="2"/>
      <w:sz w:val="18"/>
      <w:szCs w:val="18"/>
    </w:rPr>
  </w:style>
  <w:style w:type="paragraph" w:customStyle="1" w:styleId="75">
    <w:name w:val="表格内容"/>
    <w:basedOn w:val="1"/>
    <w:autoRedefine/>
    <w:qFormat/>
    <w:uiPriority w:val="0"/>
    <w:pPr>
      <w:overflowPunct w:val="0"/>
      <w:adjustRightInd w:val="0"/>
      <w:snapToGrid w:val="0"/>
      <w:spacing w:line="360" w:lineRule="exact"/>
      <w:jc w:val="center"/>
      <w:textAlignment w:val="baseline"/>
    </w:pPr>
    <w:rPr>
      <w:kern w:val="0"/>
    </w:rPr>
  </w:style>
  <w:style w:type="paragraph" w:customStyle="1" w:styleId="76">
    <w:name w:val="正文 New New New New New New New New New New New New New New New New New New New New New New New New New New New New"/>
    <w:autoRedefine/>
    <w:qFormat/>
    <w:uiPriority w:val="0"/>
    <w:pPr>
      <w:widowControl w:val="0"/>
      <w:jc w:val="both"/>
    </w:pPr>
    <w:rPr>
      <w:rFonts w:ascii="宋体" w:hAnsi="Times New Roman" w:eastAsia="宋体" w:cs="Times New Roman"/>
      <w:spacing w:val="5"/>
      <w:kern w:val="2"/>
      <w:sz w:val="25"/>
      <w:szCs w:val="25"/>
      <w:lang w:val="en-US" w:eastAsia="zh-CN" w:bidi="ar-SA"/>
    </w:rPr>
  </w:style>
  <w:style w:type="paragraph" w:customStyle="1" w:styleId="77">
    <w:name w:val="p0"/>
    <w:basedOn w:val="1"/>
    <w:autoRedefine/>
    <w:qFormat/>
    <w:uiPriority w:val="0"/>
    <w:pPr>
      <w:widowControl/>
    </w:pPr>
    <w:rPr>
      <w:kern w:val="0"/>
      <w:sz w:val="32"/>
      <w:szCs w:val="32"/>
    </w:rPr>
  </w:style>
  <w:style w:type="paragraph" w:customStyle="1" w:styleId="78">
    <w:name w:val="List Paragraph1"/>
    <w:basedOn w:val="1"/>
    <w:autoRedefine/>
    <w:qFormat/>
    <w:uiPriority w:val="0"/>
    <w:pPr>
      <w:ind w:firstLine="420" w:firstLineChars="200"/>
    </w:pPr>
    <w:rPr>
      <w:rFonts w:ascii="Times New Roman"/>
    </w:rPr>
  </w:style>
  <w:style w:type="character" w:customStyle="1" w:styleId="79">
    <w:name w:val="NormalCharacter"/>
    <w:autoRedefine/>
    <w:qFormat/>
    <w:uiPriority w:val="0"/>
  </w:style>
  <w:style w:type="paragraph" w:customStyle="1" w:styleId="80">
    <w:name w:val="表字"/>
    <w:next w:val="1"/>
    <w:autoRedefine/>
    <w:qFormat/>
    <w:uiPriority w:val="0"/>
    <w:pPr>
      <w:adjustRightInd w:val="0"/>
      <w:snapToGrid w:val="0"/>
      <w:jc w:val="center"/>
      <w:textAlignment w:val="center"/>
    </w:pPr>
    <w:rPr>
      <w:rFonts w:ascii="Calibri" w:hAnsi="Calibri" w:eastAsia="宋体" w:cs="Times New Roman"/>
      <w:kern w:val="11"/>
      <w:sz w:val="21"/>
      <w:szCs w:val="21"/>
      <w:lang w:val="en-US" w:eastAsia="zh-CN" w:bidi="ar-SA"/>
    </w:rPr>
  </w:style>
  <w:style w:type="paragraph" w:customStyle="1" w:styleId="81">
    <w:name w:val="正文曹"/>
    <w:basedOn w:val="15"/>
    <w:autoRedefine/>
    <w:qFormat/>
    <w:uiPriority w:val="0"/>
    <w:pPr>
      <w:spacing w:line="40" w:lineRule="exact"/>
      <w:ind w:firstLine="0" w:firstLineChars="0"/>
    </w:pPr>
    <w:rPr>
      <w:rFonts w:ascii="Times New Roman"/>
      <w:sz w:val="24"/>
      <w:szCs w:val="24"/>
    </w:rPr>
  </w:style>
  <w:style w:type="paragraph" w:customStyle="1" w:styleId="82">
    <w:name w:val="正文样式1"/>
    <w:basedOn w:val="1"/>
    <w:autoRedefine/>
    <w:qFormat/>
    <w:uiPriority w:val="0"/>
    <w:pPr>
      <w:topLinePunct/>
      <w:spacing w:line="360" w:lineRule="auto"/>
      <w:ind w:firstLine="200" w:firstLineChars="200"/>
    </w:pPr>
    <w:rPr>
      <w:rFonts w:ascii="Calibri" w:hAnsi="Calibri" w:cs="Times New Roman"/>
      <w:sz w:val="24"/>
      <w:lang w:val="zh-CN"/>
    </w:rPr>
  </w:style>
  <w:style w:type="paragraph" w:customStyle="1" w:styleId="83">
    <w:name w:val="S正文段落"/>
    <w:basedOn w:val="1"/>
    <w:autoRedefine/>
    <w:qFormat/>
    <w:uiPriority w:val="0"/>
    <w:pPr>
      <w:snapToGrid w:val="0"/>
      <w:spacing w:line="360" w:lineRule="auto"/>
      <w:ind w:firstLine="200" w:firstLineChars="200"/>
    </w:pPr>
    <w:rPr>
      <w:kern w:val="0"/>
      <w:sz w:val="24"/>
      <w:szCs w:val="24"/>
    </w:rPr>
  </w:style>
  <w:style w:type="paragraph" w:customStyle="1" w:styleId="84">
    <w:name w:val="04 正文"/>
    <w:basedOn w:val="1"/>
    <w:autoRedefine/>
    <w:qFormat/>
    <w:uiPriority w:val="0"/>
    <w:pPr>
      <w:spacing w:line="400" w:lineRule="exact"/>
      <w:ind w:firstLine="420" w:firstLineChars="200"/>
      <w:jc w:val="both"/>
    </w:pPr>
    <w:rPr>
      <w:bCs/>
      <w:color w:val="000000"/>
      <w:sz w:val="24"/>
      <w:szCs w:val="21"/>
    </w:rPr>
  </w:style>
  <w:style w:type="paragraph" w:customStyle="1" w:styleId="85">
    <w:name w:val="CM18"/>
    <w:basedOn w:val="51"/>
    <w:next w:val="51"/>
    <w:autoRedefine/>
    <w:unhideWhenUsed/>
    <w:qFormat/>
    <w:uiPriority w:val="99"/>
    <w:pPr>
      <w:spacing w:beforeLines="0" w:afterLines="0" w:line="440" w:lineRule="atLeast"/>
    </w:pPr>
    <w:rPr>
      <w:rFonts w:hint="default"/>
      <w:sz w:val="24"/>
      <w:szCs w:val="24"/>
    </w:rPr>
  </w:style>
  <w:style w:type="paragraph" w:customStyle="1" w:styleId="86">
    <w:name w:val="CM31"/>
    <w:basedOn w:val="51"/>
    <w:next w:val="51"/>
    <w:autoRedefine/>
    <w:unhideWhenUsed/>
    <w:qFormat/>
    <w:uiPriority w:val="99"/>
    <w:pPr>
      <w:spacing w:beforeLines="0" w:afterLines="0" w:line="440" w:lineRule="atLeast"/>
    </w:pPr>
    <w:rPr>
      <w:rFonts w:hint="default"/>
      <w:sz w:val="24"/>
      <w:szCs w:val="24"/>
    </w:rPr>
  </w:style>
  <w:style w:type="paragraph" w:customStyle="1" w:styleId="87">
    <w:name w:val="CM64"/>
    <w:basedOn w:val="51"/>
    <w:next w:val="51"/>
    <w:autoRedefine/>
    <w:unhideWhenUsed/>
    <w:qFormat/>
    <w:uiPriority w:val="99"/>
    <w:pPr>
      <w:spacing w:beforeLines="0" w:afterLines="0" w:line="473" w:lineRule="atLeast"/>
    </w:pPr>
    <w:rPr>
      <w:rFonts w:hint="default"/>
      <w:sz w:val="24"/>
      <w:szCs w:val="24"/>
    </w:rPr>
  </w:style>
  <w:style w:type="paragraph" w:customStyle="1" w:styleId="88">
    <w:name w:val="CM15"/>
    <w:basedOn w:val="51"/>
    <w:next w:val="51"/>
    <w:autoRedefine/>
    <w:unhideWhenUsed/>
    <w:qFormat/>
    <w:uiPriority w:val="99"/>
    <w:pPr>
      <w:spacing w:beforeLines="0" w:afterLines="0" w:line="473" w:lineRule="atLeast"/>
    </w:pPr>
    <w:rPr>
      <w:rFonts w:hint="default"/>
      <w:sz w:val="24"/>
      <w:szCs w:val="24"/>
    </w:rPr>
  </w:style>
  <w:style w:type="paragraph" w:customStyle="1" w:styleId="89">
    <w:name w:val="CM109"/>
    <w:basedOn w:val="51"/>
    <w:next w:val="51"/>
    <w:autoRedefine/>
    <w:unhideWhenUsed/>
    <w:qFormat/>
    <w:uiPriority w:val="99"/>
    <w:pPr>
      <w:spacing w:beforeLines="0" w:afterLines="0"/>
    </w:pPr>
    <w:rPr>
      <w:rFonts w:hint="default"/>
      <w:sz w:val="24"/>
      <w:szCs w:val="24"/>
    </w:rPr>
  </w:style>
  <w:style w:type="paragraph" w:customStyle="1" w:styleId="90">
    <w:name w:val="CM16"/>
    <w:basedOn w:val="51"/>
    <w:next w:val="51"/>
    <w:autoRedefine/>
    <w:unhideWhenUsed/>
    <w:qFormat/>
    <w:uiPriority w:val="99"/>
    <w:pPr>
      <w:spacing w:beforeLines="0" w:afterLines="0" w:line="473" w:lineRule="atLeast"/>
    </w:pPr>
    <w:rPr>
      <w:rFonts w:hint="default"/>
      <w:sz w:val="24"/>
      <w:szCs w:val="24"/>
    </w:rPr>
  </w:style>
  <w:style w:type="paragraph" w:customStyle="1" w:styleId="91">
    <w:name w:val="CM65"/>
    <w:basedOn w:val="51"/>
    <w:next w:val="51"/>
    <w:autoRedefine/>
    <w:unhideWhenUsed/>
    <w:qFormat/>
    <w:uiPriority w:val="99"/>
    <w:pPr>
      <w:spacing w:beforeLines="0" w:afterLines="0" w:line="468" w:lineRule="atLeast"/>
    </w:pPr>
    <w:rPr>
      <w:rFonts w:hint="default"/>
      <w:sz w:val="24"/>
      <w:szCs w:val="24"/>
    </w:rPr>
  </w:style>
  <w:style w:type="paragraph" w:customStyle="1" w:styleId="92">
    <w:name w:val="CM112"/>
    <w:basedOn w:val="51"/>
    <w:next w:val="51"/>
    <w:autoRedefine/>
    <w:unhideWhenUsed/>
    <w:qFormat/>
    <w:uiPriority w:val="99"/>
    <w:pPr>
      <w:spacing w:beforeLines="0" w:afterLines="0"/>
    </w:pPr>
    <w:rPr>
      <w:rFonts w:hint="default"/>
      <w:sz w:val="24"/>
      <w:szCs w:val="24"/>
    </w:rPr>
  </w:style>
  <w:style w:type="paragraph" w:customStyle="1" w:styleId="93">
    <w:name w:val="CM67"/>
    <w:basedOn w:val="51"/>
    <w:next w:val="51"/>
    <w:autoRedefine/>
    <w:unhideWhenUsed/>
    <w:qFormat/>
    <w:uiPriority w:val="99"/>
    <w:pPr>
      <w:spacing w:beforeLines="0" w:afterLines="0" w:line="500" w:lineRule="atLeast"/>
    </w:pPr>
    <w:rPr>
      <w:rFonts w:hint="default"/>
      <w:sz w:val="24"/>
      <w:szCs w:val="24"/>
    </w:rPr>
  </w:style>
  <w:style w:type="paragraph" w:customStyle="1" w:styleId="94">
    <w:name w:val="CM68"/>
    <w:basedOn w:val="51"/>
    <w:next w:val="51"/>
    <w:autoRedefine/>
    <w:unhideWhenUsed/>
    <w:qFormat/>
    <w:uiPriority w:val="99"/>
    <w:pPr>
      <w:spacing w:beforeLines="0" w:afterLines="0" w:line="408" w:lineRule="atLeast"/>
    </w:pPr>
    <w:rPr>
      <w:rFonts w:hint="default"/>
      <w:sz w:val="24"/>
      <w:szCs w:val="24"/>
    </w:rPr>
  </w:style>
  <w:style w:type="paragraph" w:customStyle="1" w:styleId="95">
    <w:name w:val="CM110"/>
    <w:basedOn w:val="51"/>
    <w:next w:val="51"/>
    <w:autoRedefine/>
    <w:unhideWhenUsed/>
    <w:qFormat/>
    <w:uiPriority w:val="99"/>
    <w:pPr>
      <w:spacing w:beforeLines="0" w:afterLines="0"/>
    </w:pPr>
    <w:rPr>
      <w:rFonts w:hint="default"/>
      <w:sz w:val="24"/>
      <w:szCs w:val="24"/>
    </w:rPr>
  </w:style>
  <w:style w:type="paragraph" w:customStyle="1" w:styleId="96">
    <w:name w:val="CM107"/>
    <w:basedOn w:val="51"/>
    <w:next w:val="51"/>
    <w:autoRedefine/>
    <w:unhideWhenUsed/>
    <w:qFormat/>
    <w:uiPriority w:val="99"/>
    <w:pPr>
      <w:spacing w:beforeLines="0" w:afterLines="0"/>
    </w:pPr>
    <w:rPr>
      <w:rFonts w:hint="default"/>
      <w:sz w:val="24"/>
      <w:szCs w:val="24"/>
    </w:rPr>
  </w:style>
  <w:style w:type="paragraph" w:customStyle="1" w:styleId="97">
    <w:name w:val="CM69"/>
    <w:basedOn w:val="51"/>
    <w:next w:val="51"/>
    <w:autoRedefine/>
    <w:unhideWhenUsed/>
    <w:qFormat/>
    <w:uiPriority w:val="99"/>
    <w:pPr>
      <w:spacing w:beforeLines="0" w:afterLines="0" w:line="408" w:lineRule="atLeast"/>
    </w:pPr>
    <w:rPr>
      <w:rFonts w:hint="default"/>
      <w:sz w:val="24"/>
      <w:szCs w:val="24"/>
    </w:rPr>
  </w:style>
  <w:style w:type="paragraph" w:customStyle="1" w:styleId="98">
    <w:name w:val="CM71"/>
    <w:basedOn w:val="51"/>
    <w:next w:val="51"/>
    <w:autoRedefine/>
    <w:unhideWhenUsed/>
    <w:qFormat/>
    <w:uiPriority w:val="99"/>
    <w:pPr>
      <w:spacing w:beforeLines="0" w:afterLines="0" w:line="468" w:lineRule="atLeast"/>
    </w:pPr>
    <w:rPr>
      <w:rFonts w:hint="default"/>
      <w:sz w:val="24"/>
      <w:szCs w:val="24"/>
    </w:rPr>
  </w:style>
  <w:style w:type="paragraph" w:customStyle="1" w:styleId="99">
    <w:name w:val="CM72"/>
    <w:basedOn w:val="51"/>
    <w:next w:val="51"/>
    <w:autoRedefine/>
    <w:unhideWhenUsed/>
    <w:qFormat/>
    <w:uiPriority w:val="99"/>
    <w:pPr>
      <w:spacing w:beforeLines="0" w:afterLines="0" w:line="468" w:lineRule="atLeast"/>
    </w:pPr>
    <w:rPr>
      <w:rFonts w:hint="default"/>
      <w:sz w:val="24"/>
      <w:szCs w:val="24"/>
    </w:rPr>
  </w:style>
  <w:style w:type="paragraph" w:customStyle="1" w:styleId="100">
    <w:name w:val="CM116"/>
    <w:basedOn w:val="51"/>
    <w:next w:val="51"/>
    <w:autoRedefine/>
    <w:unhideWhenUsed/>
    <w:qFormat/>
    <w:uiPriority w:val="99"/>
    <w:pPr>
      <w:spacing w:beforeLines="0" w:afterLines="0"/>
    </w:pPr>
    <w:rPr>
      <w:rFonts w:hint="default"/>
      <w:sz w:val="24"/>
      <w:szCs w:val="24"/>
    </w:rPr>
  </w:style>
  <w:style w:type="paragraph" w:customStyle="1" w:styleId="101">
    <w:name w:val="CM25"/>
    <w:basedOn w:val="51"/>
    <w:next w:val="51"/>
    <w:autoRedefine/>
    <w:unhideWhenUsed/>
    <w:qFormat/>
    <w:uiPriority w:val="99"/>
    <w:pPr>
      <w:spacing w:beforeLines="0" w:afterLines="0" w:line="440" w:lineRule="atLeast"/>
    </w:pPr>
    <w:rPr>
      <w:rFonts w:hint="default"/>
      <w:sz w:val="24"/>
      <w:szCs w:val="24"/>
    </w:rPr>
  </w:style>
  <w:style w:type="paragraph" w:customStyle="1" w:styleId="102">
    <w:name w:val="CM108"/>
    <w:basedOn w:val="51"/>
    <w:next w:val="51"/>
    <w:autoRedefine/>
    <w:unhideWhenUsed/>
    <w:qFormat/>
    <w:uiPriority w:val="99"/>
    <w:pPr>
      <w:spacing w:beforeLines="0" w:afterLines="0"/>
    </w:pPr>
    <w:rPr>
      <w:rFonts w:hint="default"/>
      <w:sz w:val="24"/>
      <w:szCs w:val="24"/>
    </w:rPr>
  </w:style>
  <w:style w:type="paragraph" w:customStyle="1" w:styleId="103">
    <w:name w:val="CM38"/>
    <w:basedOn w:val="51"/>
    <w:next w:val="51"/>
    <w:autoRedefine/>
    <w:unhideWhenUsed/>
    <w:qFormat/>
    <w:uiPriority w:val="99"/>
    <w:pPr>
      <w:spacing w:beforeLines="0" w:afterLines="0" w:line="473" w:lineRule="atLeast"/>
    </w:pPr>
    <w:rPr>
      <w:rFonts w:hint="default"/>
      <w:sz w:val="24"/>
      <w:szCs w:val="24"/>
    </w:rPr>
  </w:style>
  <w:style w:type="paragraph" w:customStyle="1" w:styleId="104">
    <w:name w:val="CM45"/>
    <w:basedOn w:val="51"/>
    <w:next w:val="51"/>
    <w:autoRedefine/>
    <w:unhideWhenUsed/>
    <w:qFormat/>
    <w:uiPriority w:val="99"/>
    <w:pPr>
      <w:spacing w:beforeLines="0" w:afterLines="0"/>
    </w:pPr>
    <w:rPr>
      <w:rFonts w:hint="default"/>
      <w:sz w:val="24"/>
      <w:szCs w:val="24"/>
    </w:rPr>
  </w:style>
  <w:style w:type="paragraph" w:customStyle="1" w:styleId="105">
    <w:name w:val="CM46"/>
    <w:basedOn w:val="51"/>
    <w:next w:val="51"/>
    <w:autoRedefine/>
    <w:unhideWhenUsed/>
    <w:qFormat/>
    <w:uiPriority w:val="99"/>
    <w:pPr>
      <w:spacing w:beforeLines="0" w:afterLines="0" w:line="473" w:lineRule="atLeast"/>
    </w:pPr>
    <w:rPr>
      <w:rFonts w:hint="default"/>
      <w:sz w:val="24"/>
      <w:szCs w:val="24"/>
    </w:rPr>
  </w:style>
  <w:style w:type="paragraph" w:customStyle="1" w:styleId="106">
    <w:name w:val="CM14"/>
    <w:basedOn w:val="51"/>
    <w:next w:val="51"/>
    <w:autoRedefine/>
    <w:unhideWhenUsed/>
    <w:qFormat/>
    <w:uiPriority w:val="99"/>
    <w:pPr>
      <w:spacing w:beforeLines="0" w:afterLines="0" w:line="471" w:lineRule="atLeast"/>
    </w:pPr>
    <w:rPr>
      <w:rFonts w:hint="default"/>
      <w:sz w:val="24"/>
      <w:szCs w:val="24"/>
    </w:rPr>
  </w:style>
  <w:style w:type="paragraph" w:customStyle="1" w:styleId="107">
    <w:name w:val="CM41"/>
    <w:basedOn w:val="51"/>
    <w:next w:val="51"/>
    <w:autoRedefine/>
    <w:unhideWhenUsed/>
    <w:qFormat/>
    <w:uiPriority w:val="99"/>
    <w:pPr>
      <w:spacing w:beforeLines="0" w:afterLines="0" w:line="471" w:lineRule="atLeast"/>
    </w:pPr>
    <w:rPr>
      <w:rFonts w:hint="default"/>
      <w:sz w:val="24"/>
      <w:szCs w:val="24"/>
    </w:rPr>
  </w:style>
  <w:style w:type="paragraph" w:customStyle="1" w:styleId="108">
    <w:name w:val="CM44"/>
    <w:basedOn w:val="51"/>
    <w:next w:val="51"/>
    <w:autoRedefine/>
    <w:unhideWhenUsed/>
    <w:qFormat/>
    <w:uiPriority w:val="99"/>
    <w:pPr>
      <w:spacing w:beforeLines="0" w:afterLines="0" w:line="471" w:lineRule="atLeast"/>
    </w:pPr>
    <w:rPr>
      <w:rFonts w:hint="default"/>
      <w:sz w:val="24"/>
      <w:szCs w:val="24"/>
    </w:rPr>
  </w:style>
  <w:style w:type="paragraph" w:customStyle="1" w:styleId="109">
    <w:name w:val="CM43"/>
    <w:basedOn w:val="51"/>
    <w:next w:val="51"/>
    <w:autoRedefine/>
    <w:unhideWhenUsed/>
    <w:qFormat/>
    <w:uiPriority w:val="99"/>
    <w:pPr>
      <w:spacing w:beforeLines="0" w:afterLines="0" w:line="471" w:lineRule="atLeast"/>
    </w:pPr>
    <w:rPr>
      <w:rFonts w:hint="default"/>
      <w:sz w:val="24"/>
      <w:szCs w:val="24"/>
    </w:rPr>
  </w:style>
  <w:style w:type="paragraph" w:customStyle="1" w:styleId="110">
    <w:name w:val="CM86"/>
    <w:basedOn w:val="51"/>
    <w:next w:val="51"/>
    <w:autoRedefine/>
    <w:unhideWhenUsed/>
    <w:qFormat/>
    <w:uiPriority w:val="99"/>
    <w:pPr>
      <w:spacing w:beforeLines="0" w:afterLines="0" w:line="460" w:lineRule="atLeast"/>
    </w:pPr>
    <w:rPr>
      <w:rFonts w:hint="default"/>
      <w:sz w:val="24"/>
      <w:szCs w:val="24"/>
    </w:rPr>
  </w:style>
  <w:style w:type="paragraph" w:customStyle="1" w:styleId="111">
    <w:name w:val="CM79"/>
    <w:basedOn w:val="51"/>
    <w:next w:val="51"/>
    <w:autoRedefine/>
    <w:unhideWhenUsed/>
    <w:qFormat/>
    <w:uiPriority w:val="99"/>
    <w:pPr>
      <w:spacing w:beforeLines="0" w:afterLines="0" w:line="468" w:lineRule="atLeast"/>
    </w:pPr>
    <w:rPr>
      <w:rFonts w:hint="default"/>
      <w:sz w:val="24"/>
      <w:szCs w:val="24"/>
    </w:rPr>
  </w:style>
  <w:style w:type="paragraph" w:customStyle="1" w:styleId="112">
    <w:name w:val="CM35"/>
    <w:basedOn w:val="51"/>
    <w:next w:val="51"/>
    <w:autoRedefine/>
    <w:unhideWhenUsed/>
    <w:qFormat/>
    <w:uiPriority w:val="99"/>
    <w:pPr>
      <w:spacing w:beforeLines="0" w:afterLines="0" w:line="496" w:lineRule="atLeast"/>
    </w:pPr>
    <w:rPr>
      <w:rFonts w:hint="default"/>
      <w:sz w:val="24"/>
      <w:szCs w:val="24"/>
    </w:rPr>
  </w:style>
  <w:style w:type="paragraph" w:customStyle="1" w:styleId="113">
    <w:name w:val="CM33"/>
    <w:basedOn w:val="51"/>
    <w:next w:val="51"/>
    <w:autoRedefine/>
    <w:unhideWhenUsed/>
    <w:qFormat/>
    <w:uiPriority w:val="99"/>
    <w:pPr>
      <w:spacing w:beforeLines="0" w:afterLines="0" w:line="440" w:lineRule="atLeast"/>
    </w:pPr>
    <w:rPr>
      <w:rFonts w:hint="default"/>
      <w:sz w:val="24"/>
      <w:szCs w:val="24"/>
    </w:rPr>
  </w:style>
  <w:style w:type="paragraph" w:customStyle="1" w:styleId="114">
    <w:name w:val="q表格"/>
    <w:basedOn w:val="1"/>
    <w:autoRedefine/>
    <w:qFormat/>
    <w:uiPriority w:val="0"/>
    <w:pPr>
      <w:adjustRightInd w:val="0"/>
      <w:snapToGrid w:val="0"/>
      <w:spacing w:line="360" w:lineRule="exact"/>
      <w:jc w:val="center"/>
    </w:pPr>
    <w:rPr>
      <w:szCs w:val="21"/>
    </w:rPr>
  </w:style>
  <w:style w:type="paragraph" w:customStyle="1" w:styleId="115">
    <w:name w:val="环评表正文"/>
    <w:basedOn w:val="1"/>
    <w:qFormat/>
    <w:uiPriority w:val="0"/>
    <w:pPr>
      <w:spacing w:line="480" w:lineRule="exact"/>
      <w:ind w:firstLine="1044" w:firstLineChars="200"/>
    </w:pPr>
    <w:rPr>
      <w:rFonts w:ascii="Times New Roman" w:hAnsi="Times New Roman" w:eastAsia="宋体"/>
      <w:sz w:val="24"/>
    </w:rPr>
  </w:style>
  <w:style w:type="paragraph" w:styleId="116">
    <w:name w:val="No Spacing"/>
    <w:qFormat/>
    <w:uiPriority w:val="1"/>
    <w:pPr>
      <w:widowControl w:val="0"/>
      <w:spacing w:line="360" w:lineRule="exact"/>
      <w:jc w:val="center"/>
    </w:pPr>
    <w:rPr>
      <w:rFonts w:ascii="Times New Roman" w:hAnsi="Times New Roman" w:eastAsia="宋体" w:cs="Times New Roman"/>
      <w:kern w:val="2"/>
      <w:sz w:val="21"/>
      <w:szCs w:val="22"/>
      <w:lang w:val="en-US" w:eastAsia="zh-CN" w:bidi="ar-SA"/>
    </w:rPr>
  </w:style>
  <w:style w:type="paragraph" w:customStyle="1" w:styleId="117">
    <w:name w:val="报告书正文"/>
    <w:basedOn w:val="38"/>
    <w:qFormat/>
    <w:uiPriority w:val="0"/>
    <w:pPr>
      <w:spacing w:line="360" w:lineRule="auto"/>
      <w:ind w:firstLine="480" w:firstLineChars="200"/>
    </w:pPr>
    <w:rPr>
      <w:sz w:val="24"/>
    </w:rPr>
  </w:style>
  <w:style w:type="paragraph" w:customStyle="1" w:styleId="118">
    <w:name w:val="0表格内容"/>
    <w:qFormat/>
    <w:uiPriority w:val="0"/>
    <w:pPr>
      <w:adjustRightInd w:val="0"/>
      <w:snapToGrid w:val="0"/>
      <w:jc w:val="center"/>
    </w:pPr>
    <w:rPr>
      <w:rFonts w:ascii="Times New Roman" w:hAnsi="Times New Roman" w:eastAsia="宋体" w:cs="Times New Roman"/>
      <w:color w:val="000000"/>
      <w:kern w:val="2"/>
      <w:sz w:val="21"/>
      <w:szCs w:val="24"/>
      <w:lang w:val="en-US" w:eastAsia="zh-CN" w:bidi="ar-SA"/>
    </w:rPr>
  </w:style>
  <w:style w:type="paragraph" w:customStyle="1" w:styleId="119">
    <w:name w:val="三"/>
    <w:basedOn w:val="1"/>
    <w:qFormat/>
    <w:uiPriority w:val="0"/>
    <w:rPr>
      <w:rFonts w:ascii="宋体"/>
      <w:sz w:val="24"/>
      <w:szCs w:val="20"/>
    </w:rPr>
  </w:style>
  <w:style w:type="paragraph" w:customStyle="1" w:styleId="120">
    <w:name w:val="lh-正文-报告表"/>
    <w:basedOn w:val="1"/>
    <w:autoRedefine/>
    <w:qFormat/>
    <w:uiPriority w:val="0"/>
    <w:pPr>
      <w:spacing w:line="360" w:lineRule="auto"/>
      <w:ind w:firstLine="480" w:firstLineChars="200"/>
    </w:pPr>
    <w:rPr>
      <w:kern w:val="0"/>
      <w:sz w:val="24"/>
      <w:szCs w:val="21"/>
    </w:rPr>
  </w:style>
  <w:style w:type="paragraph" w:customStyle="1" w:styleId="121">
    <w:name w:val="表格文字-报告表"/>
    <w:basedOn w:val="1"/>
    <w:qFormat/>
    <w:uiPriority w:val="0"/>
    <w:pPr>
      <w:adjustRightInd w:val="0"/>
      <w:spacing w:line="0" w:lineRule="atLeast"/>
      <w:jc w:val="center"/>
    </w:pPr>
    <w:rPr>
      <w:szCs w:val="21"/>
    </w:rPr>
  </w:style>
  <w:style w:type="paragraph" w:customStyle="1" w:styleId="122">
    <w:name w:val="111111正文"/>
    <w:basedOn w:val="1"/>
    <w:qFormat/>
    <w:uiPriority w:val="0"/>
    <w:pPr>
      <w:spacing w:line="360" w:lineRule="exact"/>
      <w:jc w:val="center"/>
    </w:pPr>
    <w:rPr>
      <w:kern w:val="0"/>
    </w:rPr>
  </w:style>
  <w:style w:type="paragraph" w:customStyle="1" w:styleId="123">
    <w:name w:val="小四表文左齐"/>
    <w:basedOn w:val="1"/>
    <w:qFormat/>
    <w:uiPriority w:val="0"/>
    <w:pPr>
      <w:spacing w:line="360" w:lineRule="auto"/>
    </w:pPr>
    <w:rPr>
      <w:rFonts w:ascii="宋体" w:hAnsi="宋体"/>
      <w:bCs/>
      <w:sz w:val="24"/>
    </w:rPr>
  </w:style>
  <w:style w:type="paragraph" w:customStyle="1" w:styleId="124">
    <w:name w:val="我的正文"/>
    <w:basedOn w:val="1"/>
    <w:autoRedefine/>
    <w:qFormat/>
    <w:uiPriority w:val="0"/>
    <w:pPr>
      <w:spacing w:line="360" w:lineRule="auto"/>
      <w:ind w:firstLine="480" w:firstLineChars="200"/>
      <w:contextualSpacing/>
    </w:pPr>
    <w:rPr>
      <w:rFonts w:cs="宋体"/>
      <w:color w:val="000000"/>
      <w:sz w:val="24"/>
      <w:szCs w:val="28"/>
    </w:rPr>
  </w:style>
  <w:style w:type="paragraph" w:customStyle="1" w:styleId="125">
    <w:name w:val="表头"/>
    <w:basedOn w:val="1"/>
    <w:qFormat/>
    <w:uiPriority w:val="0"/>
    <w:pPr>
      <w:jc w:val="center"/>
    </w:pPr>
    <w:rPr>
      <w:b/>
      <w:bCs/>
      <w:szCs w:val="21"/>
    </w:rPr>
  </w:style>
  <w:style w:type="paragraph" w:customStyle="1" w:styleId="126">
    <w:name w:val="表格文字"/>
    <w:basedOn w:val="13"/>
    <w:next w:val="13"/>
    <w:autoRedefine/>
    <w:qFormat/>
    <w:uiPriority w:val="0"/>
    <w:pPr>
      <w:adjustRightInd w:val="0"/>
      <w:snapToGrid w:val="0"/>
      <w:jc w:val="center"/>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17.jpeg"/><Relationship Id="rId27" Type="http://schemas.openxmlformats.org/officeDocument/2006/relationships/image" Target="media/image16.jpeg"/><Relationship Id="rId26" Type="http://schemas.openxmlformats.org/officeDocument/2006/relationships/image" Target="media/image15.jpeg"/><Relationship Id="rId25" Type="http://schemas.openxmlformats.org/officeDocument/2006/relationships/image" Target="media/image14.wmf"/><Relationship Id="rId24" Type="http://schemas.openxmlformats.org/officeDocument/2006/relationships/image" Target="media/image13.wmf"/><Relationship Id="rId23" Type="http://schemas.openxmlformats.org/officeDocument/2006/relationships/image" Target="media/image12.wmf"/><Relationship Id="rId22" Type="http://schemas.openxmlformats.org/officeDocument/2006/relationships/image" Target="media/image11.wmf"/><Relationship Id="rId21" Type="http://schemas.openxmlformats.org/officeDocument/2006/relationships/image" Target="media/image10.wmf"/><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image" Target="media/image7.wmf"/><Relationship Id="rId17" Type="http://schemas.openxmlformats.org/officeDocument/2006/relationships/image" Target="media/image6.wmf"/><Relationship Id="rId16" Type="http://schemas.openxmlformats.org/officeDocument/2006/relationships/image" Target="media/image5.wmf"/><Relationship Id="rId15" Type="http://schemas.openxmlformats.org/officeDocument/2006/relationships/image" Target="media/image4.emf"/><Relationship Id="rId14" Type="http://schemas.openxmlformats.org/officeDocument/2006/relationships/oleObject" Target="embeddings/oleObject4.bin"/><Relationship Id="rId13" Type="http://schemas.openxmlformats.org/officeDocument/2006/relationships/image" Target="media/image3.emf"/><Relationship Id="rId12" Type="http://schemas.openxmlformats.org/officeDocument/2006/relationships/oleObject" Target="embeddings/oleObject3.bin"/><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rgbClr val="FFFFFF"/>
        </a:solidFill>
        <a:ln w="9525" cap="flat" cmpd="sng">
          <a:solidFill>
            <a:srgbClr val="000000"/>
          </a:solidFill>
          <a:prstDash val="solid"/>
          <a:miter/>
          <a:headEnd type="none" w="med" len="med"/>
          <a:tailEnd type="none" w="med" len="med"/>
        </a:ln>
      </a:spPr>
      <a:bodyPr upright="1"/>
      <a:lst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Info spid="_x0000_s2052"/>
    <customShpInfo spid="_x0000_s2050"/>
    <customShpInfo spid="_x0000_s2051"/>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yzhg</Company>
  <Pages>62</Pages>
  <Words>31564</Words>
  <Characters>33606</Characters>
  <Lines>237</Lines>
  <Paragraphs>66</Paragraphs>
  <TotalTime>0</TotalTime>
  <ScaleCrop>false</ScaleCrop>
  <LinksUpToDate>false</LinksUpToDate>
  <CharactersWithSpaces>33844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2021-04-20T02:47:00Z</dcterms:created>
  <dc:creator>zghb0</dc:creator>
  <cp:lastModifiedBy>lenovo</cp:lastModifiedBy>
  <cp:lastPrinted>2024-03-05T02:23:00Z</cp:lastPrinted>
  <dcterms:modified xsi:type="dcterms:W3CDTF">2026-08-19T09:29:55Z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2922D104155842A2A9896C2B3DEB03DB_13</vt:lpwstr>
  </property>
  <property fmtid="{D5CDD505-2E9C-101B-9397-08002B2CF9AE}" pid="4" name="KSOTemplateDocerSaveRecord">
    <vt:lpwstr>eyJoZGlkIjoiZTdlMjFhZGY0NDZkMjNiZTljYzRlMjhhOGI2M2FiZmMiLCJ1c2VySWQiOiIxMTY4MzcyMzI2In0=</vt:lpwstr>
  </property>
</Properties>
</file>