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ageBreakBefore w:val="0"/>
        <w:widowControl/>
        <w:kinsoku/>
        <w:wordWrap/>
        <w:overflowPunct/>
        <w:topLinePunct w:val="0"/>
        <w:autoSpaceDE/>
        <w:autoSpaceDN/>
        <w:bidi w:val="0"/>
        <w:adjustRightInd/>
        <w:snapToGrid/>
        <w:spacing w:line="240" w:lineRule="auto"/>
        <w:textAlignment w:val="auto"/>
        <w:rPr>
          <w:sz w:val="48"/>
          <w:szCs w:val="48"/>
          <w:lang w:val="zh-CN"/>
        </w:rPr>
      </w:pPr>
      <w:bookmarkStart w:id="0" w:name="_Toc10048"/>
      <w:bookmarkStart w:id="1" w:name="_Toc61446518"/>
      <w:bookmarkStart w:id="2" w:name="_Toc5097"/>
      <w:bookmarkStart w:id="3" w:name="_Toc31904_WPSOffice_Level1"/>
      <w:bookmarkStart w:id="4" w:name="_Toc29968"/>
      <w:bookmarkStart w:id="5" w:name="_GoBack"/>
      <w:bookmarkEnd w:id="5"/>
    </w:p>
    <w:p>
      <w:pPr>
        <w:pStyle w:val="16"/>
        <w:pageBreakBefore w:val="0"/>
        <w:widowControl/>
        <w:kinsoku/>
        <w:wordWrap/>
        <w:overflowPunct/>
        <w:topLinePunct w:val="0"/>
        <w:autoSpaceDE/>
        <w:autoSpaceDN/>
        <w:bidi w:val="0"/>
        <w:adjustRightInd/>
        <w:snapToGrid/>
        <w:spacing w:after="0" w:line="240" w:lineRule="auto"/>
        <w:rPr>
          <w:sz w:val="48"/>
          <w:szCs w:val="48"/>
          <w:lang w:val="zh-CN"/>
        </w:rPr>
      </w:pPr>
    </w:p>
    <w:p>
      <w:pPr>
        <w:pStyle w:val="75"/>
        <w:keepNext/>
        <w:keepLines/>
        <w:pageBreakBefore w:val="0"/>
        <w:widowControl/>
        <w:tabs>
          <w:tab w:val="clear" w:pos="0"/>
        </w:tabs>
        <w:kinsoku/>
        <w:wordWrap/>
        <w:overflowPunct/>
        <w:topLinePunct w:val="0"/>
        <w:autoSpaceDE/>
        <w:autoSpaceDN/>
        <w:bidi w:val="0"/>
        <w:adjustRightInd/>
        <w:snapToGrid/>
        <w:spacing w:before="0" w:afterLines="0" w:after="0" w:line="240" w:lineRule="auto"/>
        <w:ind w:left="0" w:firstLine="0"/>
        <w:rPr>
          <w:rFonts w:ascii="方正小标宋简体" w:eastAsia="方正小标宋简体" w:cs="方正小标宋简体" w:hAnsi="方正小标宋简体" w:hint="eastAsia"/>
          <w:color w:val="auto"/>
          <w:sz w:val="48"/>
          <w:szCs w:val="40"/>
        </w:rPr>
      </w:pPr>
      <w:bookmarkStart w:id="6" w:name="_Toc32035"/>
      <w:bookmarkStart w:id="7" w:name="_Toc29643"/>
      <w:bookmarkStart w:id="8" w:name="_Toc29849"/>
      <w:r>
        <w:rPr>
          <w:rFonts w:ascii="方正小标宋简体" w:eastAsia="方正小标宋简体" w:cs="方正小标宋简体" w:hAnsi="方正小标宋简体" w:hint="eastAsia"/>
          <w:color w:val="auto"/>
          <w:sz w:val="48"/>
          <w:szCs w:val="40"/>
        </w:rPr>
        <w:t>石家庄市井陉矿区国土空间</w:t>
      </w:r>
      <w:r>
        <w:rPr>
          <w:rFonts w:ascii="方正小标宋简体" w:eastAsia="方正小标宋简体" w:cs="方正小标宋简体" w:hAnsi="方正小标宋简体" w:hint="eastAsia"/>
          <w:color w:val="auto"/>
          <w:sz w:val="48"/>
          <w:szCs w:val="40"/>
          <w:lang w:val="en-US" w:eastAsia="zh-CN"/>
        </w:rPr>
        <w:t>总体</w:t>
      </w:r>
      <w:r>
        <w:rPr>
          <w:rFonts w:ascii="方正小标宋简体" w:eastAsia="方正小标宋简体" w:cs="方正小标宋简体" w:hAnsi="方正小标宋简体" w:hint="eastAsia"/>
          <w:color w:val="auto"/>
          <w:sz w:val="48"/>
          <w:szCs w:val="40"/>
        </w:rPr>
        <w:t>规划</w:t>
      </w:r>
      <w:bookmarkEnd w:id="6"/>
      <w:bookmarkEnd w:id="7"/>
      <w:bookmarkEnd w:id="8"/>
    </w:p>
    <w:p>
      <w:pPr>
        <w:pStyle w:val="75"/>
        <w:keepNext/>
        <w:keepLines/>
        <w:pageBreakBefore w:val="0"/>
        <w:widowControl/>
        <w:tabs>
          <w:tab w:val="clear" w:pos="0"/>
        </w:tabs>
        <w:kinsoku/>
        <w:wordWrap/>
        <w:overflowPunct/>
        <w:topLinePunct w:val="0"/>
        <w:autoSpaceDE/>
        <w:autoSpaceDN/>
        <w:bidi w:val="0"/>
        <w:adjustRightInd/>
        <w:snapToGrid/>
        <w:spacing w:before="0" w:afterLines="0" w:after="0" w:line="240" w:lineRule="auto"/>
        <w:ind w:left="0" w:firstLine="0"/>
        <w:rPr>
          <w:rFonts w:ascii="方正小标宋简体" w:eastAsia="方正小标宋简体" w:cs="方正小标宋简体" w:hAnsi="方正小标宋简体" w:hint="eastAsia"/>
          <w:color w:val="auto"/>
          <w:sz w:val="48"/>
          <w:szCs w:val="40"/>
        </w:rPr>
      </w:pPr>
      <w:bookmarkStart w:id="9" w:name="_Toc20974"/>
      <w:bookmarkStart w:id="10" w:name="_Toc24783"/>
      <w:bookmarkStart w:id="11" w:name="_Toc27876"/>
      <w:r>
        <w:rPr>
          <w:rFonts w:ascii="方正小标宋简体" w:eastAsia="方正小标宋简体" w:cs="方正小标宋简体" w:hAnsi="方正小标宋简体" w:hint="eastAsia"/>
          <w:color w:val="auto"/>
          <w:sz w:val="48"/>
          <w:szCs w:val="40"/>
        </w:rPr>
        <w:t>（2021—2035年）</w:t>
      </w:r>
      <w:bookmarkEnd w:id="9"/>
      <w:bookmarkEnd w:id="10"/>
      <w:bookmarkEnd w:id="11"/>
    </w:p>
    <w:p>
      <w:pPr>
        <w:rPr>
          <w:rFonts w:hint="eastAsia"/>
        </w:rPr>
      </w:pPr>
    </w:p>
    <w:p>
      <w:pPr>
        <w:pStyle w:val="16"/>
        <w:rPr>
          <w:rFonts w:hint="eastAsia"/>
        </w:rPr>
      </w:pPr>
    </w:p>
    <w:p>
      <w:pPr>
        <w:pStyle w:val="16"/>
        <w:spacing w:before="156"/>
        <w:ind w:left="640"/>
        <w:rPr>
          <w:rFonts w:ascii="黑体" w:eastAsia="黑体" w:cs="黑体" w:hAnsi="黑体"/>
          <w:sz w:val="48"/>
          <w:szCs w:val="48"/>
        </w:rPr>
      </w:pPr>
    </w:p>
    <w:p>
      <w:pPr>
        <w:pStyle w:val="19"/>
        <w:spacing w:before="156"/>
        <w:rPr>
          <w:sz w:val="48"/>
          <w:szCs w:val="48"/>
        </w:rPr>
      </w:pPr>
    </w:p>
    <w:p>
      <w:pPr>
        <w:pStyle w:val="16"/>
        <w:rPr>
          <w:sz w:val="48"/>
          <w:szCs w:val="48"/>
        </w:rPr>
      </w:pPr>
    </w:p>
    <w:p>
      <w:pPr>
        <w:pStyle w:val="19"/>
        <w:rPr>
          <w:sz w:val="48"/>
          <w:szCs w:val="48"/>
        </w:rPr>
      </w:pPr>
    </w:p>
    <w:p>
      <w:pPr>
        <w:pStyle w:val="16"/>
        <w:rPr>
          <w:sz w:val="48"/>
          <w:szCs w:val="48"/>
        </w:rPr>
      </w:pPr>
    </w:p>
    <w:p>
      <w:pPr>
        <w:pStyle w:val="81"/>
        <w:spacing w:before="156" w:line="312" w:lineRule="auto"/>
        <w:ind w:firstLine="0"/>
        <w:rPr>
          <w:rFonts w:ascii="楷体" w:eastAsia="楷体" w:cs="楷体" w:hAnsi="楷体" w:hint="eastAsia"/>
          <w:sz w:val="48"/>
          <w:szCs w:val="48"/>
        </w:rPr>
      </w:pPr>
      <w:bookmarkStart w:id="12" w:name="_Toc14466"/>
      <w:bookmarkStart w:id="13" w:name="_Toc5319"/>
    </w:p>
    <w:p>
      <w:pPr>
        <w:pStyle w:val="81"/>
        <w:spacing w:before="156" w:line="312" w:lineRule="auto"/>
        <w:ind w:firstLine="0"/>
        <w:rPr>
          <w:rFonts w:ascii="楷体" w:eastAsia="楷体" w:cs="楷体" w:hAnsi="楷体" w:hint="eastAsia"/>
          <w:sz w:val="48"/>
          <w:szCs w:val="48"/>
        </w:rPr>
      </w:pPr>
    </w:p>
    <w:p>
      <w:pPr>
        <w:pStyle w:val="81"/>
        <w:spacing w:before="156" w:line="312" w:lineRule="auto"/>
        <w:ind w:firstLine="0"/>
        <w:rPr>
          <w:rFonts w:ascii="楷体" w:eastAsia="楷体" w:cs="楷体" w:hAnsi="楷体" w:hint="eastAsia"/>
          <w:sz w:val="48"/>
          <w:szCs w:val="48"/>
        </w:rPr>
      </w:pPr>
    </w:p>
    <w:p>
      <w:pPr>
        <w:pStyle w:val="81"/>
        <w:spacing w:before="156" w:line="312" w:lineRule="auto"/>
        <w:ind w:firstLine="0"/>
        <w:rPr>
          <w:rFonts w:ascii="楷体" w:eastAsia="楷体" w:cs="楷体" w:hAnsi="楷体" w:hint="eastAsia"/>
          <w:sz w:val="48"/>
          <w:szCs w:val="48"/>
        </w:rPr>
      </w:pPr>
    </w:p>
    <w:p>
      <w:pPr>
        <w:pStyle w:val="81"/>
        <w:spacing w:before="156" w:line="312" w:lineRule="auto"/>
        <w:ind w:firstLine="0"/>
        <w:jc w:val="center"/>
        <w:rPr>
          <w:rFonts w:ascii="楷体" w:eastAsia="楷体" w:cs="楷体" w:hAnsi="楷体" w:hint="eastAsia"/>
          <w:sz w:val="32"/>
          <w:szCs w:val="32"/>
        </w:rPr>
      </w:pPr>
      <w:r>
        <w:rPr>
          <w:rFonts w:ascii="楷体" w:eastAsia="楷体" w:cs="楷体" w:hAnsi="楷体" w:hint="eastAsia"/>
          <w:sz w:val="32"/>
          <w:szCs w:val="32"/>
        </w:rPr>
        <w:t>石家庄市井陉矿区人民政府</w:t>
      </w:r>
      <w:bookmarkEnd w:id="12"/>
      <w:bookmarkEnd w:id="13"/>
    </w:p>
    <w:p>
      <w:pPr>
        <w:pStyle w:val="81"/>
        <w:spacing w:before="156" w:line="312" w:lineRule="auto"/>
        <w:ind w:firstLine="0"/>
        <w:jc w:val="center"/>
        <w:rPr>
          <w:rFonts w:ascii="楷体" w:eastAsia="楷体" w:hAnsi="楷体" w:hint="eastAsia"/>
          <w:sz w:val="32"/>
          <w:szCs w:val="32"/>
        </w:rPr>
      </w:pPr>
      <w:bookmarkStart w:id="14" w:name="_Toc14721"/>
      <w:bookmarkStart w:id="15" w:name="_Toc16131"/>
      <w:r>
        <w:rPr>
          <w:rFonts w:ascii="楷体" w:eastAsia="楷体" w:cs="楷体" w:hAnsi="楷体" w:hint="eastAsia"/>
          <w:sz w:val="32"/>
          <w:szCs w:val="32"/>
        </w:rPr>
        <w:t>2023年0</w:t>
      </w:r>
      <w:bookmarkEnd w:id="14"/>
      <w:bookmarkEnd w:id="15"/>
      <w:r>
        <w:rPr>
          <w:rFonts w:ascii="楷体" w:eastAsia="楷体" w:cs="楷体" w:hAnsi="楷体" w:hint="eastAsia"/>
          <w:sz w:val="32"/>
          <w:szCs w:val="32"/>
          <w:lang w:val="en-US" w:eastAsia="zh-CN"/>
        </w:rPr>
        <w:t>5</w:t>
      </w:r>
      <w:r>
        <w:rPr>
          <w:rFonts w:ascii="楷体" w:eastAsia="楷体" w:hAnsi="楷体" w:hint="eastAsia"/>
          <w:sz w:val="32"/>
          <w:szCs w:val="32"/>
        </w:rPr>
        <w:t>月</w:t>
      </w:r>
    </w:p>
    <w:p>
      <w:pPr>
        <w:pStyle w:val="82"/>
        <w:keepNext/>
        <w:keepLines/>
        <w:pageBreakBefore w:val="0"/>
        <w:widowControl/>
        <w:tabs>
          <w:tab w:val="clear" w:pos="0"/>
        </w:tabs>
        <w:kinsoku/>
        <w:wordWrap/>
        <w:overflowPunct/>
        <w:topLinePunct w:val="0"/>
        <w:autoSpaceDE/>
        <w:autoSpaceDN/>
        <w:bidi w:val="0"/>
        <w:adjustRightInd/>
        <w:snapToGrid/>
        <w:spacing w:before="0" w:afterLines="0" w:after="0" w:line="240" w:lineRule="auto"/>
        <w:ind w:left="0" w:firstLine="0"/>
        <w:rPr>
          <w:rFonts w:ascii="方正小标宋简体" w:eastAsia="方正小标宋简体" w:cs="方正小标宋简体" w:hAnsi="方正小标宋简体" w:hint="eastAsia"/>
          <w:color w:val="auto"/>
          <w:sz w:val="48"/>
          <w:szCs w:val="40"/>
        </w:rPr>
      </w:pPr>
    </w:p>
    <w:p>
      <w:pPr>
        <w:spacing w:before="120" w:afterLines="50" w:after="156" w:line="400" w:lineRule="exact"/>
        <w:ind w:firstLineChars="1000" w:firstLine="3600"/>
      </w:pPr>
      <w:r>
        <w:rPr>
          <w:rFonts w:ascii="方正小标宋简体" w:eastAsia="方正小标宋简体" w:cs="方正小标宋简体" w:hAnsi="方正小标宋简体" w:hint="eastAsia"/>
          <w:sz w:val="36"/>
          <w:szCs w:val="36"/>
          <w:lang w:val="zh-CN"/>
        </w:rPr>
        <w:t xml:space="preserve">目 </w:t>
      </w:r>
      <w:r>
        <w:rPr>
          <w:rFonts w:ascii="方正小标宋简体" w:eastAsia="方正小标宋简体" w:cs="方正小标宋简体" w:hAnsi="方正小标宋简体" w:hint="eastAsia"/>
          <w:sz w:val="36"/>
          <w:szCs w:val="36"/>
        </w:rPr>
        <w:t xml:space="preserve"> </w:t>
      </w:r>
      <w:r>
        <w:rPr>
          <w:rFonts w:ascii="方正小标宋简体" w:eastAsia="方正小标宋简体" w:cs="方正小标宋简体" w:hAnsi="方正小标宋简体" w:hint="eastAsia"/>
          <w:sz w:val="36"/>
          <w:szCs w:val="36"/>
          <w:lang w:val="zh-CN"/>
        </w:rPr>
        <w:t xml:space="preserve"> </w:t>
      </w:r>
      <w:r>
        <w:rPr>
          <w:rFonts w:ascii="方正小标宋简体" w:eastAsia="方正小标宋简体" w:cs="方正小标宋简体" w:hAnsi="方正小标宋简体" w:hint="eastAsia"/>
          <w:sz w:val="36"/>
          <w:szCs w:val="36"/>
        </w:rPr>
        <w:t xml:space="preserve"> </w:t>
      </w:r>
      <w:r>
        <w:rPr>
          <w:rFonts w:ascii="方正小标宋简体" w:eastAsia="方正小标宋简体" w:cs="方正小标宋简体" w:hAnsi="方正小标宋简体" w:hint="eastAsia"/>
          <w:sz w:val="36"/>
          <w:szCs w:val="36"/>
          <w:lang w:val="zh-CN"/>
        </w:rPr>
        <w:t>录</w:t>
      </w:r>
      <w:r>
        <w:rPr>
          <w:rFonts w:eastAsia="黑体"/>
          <w:kern w:val="0"/>
          <w:szCs w:val="28"/>
        </w:rPr>
        <w:fldChar w:fldCharType="begin"/>
      </w:r>
      <w:r>
        <w:rPr>
          <w:rFonts w:eastAsia="黑体"/>
          <w:kern w:val="0"/>
          <w:szCs w:val="28"/>
        </w:rPr>
        <w:instrText xml:space="preserve"> TOC \o "1-2" \h \z \u </w:instrText>
      </w:r>
      <w:r>
        <w:rPr>
          <w:rFonts w:eastAsia="黑体"/>
          <w:kern w:val="0"/>
          <w:szCs w:val="28"/>
        </w:rPr>
        <w:fldChar w:fldCharType="separate"/>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"_Toc130991274"</w:instrText>
      </w:r>
      <w:r>
        <w:rPr>
          <w:rStyle w:val="44"/>
        </w:rPr>
        <w:instrText xml:space="preserve"> </w:instrText>
      </w:r>
      <w:r>
        <w:rPr>
          <w:rStyle w:val="44"/>
        </w:rPr>
        <w:fldChar w:fldCharType="separate"/>
      </w:r>
      <w:r>
        <w:t>第一章 总    则</w:t>
        <w:tab/>
      </w:r>
      <w:r>
        <w:fldChar w:fldCharType="begin"/>
      </w:r>
      <w:r>
        <w:instrText xml:space="preserve"> PAGEREF _Toc130991274 \h </w:instrText>
      </w:r>
      <w:r>
        <w:fldChar w:fldCharType="separate"/>
      </w:r>
      <w:r>
        <w:t>1</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"_Toc130991275"</w:instrText>
      </w:r>
      <w:r>
        <w:rPr>
          <w:rStyle w:val="44"/>
        </w:rPr>
        <w:instrText xml:space="preserve"> </w:instrText>
      </w:r>
      <w:r>
        <w:rPr>
          <w:rStyle w:val="44"/>
        </w:rPr>
        <w:fldChar w:fldCharType="separate"/>
      </w:r>
      <w:r>
        <w:t>第二章 规划基础</w:t>
        <w:tab/>
      </w:r>
      <w:r>
        <w:fldChar w:fldCharType="begin"/>
      </w:r>
      <w:r>
        <w:instrText xml:space="preserve"> PAGEREF _Toc130991275 \h </w:instrText>
      </w:r>
      <w:r>
        <w:fldChar w:fldCharType="separate"/>
      </w:r>
      <w:r>
        <w:t>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"_Toc130991276"</w:instrText>
      </w:r>
      <w:r>
        <w:rPr>
          <w:rStyle w:val="44"/>
        </w:rPr>
        <w:instrText xml:space="preserve"> </w:instrText>
      </w:r>
      <w:r>
        <w:rPr>
          <w:rStyle w:val="44"/>
        </w:rPr>
        <w:fldChar w:fldCharType="separate"/>
      </w:r>
      <w:r>
        <w:t>第一节 现状与问题</w:t>
        <w:tab/>
      </w:r>
      <w:r>
        <w:fldChar w:fldCharType="begin"/>
      </w:r>
      <w:r>
        <w:instrText xml:space="preserve"> PAGEREF _Toc130991276 \h </w:instrText>
      </w:r>
      <w:r>
        <w:fldChar w:fldCharType="separate"/>
      </w:r>
      <w:r>
        <w:t>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"_Toc130991277"</w:instrText>
      </w:r>
      <w:r>
        <w:rPr>
          <w:rStyle w:val="44"/>
        </w:rPr>
        <w:instrText xml:space="preserve"> </w:instrText>
      </w:r>
      <w:r>
        <w:rPr>
          <w:rStyle w:val="44"/>
        </w:rPr>
        <w:fldChar w:fldCharType="separate"/>
      </w:r>
      <w:r>
        <w:t>第二节 机遇与挑战</w:t>
        <w:tab/>
      </w:r>
      <w:r>
        <w:fldChar w:fldCharType="begin"/>
      </w:r>
      <w:r>
        <w:instrText xml:space="preserve"> PAGEREF _Toc130991277 \h </w:instrText>
      </w:r>
      <w:r>
        <w:fldChar w:fldCharType="separate"/>
      </w:r>
      <w:r>
        <w:t>7</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"_Toc130991278"</w:instrText>
      </w:r>
      <w:r>
        <w:rPr>
          <w:rStyle w:val="44"/>
        </w:rPr>
        <w:instrText xml:space="preserve"> </w:instrText>
      </w:r>
      <w:r>
        <w:rPr>
          <w:rStyle w:val="44"/>
        </w:rPr>
        <w:fldChar w:fldCharType="separate"/>
      </w:r>
      <w:r>
        <w:t>第三章 目标战略</w:t>
        <w:tab/>
      </w:r>
      <w:r>
        <w:fldChar w:fldCharType="begin"/>
      </w:r>
      <w:r>
        <w:instrText xml:space="preserve"> PAGEREF _Toc130991278 \h </w:instrText>
      </w:r>
      <w:r>
        <w:fldChar w:fldCharType="separate"/>
      </w:r>
      <w:r>
        <w:t>10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"_Toc130991279"</w:instrText>
      </w:r>
      <w:r>
        <w:rPr>
          <w:rStyle w:val="44"/>
        </w:rPr>
        <w:instrText xml:space="preserve"> </w:instrText>
      </w:r>
      <w:r>
        <w:rPr>
          <w:rStyle w:val="44"/>
        </w:rPr>
        <w:fldChar w:fldCharType="separate"/>
      </w:r>
      <w:r>
        <w:t>第三节 城市性质与发展目标</w:t>
        <w:tab/>
      </w:r>
      <w:r>
        <w:fldChar w:fldCharType="begin"/>
      </w:r>
      <w:r>
        <w:instrText xml:space="preserve"> PAGEREF _Toc130991279 \h </w:instrText>
      </w:r>
      <w:r>
        <w:fldChar w:fldCharType="separate"/>
      </w:r>
      <w:r>
        <w:t>10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"_Toc130991280"</w:instrText>
      </w:r>
      <w:r>
        <w:rPr>
          <w:rStyle w:val="44"/>
        </w:rPr>
        <w:instrText xml:space="preserve"> </w:instrText>
      </w:r>
      <w:r>
        <w:rPr>
          <w:rStyle w:val="44"/>
        </w:rPr>
        <w:fldChar w:fldCharType="separate"/>
      </w:r>
      <w:r>
        <w:t>第四节 国土空间开发保护战略</w:t>
        <w:tab/>
      </w:r>
      <w:r>
        <w:fldChar w:fldCharType="begin"/>
      </w:r>
      <w:r>
        <w:instrText xml:space="preserve"> PAGEREF _Toc130991280 \h </w:instrText>
      </w:r>
      <w:r>
        <w:fldChar w:fldCharType="separate"/>
      </w:r>
      <w:r>
        <w:t>13</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"_Toc130991281"</w:instrText>
      </w:r>
      <w:r>
        <w:rPr>
          <w:rStyle w:val="44"/>
        </w:rPr>
        <w:instrText xml:space="preserve"> </w:instrText>
      </w:r>
      <w:r>
        <w:rPr>
          <w:rStyle w:val="44"/>
        </w:rPr>
        <w:fldChar w:fldCharType="separate"/>
      </w:r>
      <w:r>
        <w:t>第四章 优化国土空间开发保护格局</w:t>
        <w:tab/>
      </w:r>
      <w:r>
        <w:fldChar w:fldCharType="begin"/>
      </w:r>
      <w:r>
        <w:instrText xml:space="preserve"> PAGEREF _Toc130991281 \h </w:instrText>
      </w:r>
      <w:r>
        <w:fldChar w:fldCharType="separate"/>
      </w:r>
      <w:r>
        <w:t>15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"_Toc130991282"</w:instrText>
      </w:r>
      <w:r>
        <w:rPr>
          <w:rStyle w:val="44"/>
        </w:rPr>
        <w:instrText xml:space="preserve"> </w:instrText>
      </w:r>
      <w:r>
        <w:rPr>
          <w:rStyle w:val="44"/>
        </w:rPr>
        <w:fldChar w:fldCharType="separate"/>
      </w:r>
      <w:r>
        <w:t>第一节 统筹划定三条控制线</w:t>
        <w:tab/>
      </w:r>
      <w:r>
        <w:fldChar w:fldCharType="begin"/>
      </w:r>
      <w:r>
        <w:instrText xml:space="preserve"> PAGEREF _Toc130991282 \h </w:instrText>
      </w:r>
      <w:r>
        <w:fldChar w:fldCharType="separate"/>
      </w:r>
      <w:r>
        <w:t>15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"_Toc130991283"</w:instrText>
      </w:r>
      <w:r>
        <w:rPr>
          <w:rStyle w:val="44"/>
        </w:rPr>
        <w:instrText xml:space="preserve"> </w:instrText>
      </w:r>
      <w:r>
        <w:rPr>
          <w:rStyle w:val="44"/>
        </w:rPr>
        <w:fldChar w:fldCharType="separate"/>
      </w:r>
      <w:r>
        <w:t>第二节 细化落实主体功能区布局</w:t>
        <w:tab/>
      </w:r>
      <w:r>
        <w:fldChar w:fldCharType="begin"/>
      </w:r>
      <w:r>
        <w:instrText xml:space="preserve"> PAGEREF _Toc130991283 \h </w:instrText>
      </w:r>
      <w:r>
        <w:fldChar w:fldCharType="separate"/>
      </w:r>
      <w:r>
        <w:t>17</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"_Toc130991284"</w:instrText>
      </w:r>
      <w:r>
        <w:rPr>
          <w:rStyle w:val="44"/>
        </w:rPr>
        <w:instrText xml:space="preserve"> </w:instrText>
      </w:r>
      <w:r>
        <w:rPr>
          <w:rStyle w:val="44"/>
        </w:rPr>
        <w:fldChar w:fldCharType="separate"/>
      </w:r>
      <w:r>
        <w:t>第三节 构建国土空间开发保护总体格局</w:t>
        <w:tab/>
      </w:r>
      <w:r>
        <w:fldChar w:fldCharType="begin"/>
      </w:r>
      <w:r>
        <w:instrText xml:space="preserve"> PAGEREF _Toc130991284 \h </w:instrText>
      </w:r>
      <w:r>
        <w:fldChar w:fldCharType="separate"/>
      </w:r>
      <w:r>
        <w:t>17</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"_Toc130991285"</w:instrText>
      </w:r>
      <w:r>
        <w:rPr>
          <w:rStyle w:val="44"/>
        </w:rPr>
        <w:instrText xml:space="preserve"> </w:instrText>
      </w:r>
      <w:r>
        <w:rPr>
          <w:rStyle w:val="44"/>
        </w:rPr>
        <w:fldChar w:fldCharType="separate"/>
      </w:r>
      <w:r>
        <w:t>第四节 明确国土空间规划分区</w:t>
        <w:tab/>
      </w:r>
      <w:r>
        <w:fldChar w:fldCharType="begin"/>
      </w:r>
      <w:r>
        <w:instrText xml:space="preserve"> PAGEREF _Toc130991285 \h </w:instrText>
      </w:r>
      <w:r>
        <w:fldChar w:fldCharType="separate"/>
      </w:r>
      <w:r>
        <w:t>20</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"_Toc130991286"</w:instrText>
      </w:r>
      <w:r>
        <w:rPr>
          <w:rStyle w:val="44"/>
        </w:rPr>
        <w:instrText xml:space="preserve"> </w:instrText>
      </w:r>
      <w:r>
        <w:rPr>
          <w:rStyle w:val="44"/>
        </w:rPr>
        <w:fldChar w:fldCharType="separate"/>
      </w:r>
      <w:r>
        <w:t>第五章</w:t>
      </w:r>
      <w:r>
        <w:rPr>
          <w:rFonts w:ascii="黑体" w:cs="黑体" w:hAnsi="黑体"/>
        </w:rPr>
        <w:t xml:space="preserve"> 推进</w:t>
      </w:r>
      <w:r>
        <w:t>耕地保护与乡村振兴</w:t>
        <w:tab/>
      </w:r>
      <w:r>
        <w:fldChar w:fldCharType="begin"/>
      </w:r>
      <w:r>
        <w:instrText xml:space="preserve"> PAGEREF _Toc130991286 \h </w:instrText>
      </w:r>
      <w:r>
        <w:fldChar w:fldCharType="separate"/>
      </w:r>
      <w:r>
        <w:t>23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"_Toc130991287"</w:instrText>
      </w:r>
      <w:r>
        <w:rPr>
          <w:rStyle w:val="44"/>
        </w:rPr>
        <w:instrText xml:space="preserve"> </w:instrText>
      </w:r>
      <w:r>
        <w:rPr>
          <w:rStyle w:val="44"/>
        </w:rPr>
        <w:fldChar w:fldCharType="separate"/>
      </w:r>
      <w:r>
        <w:t>第一节 实施耕地“三位一体”保护</w:t>
        <w:tab/>
      </w:r>
      <w:r>
        <w:fldChar w:fldCharType="begin"/>
      </w:r>
      <w:r>
        <w:instrText xml:space="preserve"> PAGEREF _Toc130991287 \h </w:instrText>
      </w:r>
      <w:r>
        <w:fldChar w:fldCharType="separate"/>
      </w:r>
      <w:r>
        <w:t>23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"_Toc130991288"</w:instrText>
      </w:r>
      <w:r>
        <w:rPr>
          <w:rStyle w:val="44"/>
        </w:rPr>
        <w:instrText xml:space="preserve"> </w:instrText>
      </w:r>
      <w:r>
        <w:rPr>
          <w:rStyle w:val="44"/>
        </w:rPr>
        <w:fldChar w:fldCharType="separate"/>
      </w:r>
      <w:r>
        <w:t>第二节 优化农业生产布局</w:t>
        <w:tab/>
      </w:r>
      <w:r>
        <w:fldChar w:fldCharType="begin"/>
      </w:r>
      <w:r>
        <w:instrText xml:space="preserve"> PAGEREF _Toc130991288 \h </w:instrText>
      </w:r>
      <w:r>
        <w:fldChar w:fldCharType="separate"/>
      </w:r>
      <w:r>
        <w:t>26</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"_Toc130991289"</w:instrText>
      </w:r>
      <w:r>
        <w:rPr>
          <w:rStyle w:val="44"/>
        </w:rPr>
        <w:instrText xml:space="preserve"> </w:instrText>
      </w:r>
      <w:r>
        <w:rPr>
          <w:rStyle w:val="44"/>
        </w:rPr>
        <w:fldChar w:fldCharType="separate"/>
      </w:r>
      <w:r>
        <w:t>第三节 建设宜居宜业美丽乡村</w:t>
        <w:tab/>
      </w:r>
      <w:r>
        <w:fldChar w:fldCharType="begin"/>
      </w:r>
      <w:r>
        <w:instrText xml:space="preserve"> PAGEREF _Toc130991289 \h </w:instrText>
      </w:r>
      <w:r>
        <w:fldChar w:fldCharType="separate"/>
      </w:r>
      <w:r>
        <w:t>27</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"_Toc130991290"</w:instrText>
      </w:r>
      <w:r>
        <w:rPr>
          <w:rStyle w:val="44"/>
        </w:rPr>
        <w:instrText xml:space="preserve"> </w:instrText>
      </w:r>
      <w:r>
        <w:rPr>
          <w:rStyle w:val="44"/>
        </w:rPr>
        <w:fldChar w:fldCharType="separate"/>
      </w:r>
      <w:r>
        <w:t>第四节 加强土地综合整治</w:t>
        <w:tab/>
      </w:r>
      <w:r>
        <w:fldChar w:fldCharType="begin"/>
      </w:r>
      <w:r>
        <w:instrText xml:space="preserve"> PAGEREF _Toc130991290 \h </w:instrText>
      </w:r>
      <w:r>
        <w:fldChar w:fldCharType="separate"/>
      </w:r>
      <w:r>
        <w:t>28</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"_Toc130991291"</w:instrText>
      </w:r>
      <w:r>
        <w:rPr>
          <w:rStyle w:val="44"/>
        </w:rPr>
        <w:instrText xml:space="preserve"> </w:instrText>
      </w:r>
      <w:r>
        <w:rPr>
          <w:rStyle w:val="44"/>
        </w:rPr>
        <w:fldChar w:fldCharType="separate"/>
      </w:r>
      <w:r>
        <w:t>第六章 加强自然资源保护与生态修复</w:t>
        <w:tab/>
      </w:r>
      <w:r>
        <w:fldChar w:fldCharType="begin"/>
      </w:r>
      <w:r>
        <w:instrText xml:space="preserve"> PAGEREF _Toc130991291 \h </w:instrText>
      </w:r>
      <w:r>
        <w:fldChar w:fldCharType="separate"/>
      </w:r>
      <w:r>
        <w:t>30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"_Toc130991292"</w:instrText>
      </w:r>
      <w:r>
        <w:rPr>
          <w:rStyle w:val="44"/>
        </w:rPr>
        <w:instrText xml:space="preserve"> </w:instrText>
      </w:r>
      <w:r>
        <w:rPr>
          <w:rStyle w:val="44"/>
        </w:rPr>
        <w:fldChar w:fldCharType="separate"/>
      </w:r>
      <w:r>
        <w:t>第一节 建立自然保护地体系</w:t>
        <w:tab/>
      </w:r>
      <w:r>
        <w:fldChar w:fldCharType="begin"/>
      </w:r>
      <w:r>
        <w:instrText xml:space="preserve"> PAGEREF _Toc130991292 \h </w:instrText>
      </w:r>
      <w:r>
        <w:fldChar w:fldCharType="separate"/>
      </w:r>
      <w:r>
        <w:t>30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"_Toc130991293"</w:instrText>
      </w:r>
      <w:r>
        <w:rPr>
          <w:rStyle w:val="44"/>
        </w:rPr>
        <w:instrText xml:space="preserve"> </w:instrText>
      </w:r>
      <w:r>
        <w:rPr>
          <w:rStyle w:val="44"/>
        </w:rPr>
        <w:fldChar w:fldCharType="separate"/>
      </w:r>
      <w:r>
        <w:t>第二节 合理利用水资源</w:t>
        <w:tab/>
      </w:r>
      <w:r>
        <w:fldChar w:fldCharType="begin"/>
      </w:r>
      <w:r>
        <w:instrText xml:space="preserve"> PAGEREF _Toc130991293 \h </w:instrText>
      </w:r>
      <w:r>
        <w:fldChar w:fldCharType="separate"/>
      </w:r>
      <w:r>
        <w:t>30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"_Toc130991294"</w:instrText>
      </w:r>
      <w:r>
        <w:rPr>
          <w:rStyle w:val="44"/>
        </w:rPr>
        <w:instrText xml:space="preserve"> </w:instrText>
      </w:r>
      <w:r>
        <w:rPr>
          <w:rStyle w:val="44"/>
        </w:rPr>
        <w:fldChar w:fldCharType="separate"/>
      </w:r>
      <w:r>
        <w:t>第三节 加强自然资源保护</w:t>
        <w:tab/>
      </w:r>
      <w:r>
        <w:fldChar w:fldCharType="begin"/>
      </w:r>
      <w:r>
        <w:instrText xml:space="preserve"> PAGEREF _Toc130991294 \h </w:instrText>
      </w:r>
      <w:r>
        <w:fldChar w:fldCharType="separate"/>
      </w:r>
      <w:r>
        <w:t>33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"_Toc130991295"</w:instrText>
      </w:r>
      <w:r>
        <w:rPr>
          <w:rStyle w:val="44"/>
        </w:rPr>
        <w:instrText xml:space="preserve"> </w:instrText>
      </w:r>
      <w:r>
        <w:rPr>
          <w:rStyle w:val="44"/>
        </w:rPr>
        <w:fldChar w:fldCharType="separate"/>
      </w:r>
      <w:r>
        <w:t>第四节 推进生态修复</w:t>
        <w:tab/>
      </w:r>
      <w:r>
        <w:fldChar w:fldCharType="begin"/>
      </w:r>
      <w:r>
        <w:instrText xml:space="preserve"> PAGEREF _Toc130991295 \h </w:instrText>
      </w:r>
      <w:r>
        <w:fldChar w:fldCharType="separate"/>
      </w:r>
      <w:r>
        <w:t>36</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"_Toc130991296"</w:instrText>
      </w:r>
      <w:r>
        <w:rPr>
          <w:rStyle w:val="44"/>
        </w:rPr>
        <w:instrText xml:space="preserve"> </w:instrText>
      </w:r>
      <w:r>
        <w:rPr>
          <w:rStyle w:val="44"/>
        </w:rPr>
        <w:fldChar w:fldCharType="separate"/>
      </w:r>
      <w:r>
        <w:t>第七章 营造高效宜居的活力城区</w:t>
        <w:tab/>
      </w:r>
      <w:r>
        <w:fldChar w:fldCharType="begin"/>
      </w:r>
      <w:r>
        <w:instrText xml:space="preserve"> PAGEREF _Toc130991296 \h </w:instrText>
      </w:r>
      <w:r>
        <w:fldChar w:fldCharType="separate"/>
      </w:r>
      <w:r>
        <w:t>38</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"_Toc130991297"</w:instrText>
      </w:r>
      <w:r>
        <w:rPr>
          <w:rStyle w:val="44"/>
        </w:rPr>
        <w:instrText xml:space="preserve"> </w:instrText>
      </w:r>
      <w:r>
        <w:rPr>
          <w:rStyle w:val="44"/>
        </w:rPr>
        <w:fldChar w:fldCharType="separate"/>
      </w:r>
      <w:r>
        <w:t>第一节 优化城市功能布局和用地结构</w:t>
        <w:tab/>
      </w:r>
      <w:r>
        <w:fldChar w:fldCharType="begin"/>
      </w:r>
      <w:r>
        <w:instrText xml:space="preserve"> PAGEREF _Toc130991297 \h </w:instrText>
      </w:r>
      <w:r>
        <w:fldChar w:fldCharType="separate"/>
      </w:r>
      <w:r>
        <w:t>38</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"_Toc130991298"</w:instrText>
      </w:r>
      <w:r>
        <w:rPr>
          <w:rStyle w:val="44"/>
        </w:rPr>
        <w:instrText xml:space="preserve"> </w:instrText>
      </w:r>
      <w:r>
        <w:rPr>
          <w:rStyle w:val="44"/>
        </w:rPr>
        <w:fldChar w:fldCharType="separate"/>
      </w:r>
      <w:r>
        <w:t>第二节 配置高品质城乡公共服务设施</w:t>
        <w:tab/>
      </w:r>
      <w:r>
        <w:fldChar w:fldCharType="begin"/>
      </w:r>
      <w:r>
        <w:instrText xml:space="preserve"> PAGEREF _Toc130991298 \h </w:instrText>
      </w:r>
      <w:r>
        <w:fldChar w:fldCharType="separate"/>
      </w:r>
      <w:r>
        <w:t>41</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"_Toc130991299"</w:instrText>
      </w:r>
      <w:r>
        <w:rPr>
          <w:rStyle w:val="44"/>
        </w:rPr>
        <w:instrText xml:space="preserve"> </w:instrText>
      </w:r>
      <w:r>
        <w:rPr>
          <w:rStyle w:val="44"/>
        </w:rPr>
        <w:fldChar w:fldCharType="separate"/>
      </w:r>
      <w:r>
        <w:t>第三节 居住用地布局与住房保障</w:t>
        <w:tab/>
      </w:r>
      <w:r>
        <w:fldChar w:fldCharType="begin"/>
      </w:r>
      <w:r>
        <w:instrText xml:space="preserve"> PAGEREF _Toc130991299 \h </w:instrText>
      </w:r>
      <w:r>
        <w:fldChar w:fldCharType="separate"/>
      </w:r>
      <w:r>
        <w:t>45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"_Toc130991300"</w:instrText>
      </w:r>
      <w:r>
        <w:rPr>
          <w:rStyle w:val="44"/>
        </w:rPr>
        <w:instrText xml:space="preserve"> </w:instrText>
      </w:r>
      <w:r>
        <w:rPr>
          <w:rStyle w:val="44"/>
        </w:rPr>
        <w:fldChar w:fldCharType="separate"/>
      </w:r>
      <w:r>
        <w:t>第四节 蓝绿开敞空间与绿道系统</w:t>
        <w:tab/>
      </w:r>
      <w:r>
        <w:fldChar w:fldCharType="begin"/>
      </w:r>
      <w:r>
        <w:instrText xml:space="preserve"> PAGEREF _Toc130991300 \h </w:instrText>
      </w:r>
      <w:r>
        <w:fldChar w:fldCharType="separate"/>
      </w:r>
      <w:r>
        <w:t>46</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"_Toc130991301"</w:instrText>
      </w:r>
      <w:r>
        <w:rPr>
          <w:rStyle w:val="44"/>
        </w:rPr>
        <w:instrText xml:space="preserve"> </w:instrText>
      </w:r>
      <w:r>
        <w:rPr>
          <w:rStyle w:val="44"/>
        </w:rPr>
        <w:fldChar w:fldCharType="separate"/>
      </w:r>
      <w:r>
        <w:t>第五节 城市地下空间规划</w:t>
        <w:tab/>
      </w:r>
      <w:r>
        <w:fldChar w:fldCharType="begin"/>
      </w:r>
      <w:r>
        <w:instrText xml:space="preserve"> PAGEREF _Toc130991301 \h </w:instrText>
      </w:r>
      <w:r>
        <w:fldChar w:fldCharType="separate"/>
      </w:r>
      <w:r>
        <w:t>48</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"_Toc130991302"</w:instrText>
      </w:r>
      <w:r>
        <w:rPr>
          <w:rStyle w:val="44"/>
        </w:rPr>
        <w:instrText xml:space="preserve"> </w:instrText>
      </w:r>
      <w:r>
        <w:rPr>
          <w:rStyle w:val="44"/>
        </w:rPr>
        <w:fldChar w:fldCharType="separate"/>
      </w:r>
      <w:r>
        <w:t>第六节 促进城镇建设用地节约集约</w:t>
        <w:tab/>
      </w:r>
      <w:r>
        <w:fldChar w:fldCharType="begin"/>
      </w:r>
      <w:r>
        <w:instrText xml:space="preserve"> PAGEREF _Toc130991302 \h </w:instrText>
      </w:r>
      <w:r>
        <w:fldChar w:fldCharType="separate"/>
      </w:r>
      <w:r>
        <w:t>50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"_Toc130991303"</w:instrText>
      </w:r>
      <w:r>
        <w:rPr>
          <w:rStyle w:val="44"/>
        </w:rPr>
        <w:instrText xml:space="preserve"> </w:instrText>
      </w:r>
      <w:r>
        <w:rPr>
          <w:rStyle w:val="44"/>
        </w:rPr>
        <w:fldChar w:fldCharType="separate"/>
      </w:r>
      <w:r>
        <w:t>第七节 科学划定城市控制线</w:t>
        <w:tab/>
      </w:r>
      <w:r>
        <w:fldChar w:fldCharType="begin"/>
      </w:r>
      <w:r>
        <w:instrText xml:space="preserve"> PAGEREF _Toc130991303 \h </w:instrText>
      </w:r>
      <w:r>
        <w:fldChar w:fldCharType="separate"/>
      </w:r>
      <w:r>
        <w:t>51</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"_Toc130991304"</w:instrText>
      </w:r>
      <w:r>
        <w:rPr>
          <w:rStyle w:val="44"/>
        </w:rPr>
        <w:instrText xml:space="preserve"> </w:instrText>
      </w:r>
      <w:r>
        <w:rPr>
          <w:rStyle w:val="44"/>
        </w:rPr>
        <w:fldChar w:fldCharType="separate"/>
      </w:r>
      <w:r>
        <w:t>第八章 塑造魅力矿区风貌</w:t>
        <w:tab/>
      </w:r>
      <w:r>
        <w:fldChar w:fldCharType="begin"/>
      </w:r>
      <w:r>
        <w:instrText xml:space="preserve"> PAGEREF _Toc130991304 \h </w:instrText>
      </w:r>
      <w:r>
        <w:fldChar w:fldCharType="separate"/>
      </w:r>
      <w:r>
        <w:t>53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"_Toc130991305"</w:instrText>
      </w:r>
      <w:r>
        <w:rPr>
          <w:rStyle w:val="44"/>
        </w:rPr>
        <w:instrText xml:space="preserve"> </w:instrText>
      </w:r>
      <w:r>
        <w:rPr>
          <w:rStyle w:val="44"/>
        </w:rPr>
        <w:fldChar w:fldCharType="separate"/>
      </w:r>
      <w:r>
        <w:t>第一节 构建要素全覆盖的保护体系</w:t>
        <w:tab/>
      </w:r>
      <w:r>
        <w:fldChar w:fldCharType="begin"/>
      </w:r>
      <w:r>
        <w:instrText xml:space="preserve"> PAGEREF _Toc130991305 \h </w:instrText>
      </w:r>
      <w:r>
        <w:fldChar w:fldCharType="separate"/>
      </w:r>
      <w:r>
        <w:t>53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"_Toc130991306"</w:instrText>
      </w:r>
      <w:r>
        <w:rPr>
          <w:rStyle w:val="44"/>
        </w:rPr>
        <w:instrText xml:space="preserve"> </w:instrText>
      </w:r>
      <w:r>
        <w:rPr>
          <w:rStyle w:val="44"/>
        </w:rPr>
        <w:fldChar w:fldCharType="separate"/>
      </w:r>
      <w:r>
        <w:t>第二节 加强历史文化和自然景观的整体保护与利用</w:t>
        <w:tab/>
      </w:r>
      <w:r>
        <w:fldChar w:fldCharType="begin"/>
      </w:r>
      <w:r>
        <w:instrText xml:space="preserve"> PAGEREF _Toc130991306 \h </w:instrText>
      </w:r>
      <w:r>
        <w:fldChar w:fldCharType="separate"/>
      </w:r>
      <w:r>
        <w:t>55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"_Toc130991307"</w:instrText>
      </w:r>
      <w:r>
        <w:rPr>
          <w:rStyle w:val="44"/>
        </w:rPr>
        <w:instrText xml:space="preserve"> </w:instrText>
      </w:r>
      <w:r>
        <w:rPr>
          <w:rStyle w:val="44"/>
        </w:rPr>
        <w:fldChar w:fldCharType="separate"/>
      </w:r>
      <w:r>
        <w:t>第三节 塑造山水共融的城乡风貌</w:t>
        <w:tab/>
      </w:r>
      <w:r>
        <w:fldChar w:fldCharType="begin"/>
      </w:r>
      <w:r>
        <w:instrText xml:space="preserve"> PAGEREF _Toc130991307 \h </w:instrText>
      </w:r>
      <w:r>
        <w:fldChar w:fldCharType="separate"/>
      </w:r>
      <w:r>
        <w:t>56</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"_Toc130991308"</w:instrText>
      </w:r>
      <w:r>
        <w:rPr>
          <w:rStyle w:val="44"/>
        </w:rPr>
        <w:instrText xml:space="preserve"> </w:instrText>
      </w:r>
      <w:r>
        <w:rPr>
          <w:rStyle w:val="44"/>
        </w:rPr>
        <w:fldChar w:fldCharType="separate"/>
      </w:r>
      <w:r>
        <w:t>第四节 城市空间形态管控</w:t>
        <w:tab/>
      </w:r>
      <w:r>
        <w:fldChar w:fldCharType="begin"/>
      </w:r>
      <w:r>
        <w:instrText xml:space="preserve"> PAGEREF _Toc130991308 \h </w:instrText>
      </w:r>
      <w:r>
        <w:fldChar w:fldCharType="separate"/>
      </w:r>
      <w:r>
        <w:t>57</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"_Toc130991309"</w:instrText>
      </w:r>
      <w:r>
        <w:rPr>
          <w:rStyle w:val="44"/>
        </w:rPr>
        <w:instrText xml:space="preserve"> </w:instrText>
      </w:r>
      <w:r>
        <w:rPr>
          <w:rStyle w:val="44"/>
        </w:rPr>
        <w:fldChar w:fldCharType="separate"/>
      </w:r>
      <w:r>
        <w:t>第九章 完善基础设施支撑体系</w:t>
        <w:tab/>
      </w:r>
      <w:r>
        <w:fldChar w:fldCharType="begin"/>
      </w:r>
      <w:r>
        <w:instrText xml:space="preserve"> PAGEREF _Toc130991309 \h </w:instrText>
      </w:r>
      <w:r>
        <w:fldChar w:fldCharType="separate"/>
      </w:r>
      <w:r>
        <w:t>60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"_Toc130991310"</w:instrText>
      </w:r>
      <w:r>
        <w:rPr>
          <w:rStyle w:val="44"/>
        </w:rPr>
        <w:instrText xml:space="preserve"> </w:instrText>
      </w:r>
      <w:r>
        <w:rPr>
          <w:rStyle w:val="44"/>
        </w:rPr>
        <w:fldChar w:fldCharType="separate"/>
      </w:r>
      <w:r>
        <w:t>第一节 打造便捷高效的交通系统</w:t>
        <w:tab/>
      </w:r>
      <w:r>
        <w:fldChar w:fldCharType="begin"/>
      </w:r>
      <w:r>
        <w:instrText xml:space="preserve"> PAGEREF _Toc130991310 \h </w:instrText>
      </w:r>
      <w:r>
        <w:fldChar w:fldCharType="separate"/>
      </w:r>
      <w:r>
        <w:t>60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"_Toc130991311"</w:instrText>
      </w:r>
      <w:r>
        <w:rPr>
          <w:rStyle w:val="44"/>
        </w:rPr>
        <w:instrText xml:space="preserve"> </w:instrText>
      </w:r>
      <w:r>
        <w:rPr>
          <w:rStyle w:val="44"/>
        </w:rPr>
        <w:fldChar w:fldCharType="separate"/>
      </w:r>
      <w:r>
        <w:t>第二节 提升市政基础设施保障能力</w:t>
        <w:tab/>
      </w:r>
      <w:r>
        <w:fldChar w:fldCharType="begin"/>
      </w:r>
      <w:r>
        <w:instrText xml:space="preserve"> PAGEREF _Toc130991311 \h </w:instrText>
      </w:r>
      <w:r>
        <w:fldChar w:fldCharType="separate"/>
      </w:r>
      <w:r>
        <w:t>63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"_Toc130991312"</w:instrText>
      </w:r>
      <w:r>
        <w:rPr>
          <w:rStyle w:val="44"/>
        </w:rPr>
        <w:instrText xml:space="preserve"> </w:instrText>
      </w:r>
      <w:r>
        <w:rPr>
          <w:rStyle w:val="44"/>
        </w:rPr>
        <w:fldChar w:fldCharType="separate"/>
      </w:r>
      <w:r>
        <w:t>第三节 增强城乡安全韧性</w:t>
        <w:tab/>
      </w:r>
      <w:r>
        <w:fldChar w:fldCharType="begin"/>
      </w:r>
      <w:r>
        <w:instrText xml:space="preserve"> PAGEREF _Toc130991312 \h </w:instrText>
      </w:r>
      <w:r>
        <w:fldChar w:fldCharType="separate"/>
      </w:r>
      <w:r>
        <w:t>66</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"_Toc130991313"</w:instrText>
      </w:r>
      <w:r>
        <w:rPr>
          <w:rStyle w:val="44"/>
        </w:rPr>
        <w:instrText xml:space="preserve"> </w:instrText>
      </w:r>
      <w:r>
        <w:rPr>
          <w:rStyle w:val="44"/>
        </w:rPr>
        <w:fldChar w:fldCharType="separate"/>
      </w:r>
      <w:r>
        <w:t>第十章 全面加强区域协同</w:t>
        <w:tab/>
      </w:r>
      <w:r>
        <w:fldChar w:fldCharType="begin"/>
      </w:r>
      <w:r>
        <w:instrText xml:space="preserve"> PAGEREF _Toc130991313 \h </w:instrText>
      </w:r>
      <w:r>
        <w:fldChar w:fldCharType="separate"/>
      </w:r>
      <w:r>
        <w:t>70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"_Toc130991314"</w:instrText>
      </w:r>
      <w:r>
        <w:rPr>
          <w:rStyle w:val="44"/>
        </w:rPr>
        <w:instrText xml:space="preserve"> </w:instrText>
      </w:r>
      <w:r>
        <w:rPr>
          <w:rStyle w:val="44"/>
        </w:rPr>
        <w:fldChar w:fldCharType="separate"/>
      </w:r>
      <w:r>
        <w:t>第一节 推动融入省会都市圈</w:t>
        <w:tab/>
      </w:r>
      <w:r>
        <w:fldChar w:fldCharType="begin"/>
      </w:r>
      <w:r>
        <w:instrText xml:space="preserve"> PAGEREF _Toc130991314 \h </w:instrText>
      </w:r>
      <w:r>
        <w:fldChar w:fldCharType="separate"/>
      </w:r>
      <w:r>
        <w:t>70</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"_Toc130991315"</w:instrText>
      </w:r>
      <w:r>
        <w:rPr>
          <w:rStyle w:val="44"/>
        </w:rPr>
        <w:instrText xml:space="preserve"> </w:instrText>
      </w:r>
      <w:r>
        <w:rPr>
          <w:rStyle w:val="44"/>
        </w:rPr>
        <w:fldChar w:fldCharType="separate"/>
      </w:r>
      <w:r>
        <w:t>第二节 加强与井陉县全面协同</w:t>
        <w:tab/>
      </w:r>
      <w:r>
        <w:fldChar w:fldCharType="begin"/>
      </w:r>
      <w:r>
        <w:instrText xml:space="preserve"> PAGEREF _Toc130991315 \h </w:instrText>
      </w:r>
      <w:r>
        <w:fldChar w:fldCharType="separate"/>
      </w:r>
      <w:r>
        <w:t>71</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"_Toc130991316"</w:instrText>
      </w:r>
      <w:r>
        <w:rPr>
          <w:rStyle w:val="44"/>
        </w:rPr>
        <w:instrText xml:space="preserve"> </w:instrText>
      </w:r>
      <w:r>
        <w:rPr>
          <w:rStyle w:val="44"/>
        </w:rPr>
        <w:fldChar w:fldCharType="separate"/>
      </w:r>
      <w:r>
        <w:t>第十一章 保障规划实施与近期建设</w:t>
        <w:tab/>
      </w:r>
      <w:r>
        <w:fldChar w:fldCharType="begin"/>
      </w:r>
      <w:r>
        <w:instrText xml:space="preserve"> PAGEREF _Toc130991316 \h </w:instrText>
      </w:r>
      <w:r>
        <w:fldChar w:fldCharType="separate"/>
      </w:r>
      <w:r>
        <w:t>72</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"_Toc130991317"</w:instrText>
      </w:r>
      <w:r>
        <w:rPr>
          <w:rStyle w:val="44"/>
        </w:rPr>
        <w:instrText xml:space="preserve"> </w:instrText>
      </w:r>
      <w:r>
        <w:rPr>
          <w:rStyle w:val="44"/>
        </w:rPr>
        <w:fldChar w:fldCharType="separate"/>
      </w:r>
      <w:r>
        <w:t>第一节 加强党的领导</w:t>
        <w:tab/>
      </w:r>
      <w:r>
        <w:fldChar w:fldCharType="begin"/>
      </w:r>
      <w:r>
        <w:instrText xml:space="preserve"> PAGEREF _Toc130991317 \h </w:instrText>
      </w:r>
      <w:r>
        <w:fldChar w:fldCharType="separate"/>
      </w:r>
      <w:r>
        <w:t>72</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"_Toc130991318"</w:instrText>
      </w:r>
      <w:r>
        <w:rPr>
          <w:rStyle w:val="44"/>
        </w:rPr>
        <w:instrText xml:space="preserve"> </w:instrText>
      </w:r>
      <w:r>
        <w:rPr>
          <w:rStyle w:val="44"/>
        </w:rPr>
        <w:fldChar w:fldCharType="separate"/>
      </w:r>
      <w:r>
        <w:t>第二节 规划传导与实施</w:t>
        <w:tab/>
      </w:r>
      <w:r>
        <w:fldChar w:fldCharType="begin"/>
      </w:r>
      <w:r>
        <w:instrText xml:space="preserve"> PAGEREF _Toc130991318 \h </w:instrText>
      </w:r>
      <w:r>
        <w:fldChar w:fldCharType="separate"/>
      </w:r>
      <w:r>
        <w:t>73</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"_Toc130991319"</w:instrText>
      </w:r>
      <w:r>
        <w:rPr>
          <w:rStyle w:val="44"/>
        </w:rPr>
        <w:instrText xml:space="preserve"> </w:instrText>
      </w:r>
      <w:r>
        <w:rPr>
          <w:rStyle w:val="44"/>
        </w:rPr>
        <w:fldChar w:fldCharType="separate"/>
      </w:r>
      <w:r>
        <w:t>第三节 建立统一的国土空间基础信息平台</w:t>
        <w:tab/>
      </w:r>
      <w:r>
        <w:fldChar w:fldCharType="begin"/>
      </w:r>
      <w:r>
        <w:instrText xml:space="preserve"> PAGEREF _Toc130991319 \h </w:instrText>
      </w:r>
      <w:r>
        <w:fldChar w:fldCharType="separate"/>
      </w:r>
      <w:r>
        <w:t>75</w:t>
      </w:r>
      <w:r>
        <w:fldChar w:fldCharType="end"/>
      </w:r>
      <w:r>
        <w:rPr>
          <w:rStyle w:val="44"/>
        </w:rPr>
        <w:fldChar w:fldCharType="end"/>
      </w:r>
    </w:p>
    <w:p>
      <w:pPr>
        <w:pStyle w:val="37"/>
        <w:tabs>
          <w:tab w:val="right" w:leader="dot" w:pos="8296"/>
        </w:tabs>
        <w:rPr>
          <w:rFonts w:ascii="等线" w:eastAsia="等线" w:hAnsi="等线"/>
          <w:sz w:val="21"/>
          <w:szCs w:val="22"/>
        </w:rPr>
      </w:pPr>
      <w:r>
        <w:fldChar w:fldCharType="begin"/>
      </w:r>
      <w:r>
        <w:rPr>
          <w:rStyle w:val="44"/>
        </w:rPr>
        <w:instrText xml:space="preserve"> </w:instrText>
      </w:r>
      <w:r>
        <w:instrText>HYPERLINK \l "_Toc130991320"</w:instrText>
      </w:r>
      <w:r>
        <w:rPr>
          <w:rStyle w:val="44"/>
        </w:rPr>
        <w:instrText xml:space="preserve"> </w:instrText>
      </w:r>
      <w:r>
        <w:rPr>
          <w:rStyle w:val="44"/>
        </w:rPr>
        <w:fldChar w:fldCharType="separate"/>
      </w:r>
      <w:r>
        <w:t>第四节 实施近期行动</w:t>
        <w:tab/>
      </w:r>
      <w:r>
        <w:fldChar w:fldCharType="begin"/>
      </w:r>
      <w:r>
        <w:instrText xml:space="preserve"> PAGEREF _Toc130991320 \h </w:instrText>
      </w:r>
      <w:r>
        <w:fldChar w:fldCharType="separate"/>
      </w:r>
      <w:r>
        <w:t>76</w:t>
      </w:r>
      <w:r>
        <w:fldChar w:fldCharType="end"/>
      </w:r>
      <w:r>
        <w:rPr>
          <w:rStyle w:val="44"/>
        </w:rPr>
        <w:fldChar w:fldCharType="end"/>
      </w:r>
    </w:p>
    <w:p>
      <w:pPr>
        <w:pStyle w:val="34"/>
        <w:tabs>
          <w:tab w:val="right" w:leader="dot" w:pos="8296"/>
        </w:tabs>
        <w:rPr>
          <w:rFonts w:ascii="等线" w:eastAsia="等线" w:hAnsi="等线"/>
          <w:kern w:val="2"/>
          <w:sz w:val="21"/>
          <w:szCs w:val="22"/>
        </w:rPr>
      </w:pPr>
      <w:r>
        <w:fldChar w:fldCharType="begin"/>
      </w:r>
      <w:r>
        <w:rPr>
          <w:rStyle w:val="44"/>
        </w:rPr>
        <w:instrText xml:space="preserve"> </w:instrText>
      </w:r>
      <w:r>
        <w:instrText>HYPERLINK \l "_Toc130991321"</w:instrText>
      </w:r>
      <w:r>
        <w:rPr>
          <w:rStyle w:val="44"/>
        </w:rPr>
        <w:instrText xml:space="preserve"> </w:instrText>
      </w:r>
      <w:r>
        <w:rPr>
          <w:rStyle w:val="44"/>
        </w:rPr>
        <w:fldChar w:fldCharType="separate"/>
      </w:r>
      <w:r>
        <w:rPr>
          <w:rFonts w:ascii="黑体" w:hAnsi="黑体"/>
        </w:rPr>
        <w:t>附    表</w:t>
      </w:r>
      <w:r>
        <w:tab/>
      </w:r>
      <w:r>
        <w:fldChar w:fldCharType="begin"/>
      </w:r>
      <w:r>
        <w:instrText xml:space="preserve"> PAGEREF _Toc130991321 \h </w:instrText>
      </w:r>
      <w:r>
        <w:fldChar w:fldCharType="separate"/>
      </w:r>
      <w:r>
        <w:t>78</w:t>
      </w:r>
      <w:r>
        <w:fldChar w:fldCharType="end"/>
      </w:r>
      <w:r>
        <w:rPr>
          <w:rStyle w:val="44"/>
        </w:rPr>
        <w:fldChar w:fldCharType="end"/>
      </w:r>
    </w:p>
    <w:p>
      <w:pPr>
        <w:rPr>
          <w:sz w:val="28"/>
        </w:rPr>
      </w:pPr>
      <w:r>
        <w:fldChar w:fldCharType="end"/>
      </w:r>
    </w:p>
    <w:p/>
    <w:p>
      <w:pPr>
        <w:pStyle w:val="21"/>
      </w:pPr>
    </w:p>
    <w:p>
      <w:pPr>
        <w:pStyle w:val="21"/>
        <w:rPr>
          <w:rFonts w:hint="eastAsia"/>
        </w:rPr>
        <w:sectPr>
          <w:footerReference w:type="default" r:id="rId2"/>
          <w:pgSz w:w="11906" w:h="16838"/>
          <w:pgMar w:top="1440" w:right="1800" w:bottom="1440" w:left="1800" w:header="851" w:footer="992" w:gutter="0"/>
          <w:pgNumType w:start="1"/>
          <w:docGrid w:type="lines" w:linePitch="312" w:charSpace="0"/>
        </w:sectPr>
      </w:pPr>
    </w:p>
    <w:p>
      <w:pPr>
        <w:pStyle w:val="1"/>
        <w:ind w:firstLine="0"/>
        <w:rPr>
          <w:rFonts w:hint="eastAsia"/>
        </w:rPr>
      </w:pPr>
      <w:bookmarkStart w:id="16" w:name="_Toc130991274"/>
      <w:r>
        <w:rPr>
          <w:rFonts w:hint="eastAsia"/>
        </w:rPr>
        <w:t>总    则</w:t>
      </w:r>
      <w:bookmarkEnd w:id="0"/>
      <w:bookmarkEnd w:id="1"/>
      <w:bookmarkEnd w:id="2"/>
      <w:bookmarkEnd w:id="16"/>
    </w:p>
    <w:p>
      <w:pPr>
        <w:pStyle w:val="3"/>
        <w:ind w:rightChars="0" w:right="0"/>
        <w:rPr>
          <w:rFonts w:hint="eastAsia"/>
        </w:rPr>
      </w:pPr>
      <w:r>
        <w:rPr>
          <w:rFonts w:hint="eastAsia"/>
        </w:rPr>
        <w:t>编制目的</w:t>
      </w:r>
    </w:p>
    <w:p>
      <w:r>
        <w:t>建立</w:t>
      </w:r>
      <w:r>
        <w:rPr>
          <w:rFonts w:hint="eastAsia"/>
        </w:rPr>
        <w:t>“</w:t>
      </w:r>
      <w:r>
        <w:t>多规合一</w:t>
      </w:r>
      <w:r>
        <w:rPr>
          <w:rFonts w:hint="eastAsia"/>
        </w:rPr>
        <w:t>”</w:t>
      </w:r>
      <w:r>
        <w:t>的国土空间规划体系，是</w:t>
      </w:r>
      <w:r>
        <w:rPr>
          <w:rFonts w:hint="eastAsia"/>
        </w:rPr>
        <w:t>党</w:t>
      </w:r>
      <w:r>
        <w:t>中央、国务院作出的重大战略决策。按照《中共中央 国务院关于建立国土空间规划体系并监督实施的若干意见》（中发〔2019〕18号）要求，根据</w:t>
      </w:r>
      <w:r>
        <w:rPr>
          <w:rFonts w:hint="eastAsia"/>
          <w:lang w:val="en-US" w:eastAsia="zh-CN"/>
        </w:rPr>
        <w:t>河北</w:t>
      </w:r>
      <w:r>
        <w:rPr>
          <w:rFonts w:hint="eastAsia"/>
        </w:rPr>
        <w:t>省自然资源厅和</w:t>
      </w:r>
      <w:r>
        <w:rPr>
          <w:rFonts w:hint="eastAsia"/>
          <w:lang w:val="en-US" w:eastAsia="zh-CN"/>
        </w:rPr>
        <w:t>石家庄</w:t>
      </w:r>
      <w:r>
        <w:t>市委</w:t>
      </w:r>
      <w:r>
        <w:rPr>
          <w:rFonts w:hint="eastAsia"/>
        </w:rPr>
        <w:t>、市政府</w:t>
      </w:r>
      <w:r>
        <w:t>工作部署，</w:t>
      </w:r>
      <w:r>
        <w:rPr>
          <w:rFonts w:hint="eastAsia"/>
        </w:rPr>
        <w:t>在</w:t>
      </w:r>
      <w:r>
        <w:rPr>
          <w:rFonts w:hint="eastAsia"/>
          <w:lang w:val="en-US" w:eastAsia="zh-CN"/>
        </w:rPr>
        <w:t>井陉矿区</w:t>
      </w:r>
      <w:r>
        <w:rPr>
          <w:rFonts w:hint="eastAsia"/>
        </w:rPr>
        <w:t>区委</w:t>
      </w:r>
      <w:r>
        <w:t>领导下，编制《石家庄市</w:t>
      </w:r>
      <w:r>
        <w:rPr>
          <w:rFonts w:hint="eastAsia"/>
        </w:rPr>
        <w:t>井陉矿区</w:t>
      </w:r>
      <w:r>
        <w:t>国土空间</w:t>
      </w:r>
      <w:r>
        <w:rPr>
          <w:rFonts w:hint="eastAsia"/>
          <w:lang w:val="en-US" w:eastAsia="zh-CN"/>
        </w:rPr>
        <w:t>总体</w:t>
      </w:r>
      <w:r>
        <w:t>规划（2021</w:t>
      </w:r>
      <w:r>
        <w:rPr>
          <w:rFonts w:hint="eastAsia"/>
        </w:rPr>
        <w:t>—</w:t>
      </w:r>
      <w:r>
        <w:t>2035年）》（以下简称《规划》）。《规划》</w:t>
      </w:r>
      <w:r>
        <w:rPr>
          <w:rFonts w:hint="eastAsia"/>
        </w:rPr>
        <w:t>为</w:t>
      </w:r>
      <w:r>
        <w:rPr>
          <w:rFonts w:hint="eastAsia"/>
          <w:szCs w:val="32"/>
        </w:rPr>
        <w:t>井陉矿区高质量转型发展提供空间支撑和保障，是未来发展的一张蓝图。</w:t>
      </w:r>
    </w:p>
    <w:p>
      <w:pPr>
        <w:rPr>
          <w:rFonts w:hint="eastAsia"/>
        </w:rPr>
      </w:pPr>
      <w:r>
        <w:t>《规划》是</w:t>
      </w:r>
      <w:r>
        <w:rPr>
          <w:rFonts w:hint="eastAsia"/>
        </w:rPr>
        <w:t>井陉矿区全域</w:t>
      </w:r>
      <w:r>
        <w:t>国土空间保护、开发、利用、修复的总纲，是编制详细规划、相关专项规划和开展各类开发保护建设活动的基本依据</w:t>
      </w:r>
      <w:r>
        <w:rPr>
          <w:rFonts w:hint="eastAsia"/>
        </w:rPr>
        <w:t>。</w:t>
      </w:r>
    </w:p>
    <w:p>
      <w:pPr>
        <w:pStyle w:val="3"/>
        <w:rPr>
          <w:rFonts w:hint="eastAsia"/>
        </w:rPr>
      </w:pPr>
      <w:r>
        <w:rPr>
          <w:rFonts w:hint="eastAsia"/>
        </w:rPr>
        <w:t>指导思想</w:t>
      </w:r>
    </w:p>
    <w:p>
      <w:pPr>
        <w:rPr>
          <w:rFonts w:hint="eastAsia"/>
        </w:rPr>
      </w:pPr>
      <w:r>
        <w:rPr>
          <w:rFonts w:hint="eastAsia"/>
        </w:rPr>
        <w:t>坚持以习近平新时代中国特色社会主义思想为指导，全面贯彻党的二十大精神，深入落实石家庄市第十一次党代会和市委十一届二次、三次、四次全会要求，立足新发展阶段，贯彻新发展理念，融入新发展格局。坚持以人民为中心，落实京津冀协同发展战略、主体功能区战略、新型城镇化战略，优化国土空间开发保护格局。推进国土空间治理体系和治理能力现代化，争创高质量转型发展示范区，谋划绿色发展新路径，实现绿色集约高效发展，营造高品质生活。</w:t>
      </w:r>
    </w:p>
    <w:p>
      <w:pPr>
        <w:pStyle w:val="3"/>
        <w:rPr>
          <w:rFonts w:hint="eastAsia"/>
        </w:rPr>
      </w:pPr>
      <w:r>
        <w:rPr>
          <w:rFonts w:hint="eastAsia"/>
        </w:rPr>
        <w:t>规划原则</w:t>
      </w:r>
    </w:p>
    <w:p>
      <w:r>
        <w:rPr>
          <w:rFonts w:hint="eastAsia"/>
        </w:rPr>
        <w:t>坚持严守底线、集约高效。严格保护耕地和永久基本农田，严守生态保护红线，推进山水林田湖草一体化保护和系统治理，持续提高资源节约集约利用水平，促进国土空间开发保护与资源环境承载能力、开发适宜性相协调。</w:t>
      </w:r>
    </w:p>
    <w:p>
      <w:pPr>
        <w:rPr>
          <w:rFonts w:hint="eastAsia"/>
        </w:rPr>
      </w:pPr>
      <w:r>
        <w:rPr>
          <w:rFonts w:hint="eastAsia"/>
        </w:rPr>
        <w:t>坚持创新引领、绿色发展。转变传统资源依赖型发展模式，探索内涵式、集约型、绿色发展路径，激发城市发展新动能，打造资源枯竭型地区发展转型示范。</w:t>
      </w:r>
    </w:p>
    <w:p>
      <w:pPr>
        <w:rPr>
          <w:rFonts w:hint="eastAsia"/>
        </w:rPr>
      </w:pPr>
      <w:r>
        <w:rPr>
          <w:rFonts w:hint="eastAsia"/>
        </w:rPr>
        <w:t>坚持区域协同、全域统筹。充分发挥省会都市圈西部重要节点的区位优势，做好太行山生态带重要服务节点，全面融入省会城市职能分工，加强和井陉县空间布局及功能协同。统筹全域城乡发展，探索符合矿区实际的新型城镇化发展路径。</w:t>
      </w:r>
    </w:p>
    <w:p>
      <w:pPr>
        <w:rPr>
          <w:rFonts w:hint="eastAsia"/>
        </w:rPr>
      </w:pPr>
      <w:r>
        <w:rPr>
          <w:rFonts w:hint="eastAsia"/>
        </w:rPr>
        <w:t>坚持品质提升、民生优先。时刻把人民群众的满意度和获得感作为规划的核心价值观，努力营造高品质城乡人居环境，保障人民群众的获得感、幸福感和安全感。</w:t>
      </w:r>
    </w:p>
    <w:p>
      <w:pPr>
        <w:pStyle w:val="3"/>
        <w:rPr>
          <w:rFonts w:hint="eastAsia"/>
        </w:rPr>
      </w:pPr>
      <w:r>
        <w:rPr>
          <w:rFonts w:hint="eastAsia"/>
        </w:rPr>
        <w:t>规划主要依据</w:t>
      </w:r>
    </w:p>
    <w:p>
      <w:pPr>
        <w:numPr>
          <w:ilvl w:val="2"/>
          <w:numId w:val="1"/>
        </w:numPr>
        <w:ind w:left="0" w:firstLine="0"/>
      </w:pPr>
      <w:r>
        <w:t>《中华人民共和国土地管理法》</w:t>
      </w:r>
    </w:p>
    <w:p>
      <w:pPr>
        <w:numPr>
          <w:ilvl w:val="2"/>
          <w:numId w:val="1"/>
        </w:numPr>
      </w:pPr>
      <w:r>
        <w:t>《中华人民共和国城乡规划法》</w:t>
      </w:r>
    </w:p>
    <w:p>
      <w:pPr>
        <w:numPr>
          <w:ilvl w:val="2"/>
          <w:numId w:val="1"/>
        </w:numPr>
      </w:pPr>
      <w:r>
        <w:t>《中华人民共和国环境保护法》</w:t>
      </w:r>
    </w:p>
    <w:p>
      <w:pPr>
        <w:numPr>
          <w:ilvl w:val="2"/>
          <w:numId w:val="1"/>
        </w:numPr>
      </w:pPr>
      <w:r>
        <w:t>《中华人民共和国文物保护法》</w:t>
      </w:r>
    </w:p>
    <w:p>
      <w:pPr>
        <w:numPr>
          <w:ilvl w:val="2"/>
          <w:numId w:val="1"/>
        </w:numPr>
      </w:pPr>
      <w:r>
        <w:rPr>
          <w:rFonts w:hint="eastAsia"/>
          <w:lang w:val="en-US" w:eastAsia="zh-CN"/>
        </w:rPr>
        <w:t>《中华人民共和国森林法》</w:t>
      </w:r>
    </w:p>
    <w:p>
      <w:pPr>
        <w:numPr>
          <w:ilvl w:val="2"/>
          <w:numId w:val="1"/>
        </w:numPr>
      </w:pPr>
      <w:r>
        <w:t>《中华人民共和国旅游法》</w:t>
      </w:r>
    </w:p>
    <w:p>
      <w:pPr>
        <w:numPr>
          <w:ilvl w:val="2"/>
          <w:numId w:val="1"/>
        </w:numPr>
        <w:rPr>
          <w:rFonts w:ascii="Times New Roman" w:cs="Times New Roman" w:hAnsi="Times New Roman"/>
        </w:rPr>
      </w:pPr>
      <w:r>
        <w:rPr>
          <w:rFonts w:ascii="Times New Roman" w:cs="Times New Roman" w:hAnsi="Times New Roman" w:hint="eastAsia"/>
          <w:lang w:val="en-US" w:eastAsia="zh-CN"/>
        </w:rPr>
        <w:t>《中华人民共和国消防法》</w:t>
      </w:r>
    </w:p>
    <w:p>
      <w:pPr>
        <w:numPr>
          <w:ilvl w:val="2"/>
          <w:numId w:val="1"/>
        </w:numPr>
      </w:pPr>
      <w:r>
        <w:t>《中共中央 国务院关于建立国土空间规划体系并监督实施的若干意见》（中发〔2019〕18号）</w:t>
      </w:r>
    </w:p>
    <w:p>
      <w:pPr>
        <w:numPr>
          <w:ilvl w:val="2"/>
          <w:numId w:val="1"/>
        </w:numPr>
      </w:pPr>
      <w:r>
        <w:t>《中共中央 国务院关于进一步加强城市规划建设管理工作的若干意见》（中发〔2016〕6号）</w:t>
      </w:r>
    </w:p>
    <w:p>
      <w:pPr>
        <w:numPr>
          <w:ilvl w:val="2"/>
          <w:numId w:val="1"/>
        </w:numPr>
      </w:pPr>
      <w:r>
        <w:t>《中共中央办公厅 国务院办公厅关于在国土空间规划中统筹划定落实三条控制线的指导意见》（厅字〔2019〕48号）</w:t>
      </w:r>
    </w:p>
    <w:p>
      <w:pPr>
        <w:numPr>
          <w:ilvl w:val="2"/>
          <w:numId w:val="1"/>
        </w:numPr>
      </w:pPr>
      <w:r>
        <w:t>《基本农田保护条例》</w:t>
      </w:r>
    </w:p>
    <w:p>
      <w:pPr>
        <w:numPr>
          <w:ilvl w:val="2"/>
          <w:numId w:val="1"/>
        </w:numPr>
      </w:pPr>
      <w:r>
        <w:t>《中华人民共和国土地管理法实施条例》</w:t>
      </w:r>
    </w:p>
    <w:p>
      <w:pPr>
        <w:numPr>
          <w:ilvl w:val="2"/>
          <w:numId w:val="1"/>
        </w:numPr>
      </w:pPr>
      <w:r>
        <w:t>《中华人民共和国自然保护区条例》</w:t>
      </w:r>
    </w:p>
    <w:p>
      <w:pPr>
        <w:numPr>
          <w:ilvl w:val="2"/>
          <w:numId w:val="1"/>
        </w:numPr>
      </w:pPr>
      <w:r>
        <w:t>《风景名胜区条例》</w:t>
      </w:r>
    </w:p>
    <w:p>
      <w:pPr>
        <w:numPr>
          <w:ilvl w:val="2"/>
          <w:numId w:val="1"/>
        </w:numPr>
      </w:pPr>
      <w:r>
        <w:t>《历史文化名城名镇名村保护条例》</w:t>
      </w:r>
    </w:p>
    <w:p>
      <w:pPr>
        <w:numPr>
          <w:ilvl w:val="2"/>
          <w:numId w:val="1"/>
        </w:numPr>
      </w:pPr>
      <w:r>
        <w:rPr>
          <w:rFonts w:hint="eastAsia"/>
        </w:rPr>
        <w:t>《全国国土空间规划纲要</w:t>
      </w:r>
      <w:r>
        <w:t>（2021</w:t>
      </w:r>
      <w:r>
        <w:rPr>
          <w:rFonts w:hint="eastAsia"/>
        </w:rPr>
        <w:t>—</w:t>
      </w:r>
      <w:r>
        <w:t>2035年）</w:t>
      </w:r>
      <w:r>
        <w:rPr>
          <w:rFonts w:hint="eastAsia"/>
        </w:rPr>
        <w:t>》</w:t>
      </w:r>
    </w:p>
    <w:p>
      <w:pPr>
        <w:numPr>
          <w:ilvl w:val="2"/>
          <w:numId w:val="1"/>
        </w:numPr>
      </w:pPr>
      <w:r>
        <w:t>《京津冀协同发展规划纲要》</w:t>
      </w:r>
    </w:p>
    <w:p>
      <w:pPr>
        <w:numPr>
          <w:ilvl w:val="2"/>
          <w:numId w:val="1"/>
        </w:numPr>
      </w:pPr>
      <w:r>
        <w:t>《国家综合立体交通网规划纲要》</w:t>
      </w:r>
    </w:p>
    <w:p>
      <w:pPr>
        <w:numPr>
          <w:ilvl w:val="2"/>
          <w:numId w:val="1"/>
        </w:numPr>
      </w:pPr>
      <w:r>
        <w:t>《河北省国民经济和社会发展第十四个五年规划和二</w:t>
      </w:r>
      <w:r>
        <w:rPr>
          <w:rFonts w:eastAsia="微软雅黑"/>
        </w:rPr>
        <w:t>〇</w:t>
      </w:r>
      <w:r>
        <w:t>三五年远景目标纲要》</w:t>
      </w:r>
    </w:p>
    <w:p>
      <w:pPr>
        <w:numPr>
          <w:ilvl w:val="2"/>
          <w:numId w:val="1"/>
        </w:numPr>
      </w:pPr>
      <w:r>
        <w:t>《河北省国土空间规划（2021</w:t>
      </w:r>
      <w:r>
        <w:rPr>
          <w:rFonts w:hint="eastAsia"/>
        </w:rPr>
        <w:t>—</w:t>
      </w:r>
      <w:r>
        <w:t>2035年）》</w:t>
      </w:r>
    </w:p>
    <w:p>
      <w:pPr>
        <w:numPr>
          <w:ilvl w:val="2"/>
          <w:numId w:val="1"/>
        </w:numPr>
      </w:pPr>
      <w:r>
        <w:t>《河北省综合立体交通网规划纲要》</w:t>
      </w:r>
    </w:p>
    <w:p>
      <w:pPr>
        <w:numPr>
          <w:ilvl w:val="2"/>
          <w:numId w:val="1"/>
        </w:numPr>
      </w:pPr>
      <w:r>
        <w:t>《自然资源部 生态环境部 国家林业和草原局关于加强生态保护红线管理的通知（试行）》（自然资发〔2022〕142号）</w:t>
      </w:r>
    </w:p>
    <w:p>
      <w:pPr>
        <w:numPr>
          <w:ilvl w:val="2"/>
          <w:numId w:val="1"/>
        </w:numPr>
      </w:pPr>
      <w:r>
        <w:rPr>
          <w:rFonts w:hint="eastAsia"/>
        </w:rPr>
        <w:t>《</w:t>
      </w:r>
      <w:r>
        <w:fldChar w:fldCharType="begin"/>
      </w:r>
      <w:r>
        <w:instrText>HYPERLINK  \l "_Toc263261389"</w:instrText>
      </w:r>
      <w:r>
        <w:fldChar w:fldCharType="separate"/>
      </w:r>
      <w:r>
        <w:t>市级国土空间总体规划编制指南</w:t>
      </w:r>
      <w:r>
        <w:fldChar w:fldCharType="end"/>
      </w:r>
      <w:r>
        <w:t>（试行）</w:t>
      </w:r>
      <w:r>
        <w:rPr>
          <w:rFonts w:hint="eastAsia"/>
        </w:rPr>
        <w:t>》</w:t>
      </w:r>
    </w:p>
    <w:p>
      <w:pPr>
        <w:numPr>
          <w:ilvl w:val="2"/>
          <w:numId w:val="1"/>
        </w:numPr>
      </w:pPr>
      <w:r>
        <w:t>《石家庄市国民经济和社会发展第十四个五年规划和二</w:t>
      </w:r>
      <w:r>
        <w:rPr>
          <w:rFonts w:eastAsia="微软雅黑"/>
        </w:rPr>
        <w:t>〇</w:t>
      </w:r>
      <w:r>
        <w:t>三五年远景目标纲要》</w:t>
      </w:r>
    </w:p>
    <w:p>
      <w:pPr>
        <w:numPr>
          <w:ilvl w:val="2"/>
          <w:numId w:val="1"/>
        </w:numPr>
        <w:rPr>
          <w:rFonts w:hint="eastAsia"/>
        </w:rPr>
      </w:pPr>
      <w:r>
        <w:rPr>
          <w:rFonts w:hint="eastAsia"/>
        </w:rPr>
        <w:t>《石家庄市国土空间总体规划</w:t>
      </w:r>
      <w:r>
        <w:t>（2021</w:t>
      </w:r>
      <w:r>
        <w:rPr>
          <w:rFonts w:hint="eastAsia"/>
        </w:rPr>
        <w:t>—</w:t>
      </w:r>
      <w:r>
        <w:t>2035年）</w:t>
      </w:r>
      <w:r>
        <w:rPr>
          <w:rFonts w:hint="eastAsia"/>
        </w:rPr>
        <w:t>》</w:t>
      </w:r>
    </w:p>
    <w:p>
      <w:pPr>
        <w:numPr>
          <w:ilvl w:val="2"/>
          <w:numId w:val="1"/>
        </w:numPr>
      </w:pPr>
      <w:r>
        <w:t>《石家庄市</w:t>
      </w:r>
      <w:r>
        <w:rPr>
          <w:rFonts w:hint="eastAsia"/>
        </w:rPr>
        <w:t>井陉矿区</w:t>
      </w:r>
      <w:r>
        <w:t>国民经济和社会发展第十四个五年规划和二</w:t>
      </w:r>
      <w:r>
        <w:rPr>
          <w:rFonts w:eastAsia="微软雅黑"/>
        </w:rPr>
        <w:t>〇</w:t>
      </w:r>
      <w:r>
        <w:t>三五年远景目标纲要》</w:t>
      </w:r>
    </w:p>
    <w:p>
      <w:pPr>
        <w:rPr>
          <w:rFonts w:hint="eastAsia"/>
        </w:rPr>
      </w:pPr>
      <w:r>
        <w:t>国家、河北省</w:t>
      </w:r>
      <w:r>
        <w:rPr>
          <w:rFonts w:hint="eastAsia"/>
        </w:rPr>
        <w:t>、石家庄市其他</w:t>
      </w:r>
      <w:r>
        <w:t>相关法律、法规和标准规范</w:t>
      </w:r>
      <w:r>
        <w:rPr>
          <w:rFonts w:hint="eastAsia"/>
        </w:rPr>
        <w:t>。</w:t>
      </w:r>
    </w:p>
    <w:p>
      <w:pPr>
        <w:pStyle w:val="3"/>
        <w:rPr>
          <w:rFonts w:hint="eastAsia"/>
        </w:rPr>
      </w:pPr>
      <w:r>
        <w:rPr>
          <w:rFonts w:hint="eastAsia"/>
        </w:rPr>
        <w:t>规划期限</w:t>
      </w:r>
    </w:p>
    <w:p>
      <w:pPr>
        <w:rPr>
          <w:rFonts w:hint="eastAsia"/>
        </w:rPr>
      </w:pPr>
      <w:r>
        <w:rPr>
          <w:rFonts w:hint="eastAsia"/>
        </w:rPr>
        <w:t>本规划期限为2021年—2035年，近期至2025年，远景展望到2050年。</w:t>
      </w:r>
    </w:p>
    <w:p>
      <w:pPr>
        <w:pStyle w:val="3"/>
        <w:rPr>
          <w:rFonts w:hint="eastAsia"/>
        </w:rPr>
      </w:pPr>
      <w:r>
        <w:rPr>
          <w:rFonts w:hint="eastAsia"/>
        </w:rPr>
        <w:t>规划范围</w:t>
      </w:r>
    </w:p>
    <w:p>
      <w:r>
        <w:rPr>
          <w:rFonts w:hint="eastAsia"/>
        </w:rPr>
        <w:t>本规划为全域规划，范围为石家庄市井陉矿区行政辖区，包含矿市街道、四微街道、贾庄镇、凤山镇、横涧乡，面积71.15平方千米</w:t>
      </w:r>
      <w:r>
        <w:rPr>
          <w:rFonts w:hint="eastAsia"/>
          <w:lang w:eastAsia="zh-CN"/>
        </w:rPr>
        <w:t>（</w:t>
      </w:r>
      <w:r>
        <w:rPr>
          <w:rFonts w:hint="eastAsia"/>
          <w:lang w:val="en-US" w:eastAsia="zh-CN"/>
        </w:rPr>
        <w:t>含荆蒲兰、南井沟、黑水坪飞地</w:t>
      </w:r>
      <w:r>
        <w:rPr>
          <w:rFonts w:hint="eastAsia"/>
          <w:lang w:eastAsia="zh-CN"/>
        </w:rPr>
        <w:t>）</w:t>
      </w:r>
      <w:r>
        <w:rPr>
          <w:rFonts w:hint="eastAsia"/>
        </w:rPr>
        <w:t>。</w:t>
      </w:r>
    </w:p>
    <w:p>
      <w:pPr>
        <w:pStyle w:val="3"/>
        <w:rPr>
          <w:rFonts w:hint="eastAsia"/>
        </w:rPr>
      </w:pPr>
      <w:r>
        <w:rPr>
          <w:rFonts w:hint="eastAsia"/>
        </w:rPr>
        <w:t>规划强制性内容</w:t>
      </w:r>
    </w:p>
    <w:p>
      <w:pPr>
        <w:rPr>
          <w:rFonts w:hint="eastAsia"/>
        </w:rPr>
      </w:pPr>
      <w:r>
        <w:rPr>
          <w:rFonts w:hint="eastAsia"/>
        </w:rPr>
        <w:t>正文</w:t>
      </w:r>
      <w:r>
        <w:t>中</w:t>
      </w:r>
      <w:r>
        <w:rPr>
          <w:rFonts w:hint="eastAsia"/>
        </w:rPr>
        <w:t>加</w:t>
      </w:r>
      <w:r>
        <w:t>下划线部分为强制性内容</w:t>
      </w:r>
      <w:r>
        <w:rPr>
          <w:rFonts w:hint="eastAsia"/>
        </w:rPr>
        <w:t>，必须严格执行。</w:t>
      </w:r>
    </w:p>
    <w:p>
      <w:pPr>
        <w:pStyle w:val="1"/>
        <w:ind w:firstLine="0"/>
        <w:rPr>
          <w:rFonts w:hint="eastAsia"/>
        </w:rPr>
      </w:pPr>
      <w:r>
        <w:rPr>
          <w:rFonts w:hint="eastAsia"/>
        </w:rPr>
        <w:br w:type="page"/>
      </w:r>
      <w:bookmarkStart w:id="17" w:name="_Toc130991275"/>
      <w:r>
        <w:rPr>
          <w:rFonts w:hint="eastAsia"/>
        </w:rPr>
        <w:t>规划基础</w:t>
      </w:r>
      <w:bookmarkEnd w:id="17"/>
    </w:p>
    <w:p>
      <w:pPr>
        <w:pStyle w:val="2"/>
        <w:tabs>
          <w:tab w:val="left" w:pos="320"/>
        </w:tabs>
        <w:ind w:firstLine="0"/>
        <w:rPr>
          <w:rFonts w:hint="eastAsia"/>
        </w:rPr>
      </w:pPr>
      <w:bookmarkStart w:id="18" w:name="_Toc130991276"/>
      <w:r>
        <w:rPr>
          <w:rFonts w:hint="eastAsia"/>
        </w:rPr>
        <w:t>现状与问题</w:t>
      </w:r>
      <w:bookmarkEnd w:id="18"/>
    </w:p>
    <w:p>
      <w:pPr>
        <w:pStyle w:val="3"/>
        <w:rPr>
          <w:rFonts w:hint="eastAsia"/>
        </w:rPr>
      </w:pPr>
      <w:r>
        <w:rPr>
          <w:rFonts w:hint="eastAsia"/>
        </w:rPr>
        <w:t>国土空间现状特征</w:t>
      </w:r>
    </w:p>
    <w:p>
      <w:pPr>
        <w:rPr>
          <w:rFonts w:hint="eastAsia"/>
        </w:rPr>
      </w:pPr>
      <w:r>
        <w:rPr>
          <w:rFonts w:hint="eastAsia"/>
        </w:rPr>
        <w:t>自然地形地貌丰富。井陉矿区东、西、北三面环山</w:t>
      </w:r>
      <w:r>
        <w:rPr>
          <w:rFonts w:hint="eastAsia"/>
          <w:lang w:eastAsia="zh-CN"/>
        </w:rPr>
        <w:t>，</w:t>
      </w:r>
      <w:r>
        <w:rPr>
          <w:rFonts w:hint="eastAsia"/>
        </w:rPr>
        <w:t>南面为开阔的盆地。盆地南北较长，地势由西向东倾斜。自内向外，随海拔升高，依次为河川、台地、丘陵、低山。盆地东侧为青石岭，西侧为清凉山，地表水通过横涧川汇入绵河，北部有小作河滩，南部荆蒲兰</w:t>
      </w:r>
      <w:r>
        <w:rPr>
          <w:rFonts w:hint="eastAsia"/>
          <w:lang w:val="en-US" w:eastAsia="zh-CN"/>
        </w:rPr>
        <w:t>有</w:t>
      </w:r>
      <w:r>
        <w:rPr>
          <w:rFonts w:hint="eastAsia"/>
        </w:rPr>
        <w:t>绵河河滩，盆底地势低洼，形成了三山一原的地貌特征，城区地势平坦。</w:t>
      </w:r>
    </w:p>
    <w:p>
      <w:pPr>
        <w:rPr>
          <w:rFonts w:ascii="仿宋" w:eastAsia="仿宋" w:cs="仿宋" w:hAnsi="仿宋" w:hint="eastAsia"/>
        </w:rPr>
      </w:pPr>
      <w:r>
        <w:rPr>
          <w:rFonts w:ascii="仿宋" w:eastAsia="仿宋" w:cs="仿宋" w:hAnsi="仿宋" w:hint="eastAsia"/>
          <w:bCs/>
        </w:rPr>
        <w:t>历史文化积淀深厚。井陉矿区拥有</w:t>
      </w:r>
      <w:r>
        <w:rPr>
          <w:rFonts w:ascii="仿宋" w:eastAsia="仿宋" w:cs="仿宋" w:hAnsi="仿宋" w:hint="eastAsia"/>
        </w:rPr>
        <w:t>陀罗尼经幢、南寨清凉阁、贾庄朝阳阁、兴国寺、垂虹桥以及天</w:t>
      </w:r>
      <w:r>
        <w:rPr>
          <w:rFonts w:ascii="仿宋" w:eastAsia="仿宋" w:cs="仿宋" w:hAnsi="仿宋" w:hint="eastAsia"/>
          <w:lang w:val="en-US" w:eastAsia="zh-CN"/>
        </w:rPr>
        <w:t>护</w:t>
      </w:r>
      <w:r>
        <w:rPr>
          <w:rFonts w:ascii="仿宋" w:eastAsia="仿宋" w:cs="仿宋" w:hAnsi="仿宋" w:hint="eastAsia"/>
        </w:rPr>
        <w:t>古城等历史文化遗存；段家楼建筑群、正丰矿、老井架、皇冠塔、井陉煤矿办公楼等近现代优秀工业遗产；以及南大沟万人坑纪念馆、中央人民广播电台旧址等红色文化资源。</w:t>
      </w:r>
    </w:p>
    <w:p>
      <w:pPr>
        <w:rPr>
          <w:rFonts w:ascii="仿宋" w:eastAsia="仿宋" w:cs="仿宋" w:hAnsi="仿宋" w:hint="eastAsia"/>
          <w:bCs/>
        </w:rPr>
      </w:pPr>
      <w:r>
        <w:rPr>
          <w:rFonts w:ascii="仿宋" w:eastAsia="仿宋" w:cs="仿宋" w:hAnsi="仿宋" w:hint="eastAsia"/>
          <w:bCs/>
        </w:rPr>
        <w:t>交通区位条件良好。井陉矿区</w:t>
      </w:r>
      <w:r>
        <w:rPr>
          <w:rFonts w:ascii="仿宋" w:eastAsia="仿宋" w:cs="仿宋" w:hAnsi="仿宋" w:hint="eastAsia"/>
        </w:rPr>
        <w:t>地处冀晋两地经济辐射交汇处，是冀晋区域联系通道重要节点，周边有石太高速、京昆高速、平赞高速等交通要道通过。距石家庄主城区30千米，位于</w:t>
      </w:r>
      <w:r>
        <w:rPr>
          <w:rFonts w:ascii="仿宋" w:eastAsia="仿宋" w:cs="仿宋" w:hAnsi="仿宋" w:hint="eastAsia"/>
          <w:lang w:val="en-US" w:eastAsia="zh-CN"/>
        </w:rPr>
        <w:t>30</w:t>
      </w:r>
      <w:r>
        <w:rPr>
          <w:rFonts w:ascii="仿宋" w:eastAsia="仿宋" w:cs="仿宋" w:hAnsi="仿宋" w:hint="eastAsia"/>
        </w:rPr>
        <w:t>分钟交通圈内，是石家庄都市圈紧密联系地带，也是石太城镇发展轴重要节点和太行山生态带重要组成部分。</w:t>
      </w:r>
    </w:p>
    <w:p>
      <w:r>
        <w:rPr>
          <w:rFonts w:hint="eastAsia"/>
        </w:rPr>
        <w:t>特色农业发展快速。井陉矿区特色农业被列入省市特色优势产业集群，</w:t>
      </w:r>
      <w:r>
        <w:rPr>
          <w:rFonts w:hint="eastAsia"/>
          <w:lang w:val="en-US" w:eastAsia="zh-CN"/>
        </w:rPr>
        <w:t>拥有昊源苹果、台阳红嘴香椿等一批特色名优</w:t>
      </w:r>
      <w:r>
        <w:rPr>
          <w:rFonts w:hint="eastAsia"/>
        </w:rPr>
        <w:t>特</w:t>
      </w:r>
      <w:r>
        <w:rPr>
          <w:rFonts w:hint="eastAsia"/>
          <w:lang w:val="en-US" w:eastAsia="zh-CN"/>
        </w:rPr>
        <w:t>农产品，特</w:t>
      </w:r>
      <w:r>
        <w:rPr>
          <w:rFonts w:hint="eastAsia"/>
        </w:rPr>
        <w:t>色优势产业产值增速3%，</w:t>
      </w:r>
      <w:r>
        <w:rPr>
          <w:rFonts w:hint="eastAsia"/>
          <w:lang w:eastAsia="zh-CN"/>
        </w:rPr>
        <w:t>一产</w:t>
      </w:r>
      <w:r>
        <w:rPr>
          <w:rFonts w:hint="eastAsia"/>
        </w:rPr>
        <w:t>产值增速</w:t>
      </w:r>
      <w:r>
        <w:rPr>
          <w:rFonts w:hint="eastAsia"/>
          <w:lang w:eastAsia="zh-CN"/>
        </w:rPr>
        <w:t>5</w:t>
      </w:r>
      <w:r>
        <w:rPr>
          <w:rFonts w:hint="eastAsia"/>
        </w:rPr>
        <w:t>%，休闲农业综合收入600万元，乡村旅游综合收入1630万元。</w:t>
      </w:r>
    </w:p>
    <w:p>
      <w:r>
        <w:rPr>
          <w:rFonts w:hint="eastAsia"/>
        </w:rPr>
        <w:t>生态空间稳步提升。井陉矿区煤矿已经全部停采，大力开展生态治理，</w:t>
      </w:r>
      <w:r>
        <w:rPr>
          <w:rFonts w:hint="eastAsia"/>
          <w:lang w:val="en-US" w:eastAsia="zh-CN"/>
        </w:rPr>
        <w:t>对矿峰水泥开采区进行了生态修复，</w:t>
      </w:r>
      <w:r>
        <w:rPr>
          <w:rFonts w:hint="eastAsia"/>
        </w:rPr>
        <w:t>利用采煤沉陷区建设了杏花沟、清凉湾两处大型湿地公园，并兴建了</w:t>
      </w:r>
      <w:r>
        <w:rPr>
          <w:rFonts w:hint="eastAsia"/>
          <w:lang w:val="en-US" w:eastAsia="zh-CN"/>
        </w:rPr>
        <w:t>滨河</w:t>
      </w:r>
      <w:r>
        <w:rPr>
          <w:rFonts w:hint="eastAsia"/>
        </w:rPr>
        <w:t>、白沙河</w:t>
      </w:r>
      <w:r>
        <w:rPr>
          <w:rFonts w:hint="eastAsia"/>
          <w:lang w:eastAsia="zh-CN"/>
        </w:rPr>
        <w:t>（</w:t>
      </w:r>
      <w:r>
        <w:rPr>
          <w:rFonts w:hint="eastAsia"/>
          <w:lang w:val="en-US" w:eastAsia="zh-CN"/>
        </w:rPr>
        <w:t>长岗沟</w:t>
      </w:r>
      <w:r>
        <w:rPr>
          <w:rFonts w:hint="eastAsia"/>
          <w:lang w:eastAsia="zh-CN"/>
        </w:rPr>
        <w:t>）</w:t>
      </w:r>
      <w:r>
        <w:rPr>
          <w:rFonts w:hint="eastAsia"/>
        </w:rPr>
        <w:t>等水系工程，有效的改善矿区生态环境。</w:t>
      </w:r>
    </w:p>
    <w:p>
      <w:r>
        <w:rPr>
          <w:rFonts w:hint="eastAsia"/>
        </w:rPr>
        <w:t>城镇空间持续优化。矿区把握产业转型契机，全面</w:t>
      </w:r>
      <w:r>
        <w:rPr>
          <w:rFonts w:hint="eastAsia"/>
          <w:lang w:val="en-US" w:eastAsia="zh-CN"/>
        </w:rPr>
        <w:t>退</w:t>
      </w:r>
      <w:r>
        <w:rPr>
          <w:rFonts w:hint="eastAsia"/>
        </w:rPr>
        <w:t>出沿路散布的洗煤企业，引导工业向园区集中，努力提升城市品质，促进城镇空间集聚发展；</w:t>
      </w:r>
      <w:r>
        <w:rPr>
          <w:rFonts w:hint="eastAsia"/>
          <w:lang w:val="en-US" w:eastAsia="zh-CN"/>
        </w:rPr>
        <w:t>改造</w:t>
      </w:r>
      <w:r>
        <w:rPr>
          <w:rFonts w:hint="eastAsia"/>
        </w:rPr>
        <w:t>冀中能源井矿医院</w:t>
      </w:r>
      <w:r>
        <w:rPr>
          <w:rFonts w:hint="eastAsia"/>
          <w:lang w:val="en-US" w:eastAsia="zh-CN"/>
        </w:rPr>
        <w:t>为区人民医院</w:t>
      </w:r>
      <w:r>
        <w:rPr>
          <w:rFonts w:hint="eastAsia"/>
        </w:rPr>
        <w:t>、建设了天</w:t>
      </w:r>
      <w:r>
        <w:rPr>
          <w:rFonts w:hint="eastAsia"/>
          <w:lang w:val="en-US" w:eastAsia="zh-CN"/>
        </w:rPr>
        <w:t>护</w:t>
      </w:r>
      <w:r>
        <w:rPr>
          <w:rFonts w:hint="eastAsia"/>
        </w:rPr>
        <w:t>小学等公共服务设施，开展了</w:t>
      </w:r>
      <w:r>
        <w:rPr>
          <w:rFonts w:hint="eastAsia"/>
          <w:lang w:val="en-US" w:eastAsia="zh-CN"/>
        </w:rPr>
        <w:t>北昌路等</w:t>
      </w:r>
      <w:r>
        <w:rPr>
          <w:rFonts w:hint="eastAsia"/>
        </w:rPr>
        <w:t>特色街道和</w:t>
      </w:r>
      <w:r>
        <w:rPr>
          <w:rFonts w:hint="eastAsia"/>
          <w:lang w:val="en-US" w:eastAsia="zh-CN"/>
        </w:rPr>
        <w:t>世纪大道、矿市街等</w:t>
      </w:r>
      <w:r>
        <w:rPr>
          <w:rFonts w:hint="eastAsia"/>
        </w:rPr>
        <w:t>口袋公园建设，改善提升城市环境品质。</w:t>
      </w:r>
    </w:p>
    <w:p>
      <w:pPr>
        <w:pStyle w:val="3"/>
        <w:rPr>
          <w:rFonts w:hint="eastAsia"/>
        </w:rPr>
      </w:pPr>
      <w:r>
        <w:rPr>
          <w:rFonts w:hint="eastAsia"/>
        </w:rPr>
        <w:t>开发保护存在的主要问题</w:t>
      </w:r>
    </w:p>
    <w:p>
      <w:pPr>
        <w:rPr>
          <w:rFonts w:hint="eastAsia"/>
          <w:bCs/>
        </w:rPr>
      </w:pPr>
      <w:r>
        <w:rPr>
          <w:rFonts w:hint="eastAsia"/>
          <w:bCs/>
        </w:rPr>
        <w:t>国土空间利用存在矛盾，</w:t>
      </w:r>
      <w:r>
        <w:rPr>
          <w:rFonts w:hint="eastAsia"/>
          <w:bCs/>
          <w:lang w:val="en-US" w:eastAsia="zh-CN"/>
        </w:rPr>
        <w:t>农业和</w:t>
      </w:r>
      <w:r>
        <w:rPr>
          <w:rFonts w:hint="eastAsia"/>
          <w:bCs/>
        </w:rPr>
        <w:t>生态</w:t>
      </w:r>
      <w:r>
        <w:rPr>
          <w:rFonts w:hint="eastAsia"/>
          <w:bCs/>
          <w:lang w:val="en-US" w:eastAsia="zh-CN"/>
        </w:rPr>
        <w:t>空间</w:t>
      </w:r>
      <w:r>
        <w:rPr>
          <w:rFonts w:hint="eastAsia"/>
          <w:bCs/>
        </w:rPr>
        <w:t>有待</w:t>
      </w:r>
      <w:r>
        <w:rPr>
          <w:rFonts w:hint="eastAsia"/>
          <w:bCs/>
          <w:lang w:val="en-US" w:eastAsia="zh-CN"/>
        </w:rPr>
        <w:t>优化</w:t>
      </w:r>
      <w:r>
        <w:rPr>
          <w:rFonts w:hint="eastAsia"/>
          <w:bCs/>
        </w:rPr>
        <w:t>。</w:t>
      </w:r>
      <w:r>
        <w:t>耕地与园地、林地空间布局存在矛盾冲突，</w:t>
      </w:r>
      <w:r>
        <w:rPr>
          <w:rFonts w:hint="eastAsia"/>
        </w:rPr>
        <w:t>因地形地貌和</w:t>
      </w:r>
      <w:r>
        <w:t>各类建设活动造成</w:t>
      </w:r>
      <w:r>
        <w:rPr>
          <w:rFonts w:hint="eastAsia"/>
        </w:rPr>
        <w:t>部分区域</w:t>
      </w:r>
      <w:r>
        <w:t>耕地破碎、质量</w:t>
      </w:r>
      <w:r>
        <w:rPr>
          <w:rFonts w:hint="eastAsia"/>
        </w:rPr>
        <w:t>降低，</w:t>
      </w:r>
      <w:r>
        <w:rPr>
          <w:rFonts w:hint="eastAsia"/>
          <w:lang w:val="en-US" w:eastAsia="zh-CN"/>
        </w:rPr>
        <w:t>因农业种植结构调整耕地规模呈下降趋势，林地和耕地插花分布，不利于农业生产和管理</w:t>
      </w:r>
      <w:r>
        <w:rPr>
          <w:rFonts w:hint="eastAsia"/>
          <w:bCs/>
        </w:rPr>
        <w:t>。</w:t>
      </w:r>
    </w:p>
    <w:p>
      <w:pPr>
        <w:rPr>
          <w:rFonts w:ascii="Times New Roman" w:eastAsia="仿宋_GB2312" w:hAnsi="Times New Roman"/>
          <w:sz w:val="32"/>
        </w:rPr>
      </w:pPr>
      <w:r>
        <w:rPr>
          <w:rFonts w:ascii="Times New Roman" w:eastAsia="仿宋_GB2312" w:hAnsi="Times New Roman"/>
          <w:sz w:val="32"/>
        </w:rPr>
        <w:t>采煤沉陷区对城市建设发展造成安全挑战。</w:t>
      </w:r>
      <w:r>
        <w:rPr>
          <w:rFonts w:ascii="Times New Roman" w:hAnsi="Times New Roman" w:hint="eastAsia"/>
          <w:sz w:val="32"/>
          <w:lang w:val="en-US" w:eastAsia="zh-CN"/>
        </w:rPr>
        <w:t>矿区因煤而兴，城市完全建于煤层之上，长年</w:t>
      </w:r>
      <w:r>
        <w:rPr>
          <w:rFonts w:ascii="Times New Roman" w:eastAsia="仿宋_GB2312" w:hAnsi="Times New Roman"/>
          <w:sz w:val="32"/>
        </w:rPr>
        <w:t>煤炭资源开采</w:t>
      </w:r>
      <w:r>
        <w:rPr>
          <w:rFonts w:ascii="Times New Roman" w:hAnsi="Times New Roman" w:hint="eastAsia"/>
          <w:sz w:val="32"/>
          <w:lang w:val="en-US" w:eastAsia="zh-CN"/>
        </w:rPr>
        <w:t>在</w:t>
      </w:r>
      <w:r>
        <w:rPr>
          <w:rFonts w:ascii="Times New Roman" w:eastAsia="仿宋_GB2312" w:hAnsi="Times New Roman"/>
          <w:sz w:val="32"/>
        </w:rPr>
        <w:t>城市内部</w:t>
      </w:r>
      <w:r>
        <w:rPr>
          <w:rFonts w:ascii="Times New Roman" w:hAnsi="Times New Roman" w:hint="eastAsia"/>
          <w:sz w:val="32"/>
          <w:lang w:val="en-US" w:eastAsia="zh-CN"/>
        </w:rPr>
        <w:t>形成</w:t>
      </w:r>
      <w:r>
        <w:rPr>
          <w:rFonts w:ascii="Times New Roman" w:eastAsia="仿宋_GB2312" w:hAnsi="Times New Roman"/>
          <w:sz w:val="32"/>
        </w:rPr>
        <w:t>大面积采空区，分东、中、西三块，整体呈现“川”字形，部分区域出现了地面沉陷</w:t>
      </w:r>
      <w:r>
        <w:rPr>
          <w:rFonts w:ascii="Times New Roman" w:hAnsi="Times New Roman" w:hint="eastAsia"/>
          <w:sz w:val="32"/>
          <w:lang w:val="en-US" w:eastAsia="zh-CN"/>
        </w:rPr>
        <w:t>问题</w:t>
      </w:r>
      <w:r>
        <w:rPr>
          <w:rFonts w:ascii="Times New Roman" w:eastAsia="仿宋_GB2312" w:hAnsi="Times New Roman"/>
          <w:sz w:val="32"/>
        </w:rPr>
        <w:t>，沉陷区和现状城市建设重叠度较高，存在一定安全隐患，对城市未来建设空间拓展造成了一定制约。</w:t>
      </w:r>
    </w:p>
    <w:p>
      <w:r>
        <w:rPr>
          <w:rFonts w:hint="eastAsia"/>
        </w:rPr>
        <w:t>产业空间布局不合理，建设用地效率不高。矿区</w:t>
      </w:r>
      <w:r>
        <w:rPr>
          <w:rFonts w:hint="eastAsia"/>
          <w:lang w:val="en-US" w:eastAsia="zh-CN"/>
        </w:rPr>
        <w:t>作为独立工矿区，工业用地规模较大，</w:t>
      </w:r>
      <w:r>
        <w:rPr>
          <w:rFonts w:hint="eastAsia"/>
        </w:rPr>
        <w:t>现状已批复的工业园区分为西区、北区、东区、南区，形成工业围城态势，工业用地布局分散，不利于形成规模效</w:t>
      </w:r>
      <w:r>
        <w:rPr>
          <w:rFonts w:hint="eastAsia"/>
          <w:lang w:val="en-US" w:eastAsia="zh-CN"/>
        </w:rPr>
        <w:t>应</w:t>
      </w:r>
      <w:r>
        <w:rPr>
          <w:rFonts w:hint="eastAsia"/>
        </w:rPr>
        <w:t>，企业之间协作</w:t>
      </w:r>
      <w:r>
        <w:rPr>
          <w:rFonts w:hint="eastAsia"/>
          <w:lang w:val="en-US" w:eastAsia="zh-CN"/>
        </w:rPr>
        <w:t>不强</w:t>
      </w:r>
      <w:r>
        <w:rPr>
          <w:rFonts w:hint="eastAsia"/>
        </w:rPr>
        <w:t>，整体竞争力不强。园区内存在</w:t>
      </w:r>
      <w:r>
        <w:rPr>
          <w:rFonts w:hint="eastAsia"/>
          <w:lang w:val="en-US" w:eastAsia="zh-CN"/>
        </w:rPr>
        <w:t>一定规模</w:t>
      </w:r>
      <w:r>
        <w:rPr>
          <w:rFonts w:hint="eastAsia"/>
        </w:rPr>
        <w:t>停产的</w:t>
      </w:r>
      <w:r>
        <w:rPr>
          <w:rFonts w:hint="eastAsia"/>
          <w:lang w:val="en-US" w:eastAsia="zh-CN"/>
        </w:rPr>
        <w:t>焦化企业和</w:t>
      </w:r>
      <w:r>
        <w:rPr>
          <w:rFonts w:hint="eastAsia"/>
        </w:rPr>
        <w:t>洗煤企业，土地利用效率不高。</w:t>
      </w:r>
      <w:r>
        <w:rPr>
          <w:rFonts w:hint="eastAsia"/>
          <w:lang w:val="en-US" w:eastAsia="zh-CN"/>
        </w:rPr>
        <w:t>城区南部段家楼、正丰矿工业遗产周边还存在散布的洗煤厂等</w:t>
      </w:r>
      <w:r>
        <w:rPr>
          <w:rFonts w:hint="eastAsia"/>
        </w:rPr>
        <w:t>工业企业</w:t>
      </w:r>
      <w:r>
        <w:rPr>
          <w:rFonts w:hint="eastAsia"/>
          <w:lang w:eastAsia="zh-CN"/>
        </w:rPr>
        <w:t>，</w:t>
      </w:r>
      <w:r>
        <w:rPr>
          <w:rFonts w:hint="eastAsia"/>
          <w:lang w:val="en-US" w:eastAsia="zh-CN"/>
        </w:rPr>
        <w:t>对矿区高品质文化魅力空间打造造成影响。</w:t>
      </w:r>
    </w:p>
    <w:p>
      <w:pPr>
        <w:pStyle w:val="2"/>
        <w:tabs>
          <w:tab w:val="left" w:pos="320"/>
        </w:tabs>
        <w:ind w:firstLine="0"/>
        <w:rPr>
          <w:rFonts w:hint="eastAsia"/>
        </w:rPr>
      </w:pPr>
      <w:bookmarkStart w:id="19" w:name="_Toc130991277"/>
      <w:r>
        <w:rPr>
          <w:rFonts w:hint="eastAsia"/>
        </w:rPr>
        <w:t>机遇与挑战</w:t>
      </w:r>
      <w:bookmarkEnd w:id="19"/>
    </w:p>
    <w:p>
      <w:pPr>
        <w:pStyle w:val="3"/>
        <w:rPr>
          <w:rFonts w:hint="eastAsia"/>
        </w:rPr>
      </w:pPr>
      <w:bookmarkStart w:id="20" w:name="_Toc30786"/>
      <w:r>
        <w:rPr>
          <w:rFonts w:hint="eastAsia"/>
        </w:rPr>
        <w:t>把握重大机遇</w:t>
      </w:r>
    </w:p>
    <w:p>
      <w:pPr>
        <w:rPr>
          <w:rFonts w:hint="eastAsia"/>
        </w:rPr>
      </w:pPr>
      <w:r>
        <w:rPr>
          <w:rFonts w:hint="eastAsia"/>
        </w:rPr>
        <w:t>石家庄省会都市圈建设，为矿区承担更多城市重要功能带来新机遇。按照“聚廊道、强核心、优县域”策略，将参与到城市重要功能分工中。</w:t>
      </w:r>
    </w:p>
    <w:p>
      <w:pPr>
        <w:rPr>
          <w:rFonts w:hint="eastAsia"/>
        </w:rPr>
      </w:pPr>
      <w:r>
        <w:rPr>
          <w:rFonts w:hint="eastAsia"/>
        </w:rPr>
        <w:t>省、市产业发展政策，为矿区高质量转型发展带来新动力。河北省提出“集中力量支持钢铁行业延伸链条、转型升级”，石家庄</w:t>
      </w:r>
      <w:r>
        <w:rPr>
          <w:rFonts w:hint="eastAsia"/>
          <w:lang w:val="en-US" w:eastAsia="zh-CN"/>
        </w:rPr>
        <w:t>市</w:t>
      </w:r>
      <w:r>
        <w:rPr>
          <w:rFonts w:hint="eastAsia"/>
        </w:rPr>
        <w:t>强力推动装备制造等五大主导产业，石钢特钢已经投入生产，并初步聚拢了一系列上下游企业，在双循环背景下，产业链条的区域配套将越加明显，以石钢特钢为牵引，将为矿区先进制造产业集群发展带来新动力。</w:t>
      </w:r>
    </w:p>
    <w:p>
      <w:pPr>
        <w:rPr>
          <w:rFonts w:hint="eastAsia"/>
        </w:rPr>
      </w:pPr>
      <w:r>
        <w:rPr>
          <w:rFonts w:hint="eastAsia"/>
        </w:rPr>
        <w:t xml:space="preserve">省会城市美丽“后花园”建设，为矿区文旅产业带来新契机。矿区自然景观和历史人文资源丰富，文旅产业已经形成一定规模，随着区域收入水平的进一步提高，多元化文旅休闲消费需求将进一步上升，将为文旅服务业带来发展新契机。 </w:t>
      </w:r>
    </w:p>
    <w:p>
      <w:pPr>
        <w:pStyle w:val="3"/>
      </w:pPr>
      <w:r>
        <w:rPr>
          <w:rFonts w:hint="eastAsia"/>
        </w:rPr>
        <w:t>有效应对风险挑战</w:t>
      </w:r>
    </w:p>
    <w:p>
      <w:pPr>
        <w:rPr>
          <w:rFonts w:hint="eastAsia"/>
        </w:rPr>
      </w:pPr>
      <w:bookmarkEnd w:id="3"/>
      <w:bookmarkEnd w:id="4"/>
      <w:bookmarkEnd w:id="20"/>
      <w:r>
        <w:rPr>
          <w:rFonts w:hint="eastAsia"/>
        </w:rPr>
        <w:t>绿色低碳发展对产业布局和能源结构调整带来新挑战。能源总量和结构“双控”下加快产业结构优化升级更加迫切，矿区金属冶炼、装备制造等高耗能产业提高清洁能源使用比例的任务更加艰巨。京津冀区域大气扩散条件先天不足，对区域协作共治提出更高要求。</w:t>
      </w:r>
    </w:p>
    <w:p>
      <w:pPr>
        <w:rPr>
          <w:rFonts w:ascii="Times New Roman" w:eastAsia="仿宋_GB2312" w:cs="Times New Roman" w:hAnsi="Times New Roman" w:hint="eastAsia"/>
          <w:lang w:eastAsia="zh-CN"/>
        </w:rPr>
      </w:pPr>
      <w:r>
        <w:rPr>
          <w:rFonts w:ascii="Times New Roman" w:cs="Times New Roman" w:hAnsi="Times New Roman" w:hint="eastAsia"/>
        </w:rPr>
        <w:t>人口</w:t>
      </w:r>
      <w:r>
        <w:rPr>
          <w:rFonts w:ascii="Times New Roman" w:cs="Times New Roman" w:hAnsi="Times New Roman" w:hint="eastAsia"/>
          <w:lang w:val="en-US" w:eastAsia="zh-CN"/>
        </w:rPr>
        <w:t>规模减少和</w:t>
      </w:r>
      <w:r>
        <w:rPr>
          <w:rFonts w:ascii="Times New Roman" w:cs="Times New Roman" w:hAnsi="Times New Roman" w:hint="eastAsia"/>
        </w:rPr>
        <w:t>结构变化对国土空间供给带来新挑战。</w:t>
      </w:r>
      <w:r>
        <w:rPr>
          <w:rFonts w:ascii="Times New Roman" w:cs="Times New Roman" w:hAnsi="Times New Roman" w:hint="eastAsia"/>
          <w:lang w:val="en-US" w:eastAsia="zh-CN"/>
        </w:rPr>
        <w:t>2020年第七次全国人口普查</w:t>
      </w:r>
      <w:r>
        <w:rPr>
          <w:rFonts w:ascii="Times New Roman" w:cs="Times New Roman" w:hAnsi="Times New Roman" w:hint="eastAsia"/>
        </w:rPr>
        <w:t>全区常住人口77015人</w:t>
      </w:r>
      <w:r>
        <w:rPr>
          <w:rFonts w:ascii="Times New Roman" w:cs="Times New Roman" w:hAnsi="Times New Roman" w:hint="eastAsia"/>
          <w:lang w:eastAsia="zh-CN"/>
        </w:rPr>
        <w:t>，</w:t>
      </w:r>
      <w:r>
        <w:rPr>
          <w:rFonts w:ascii="Times New Roman" w:cs="Times New Roman" w:hAnsi="Times New Roman" w:hint="eastAsia"/>
        </w:rPr>
        <w:t>与2010年第六次全国人口普查的95170人相比，共减少18155人，降低19.08 %。（主要原因为第六次全国人口普查包括四微街道办常住人口17200人，第七次全国人口普查按属地划分，四微街道办为井陉县的常住人口，不在矿区进行普查登记）</w:t>
      </w:r>
      <w:r>
        <w:rPr>
          <w:rFonts w:ascii="Times New Roman" w:cs="Times New Roman" w:hAnsi="Times New Roman" w:hint="eastAsia"/>
          <w:lang w:eastAsia="zh-CN"/>
        </w:rPr>
        <w:t>。</w:t>
      </w:r>
      <w:r>
        <w:rPr>
          <w:rFonts w:hint="eastAsia"/>
        </w:rPr>
        <w:t>65岁以上的人口占比已达14.93%，已进入深度老龄化社会</w:t>
      </w:r>
      <w:r>
        <w:rPr>
          <w:rFonts w:ascii="Times New Roman" w:cs="Times New Roman" w:hAnsi="Times New Roman" w:hint="eastAsia"/>
        </w:rPr>
        <w:t>，老龄化程度持续加深，</w:t>
      </w:r>
      <w:r>
        <w:rPr>
          <w:rFonts w:ascii="Times New Roman" w:cs="Times New Roman" w:hAnsi="Times New Roman" w:hint="eastAsia"/>
          <w:lang w:val="en-US" w:eastAsia="zh-CN"/>
        </w:rPr>
        <w:t>造成的适龄劳动力减少，</w:t>
      </w:r>
      <w:r>
        <w:rPr>
          <w:rFonts w:ascii="Times New Roman" w:cs="Times New Roman" w:hAnsi="Times New Roman" w:hint="eastAsia"/>
        </w:rPr>
        <w:t>对矿区</w:t>
      </w:r>
      <w:r>
        <w:rPr>
          <w:rFonts w:ascii="Times New Roman" w:cs="Times New Roman" w:hAnsi="Times New Roman" w:hint="eastAsia"/>
          <w:lang w:val="en-US" w:eastAsia="zh-CN"/>
        </w:rPr>
        <w:t>产业发展造成</w:t>
      </w:r>
      <w:r>
        <w:rPr>
          <w:rFonts w:ascii="Times New Roman" w:cs="Times New Roman" w:hAnsi="Times New Roman" w:hint="eastAsia"/>
        </w:rPr>
        <w:t>挑战</w:t>
      </w:r>
      <w:r>
        <w:rPr>
          <w:rFonts w:ascii="Times New Roman" w:cs="Times New Roman" w:hAnsi="Times New Roman" w:hint="eastAsia"/>
          <w:lang w:eastAsia="zh-CN"/>
        </w:rPr>
        <w:t>，</w:t>
      </w:r>
      <w:r>
        <w:rPr>
          <w:rFonts w:ascii="Times New Roman" w:cs="Times New Roman" w:hAnsi="Times New Roman" w:hint="eastAsia"/>
          <w:lang w:val="en-US" w:eastAsia="zh-CN"/>
        </w:rPr>
        <w:t>也对矿区消费升级造成不利影响</w:t>
      </w:r>
      <w:r>
        <w:rPr>
          <w:rFonts w:ascii="Times New Roman" w:cs="Times New Roman" w:hAnsi="Times New Roman" w:hint="eastAsia"/>
          <w:lang w:eastAsia="zh-CN"/>
        </w:rPr>
        <w:t>。</w:t>
      </w:r>
    </w:p>
    <w:p>
      <w:pPr>
        <w:rPr>
          <w:rFonts w:hint="eastAsia"/>
        </w:rPr>
      </w:pPr>
      <w:r>
        <w:rPr>
          <w:rFonts w:ascii="Times New Roman" w:cs="Times New Roman" w:hAnsi="Times New Roman" w:hint="eastAsia"/>
        </w:rPr>
        <w:t>城市</w:t>
      </w:r>
      <w:r>
        <w:rPr>
          <w:rFonts w:ascii="Times New Roman" w:cs="Times New Roman" w:hAnsi="Times New Roman" w:hint="eastAsia"/>
          <w:lang w:val="en-US" w:eastAsia="zh-CN"/>
        </w:rPr>
        <w:t>综合服务和宜居</w:t>
      </w:r>
      <w:r>
        <w:rPr>
          <w:rFonts w:ascii="Times New Roman" w:cs="Times New Roman" w:hAnsi="Times New Roman" w:hint="eastAsia"/>
        </w:rPr>
        <w:t>品质仍待提升。</w:t>
      </w:r>
      <w:r>
        <w:rPr>
          <w:rFonts w:ascii="Times New Roman" w:cs="Times New Roman" w:hAnsi="Times New Roman" w:hint="eastAsia"/>
          <w:lang w:val="en-US" w:eastAsia="zh-CN"/>
        </w:rPr>
        <w:t>矿区未来先进制造业的发展，将吸引大量新生代产业工人和科技人员，高品质、</w:t>
      </w:r>
      <w:r>
        <w:rPr>
          <w:rFonts w:ascii="Times New Roman" w:cs="Times New Roman" w:hAnsi="Times New Roman" w:hint="eastAsia"/>
        </w:rPr>
        <w:t>多样化</w:t>
      </w:r>
      <w:r>
        <w:rPr>
          <w:rFonts w:ascii="Times New Roman" w:cs="Times New Roman" w:hAnsi="Times New Roman" w:hint="eastAsia"/>
          <w:lang w:val="en-US" w:eastAsia="zh-CN"/>
        </w:rPr>
        <w:t>的服务需求</w:t>
      </w:r>
      <w:r>
        <w:rPr>
          <w:rFonts w:ascii="Times New Roman" w:cs="Times New Roman" w:hAnsi="Times New Roman" w:hint="eastAsia"/>
        </w:rPr>
        <w:t>，对</w:t>
      </w:r>
      <w:r>
        <w:rPr>
          <w:rFonts w:ascii="Times New Roman" w:cs="Times New Roman" w:hAnsi="Times New Roman" w:hint="eastAsia"/>
          <w:lang w:val="en-US" w:eastAsia="zh-CN"/>
        </w:rPr>
        <w:t>矿区的服务和品质空间</w:t>
      </w:r>
      <w:r>
        <w:rPr>
          <w:rFonts w:ascii="Times New Roman" w:cs="Times New Roman" w:hAnsi="Times New Roman" w:hint="eastAsia"/>
        </w:rPr>
        <w:t>供给提出挑战。城区</w:t>
      </w:r>
      <w:r>
        <w:rPr>
          <w:rFonts w:ascii="Times New Roman" w:cs="Times New Roman" w:hAnsi="Times New Roman" w:hint="eastAsia"/>
          <w:lang w:val="en-US" w:eastAsia="zh-CN"/>
        </w:rPr>
        <w:t>的文化、体育、教育、</w:t>
      </w:r>
      <w:r>
        <w:rPr>
          <w:rFonts w:ascii="Times New Roman" w:cs="Times New Roman" w:hAnsi="Times New Roman" w:hint="eastAsia"/>
        </w:rPr>
        <w:t>养老</w:t>
      </w:r>
      <w:r>
        <w:rPr>
          <w:rFonts w:ascii="Times New Roman" w:cs="Times New Roman" w:hAnsi="Times New Roman" w:hint="eastAsia"/>
          <w:lang w:val="en-US" w:eastAsia="zh-CN"/>
        </w:rPr>
        <w:t>等公共服务设施质量还有待加强；</w:t>
      </w:r>
      <w:r>
        <w:rPr>
          <w:rFonts w:ascii="Times New Roman" w:cs="Times New Roman" w:hAnsi="Times New Roman" w:hint="eastAsia"/>
        </w:rPr>
        <w:t>高品质</w:t>
      </w:r>
      <w:r>
        <w:rPr>
          <w:rFonts w:ascii="Times New Roman" w:cs="Times New Roman" w:hAnsi="Times New Roman" w:hint="eastAsia"/>
          <w:lang w:val="en-US" w:eastAsia="zh-CN"/>
        </w:rPr>
        <w:t>的</w:t>
      </w:r>
      <w:r>
        <w:rPr>
          <w:rFonts w:ascii="Times New Roman" w:cs="Times New Roman" w:hAnsi="Times New Roman" w:hint="eastAsia"/>
        </w:rPr>
        <w:t>消费</w:t>
      </w:r>
      <w:r>
        <w:rPr>
          <w:rFonts w:ascii="Times New Roman" w:cs="Times New Roman" w:hAnsi="Times New Roman" w:hint="eastAsia"/>
          <w:lang w:val="en-US" w:eastAsia="zh-CN"/>
        </w:rPr>
        <w:t>娱乐场所和绿地开敞空间等较为缺乏</w:t>
      </w:r>
      <w:r>
        <w:rPr>
          <w:rFonts w:ascii="Times New Roman" w:cs="Times New Roman" w:hAnsi="Times New Roman" w:hint="eastAsia"/>
          <w:lang w:eastAsia="zh-CN"/>
        </w:rPr>
        <w:t>。</w:t>
      </w:r>
    </w:p>
    <w:p>
      <w:pPr>
        <w:pStyle w:val="1"/>
        <w:ind w:firstLine="0"/>
        <w:rPr>
          <w:rFonts w:hint="eastAsia"/>
        </w:rPr>
      </w:pPr>
      <w:r>
        <w:rPr>
          <w:rFonts w:hint="eastAsia"/>
        </w:rPr>
        <w:br w:type="page"/>
      </w:r>
      <w:bookmarkStart w:id="21" w:name="_Toc130991278"/>
      <w:bookmarkStart w:id="22" w:name="_Toc61446523"/>
      <w:r>
        <w:rPr>
          <w:rFonts w:hint="eastAsia"/>
        </w:rPr>
        <w:t>目标战略</w:t>
      </w:r>
      <w:bookmarkEnd w:id="21"/>
      <w:bookmarkEnd w:id="22"/>
    </w:p>
    <w:p>
      <w:pPr>
        <w:pStyle w:val="2"/>
        <w:tabs>
          <w:tab w:val="left" w:pos="320"/>
        </w:tabs>
        <w:ind w:firstLine="0"/>
        <w:rPr>
          <w:rFonts w:hint="eastAsia"/>
        </w:rPr>
      </w:pPr>
      <w:bookmarkStart w:id="23" w:name="_Toc130991279"/>
      <w:r>
        <w:rPr>
          <w:rFonts w:hint="eastAsia"/>
        </w:rPr>
        <w:t>城市性质与发展目标</w:t>
      </w:r>
      <w:bookmarkEnd w:id="23"/>
    </w:p>
    <w:p>
      <w:pPr>
        <w:pStyle w:val="3"/>
        <w:rPr>
          <w:rFonts w:hint="eastAsia"/>
        </w:rPr>
      </w:pPr>
      <w:r>
        <w:rPr>
          <w:rFonts w:hint="eastAsia"/>
        </w:rPr>
        <w:t>城市性质</w:t>
      </w:r>
    </w:p>
    <w:p>
      <w:pPr>
        <w:rPr>
          <w:rFonts w:hint="eastAsia"/>
        </w:rPr>
      </w:pPr>
      <w:r>
        <w:rPr>
          <w:rFonts w:hint="eastAsia"/>
        </w:rPr>
        <w:t>资源型城市高质量转型发展示范区，冶金新材料装备制造强区，工业文化旅游和运动康养目的地。</w:t>
      </w:r>
    </w:p>
    <w:p>
      <w:r>
        <w:rPr>
          <w:rFonts w:hint="eastAsia"/>
        </w:rPr>
        <w:t>争创资源型城市高质量转型发展示范区。转变资源依赖发展模式，围绕全面转型绿色发展的目标，着力推动产业升级，培育多元支撑新体系。推动产业、城市、环境、社会“四位一体”转型，加强绿色低碳产业发展，逐步提升清洁能源使用比例，实现绿色高质量转型发展。</w:t>
      </w:r>
    </w:p>
    <w:p>
      <w:r>
        <w:rPr>
          <w:rFonts w:hint="eastAsia"/>
          <w:lang w:val="en-US" w:eastAsia="zh-CN"/>
        </w:rPr>
        <w:t>建设</w:t>
      </w:r>
      <w:r>
        <w:rPr>
          <w:rFonts w:hint="eastAsia"/>
        </w:rPr>
        <w:t>冶金新材料装备制造强区。依托河钢石钢培育冶金新材料装备制造产业，打造智能高端、绿色低碳的冶金新材料装备制造集群，壮大主导产业；持续加大优质企业培训和规上企业引进，推动传统产业向高端化、智能化、绿色化转型。</w:t>
      </w:r>
    </w:p>
    <w:p>
      <w:pPr>
        <w:rPr>
          <w:rFonts w:eastAsia="仿宋_GB2312" w:hint="eastAsia"/>
          <w:lang w:eastAsia="zh-CN"/>
        </w:rPr>
      </w:pPr>
      <w:r>
        <w:rPr>
          <w:rFonts w:hint="eastAsia"/>
        </w:rPr>
        <w:t>工业文化旅游和运动康养目的地。依托风景文化</w:t>
      </w:r>
      <w:r>
        <w:rPr>
          <w:rFonts w:hint="eastAsia"/>
          <w:lang w:val="en-US" w:eastAsia="zh-CN"/>
        </w:rPr>
        <w:t>和工业遗产</w:t>
      </w:r>
      <w:r>
        <w:rPr>
          <w:rFonts w:hint="eastAsia"/>
        </w:rPr>
        <w:t>资源，全力发展文化旅游产业，培育矿区</w:t>
      </w:r>
      <w:r>
        <w:rPr>
          <w:rFonts w:hint="eastAsia"/>
          <w:lang w:val="en-US" w:eastAsia="zh-CN"/>
        </w:rPr>
        <w:t>工业文化旅游</w:t>
      </w:r>
      <w:r>
        <w:rPr>
          <w:rFonts w:hint="eastAsia"/>
        </w:rPr>
        <w:t>品牌，</w:t>
      </w:r>
      <w:r>
        <w:rPr>
          <w:rFonts w:hint="eastAsia"/>
          <w:lang w:val="en-US" w:eastAsia="zh-CN"/>
        </w:rPr>
        <w:t>面向京津冀区域</w:t>
      </w:r>
      <w:r>
        <w:rPr>
          <w:rFonts w:hint="eastAsia"/>
        </w:rPr>
        <w:t>休闲消费需求，供给休闲和文化体验旅游产品，培育高品质运动康养产品，打造省会后花园。</w:t>
      </w:r>
    </w:p>
    <w:p>
      <w:pPr>
        <w:pStyle w:val="3"/>
        <w:rPr>
          <w:rFonts w:hint="eastAsia"/>
        </w:rPr>
      </w:pPr>
      <w:r>
        <w:rPr>
          <w:rFonts w:hint="eastAsia"/>
        </w:rPr>
        <w:t>发展愿景</w:t>
      </w:r>
    </w:p>
    <w:p>
      <w:r>
        <w:rPr>
          <w:rFonts w:hint="eastAsia"/>
        </w:rPr>
        <w:t>科技特钢城，品质新矿区</w:t>
      </w:r>
      <w:r>
        <w:rPr>
          <w:rFonts w:hint="eastAsia"/>
          <w:lang w:eastAsia="zh-CN"/>
        </w:rPr>
        <w:t>，</w:t>
      </w:r>
      <w:r>
        <w:rPr>
          <w:rFonts w:hint="eastAsia"/>
          <w:lang w:val="en-US" w:eastAsia="zh-CN"/>
        </w:rPr>
        <w:t>省会后花园</w:t>
      </w:r>
      <w:r>
        <w:rPr>
          <w:rFonts w:hint="eastAsia"/>
        </w:rPr>
        <w:t>。</w:t>
      </w:r>
    </w:p>
    <w:p>
      <w:pPr>
        <w:rPr>
          <w:rFonts w:hint="eastAsia"/>
        </w:rPr>
      </w:pPr>
      <w:r>
        <w:rPr>
          <w:rFonts w:hint="eastAsia"/>
        </w:rPr>
        <w:t>科技特钢城。以石钢特钢为龙头，带动全区产业发展，提升产品科技含量，培育科创产业，加强城市</w:t>
      </w:r>
      <w:r>
        <w:rPr>
          <w:rFonts w:hint="eastAsia"/>
          <w:lang w:val="en-US" w:eastAsia="zh-CN"/>
        </w:rPr>
        <w:t>各项</w:t>
      </w:r>
      <w:r>
        <w:rPr>
          <w:rFonts w:hint="eastAsia"/>
        </w:rPr>
        <w:t>服务配套，促进产城融合发展。</w:t>
      </w:r>
    </w:p>
    <w:p>
      <w:pPr>
        <w:rPr>
          <w:rFonts w:hint="eastAsia"/>
        </w:rPr>
      </w:pPr>
      <w:r>
        <w:rPr>
          <w:rFonts w:hint="eastAsia"/>
        </w:rPr>
        <w:t>品质新矿区。努力改善城市面貌，增强城市魅力；坚持以人民为中心，补足各项公共服务和基础设施并提升服务水平，全面提升城区品质。</w:t>
      </w:r>
    </w:p>
    <w:p>
      <w:pPr>
        <w:rPr>
          <w:rFonts w:ascii="Times New Roman" w:cs="Times New Roman" w:hAnsi="Times New Roman"/>
          <w:lang w:val="en-US" w:eastAsia="zh-CN"/>
        </w:rPr>
      </w:pPr>
      <w:r>
        <w:rPr>
          <w:rFonts w:ascii="Times New Roman" w:cs="Times New Roman" w:hAnsi="Times New Roman" w:hint="eastAsia"/>
          <w:lang w:val="en-US" w:eastAsia="zh-CN"/>
        </w:rPr>
        <w:t>省会后花园。突出矿区山水环境与风景文化资源优势，大力发展文化旅游、乡村文化体验、山地休闲度假旅游，形成以工业遗存、传统村落文化为主，生态旅游为辅的旅游体系</w:t>
      </w:r>
    </w:p>
    <w:p>
      <w:pPr>
        <w:pStyle w:val="3"/>
        <w:rPr>
          <w:rFonts w:hint="eastAsia"/>
        </w:rPr>
      </w:pPr>
      <w:r>
        <w:rPr>
          <w:rFonts w:hint="eastAsia"/>
        </w:rPr>
        <w:t>发展目标</w:t>
      </w:r>
    </w:p>
    <w:p>
      <w:pPr>
        <w:rPr>
          <w:rFonts w:hint="eastAsia"/>
        </w:rPr>
      </w:pPr>
      <w:r>
        <w:rPr>
          <w:rFonts w:hint="eastAsia"/>
        </w:rPr>
        <w:t>以“生态矿区、智造强区、魅力新区”为总目标，建设生态良好、环境优美、产业发达、魅力彰显、品质上乘的井陉矿区。</w:t>
      </w:r>
    </w:p>
    <w:p>
      <w:pPr>
        <w:rPr>
          <w:rFonts w:cs="仿宋" w:hint="eastAsia"/>
        </w:rPr>
      </w:pPr>
      <w:r>
        <w:t>2025</w:t>
      </w:r>
      <w:r>
        <w:rPr>
          <w:rFonts w:hint="eastAsia"/>
        </w:rPr>
        <w:t>年发展目标。产业转型发展初见成效，石钢上下游产业链初具规模，</w:t>
      </w:r>
      <w:r>
        <w:rPr>
          <w:rFonts w:hint="eastAsia"/>
          <w:lang w:val="en-US" w:eastAsia="zh-CN"/>
        </w:rPr>
        <w:t>工业</w:t>
      </w:r>
      <w:r>
        <w:rPr>
          <w:rFonts w:hint="eastAsia"/>
        </w:rPr>
        <w:t>文化旅游和运动康养产业快速发展，实现服务品质和游客人次稳步增加。城市功能不断完善，城区建设品质有明显提升，公共服务显著补强，居民生活水平全面提高</w:t>
      </w:r>
      <w:r>
        <w:rPr>
          <w:rFonts w:cs="仿宋" w:hint="eastAsia"/>
          <w:bCs/>
        </w:rPr>
        <w:t>。</w:t>
      </w:r>
    </w:p>
    <w:p>
      <w:pPr>
        <w:rPr>
          <w:rFonts w:hint="eastAsia"/>
        </w:rPr>
      </w:pPr>
      <w:r>
        <w:rPr>
          <w:rFonts w:hint="eastAsia"/>
        </w:rPr>
        <w:t>2035年发展目标。全面建成冶金新材料装备制造强区、</w:t>
      </w:r>
      <w:r>
        <w:rPr>
          <w:rFonts w:hint="eastAsia"/>
          <w:lang w:val="en-US" w:eastAsia="zh-CN"/>
        </w:rPr>
        <w:t>工业</w:t>
      </w:r>
      <w:r>
        <w:rPr>
          <w:rFonts w:hint="eastAsia"/>
        </w:rPr>
        <w:t>文化旅游和运动康养示范区，全面融入省会都市圈，实现产业科技化、高水平绿色转型。城区功能趋于完善，实现高质量发展和高品质生活。</w:t>
      </w:r>
    </w:p>
    <w:p>
      <w:pPr>
        <w:rPr>
          <w:rFonts w:hint="eastAsia"/>
        </w:rPr>
      </w:pPr>
      <w:r>
        <w:rPr>
          <w:rFonts w:hint="eastAsia"/>
        </w:rPr>
        <w:t>2050年发展目标。建设成为全国资源型城市高质量转型发展引领和样板，河北省先进制造产业强区，形成具有全国影响力的文化旅游和运动康养品牌，实现人与自然和谐共生的现代化生态科技城区。</w:t>
      </w:r>
    </w:p>
    <w:p>
      <w:pPr>
        <w:pStyle w:val="22"/>
        <w:adjustRightInd w:val="0"/>
        <w:spacing w:before="120" w:line="324" w:lineRule="auto"/>
        <w:ind w:firstLine="560"/>
        <w:jc w:val="center"/>
        <w:rPr>
          <w:rFonts w:ascii="黑体" w:cs="黑体" w:hAnsi="黑体"/>
          <w:sz w:val="30"/>
          <w:szCs w:val="30"/>
        </w:rPr>
      </w:pPr>
      <w:r>
        <w:rPr>
          <w:rFonts w:ascii="黑体" w:cs="黑体" w:hAnsi="黑体" w:hint="eastAsia"/>
          <w:sz w:val="30"/>
          <w:szCs w:val="30"/>
        </w:rPr>
        <w:t>国土空间开发保护目标指标体系表</w:t>
      </w:r>
    </w:p>
    <w:tbl>
      <w:tblPr>
        <w:jc w:val="center"/>
        <w:tblW w:w="914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83"/>
        <w:gridCol w:w="3473"/>
        <w:gridCol w:w="873"/>
        <w:gridCol w:w="691"/>
        <w:gridCol w:w="982"/>
        <w:gridCol w:w="1290"/>
        <w:gridCol w:w="1355"/>
      </w:tblGrid>
      <w:tr>
        <w:trPr>
          <w:trHeight w:val="127"/>
          <w:tblHeader/>
        </w:trPr>
        <w:tc>
          <w:tcPr>
            <w:tcW w:w="483" w:type="dxa"/>
            <w:vMerge w:val="restart"/>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序号</w:t>
            </w:r>
          </w:p>
        </w:tc>
        <w:tc>
          <w:tcPr>
            <w:tcW w:w="3473" w:type="dxa"/>
            <w:vMerge w:val="restart"/>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指标项</w:t>
            </w:r>
          </w:p>
        </w:tc>
        <w:tc>
          <w:tcPr>
            <w:tcW w:w="873" w:type="dxa"/>
            <w:vMerge w:val="restart"/>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指标属性</w:t>
            </w:r>
          </w:p>
        </w:tc>
        <w:tc>
          <w:tcPr>
            <w:tcW w:w="691" w:type="dxa"/>
            <w:vMerge w:val="restart"/>
            <w:tcBorders>
              <w:top w:val="single" w:sz="4" w:space="0" w:color="000000"/>
              <w:left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指标层级</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基期年</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规划近期年</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规划目标年</w:t>
            </w:r>
          </w:p>
        </w:tc>
      </w:tr>
      <w:tr>
        <w:trPr>
          <w:trHeight w:val="90"/>
          <w:tblHeader/>
        </w:trPr>
        <w:tc>
          <w:tcPr>
            <w:tcW w:w="483" w:type="dxa"/>
            <w:vMerge/>
            <w:tcBorders>
              <w:top w:val="single" w:sz="4" w:space="0" w:color="000000"/>
              <w:left w:val="single" w:sz="4" w:space="0" w:color="000000"/>
              <w:bottom w:val="single" w:sz="4" w:space="0" w:color="000000"/>
              <w:right w:val="single" w:sz="4" w:space="0" w:color="000000"/>
            </w:tcBorders>
            <w:noWrap/>
            <w:vAlign w:val="center"/>
          </w:tcPr>
          <w:p/>
        </w:tc>
        <w:tc>
          <w:tcPr>
            <w:tcW w:w="3473" w:type="dxa"/>
            <w:vMerge/>
            <w:tcBorders>
              <w:top w:val="single" w:sz="4" w:space="0" w:color="000000"/>
              <w:left w:val="single" w:sz="4" w:space="0" w:color="000000"/>
              <w:bottom w:val="single" w:sz="4" w:space="0" w:color="000000"/>
              <w:right w:val="single" w:sz="4" w:space="0" w:color="000000"/>
            </w:tcBorders>
            <w:noWrap/>
            <w:vAlign w:val="center"/>
          </w:tcPr>
          <w:p/>
        </w:tc>
        <w:tc>
          <w:tcPr>
            <w:tcW w:w="873" w:type="dxa"/>
            <w:vMerge/>
            <w:tcBorders>
              <w:top w:val="single" w:sz="4" w:space="0" w:color="000000"/>
              <w:left w:val="single" w:sz="4" w:space="0" w:color="000000"/>
              <w:bottom w:val="single" w:sz="4" w:space="0" w:color="000000"/>
              <w:right w:val="single" w:sz="4" w:space="0" w:color="000000"/>
            </w:tcBorders>
            <w:noWrap/>
            <w:vAlign w:val="center"/>
          </w:tcPr>
          <w:p/>
        </w:tc>
        <w:tc>
          <w:tcPr>
            <w:tcW w:w="691" w:type="dxa"/>
            <w:vMerge/>
            <w:tcBorders>
              <w:left w:val="single" w:sz="4" w:space="0" w:color="000000"/>
              <w:bottom w:val="single" w:sz="4" w:space="0" w:color="000000"/>
              <w:right w:val="single" w:sz="4" w:space="0" w:color="000000"/>
            </w:tcBorders>
            <w:noWrap/>
            <w:vAlign w:val="center"/>
          </w:tcP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2020年</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2025年</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s="Times New Roman" w:hint="eastAsia"/>
                <w:color w:val="auto"/>
                <w:sz w:val="21"/>
                <w:szCs w:val="21"/>
              </w:rPr>
            </w:pPr>
            <w:r>
              <w:rPr>
                <w:rFonts w:ascii="仿宋_GB2312" w:eastAsia="仿宋_GB2312" w:cs="Times New Roman" w:hint="eastAsia"/>
                <w:color w:val="auto"/>
                <w:sz w:val="21"/>
                <w:szCs w:val="21"/>
              </w:rPr>
              <w:t>2035年</w:t>
            </w:r>
          </w:p>
        </w:tc>
      </w:tr>
      <w:tr>
        <w:trPr>
          <w:trHeight w:val="329"/>
        </w:trPr>
        <w:tc>
          <w:tcPr>
            <w:tcW w:w="9147" w:type="dxa"/>
            <w:gridSpan w:val="7"/>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华文细黑" w:eastAsia="华文细黑" w:hAnsi="华文细黑" w:hint="eastAsia"/>
                <w:color w:val="auto"/>
                <w:sz w:val="21"/>
                <w:szCs w:val="21"/>
              </w:rPr>
            </w:pPr>
            <w:r>
              <w:rPr>
                <w:rFonts w:ascii="华文细黑" w:eastAsia="华文细黑" w:hAnsi="华文细黑" w:hint="eastAsia"/>
                <w:color w:val="auto"/>
                <w:sz w:val="21"/>
                <w:szCs w:val="21"/>
              </w:rPr>
              <w:t>一、空间底线</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1</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生态保护红线面积（平方千米）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13.13</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8.5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8.5</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2</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永久基本农田保护面积（万亩）</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hint="eastAsia"/>
                <w:color w:val="auto"/>
                <w:sz w:val="21"/>
                <w:szCs w:val="21"/>
                <w:lang w:eastAsia="zh-CN"/>
              </w:rPr>
            </w:pPr>
            <w:r>
              <w:rPr>
                <w:rFonts w:ascii="仿宋_GB2312" w:eastAsia="仿宋_GB2312" w:hint="eastAsia"/>
                <w:color w:val="auto"/>
                <w:sz w:val="21"/>
                <w:szCs w:val="21"/>
              </w:rPr>
              <w:t>1.129</w:t>
            </w:r>
            <w:r>
              <w:rPr>
                <w:rFonts w:ascii="仿宋_GB2312" w:eastAsia="仿宋_GB2312" w:hint="eastAsia"/>
                <w:color w:val="auto"/>
                <w:sz w:val="21"/>
                <w:szCs w:val="21"/>
                <w:lang w:val="en-US" w:eastAsia="zh-CN"/>
              </w:rPr>
              <w:t>5</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hint="eastAsia"/>
                <w:color w:val="auto"/>
                <w:sz w:val="21"/>
                <w:szCs w:val="21"/>
                <w:lang w:eastAsia="zh-CN"/>
              </w:rPr>
            </w:pPr>
            <w:r>
              <w:rPr>
                <w:rFonts w:ascii="仿宋_GB2312" w:eastAsia="仿宋_GB2312" w:hint="eastAsia"/>
                <w:color w:val="auto"/>
                <w:sz w:val="21"/>
                <w:szCs w:val="21"/>
              </w:rPr>
              <w:t>1.129</w:t>
            </w:r>
            <w:r>
              <w:rPr>
                <w:rFonts w:ascii="仿宋_GB2312" w:eastAsia="仿宋_GB2312" w:hint="eastAsia"/>
                <w:color w:val="auto"/>
                <w:sz w:val="21"/>
                <w:szCs w:val="21"/>
                <w:lang w:val="en-US" w:eastAsia="zh-CN"/>
              </w:rPr>
              <w:t>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hint="eastAsia"/>
                <w:color w:val="auto"/>
                <w:sz w:val="21"/>
                <w:szCs w:val="21"/>
                <w:lang w:eastAsia="zh-CN"/>
              </w:rPr>
            </w:pPr>
            <w:r>
              <w:rPr>
                <w:rFonts w:ascii="仿宋_GB2312" w:eastAsia="仿宋_GB2312" w:hint="eastAsia"/>
                <w:color w:val="auto"/>
                <w:sz w:val="21"/>
                <w:szCs w:val="21"/>
              </w:rPr>
              <w:t>1.129</w:t>
            </w:r>
            <w:r>
              <w:rPr>
                <w:rFonts w:ascii="仿宋_GB2312" w:eastAsia="仿宋_GB2312" w:hint="eastAsia"/>
                <w:color w:val="auto"/>
                <w:sz w:val="21"/>
                <w:szCs w:val="21"/>
                <w:lang w:val="en-US" w:eastAsia="zh-CN"/>
              </w:rPr>
              <w:t>5</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3</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耕地保有量（平方千米）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11.97</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11.97</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11.97</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4</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用水总量（万立方米）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1812</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3560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4000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5</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森林覆盖率（%）</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0.34</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0.33</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0.31</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6</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kern w:val="0"/>
                <w:sz w:val="21"/>
                <w:szCs w:val="21"/>
              </w:rPr>
              <w:t>湿地保护率（%）</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hint="eastAsia"/>
                <w:color w:val="auto"/>
                <w:sz w:val="21"/>
                <w:szCs w:val="21"/>
              </w:rPr>
            </w:pPr>
            <w:r>
              <w:rPr>
                <w:rFonts w:ascii="仿宋_GB2312" w:eastAsia="仿宋_GB2312" w:hint="eastAsia"/>
                <w:color w:val="auto"/>
                <w:sz w:val="21"/>
                <w:szCs w:val="21"/>
              </w:rPr>
              <w:t>60%</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60%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60%</w:t>
            </w:r>
          </w:p>
        </w:tc>
      </w:tr>
      <w:tr>
        <w:trPr>
          <w:trHeight w:val="90"/>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7</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自然和文化遗产（处）</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13</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13</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13</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8</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kern w:val="0"/>
                <w:sz w:val="21"/>
                <w:szCs w:val="21"/>
              </w:rPr>
              <w:t>自然保护地陆域面积</w:t>
            </w:r>
          </w:p>
          <w:p>
            <w:pPr>
              <w:adjustRightInd w:val="0"/>
              <w:spacing w:line="240" w:lineRule="auto"/>
              <w:ind w:firstLine="0"/>
              <w:jc w:val="center"/>
              <w:rPr>
                <w:rFonts w:ascii="仿宋_GB2312" w:cs="仿宋" w:hint="eastAsia"/>
                <w:kern w:val="0"/>
                <w:sz w:val="21"/>
                <w:szCs w:val="21"/>
              </w:rPr>
            </w:pPr>
            <w:r>
              <w:rPr>
                <w:rFonts w:ascii="仿宋_GB2312" w:cs="仿宋"/>
                <w:kern w:val="0"/>
                <w:sz w:val="21"/>
                <w:szCs w:val="21"/>
              </w:rPr>
              <w:t>占陆域国土面积比例（%）</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12.12</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hint="eastAsia"/>
                <w:color w:val="auto"/>
                <w:sz w:val="21"/>
                <w:szCs w:val="21"/>
              </w:rPr>
            </w:pPr>
            <w:r>
              <w:rPr>
                <w:rFonts w:ascii="仿宋_GB2312" w:eastAsia="仿宋_GB2312" w:hint="eastAsia"/>
                <w:color w:val="auto"/>
                <w:sz w:val="21"/>
                <w:szCs w:val="21"/>
              </w:rPr>
              <w:t>12.12</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hint="eastAsia"/>
                <w:color w:val="auto"/>
                <w:sz w:val="21"/>
                <w:szCs w:val="21"/>
              </w:rPr>
            </w:pPr>
            <w:r>
              <w:rPr>
                <w:rFonts w:ascii="仿宋_GB2312" w:eastAsia="仿宋_GB2312" w:hint="eastAsia"/>
                <w:color w:val="auto"/>
                <w:sz w:val="21"/>
                <w:szCs w:val="21"/>
              </w:rPr>
              <w:t>12.12</w:t>
            </w:r>
          </w:p>
        </w:tc>
      </w:tr>
      <w:tr>
        <w:trPr>
          <w:trHeight w:val="90"/>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9</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kern w:val="0"/>
                <w:sz w:val="21"/>
                <w:szCs w:val="21"/>
              </w:rPr>
              <w:t>水域空间保有量（平方千米）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1.01</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1.01</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仿宋_GB2312" w:eastAsia="仿宋_GB2312"/>
                <w:color w:val="auto"/>
                <w:sz w:val="21"/>
                <w:szCs w:val="21"/>
              </w:rPr>
            </w:pPr>
            <w:r>
              <w:rPr>
                <w:rFonts w:ascii="仿宋_GB2312" w:eastAsia="仿宋_GB2312" w:hint="eastAsia"/>
                <w:color w:val="auto"/>
                <w:sz w:val="21"/>
                <w:szCs w:val="21"/>
              </w:rPr>
              <w:t>1.01</w:t>
            </w:r>
          </w:p>
        </w:tc>
      </w:tr>
      <w:tr>
        <w:trPr>
          <w:trHeight w:val="335"/>
        </w:trPr>
        <w:tc>
          <w:tcPr>
            <w:tcW w:w="9147" w:type="dxa"/>
            <w:gridSpan w:val="7"/>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ind w:firstLine="420"/>
              <w:jc w:val="center"/>
              <w:rPr>
                <w:rFonts w:ascii="仿宋_GB2312" w:eastAsia="仿宋_GB2312" w:hint="eastAsia"/>
                <w:color w:val="auto"/>
                <w:sz w:val="21"/>
                <w:szCs w:val="21"/>
              </w:rPr>
            </w:pPr>
            <w:r>
              <w:rPr>
                <w:rFonts w:ascii="仿宋_GB2312" w:eastAsia="仿宋_GB2312" w:hint="eastAsia"/>
                <w:color w:val="auto"/>
                <w:sz w:val="21"/>
                <w:szCs w:val="21"/>
              </w:rPr>
              <w:t>二、空间结构与效率</w:t>
            </w:r>
          </w:p>
        </w:tc>
      </w:tr>
      <w:tr>
        <w:trPr>
          <w:trHeight w:val="151"/>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10</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常住人口规模（万人）</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7.70</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9.0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12.0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11</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 xml:space="preserve">常住人口城镇化率（%） </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87.66</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91.1</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97.5</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12</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人均城镇建设用地面积（平方米）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236.4</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227.0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201.0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13</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人均应急避难场所面积（平方米）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1.4</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1.6</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2</w:t>
            </w:r>
          </w:p>
        </w:tc>
      </w:tr>
      <w:tr>
        <w:trPr>
          <w:trHeight w:val="317"/>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14</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kern w:val="0"/>
                <w:sz w:val="21"/>
                <w:szCs w:val="21"/>
              </w:rPr>
              <w:t>道路网密度（千米/平方千米）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2.62</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7</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8</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15</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每万元</w:t>
            </w:r>
            <w:r>
              <w:rPr>
                <w:sz w:val="22"/>
                <w:szCs w:val="22"/>
              </w:rPr>
              <w:t>国内生产总值</w:t>
            </w:r>
            <w:r>
              <w:rPr>
                <w:rFonts w:ascii="仿宋_GB2312" w:cs="仿宋" w:hint="eastAsia"/>
                <w:kern w:val="0"/>
                <w:sz w:val="21"/>
                <w:szCs w:val="21"/>
              </w:rPr>
              <w:t>水耗（立方米）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33.67</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30.47</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lang w:eastAsia="zh-CN"/>
              </w:rPr>
            </w:pPr>
            <w:r>
              <w:rPr>
                <w:rFonts w:ascii="仿宋_GB2312" w:eastAsia="仿宋_GB2312" w:hint="eastAsia"/>
                <w:color w:val="auto"/>
                <w:sz w:val="21"/>
                <w:szCs w:val="21"/>
                <w:lang w:eastAsia="zh-CN"/>
              </w:rPr>
              <w:t>30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kern w:val="0"/>
                <w:sz w:val="21"/>
                <w:szCs w:val="21"/>
              </w:rPr>
            </w:pPr>
            <w:r>
              <w:rPr>
                <w:rFonts w:ascii="仿宋_GB2312" w:cs="仿宋" w:hint="eastAsia"/>
                <w:kern w:val="0"/>
                <w:sz w:val="21"/>
                <w:szCs w:val="21"/>
              </w:rPr>
              <w:t>16</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每万元</w:t>
            </w:r>
            <w:r>
              <w:rPr>
                <w:sz w:val="22"/>
                <w:szCs w:val="22"/>
              </w:rPr>
              <w:t>国内生产总值</w:t>
            </w:r>
            <w:r>
              <w:rPr>
                <w:rFonts w:ascii="仿宋_GB2312" w:cs="仿宋" w:hint="eastAsia"/>
                <w:kern w:val="0"/>
                <w:sz w:val="21"/>
                <w:szCs w:val="21"/>
              </w:rPr>
              <w:t>地耗（平方米）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int="eastAsia"/>
                <w:kern w:val="0"/>
                <w:sz w:val="21"/>
                <w:szCs w:val="21"/>
              </w:rPr>
            </w:pPr>
            <w:r>
              <w:rPr>
                <w:rFonts w:ascii="仿宋_GB2312" w:cs="仿宋"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hint="eastAsia"/>
                <w:color w:val="auto"/>
                <w:sz w:val="21"/>
                <w:szCs w:val="21"/>
              </w:rPr>
            </w:pPr>
            <w:r>
              <w:rPr>
                <w:rFonts w:ascii="仿宋_GB2312" w:eastAsia="仿宋_GB2312" w:hint="eastAsia"/>
                <w:color w:val="auto"/>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37.71</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35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pStyle w:val="74"/>
              <w:adjustRightInd/>
              <w:contextualSpacing/>
              <w:jc w:val="center"/>
              <w:rPr>
                <w:rFonts w:ascii="仿宋_GB2312" w:eastAsia="仿宋_GB2312"/>
                <w:color w:val="auto"/>
                <w:sz w:val="21"/>
                <w:szCs w:val="21"/>
              </w:rPr>
            </w:pPr>
            <w:r>
              <w:rPr>
                <w:rFonts w:ascii="仿宋_GB2312" w:eastAsia="仿宋_GB2312" w:hint="eastAsia"/>
                <w:color w:val="auto"/>
                <w:sz w:val="21"/>
                <w:szCs w:val="21"/>
              </w:rPr>
              <w:t>29.72</w:t>
            </w:r>
          </w:p>
        </w:tc>
      </w:tr>
      <w:tr>
        <w:trPr>
          <w:trHeight w:val="335"/>
        </w:trPr>
        <w:tc>
          <w:tcPr>
            <w:tcW w:w="9147" w:type="dxa"/>
            <w:gridSpan w:val="7"/>
            <w:tcBorders>
              <w:top w:val="single" w:sz="4" w:space="0" w:color="000000"/>
              <w:left w:val="single" w:sz="4" w:space="0" w:color="000000"/>
              <w:bottom w:val="single" w:sz="4" w:space="0" w:color="000000"/>
              <w:right w:val="single" w:sz="4" w:space="0" w:color="000000"/>
            </w:tcBorders>
            <w:noWrap/>
            <w:vAlign w:val="center"/>
          </w:tcPr>
          <w:p>
            <w:pPr>
              <w:pStyle w:val="74"/>
              <w:adjustRightInd/>
              <w:spacing w:before="156"/>
              <w:jc w:val="center"/>
              <w:rPr>
                <w:rFonts w:ascii="华文细黑" w:eastAsia="华文细黑" w:hAnsi="华文细黑" w:hint="eastAsia"/>
                <w:color w:val="auto"/>
                <w:sz w:val="21"/>
                <w:szCs w:val="21"/>
              </w:rPr>
            </w:pPr>
            <w:r>
              <w:rPr>
                <w:rFonts w:ascii="华文细黑" w:eastAsia="华文细黑" w:hAnsi="华文细黑" w:hint="eastAsia"/>
                <w:color w:val="auto"/>
                <w:sz w:val="21"/>
                <w:szCs w:val="21"/>
              </w:rPr>
              <w:t>三、空间品质</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17</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 xml:space="preserve">公园绿地、广场步行5分钟覆盖率（%） </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60</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75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95</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18</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 xml:space="preserve">卫生、养老、教育、文化、体育等社区公共服务设施15 分钟步行可达覆盖率（%） </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70</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75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100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19</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城镇人均住房面积（平方米）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45</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50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55</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20</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每千名老年人拥有养老床位数（张）</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25</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30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40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21</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医疗卫生机构千人床位数（张）</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约束性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7</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8</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9</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22</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人均体育用地面积（平方米）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0.28</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0.50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kern w:val="0"/>
                <w:sz w:val="21"/>
                <w:szCs w:val="21"/>
                <w:lang w:val="en-US" w:eastAsia="zh-CN"/>
              </w:rPr>
            </w:pPr>
            <w:r>
              <w:rPr>
                <w:rFonts w:ascii="仿宋_GB2312" w:cs="仿宋" w:hAnsi="Times New Roman" w:hint="eastAsia"/>
                <w:kern w:val="0"/>
                <w:sz w:val="21"/>
                <w:szCs w:val="21"/>
              </w:rPr>
              <w:t>0.</w:t>
            </w:r>
            <w:r>
              <w:rPr>
                <w:rFonts w:ascii="仿宋_GB2312" w:cs="仿宋" w:hAnsi="Times New Roman" w:hint="eastAsia"/>
                <w:kern w:val="0"/>
                <w:sz w:val="21"/>
                <w:szCs w:val="21"/>
                <w:lang w:val="en-US" w:eastAsia="zh-CN"/>
              </w:rPr>
              <w:t>80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23</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人均公园绿地面积（平方米）</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3.19</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kern w:val="0"/>
                <w:sz w:val="21"/>
                <w:szCs w:val="21"/>
                <w:lang w:val="en-US" w:eastAsia="zh-CN"/>
              </w:rPr>
            </w:pPr>
            <w:r>
              <w:rPr>
                <w:rFonts w:ascii="仿宋_GB2312" w:cs="仿宋" w:hAnsi="Times New Roman" w:hint="eastAsia"/>
                <w:kern w:val="0"/>
                <w:sz w:val="21"/>
                <w:szCs w:val="21"/>
                <w:lang w:val="en-US" w:eastAsia="zh-CN"/>
              </w:rPr>
              <w:t>8.0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lang w:eastAsia="zh-CN"/>
              </w:rPr>
            </w:pPr>
            <w:r>
              <w:rPr>
                <w:rFonts w:ascii="仿宋_GB2312" w:cs="仿宋" w:hAnsi="Times New Roman" w:hint="eastAsia"/>
                <w:kern w:val="0"/>
                <w:sz w:val="21"/>
                <w:szCs w:val="21"/>
              </w:rPr>
              <w:t>1</w:t>
            </w:r>
            <w:r>
              <w:rPr>
                <w:rFonts w:ascii="仿宋_GB2312" w:cs="仿宋" w:hAnsi="Times New Roman" w:hint="eastAsia"/>
                <w:kern w:val="0"/>
                <w:sz w:val="21"/>
                <w:szCs w:val="21"/>
                <w:lang w:val="en-US" w:eastAsia="zh-CN"/>
              </w:rPr>
              <w:t>3</w:t>
            </w:r>
            <w:r>
              <w:rPr>
                <w:rFonts w:ascii="仿宋_GB2312" w:cs="仿宋" w:hAnsi="Times New Roman" w:hint="eastAsia"/>
                <w:kern w:val="0"/>
                <w:sz w:val="21"/>
                <w:szCs w:val="21"/>
              </w:rPr>
              <w:t>.</w:t>
            </w:r>
            <w:r>
              <w:rPr>
                <w:rFonts w:ascii="仿宋_GB2312" w:cs="仿宋" w:hAnsi="Times New Roman" w:hint="eastAsia"/>
                <w:kern w:val="0"/>
                <w:sz w:val="21"/>
                <w:szCs w:val="21"/>
                <w:lang w:val="en-US" w:eastAsia="zh-CN"/>
              </w:rPr>
              <w:t>2</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24</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绿色交通出行比例（%）</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56</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65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75</w:t>
            </w:r>
          </w:p>
        </w:tc>
      </w:tr>
      <w:tr>
        <w:trPr>
          <w:trHeight w:val="246"/>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25</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降雨就地吸纳率（%）</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25</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35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75</w:t>
            </w:r>
          </w:p>
        </w:tc>
      </w:tr>
      <w:tr>
        <w:trPr>
          <w:trHeight w:val="431"/>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26</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 xml:space="preserve">城镇生活垃圾回收利用率（%） </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30</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35</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40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27</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农村生活垃圾处理率（%）</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全域</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100</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100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100</w:t>
            </w:r>
          </w:p>
        </w:tc>
      </w:tr>
      <w:tr>
        <w:trPr>
          <w:trHeight w:val="335"/>
        </w:trPr>
        <w:tc>
          <w:tcPr>
            <w:tcW w:w="48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28</w:t>
            </w:r>
          </w:p>
        </w:tc>
        <w:tc>
          <w:tcPr>
            <w:tcW w:w="34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 xml:space="preserve">消防救援5分钟可达覆盖率（%） </w:t>
            </w:r>
          </w:p>
        </w:tc>
        <w:tc>
          <w:tcPr>
            <w:tcW w:w="873"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预期性</w:t>
            </w:r>
          </w:p>
        </w:tc>
        <w:tc>
          <w:tcPr>
            <w:tcW w:w="691"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城区</w:t>
            </w:r>
          </w:p>
        </w:tc>
        <w:tc>
          <w:tcPr>
            <w:tcW w:w="98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49</w:t>
            </w:r>
          </w:p>
        </w:tc>
        <w:tc>
          <w:tcPr>
            <w:tcW w:w="1290"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80</w:t>
            </w:r>
          </w:p>
        </w:tc>
        <w:tc>
          <w:tcPr>
            <w:tcW w:w="1355"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仿宋_GB2312" w:cs="仿宋" w:hAnsi="Times New Roman" w:hint="eastAsia"/>
                <w:kern w:val="0"/>
                <w:sz w:val="21"/>
                <w:szCs w:val="21"/>
              </w:rPr>
            </w:pPr>
            <w:r>
              <w:rPr>
                <w:rFonts w:ascii="仿宋_GB2312" w:cs="仿宋" w:hAnsi="Times New Roman" w:hint="eastAsia"/>
                <w:kern w:val="0"/>
                <w:sz w:val="21"/>
                <w:szCs w:val="21"/>
              </w:rPr>
              <w:t>100</w:t>
            </w:r>
          </w:p>
        </w:tc>
      </w:tr>
    </w:tbl>
    <w:p>
      <w:pPr>
        <w:spacing w:line="560" w:lineRule="exact"/>
        <w:ind w:firstLine="420"/>
        <w:rPr>
          <w:rFonts w:ascii="楷体" w:eastAsia="楷体" w:cs="仿宋" w:hAnsi="楷体" w:hint="eastAsia"/>
          <w:kern w:val="0"/>
          <w:sz w:val="21"/>
          <w:szCs w:val="21"/>
        </w:rPr>
      </w:pPr>
      <w:r>
        <w:rPr>
          <w:rFonts w:ascii="楷体" w:eastAsia="楷体" w:cs="仿宋" w:hAnsi="楷体" w:hint="eastAsia"/>
          <w:kern w:val="0"/>
          <w:sz w:val="21"/>
          <w:szCs w:val="21"/>
        </w:rPr>
        <w:t>注：1.生态保护红线基期面积为2018年国家批复数据。</w:t>
      </w:r>
    </w:p>
    <w:p>
      <w:pPr>
        <w:pStyle w:val="16"/>
      </w:pPr>
    </w:p>
    <w:p>
      <w:pPr>
        <w:pStyle w:val="2"/>
        <w:tabs>
          <w:tab w:val="left" w:pos="320"/>
        </w:tabs>
        <w:ind w:firstLine="0"/>
        <w:rPr>
          <w:rFonts w:hint="eastAsia"/>
        </w:rPr>
      </w:pPr>
      <w:bookmarkStart w:id="24" w:name="_Toc130991280"/>
      <w:r>
        <w:rPr>
          <w:rFonts w:hint="eastAsia"/>
        </w:rPr>
        <w:t>国土空间开发保护战略</w:t>
      </w:r>
      <w:bookmarkEnd w:id="24"/>
    </w:p>
    <w:p>
      <w:pPr>
        <w:pStyle w:val="3"/>
        <w:rPr>
          <w:rFonts w:hint="eastAsia"/>
        </w:rPr>
      </w:pPr>
      <w:r>
        <w:rPr>
          <w:rFonts w:hint="eastAsia"/>
        </w:rPr>
        <w:t>保护农业</w:t>
      </w:r>
      <w:r>
        <w:rPr>
          <w:rFonts w:hint="eastAsia"/>
          <w:lang w:val="en-US" w:eastAsia="zh-CN"/>
        </w:rPr>
        <w:t>和</w:t>
      </w:r>
      <w:r>
        <w:rPr>
          <w:rFonts w:hint="eastAsia"/>
        </w:rPr>
        <w:t xml:space="preserve">生态空间，强化底线约束 </w:t>
      </w:r>
    </w:p>
    <w:p>
      <w:r>
        <w:rPr>
          <w:rFonts w:hint="eastAsia"/>
        </w:rPr>
        <w:t>以</w:t>
      </w:r>
      <w:r>
        <w:rPr>
          <w:rFonts w:hint="eastAsia"/>
          <w:lang w:val="en-US" w:eastAsia="zh-CN"/>
        </w:rPr>
        <w:t>中部</w:t>
      </w:r>
      <w:r>
        <w:rPr>
          <w:rFonts w:hint="eastAsia"/>
        </w:rPr>
        <w:t>平原为重点，保障耕地规模，提升耕地质量，保障粮食安全底线</w:t>
      </w:r>
      <w:r>
        <w:rPr>
          <w:rFonts w:hint="eastAsia"/>
          <w:lang w:eastAsia="zh-CN"/>
        </w:rPr>
        <w:t>；</w:t>
      </w:r>
      <w:r>
        <w:rPr>
          <w:rFonts w:hint="eastAsia"/>
        </w:rPr>
        <w:t>强化生态安全底线的保护意识，</w:t>
      </w:r>
      <w:r>
        <w:rPr>
          <w:rFonts w:hint="eastAsia"/>
          <w:lang w:val="en-US" w:eastAsia="zh-CN"/>
        </w:rPr>
        <w:t>保育清凉山、台阳山等</w:t>
      </w:r>
      <w:r>
        <w:rPr>
          <w:rFonts w:hint="eastAsia"/>
        </w:rPr>
        <w:t>山地的生态涵养功能，</w:t>
      </w:r>
      <w:r>
        <w:rPr>
          <w:rFonts w:hint="eastAsia"/>
          <w:lang w:val="en-US" w:eastAsia="zh-CN"/>
        </w:rPr>
        <w:t>推进</w:t>
      </w:r>
      <w:r>
        <w:rPr>
          <w:rFonts w:hint="eastAsia"/>
        </w:rPr>
        <w:t>绿化提升工程，优化并完善自然保护地体系，</w:t>
      </w:r>
      <w:r>
        <w:rPr>
          <w:rFonts w:hint="eastAsia"/>
          <w:lang w:val="en-US" w:eastAsia="zh-CN"/>
        </w:rPr>
        <w:t>筑牢</w:t>
      </w:r>
      <w:r>
        <w:rPr>
          <w:rFonts w:hint="eastAsia"/>
        </w:rPr>
        <w:t>生态安全格局。协调</w:t>
      </w:r>
      <w:r>
        <w:rPr>
          <w:rFonts w:hint="eastAsia"/>
          <w:lang w:val="en-US" w:eastAsia="zh-CN"/>
        </w:rPr>
        <w:t>农业、</w:t>
      </w:r>
      <w:r>
        <w:rPr>
          <w:rFonts w:hint="eastAsia"/>
        </w:rPr>
        <w:t>生态</w:t>
      </w:r>
      <w:r>
        <w:rPr>
          <w:rFonts w:hint="eastAsia"/>
          <w:lang w:eastAsia="zh-CN"/>
        </w:rPr>
        <w:t>、</w:t>
      </w:r>
      <w:r>
        <w:rPr>
          <w:rFonts w:hint="eastAsia"/>
          <w:lang w:val="en-US" w:eastAsia="zh-CN"/>
        </w:rPr>
        <w:t>城镇空间</w:t>
      </w:r>
      <w:r>
        <w:rPr>
          <w:rFonts w:hint="eastAsia"/>
        </w:rPr>
        <w:t>，</w:t>
      </w:r>
      <w:r>
        <w:rPr>
          <w:rFonts w:hint="eastAsia"/>
          <w:lang w:val="en-US" w:eastAsia="zh-CN"/>
        </w:rPr>
        <w:t>做好耕地、园地、林地和城镇建设空间的优化，加强生态修复和土地综合整治</w:t>
      </w:r>
      <w:r>
        <w:rPr>
          <w:rFonts w:hint="eastAsia"/>
        </w:rPr>
        <w:t>。</w:t>
      </w:r>
    </w:p>
    <w:p>
      <w:pPr>
        <w:pStyle w:val="3"/>
        <w:rPr>
          <w:rFonts w:hint="eastAsia"/>
        </w:rPr>
      </w:pPr>
      <w:r>
        <w:rPr>
          <w:rFonts w:hint="eastAsia"/>
        </w:rPr>
        <w:t>优化</w:t>
      </w:r>
      <w:r>
        <w:rPr>
          <w:rFonts w:hint="eastAsia"/>
          <w:lang w:val="en-US" w:eastAsia="zh-CN"/>
        </w:rPr>
        <w:t>城乡</w:t>
      </w:r>
      <w:r>
        <w:rPr>
          <w:rFonts w:hint="eastAsia"/>
        </w:rPr>
        <w:t>空间</w:t>
      </w:r>
      <w:r>
        <w:rPr>
          <w:rFonts w:hint="eastAsia"/>
          <w:lang w:val="en-US" w:eastAsia="zh-CN"/>
        </w:rPr>
        <w:t>布局</w:t>
      </w:r>
      <w:r>
        <w:rPr>
          <w:rFonts w:hint="eastAsia"/>
        </w:rPr>
        <w:t>，实现</w:t>
      </w:r>
      <w:r>
        <w:rPr>
          <w:rFonts w:hint="eastAsia"/>
          <w:lang w:val="en-US" w:eastAsia="zh-CN"/>
        </w:rPr>
        <w:t>集约优质</w:t>
      </w:r>
      <w:r>
        <w:rPr>
          <w:rFonts w:hint="eastAsia"/>
        </w:rPr>
        <w:t xml:space="preserve">发展 </w:t>
      </w:r>
    </w:p>
    <w:p>
      <w:r>
        <w:rPr>
          <w:rFonts w:hint="eastAsia"/>
          <w:lang w:val="en-US" w:eastAsia="zh-CN"/>
        </w:rPr>
        <w:t>落实</w:t>
      </w:r>
      <w:r>
        <w:rPr>
          <w:rFonts w:hint="eastAsia"/>
        </w:rPr>
        <w:t>京津冀协同发展</w:t>
      </w:r>
      <w:r>
        <w:rPr>
          <w:rFonts w:hint="eastAsia"/>
          <w:lang w:val="en-US" w:eastAsia="zh-CN"/>
        </w:rPr>
        <w:t>要求</w:t>
      </w:r>
      <w:r>
        <w:rPr>
          <w:rFonts w:hint="eastAsia"/>
          <w:lang w:eastAsia="zh-CN"/>
        </w:rPr>
        <w:t>，</w:t>
      </w:r>
      <w:r>
        <w:rPr>
          <w:rFonts w:hint="eastAsia"/>
          <w:lang w:val="en-US" w:eastAsia="zh-CN"/>
        </w:rPr>
        <w:t>全面融入</w:t>
      </w:r>
      <w:r>
        <w:rPr>
          <w:rFonts w:hint="eastAsia"/>
        </w:rPr>
        <w:t>石家庄都市圈，发挥国家资源枯竭型城市、全国独立工矿区改造试点的政策优势，</w:t>
      </w:r>
      <w:r>
        <w:rPr>
          <w:rFonts w:hint="eastAsia"/>
          <w:lang w:val="en-US" w:eastAsia="zh-CN"/>
        </w:rPr>
        <w:t>紧紧抓住石钢公司搬迁机遇，大力发展上下游产业，进一步延链、补链、强链，打造特色优势产业集群。全面优化空间布局</w:t>
      </w:r>
      <w:r>
        <w:rPr>
          <w:rFonts w:hint="eastAsia"/>
        </w:rPr>
        <w:t>，</w:t>
      </w:r>
      <w:r>
        <w:rPr>
          <w:rFonts w:hint="eastAsia"/>
          <w:lang w:val="en-US" w:eastAsia="zh-CN"/>
        </w:rPr>
        <w:t>引导工业向园区集聚，形成产业集聚，提升用地绩效；加强零散存量工业用地挖潜，培育承载文化休闲旅游和运动康养功能，</w:t>
      </w:r>
      <w:r>
        <w:rPr>
          <w:rFonts w:hint="eastAsia"/>
        </w:rPr>
        <w:t>推动矿区实现全面转型、绿色崛起。</w:t>
      </w:r>
    </w:p>
    <w:p>
      <w:pPr>
        <w:pStyle w:val="3"/>
      </w:pPr>
      <w:r>
        <w:rPr>
          <w:rFonts w:hint="eastAsia"/>
          <w:lang w:val="en-US" w:eastAsia="zh-CN"/>
        </w:rPr>
        <w:t>提升宜居宜业品质</w:t>
      </w:r>
      <w:r>
        <w:rPr>
          <w:rFonts w:hint="eastAsia"/>
        </w:rPr>
        <w:t>，</w:t>
      </w:r>
      <w:r>
        <w:rPr>
          <w:rFonts w:hint="eastAsia"/>
          <w:lang w:val="en-US" w:eastAsia="zh-CN"/>
        </w:rPr>
        <w:t>建设安全韧性城市</w:t>
      </w:r>
    </w:p>
    <w:p>
      <w:r>
        <w:rPr>
          <w:rFonts w:hint="eastAsia"/>
          <w:lang w:val="en-US" w:eastAsia="zh-CN"/>
        </w:rPr>
        <w:t>结合生产、生活布局特征，合理配置各项公共服务设施，提升城市综合服务品质，支撑产业健康发展，构建全覆盖的社区生活圈，全面</w:t>
      </w:r>
      <w:r>
        <w:rPr>
          <w:rFonts w:hint="eastAsia"/>
        </w:rPr>
        <w:t>提高宜居</w:t>
      </w:r>
      <w:r>
        <w:rPr>
          <w:rFonts w:hint="eastAsia"/>
          <w:lang w:val="en-US" w:eastAsia="zh-CN"/>
        </w:rPr>
        <w:t>宜业品质</w:t>
      </w:r>
      <w:r>
        <w:rPr>
          <w:rFonts w:hint="eastAsia"/>
        </w:rPr>
        <w:t>。</w:t>
      </w:r>
      <w:r>
        <w:rPr>
          <w:rFonts w:hint="eastAsia"/>
          <w:lang w:val="en-US" w:eastAsia="zh-CN"/>
        </w:rPr>
        <w:t>持续关注采煤沉陷区，优先避让危害大区，合理布局城市功能，做好勘察和治理，确保城市安全</w:t>
      </w:r>
      <w:r>
        <w:rPr>
          <w:rFonts w:hint="eastAsia"/>
        </w:rPr>
        <w:t>。</w:t>
      </w:r>
    </w:p>
    <w:p>
      <w:pPr>
        <w:rPr>
          <w:rFonts w:hint="eastAsia"/>
        </w:rPr>
      </w:pPr>
    </w:p>
    <w:p>
      <w:pPr>
        <w:pStyle w:val="21"/>
      </w:pPr>
    </w:p>
    <w:p>
      <w:pPr>
        <w:pStyle w:val="1"/>
        <w:ind w:firstLine="0"/>
        <w:rPr>
          <w:rFonts w:hint="eastAsia"/>
        </w:rPr>
      </w:pPr>
      <w:r>
        <w:rPr>
          <w:rFonts w:hint="eastAsia"/>
        </w:rPr>
        <w:br w:type="page"/>
      </w:r>
      <w:bookmarkStart w:id="25" w:name="_Toc61446528"/>
      <w:bookmarkStart w:id="26" w:name="_Toc130991281"/>
      <w:r>
        <w:rPr>
          <w:rFonts w:hint="eastAsia"/>
        </w:rPr>
        <w:t>优化国土空间开发保护格局</w:t>
      </w:r>
      <w:bookmarkEnd w:id="25"/>
      <w:bookmarkEnd w:id="26"/>
    </w:p>
    <w:p>
      <w:pPr>
        <w:pStyle w:val="2"/>
        <w:numPr>
          <w:ilvl w:val="1"/>
          <w:numId w:val="2"/>
        </w:numPr>
        <w:tabs>
          <w:tab w:val="left" w:pos="320"/>
        </w:tabs>
        <w:ind w:left="0" w:firstLine="0"/>
        <w:rPr>
          <w:rFonts w:hint="eastAsia"/>
        </w:rPr>
      </w:pPr>
      <w:bookmarkStart w:id="27" w:name="_Toc61446530"/>
      <w:bookmarkStart w:id="28" w:name="_Toc130991282"/>
      <w:r>
        <w:rPr>
          <w:rFonts w:hint="eastAsia"/>
        </w:rPr>
        <w:t>统筹划定三条控制线</w:t>
      </w:r>
      <w:bookmarkEnd w:id="27"/>
      <w:bookmarkEnd w:id="28"/>
    </w:p>
    <w:p>
      <w:pPr>
        <w:pStyle w:val="3"/>
        <w:rPr>
          <w:rFonts w:hint="eastAsia"/>
        </w:rPr>
      </w:pPr>
      <w:r>
        <w:rPr>
          <w:rFonts w:hint="eastAsia"/>
        </w:rPr>
        <w:t>优先划定耕地和永久基本农田</w:t>
      </w:r>
    </w:p>
    <w:p>
      <w:pPr>
        <w:rPr>
          <w:rFonts w:hint="eastAsia"/>
        </w:rPr>
      </w:pPr>
      <w:r>
        <w:t>坚持耕地保护优先，确定保护目标，确保现状耕地应划尽划、应保尽保。在纳入耕地保护目标的可长期稳定利用耕地上，优先将</w:t>
      </w:r>
      <w:r>
        <w:rPr>
          <w:rFonts w:hint="eastAsia"/>
        </w:rPr>
        <w:t>耕地质量高、灌溉条件好的</w:t>
      </w:r>
      <w:r>
        <w:t>耕地划入永久基本农田，主要集中分布</w:t>
      </w:r>
      <w:r>
        <w:rPr>
          <w:rFonts w:hint="eastAsia"/>
          <w:lang w:val="en-US" w:eastAsia="zh-CN"/>
        </w:rPr>
        <w:t>在</w:t>
      </w:r>
      <w:r>
        <w:rPr>
          <w:rFonts w:hint="eastAsia"/>
        </w:rPr>
        <w:t>贾庄、西王舍、南寨、北寨、张家井、</w:t>
      </w:r>
      <w:r>
        <w:rPr>
          <w:rFonts w:hint="eastAsia"/>
          <w:lang w:val="en-US" w:eastAsia="zh-CN"/>
        </w:rPr>
        <w:t>青</w:t>
      </w:r>
      <w:r>
        <w:rPr>
          <w:rFonts w:hint="eastAsia"/>
        </w:rPr>
        <w:t>泉以及荆蒲兰、南井沟飞地等区域。</w:t>
      </w:r>
    </w:p>
    <w:p>
      <w:pPr>
        <w:rPr>
          <w:rFonts w:hint="eastAsia"/>
          <w:u w:val="single"/>
        </w:rPr>
      </w:pPr>
      <w:r>
        <w:rPr>
          <w:rFonts w:hint="eastAsia"/>
          <w:u w:val="single"/>
        </w:rPr>
        <w:t>全区确定耕地保护目标为11.97平方千米（1.7955万亩），永久基本农田总面积7.53平方千米（1.1295万亩），其中飞地1.03平方千米（0.1546万亩）。严格实施耕地用途管制，对永久基本农田实施特殊保护，永久基本农田经依法划定后，任何单位和个人不得擅自占用或者改变其用途。</w:t>
      </w:r>
    </w:p>
    <w:p>
      <w:pPr>
        <w:pStyle w:val="3"/>
        <w:rPr>
          <w:rFonts w:hint="eastAsia"/>
        </w:rPr>
      </w:pPr>
      <w:r>
        <w:rPr>
          <w:rFonts w:hint="eastAsia"/>
        </w:rPr>
        <w:t>科学划定生态保护红线</w:t>
      </w:r>
    </w:p>
    <w:p>
      <w:r>
        <w:rPr>
          <w:rFonts w:hint="eastAsia"/>
        </w:rPr>
        <w:t>实行</w:t>
      </w:r>
      <w:r>
        <w:t>最严格的生态</w:t>
      </w:r>
      <w:r>
        <w:rPr>
          <w:rFonts w:hint="eastAsia"/>
        </w:rPr>
        <w:t>环境</w:t>
      </w:r>
      <w:r>
        <w:t>保护制度，坚持生态保护红线应划尽划</w:t>
      </w:r>
      <w:r>
        <w:rPr>
          <w:rFonts w:hint="eastAsia"/>
        </w:rPr>
        <w:t>。将清凉山、台阳山、青石岭等</w:t>
      </w:r>
      <w:r>
        <w:t>生态功能重要、生态环境敏感脆弱</w:t>
      </w:r>
      <w:r>
        <w:rPr>
          <w:rFonts w:hint="eastAsia"/>
        </w:rPr>
        <w:t>区域划入生态保护红线，实行严格保护。</w:t>
      </w:r>
    </w:p>
    <w:p>
      <w:pPr>
        <w:rPr>
          <w:rFonts w:hint="eastAsia"/>
        </w:rPr>
      </w:pPr>
      <w:r>
        <w:rPr>
          <w:rFonts w:hint="eastAsia"/>
          <w:u w:val="single"/>
        </w:rPr>
        <w:t>全区</w:t>
      </w:r>
      <w:r>
        <w:rPr>
          <w:u w:val="single"/>
        </w:rPr>
        <w:t>划定生态保护红线面积</w:t>
      </w:r>
      <w:r>
        <w:rPr>
          <w:rFonts w:hint="eastAsia"/>
          <w:u w:val="single"/>
        </w:rPr>
        <w:t>8.5平方千米。</w:t>
      </w:r>
      <w:r>
        <w:rPr>
          <w:u w:val="single"/>
        </w:rPr>
        <w:t>生态保护红线内应规范管控对生态功能不造成破坏的有限人为活动，限制开发性、生产性建设活动，在符合法律法规的前提下，仅允许对生态功能不造成破坏且符合管控要求的有限人为活动。</w:t>
      </w:r>
      <w:r>
        <w:t>生态保护红线内</w:t>
      </w:r>
      <w:r>
        <w:rPr>
          <w:rFonts w:hint="eastAsia"/>
        </w:rPr>
        <w:t>清凉山</w:t>
      </w:r>
      <w:r>
        <w:t>风景名胜区，</w:t>
      </w:r>
      <w:r>
        <w:rPr>
          <w:rFonts w:hint="eastAsia"/>
          <w:lang w:val="en-US" w:eastAsia="zh-CN"/>
        </w:rPr>
        <w:t>还应符合</w:t>
      </w:r>
      <w:r>
        <w:rPr>
          <w:rFonts w:hint="eastAsia"/>
        </w:rPr>
        <w:t>风景名胜区相关</w:t>
      </w:r>
      <w:r>
        <w:t>法律法规</w:t>
      </w:r>
      <w:r>
        <w:rPr>
          <w:rFonts w:hint="eastAsia"/>
          <w:lang w:val="en-US" w:eastAsia="zh-CN"/>
        </w:rPr>
        <w:t>管控要求</w:t>
      </w:r>
      <w:r>
        <w:rPr>
          <w:rFonts w:hint="eastAsia"/>
        </w:rPr>
        <w:t>。</w:t>
      </w:r>
    </w:p>
    <w:p>
      <w:pPr>
        <w:pStyle w:val="3"/>
        <w:rPr>
          <w:rFonts w:hint="eastAsia"/>
        </w:rPr>
      </w:pPr>
      <w:r>
        <w:rPr>
          <w:rFonts w:hint="eastAsia"/>
        </w:rPr>
        <w:t>节约集约划定城镇开发边界</w:t>
      </w:r>
    </w:p>
    <w:p>
      <w:r>
        <w:rPr>
          <w:rFonts w:hint="eastAsia"/>
        </w:rPr>
        <w:t>落实最严格的节约用地制度，综合资源环境承载能力、人口分布、经济布局、城乡统筹、城镇发展阶段和发展潜力，将主城区、贾庄镇区、凤山镇区以及工业园区划入城镇开发边界，防止城镇无序蔓延；开发边界避让地质灾害极高风险区和高风险区等不适宜城镇建设区域，涉及采煤沉陷区的在开展建设活动前应先进行地质勘探并完成治理。</w:t>
      </w:r>
    </w:p>
    <w:p>
      <w:pPr>
        <w:rPr>
          <w:u w:val="single"/>
        </w:rPr>
      </w:pPr>
      <w:r>
        <w:rPr>
          <w:u w:val="single"/>
        </w:rPr>
        <w:t>全</w:t>
      </w:r>
      <w:r>
        <w:rPr>
          <w:rFonts w:hint="eastAsia"/>
          <w:u w:val="single"/>
        </w:rPr>
        <w:t>区</w:t>
      </w:r>
      <w:r>
        <w:rPr>
          <w:u w:val="single"/>
        </w:rPr>
        <w:t>划定城镇开发边界面积</w:t>
      </w:r>
      <w:r>
        <w:rPr>
          <w:rFonts w:hint="eastAsia"/>
          <w:u w:val="single"/>
        </w:rPr>
        <w:t>23.60</w:t>
      </w:r>
      <w:r>
        <w:rPr>
          <w:u w:val="single"/>
        </w:rPr>
        <w:t>平方千米</w:t>
      </w:r>
      <w:r>
        <w:rPr>
          <w:rFonts w:ascii="仿宋" w:hAnsi="仿宋" w:hint="eastAsia"/>
          <w:u w:val="single"/>
        </w:rPr>
        <w:t>，</w:t>
      </w:r>
      <w:r>
        <w:rPr>
          <w:u w:val="single"/>
        </w:rPr>
        <w:t>城镇开发边界内按照城镇开发</w:t>
      </w:r>
      <w:r>
        <w:rPr>
          <w:rFonts w:hint="eastAsia"/>
          <w:u w:val="single"/>
        </w:rPr>
        <w:t>边界管理规则</w:t>
      </w:r>
      <w:r>
        <w:rPr>
          <w:u w:val="single"/>
        </w:rPr>
        <w:t>，实行</w:t>
      </w:r>
      <w:r>
        <w:rPr>
          <w:rFonts w:hint="eastAsia"/>
          <w:u w:val="single"/>
        </w:rPr>
        <w:t>“</w:t>
      </w:r>
      <w:r>
        <w:rPr>
          <w:u w:val="single"/>
        </w:rPr>
        <w:t>详细规划+规划许可</w:t>
      </w:r>
      <w:r>
        <w:rPr>
          <w:rFonts w:hint="eastAsia"/>
          <w:u w:val="single"/>
        </w:rPr>
        <w:t>”</w:t>
      </w:r>
      <w:r>
        <w:rPr>
          <w:u w:val="single"/>
        </w:rPr>
        <w:t>的管制方式</w:t>
      </w:r>
      <w:r>
        <w:rPr>
          <w:rFonts w:hint="eastAsia"/>
          <w:u w:val="single"/>
        </w:rPr>
        <w:t>，按照规划用途依法办理有关手续。严格</w:t>
      </w:r>
      <w:r>
        <w:rPr>
          <w:u w:val="single"/>
        </w:rPr>
        <w:t>城镇开发边界外</w:t>
      </w:r>
      <w:r>
        <w:rPr>
          <w:rFonts w:hint="eastAsia"/>
          <w:u w:val="single"/>
        </w:rPr>
        <w:t>的空间准入，仅</w:t>
      </w:r>
      <w:r>
        <w:rPr>
          <w:u w:val="single"/>
        </w:rPr>
        <w:t>允许建设交通、</w:t>
      </w:r>
      <w:r>
        <w:rPr>
          <w:rFonts w:hint="eastAsia"/>
          <w:u w:val="single"/>
          <w:lang w:val="en-US" w:eastAsia="zh-CN"/>
        </w:rPr>
        <w:t>能源等</w:t>
      </w:r>
      <w:r>
        <w:rPr>
          <w:u w:val="single"/>
        </w:rPr>
        <w:t>基础设施及其他线性工程，军事及安全保密、宗教、殡葬、综合防灾减灾、战略储备等特殊建设项目，郊野公园、风景游览设施的配套服务设施，直接为乡村振兴战略服务的项目，以及其它必要的服务设施和城镇民生保障项目</w:t>
      </w:r>
      <w:r>
        <w:rPr>
          <w:rFonts w:hint="eastAsia"/>
          <w:u w:val="single"/>
        </w:rPr>
        <w:t>，</w:t>
      </w:r>
      <w:r>
        <w:rPr>
          <w:u w:val="single"/>
        </w:rPr>
        <w:t>不得进行城镇集中建设</w:t>
      </w:r>
      <w:r>
        <w:rPr>
          <w:rFonts w:hint="eastAsia"/>
          <w:u w:val="single"/>
        </w:rPr>
        <w:t>，不得</w:t>
      </w:r>
      <w:r>
        <w:rPr>
          <w:u w:val="single"/>
        </w:rPr>
        <w:t>设立</w:t>
      </w:r>
      <w:r>
        <w:rPr>
          <w:rFonts w:hint="eastAsia"/>
          <w:u w:val="single"/>
        </w:rPr>
        <w:t>各类</w:t>
      </w:r>
      <w:r>
        <w:rPr>
          <w:u w:val="single"/>
        </w:rPr>
        <w:t>开发区</w:t>
      </w:r>
      <w:r>
        <w:rPr>
          <w:rFonts w:hint="eastAsia"/>
          <w:u w:val="single"/>
        </w:rPr>
        <w:t>。城镇开发边界一经划定，原则上不得调整。因国家重大战略调整、国家重大项目建设、行政区划调整等确需调整的，按国土空间规划修改程序进行。</w:t>
      </w:r>
    </w:p>
    <w:p>
      <w:pPr>
        <w:pStyle w:val="2"/>
        <w:numPr>
          <w:ilvl w:val="1"/>
          <w:numId w:val="2"/>
        </w:numPr>
        <w:tabs>
          <w:tab w:val="left" w:pos="320"/>
        </w:tabs>
        <w:ind w:left="0" w:firstLine="0"/>
        <w:rPr>
          <w:rFonts w:hint="eastAsia"/>
        </w:rPr>
      </w:pPr>
      <w:bookmarkStart w:id="29" w:name="_Toc130991283"/>
      <w:bookmarkStart w:id="30" w:name="_Toc61446529"/>
      <w:bookmarkStart w:id="31" w:name="_Toc16931"/>
      <w:r>
        <w:rPr>
          <w:rFonts w:hint="eastAsia"/>
        </w:rPr>
        <w:t>细化落实主体功能区布局</w:t>
      </w:r>
      <w:bookmarkEnd w:id="29"/>
    </w:p>
    <w:p>
      <w:pPr>
        <w:pStyle w:val="3"/>
        <w:rPr>
          <w:rFonts w:hint="eastAsia"/>
        </w:rPr>
      </w:pPr>
      <w:r>
        <w:rPr>
          <w:rFonts w:hint="eastAsia"/>
        </w:rPr>
        <w:t>强化重点生态功能区保育</w:t>
      </w:r>
    </w:p>
    <w:p>
      <w:r>
        <w:t>重点生态功能区</w:t>
      </w:r>
      <w:r>
        <w:rPr>
          <w:rFonts w:hint="eastAsia"/>
        </w:rPr>
        <w:t>位于北部台阳山区域、荆蒲兰和南井沟飞地区域、黑水坪飞地区域</w:t>
      </w:r>
      <w:r>
        <w:t>。开展造林绿化、矿山综合治理等</w:t>
      </w:r>
      <w:r>
        <w:rPr>
          <w:rFonts w:hint="eastAsia"/>
        </w:rPr>
        <w:t>生态</w:t>
      </w:r>
      <w:r>
        <w:t>修复工程，提高森林覆盖率，</w:t>
      </w:r>
      <w:r>
        <w:rPr>
          <w:rFonts w:hint="eastAsia"/>
        </w:rPr>
        <w:t>提升生态涵养与水土保持能力。</w:t>
      </w:r>
    </w:p>
    <w:p>
      <w:pPr>
        <w:pStyle w:val="3"/>
        <w:rPr>
          <w:rFonts w:hint="eastAsia"/>
        </w:rPr>
      </w:pPr>
      <w:r>
        <w:rPr>
          <w:rFonts w:hint="eastAsia"/>
        </w:rPr>
        <w:t>推动城市化地区集聚发展</w:t>
      </w:r>
    </w:p>
    <w:p>
      <w:pPr>
        <w:rPr>
          <w:rFonts w:hint="eastAsia"/>
        </w:rPr>
      </w:pPr>
      <w:r>
        <w:rPr>
          <w:rFonts w:hint="eastAsia"/>
        </w:rPr>
        <w:t>城市化地区包括矿区矿市街道、四微街道、横涧乡全部辖区和贾庄镇、凤山镇的大部分区域，是城镇化主要载体。在该地区推动先进制造业和现代服务业集聚，壮大城区经济和园区经济，提升产业发展水平，完善各项城市公共服务，合理保障建设用地空间，提升城市综合承载能力。</w:t>
      </w:r>
    </w:p>
    <w:p>
      <w:pPr>
        <w:pStyle w:val="3"/>
        <w:rPr>
          <w:rFonts w:hint="eastAsia"/>
        </w:rPr>
      </w:pPr>
      <w:r>
        <w:rPr>
          <w:rFonts w:hint="eastAsia"/>
        </w:rPr>
        <w:t>发挥革命老区和资源型城市政策优势</w:t>
      </w:r>
    </w:p>
    <w:p>
      <w:pPr>
        <w:rPr>
          <w:rFonts w:hint="eastAsia"/>
        </w:rPr>
      </w:pPr>
      <w:r>
        <w:rPr>
          <w:rFonts w:hint="eastAsia"/>
        </w:rPr>
        <w:t>促进革命老区振兴，依托革命历史文化遗存资源，培育特色优势产业，传承弘扬红色文化；加快资源型城市绿色转型发展，深入实施采煤沉陷区治理和矿山生态修复，积极培育接续产业。</w:t>
      </w:r>
    </w:p>
    <w:p>
      <w:pPr>
        <w:pStyle w:val="2"/>
        <w:numPr>
          <w:ilvl w:val="1"/>
          <w:numId w:val="2"/>
        </w:numPr>
        <w:tabs>
          <w:tab w:val="left" w:pos="320"/>
        </w:tabs>
        <w:ind w:left="0" w:firstLine="0"/>
        <w:rPr>
          <w:rFonts w:hint="eastAsia"/>
        </w:rPr>
      </w:pPr>
      <w:bookmarkStart w:id="32" w:name="_Toc130991284"/>
      <w:r>
        <w:rPr>
          <w:rFonts w:hint="eastAsia"/>
        </w:rPr>
        <w:t>构建国土空间开发保护总体格局</w:t>
      </w:r>
      <w:bookmarkEnd w:id="30"/>
      <w:bookmarkEnd w:id="31"/>
      <w:bookmarkEnd w:id="32"/>
    </w:p>
    <w:p>
      <w:pPr>
        <w:pStyle w:val="3"/>
        <w:rPr>
          <w:rFonts w:hint="eastAsia"/>
        </w:rPr>
      </w:pPr>
      <w:r>
        <w:rPr>
          <w:rFonts w:hint="eastAsia"/>
        </w:rPr>
        <w:t>构建“三山、一原、一城”的总体格局</w:t>
      </w:r>
    </w:p>
    <w:p>
      <w:pPr>
        <w:rPr>
          <w:rFonts w:hint="eastAsia"/>
        </w:rPr>
      </w:pPr>
      <w:r>
        <w:rPr>
          <w:rFonts w:hint="eastAsia"/>
        </w:rPr>
        <w:t>三山：指的是西部清凉山、北部台阳山、东部青石岭三片生态功能区，是矿区重要生态保育地区。该区域严守生态底线，做好林地保育，适度发展生态休闲旅游和特色农业种植，配套旅游及基本公共</w:t>
      </w:r>
      <w:r>
        <w:rPr>
          <w:rFonts w:hint="eastAsia"/>
          <w:lang w:eastAsia="zh-CN"/>
        </w:rPr>
        <w:t>服务</w:t>
      </w:r>
      <w:r>
        <w:rPr>
          <w:rFonts w:hint="eastAsia"/>
        </w:rPr>
        <w:t>设施。</w:t>
      </w:r>
    </w:p>
    <w:p>
      <w:r>
        <w:rPr>
          <w:rFonts w:hint="eastAsia"/>
        </w:rPr>
        <w:t>一原：指中部盆地的农业集中区，是粮食种植和特色农业生产的集中区域。该区域严格保护耕地和永久基本农田，合理改善灌溉等水利设施，提升交通市政基础设施配套。</w:t>
      </w:r>
    </w:p>
    <w:p>
      <w:pPr>
        <w:rPr>
          <w:rFonts w:hint="eastAsia"/>
        </w:rPr>
      </w:pPr>
      <w:r>
        <w:rPr>
          <w:rFonts w:hint="eastAsia"/>
        </w:rPr>
        <w:t>一城：指矿区城区，强化城市综合服务功能，提升辐射带动能力和人口集聚能力，做强先进制造产业和现代服务业，打造带动全区发展的核心。</w:t>
      </w:r>
    </w:p>
    <w:p>
      <w:pPr>
        <w:pStyle w:val="3"/>
        <w:rPr>
          <w:rFonts w:hint="eastAsia"/>
        </w:rPr>
      </w:pPr>
      <w:r>
        <w:rPr>
          <w:rFonts w:hint="eastAsia"/>
        </w:rPr>
        <w:t>优化“</w:t>
      </w:r>
      <w:r>
        <w:rPr>
          <w:rFonts w:hint="eastAsia"/>
          <w:lang w:val="en-US" w:eastAsia="zh-CN"/>
        </w:rPr>
        <w:t>一原四片</w:t>
      </w:r>
      <w:r>
        <w:rPr>
          <w:rFonts w:hint="eastAsia"/>
        </w:rPr>
        <w:t>、</w:t>
      </w:r>
      <w:r>
        <w:rPr>
          <w:rFonts w:hint="eastAsia"/>
          <w:lang w:val="en-US" w:eastAsia="zh-CN"/>
        </w:rPr>
        <w:t>山区多点</w:t>
      </w:r>
      <w:r>
        <w:rPr>
          <w:rFonts w:hint="eastAsia"/>
        </w:rPr>
        <w:t>”农业格局</w:t>
      </w:r>
    </w:p>
    <w:p>
      <w:pPr>
        <w:rPr>
          <w:rFonts w:hint="eastAsia"/>
        </w:rPr>
      </w:pPr>
      <w:r>
        <w:rPr>
          <w:rFonts w:hint="eastAsia"/>
        </w:rPr>
        <w:t>立足区域特色，充分挖掘自然资源和农业产业优势，以产业兴旺和农民增收为目标，以推动农业供给侧结构性改革为抓手，规划形成“</w:t>
      </w:r>
      <w:r>
        <w:rPr>
          <w:rFonts w:hint="eastAsia"/>
          <w:lang w:val="en-US" w:eastAsia="zh-CN"/>
        </w:rPr>
        <w:t>一原四片、山区多点</w:t>
      </w:r>
      <w:r>
        <w:rPr>
          <w:rFonts w:hint="eastAsia"/>
        </w:rPr>
        <w:t>”的农业空间格局。</w:t>
      </w:r>
    </w:p>
    <w:p>
      <w:r>
        <w:rPr>
          <w:rFonts w:hint="eastAsia"/>
          <w:lang w:val="en-US" w:eastAsia="zh-CN"/>
        </w:rPr>
        <w:t>一原</w:t>
      </w:r>
      <w:r>
        <w:rPr>
          <w:rFonts w:hint="eastAsia"/>
        </w:rPr>
        <w:t>四片：东北、西北、东南、西南四片永农集中区域，为粮食作物种植区。</w:t>
      </w:r>
    </w:p>
    <w:p>
      <w:pPr>
        <w:rPr>
          <w:rFonts w:ascii="仿宋" w:cs="仿宋" w:hAnsi="仿宋"/>
        </w:rPr>
      </w:pPr>
      <w:r>
        <w:rPr>
          <w:rFonts w:hint="eastAsia"/>
          <w:lang w:val="en-US" w:eastAsia="zh-CN"/>
        </w:rPr>
        <w:t>山区</w:t>
      </w:r>
      <w:r>
        <w:rPr>
          <w:rFonts w:hint="eastAsia"/>
        </w:rPr>
        <w:t>多</w:t>
      </w:r>
      <w:r>
        <w:rPr>
          <w:rFonts w:hint="eastAsia"/>
          <w:lang w:val="en-US" w:eastAsia="zh-CN"/>
        </w:rPr>
        <w:t>点</w:t>
      </w:r>
      <w:r>
        <w:rPr>
          <w:rFonts w:hint="eastAsia"/>
        </w:rPr>
        <w:t>：以台阳香椿、天户峪苹果、荆</w:t>
      </w:r>
      <w:r>
        <w:rPr>
          <w:rFonts w:hint="eastAsia"/>
          <w:lang w:val="en-US" w:eastAsia="zh-CN"/>
        </w:rPr>
        <w:t>蒲</w:t>
      </w:r>
      <w:r>
        <w:rPr>
          <w:rFonts w:hint="eastAsia"/>
        </w:rPr>
        <w:t>兰杂果农业产业示范片区以及大峪沟域经济发展示范区为源点，大力发展精品农业；陉川林果、昊源林果市级现代农业园区，金庙岭、盘锦山、兆丰、华懋4家区级现代农业园区，及其他规模种养殖基地和生态观光农业基地</w:t>
      </w:r>
      <w:r>
        <w:rPr>
          <w:rFonts w:ascii="仿宋" w:cs="仿宋" w:hAnsi="仿宋" w:hint="eastAsia"/>
        </w:rPr>
        <w:t>。</w:t>
      </w:r>
    </w:p>
    <w:p>
      <w:pPr>
        <w:pStyle w:val="3"/>
        <w:rPr>
          <w:rFonts w:hint="eastAsia"/>
        </w:rPr>
      </w:pPr>
      <w:r>
        <w:rPr>
          <w:rFonts w:hint="eastAsia"/>
        </w:rPr>
        <w:t>构建“三区、多廊、多点”生态格局</w:t>
      </w:r>
    </w:p>
    <w:p>
      <w:pPr>
        <w:rPr>
          <w:rFonts w:hint="eastAsia"/>
        </w:rPr>
      </w:pPr>
      <w:r>
        <w:rPr>
          <w:rFonts w:hint="eastAsia"/>
        </w:rPr>
        <w:t>基于矿区生态保护红线和生态空间，加强生态修复与生态空间补充，保护重要生态廊道，利用采煤沉陷区建设生态斑块，形成“三区、多廊、多点”的生态格局。</w:t>
      </w:r>
    </w:p>
    <w:p>
      <w:pPr>
        <w:rPr>
          <w:rFonts w:hint="eastAsia"/>
        </w:rPr>
      </w:pPr>
      <w:r>
        <w:rPr>
          <w:rFonts w:hint="eastAsia"/>
        </w:rPr>
        <w:t>三区：为城区西部清凉山、北部台阳山、东部青石岭生态保护区；</w:t>
      </w:r>
    </w:p>
    <w:p>
      <w:pPr>
        <w:rPr>
          <w:rFonts w:hint="eastAsia"/>
        </w:rPr>
      </w:pPr>
      <w:r>
        <w:rPr>
          <w:rFonts w:hint="eastAsia"/>
        </w:rPr>
        <w:t>多廊：穿越城区的</w:t>
      </w:r>
      <w:r>
        <w:rPr>
          <w:rFonts w:hint="eastAsia"/>
          <w:lang w:val="en-US" w:eastAsia="zh-CN"/>
        </w:rPr>
        <w:t>长岗沟、杏花沟等</w:t>
      </w:r>
      <w:r>
        <w:rPr>
          <w:rFonts w:hint="eastAsia"/>
        </w:rPr>
        <w:t>多条生态廊道、城市各组团间的生态廊道；</w:t>
      </w:r>
    </w:p>
    <w:p>
      <w:pPr>
        <w:rPr>
          <w:rFonts w:hint="eastAsia"/>
        </w:rPr>
      </w:pPr>
      <w:r>
        <w:rPr>
          <w:rFonts w:hint="eastAsia"/>
        </w:rPr>
        <w:t>多点：为杏花沟湿地公园、清凉湾湿地公园等生态斑块。</w:t>
      </w:r>
    </w:p>
    <w:p>
      <w:pPr>
        <w:pStyle w:val="3"/>
        <w:rPr>
          <w:rFonts w:hint="eastAsia"/>
        </w:rPr>
      </w:pPr>
      <w:r>
        <w:rPr>
          <w:rFonts w:hint="eastAsia"/>
        </w:rPr>
        <w:t>构建“一主、两片、</w:t>
      </w:r>
      <w:r>
        <w:rPr>
          <w:rFonts w:hint="eastAsia"/>
          <w:lang w:val="en-US" w:eastAsia="zh-CN"/>
        </w:rPr>
        <w:t>三园</w:t>
      </w:r>
      <w:r>
        <w:rPr>
          <w:rFonts w:hint="eastAsia"/>
        </w:rPr>
        <w:t>”城镇格局</w:t>
      </w:r>
    </w:p>
    <w:p>
      <w:pPr>
        <w:rPr>
          <w:rFonts w:hint="eastAsia"/>
        </w:rPr>
      </w:pPr>
      <w:r>
        <w:rPr>
          <w:rFonts w:hint="eastAsia"/>
        </w:rPr>
        <w:t>提升“一主”。</w:t>
      </w:r>
      <w:r>
        <w:rPr>
          <w:rFonts w:ascii="仿宋" w:cs="仿宋" w:hAnsi="仿宋" w:hint="eastAsia"/>
          <w:szCs w:val="32"/>
        </w:rPr>
        <w:t>指矿区主城，主要包括贾凤路以东、平涉路以西、以南，凤中路以北区域，是矿区主要的公共服务和商业服务中心；</w:t>
      </w:r>
      <w:r>
        <w:rPr>
          <w:rFonts w:hint="eastAsia"/>
        </w:rPr>
        <w:t>提升主城区人口集聚和辐射带动能力，高标准配置各项公共服务设施，作为全域服务中心，为产业发展做好支撑。</w:t>
      </w:r>
    </w:p>
    <w:p>
      <w:pPr>
        <w:pStyle w:val="21"/>
        <w:rPr>
          <w:rFonts w:ascii="Times New Roman" w:eastAsia="仿宋_GB2312" w:hAnsi="Times New Roman" w:hint="eastAsia"/>
          <w:sz w:val="32"/>
        </w:rPr>
      </w:pPr>
      <w:r>
        <w:rPr>
          <w:rFonts w:ascii="Times New Roman" w:eastAsia="仿宋_GB2312" w:hAnsi="Times New Roman" w:hint="eastAsia"/>
          <w:sz w:val="32"/>
        </w:rPr>
        <w:t>做优“两片”。指贾庄镇区片、凤山镇区片，做优片区特色产业，补齐镇区基本公共服务，为镇区居民和周边村庄提供服务。</w:t>
      </w:r>
    </w:p>
    <w:p>
      <w:pPr>
        <w:pStyle w:val="21"/>
        <w:rPr>
          <w:rFonts w:ascii="Times New Roman" w:eastAsia="仿宋_GB2312" w:hAnsi="Times New Roman" w:hint="eastAsia"/>
          <w:sz w:val="32"/>
        </w:rPr>
      </w:pPr>
      <w:r>
        <w:rPr>
          <w:rFonts w:ascii="Times New Roman" w:eastAsia="仿宋_GB2312" w:hAnsi="Times New Roman" w:hint="eastAsia"/>
          <w:sz w:val="32"/>
        </w:rPr>
        <w:t>壮大“三</w:t>
      </w:r>
      <w:r>
        <w:rPr>
          <w:rFonts w:ascii="Times New Roman" w:eastAsia="仿宋_GB2312" w:hAnsi="Times New Roman" w:hint="eastAsia"/>
          <w:sz w:val="32"/>
          <w:lang w:val="en-US" w:eastAsia="zh-CN"/>
        </w:rPr>
        <w:t>园</w:t>
      </w:r>
      <w:r>
        <w:rPr>
          <w:rFonts w:ascii="Times New Roman" w:eastAsia="仿宋_GB2312" w:hAnsi="Times New Roman" w:hint="eastAsia"/>
          <w:sz w:val="32"/>
        </w:rPr>
        <w:t>”。指</w:t>
      </w:r>
      <w:r>
        <w:rPr>
          <w:rFonts w:ascii="Times New Roman" w:eastAsia="仿宋_GB2312" w:hAnsi="Times New Roman" w:hint="eastAsia"/>
          <w:sz w:val="32"/>
          <w:lang w:val="en-US" w:eastAsia="zh-CN"/>
        </w:rPr>
        <w:t>工业园区的</w:t>
      </w:r>
      <w:r>
        <w:rPr>
          <w:rFonts w:ascii="Times New Roman" w:eastAsia="仿宋_GB2312" w:hAnsi="Times New Roman" w:hint="eastAsia"/>
          <w:sz w:val="32"/>
        </w:rPr>
        <w:t>西区特钢产业园、东区装备制造园、北区建材产业园</w:t>
      </w:r>
      <w:r>
        <w:rPr>
          <w:rFonts w:ascii="Times New Roman" w:eastAsia="仿宋_GB2312" w:hAnsi="Times New Roman" w:hint="eastAsia"/>
          <w:sz w:val="32"/>
          <w:lang w:eastAsia="zh-CN"/>
        </w:rPr>
        <w:t>，</w:t>
      </w:r>
      <w:r>
        <w:rPr>
          <w:rFonts w:ascii="Times New Roman" w:eastAsia="仿宋_GB2312" w:hAnsi="Times New Roman" w:hint="eastAsia"/>
          <w:sz w:val="32"/>
          <w:lang w:val="en-US" w:eastAsia="zh-CN"/>
        </w:rPr>
        <w:t>引导产业向园区集聚，形成差异化分工，打造先进制造业发展高地</w:t>
      </w:r>
      <w:r>
        <w:rPr>
          <w:rFonts w:ascii="Times New Roman" w:eastAsia="仿宋_GB2312" w:hAnsi="Times New Roman" w:hint="eastAsia"/>
          <w:sz w:val="32"/>
        </w:rPr>
        <w:t>。</w:t>
      </w:r>
    </w:p>
    <w:p>
      <w:pPr>
        <w:pStyle w:val="3"/>
        <w:rPr>
          <w:rFonts w:hint="eastAsia"/>
        </w:rPr>
      </w:pPr>
      <w:r>
        <w:rPr>
          <w:rFonts w:hint="eastAsia"/>
        </w:rPr>
        <w:t>完善三级镇村体系</w:t>
      </w:r>
    </w:p>
    <w:p>
      <w:pPr>
        <w:rPr>
          <w:rFonts w:hint="eastAsia"/>
        </w:rPr>
      </w:pPr>
      <w:r>
        <w:rPr>
          <w:rFonts w:hint="eastAsia"/>
        </w:rPr>
        <w:t>提升城区发展能级，增强综合承载能力，完善中心村的服务功能，构建城区—中心村—一般村三级城镇体系。</w:t>
      </w:r>
    </w:p>
    <w:p>
      <w:pPr>
        <w:rPr>
          <w:rFonts w:hint="eastAsia"/>
        </w:rPr>
      </w:pPr>
      <w:r>
        <w:rPr>
          <w:rFonts w:hint="eastAsia"/>
        </w:rPr>
        <w:t>城区是综合服务中心与先进制造业集聚地，主要承担行政、文化、商务、办公、教育等综合性服务功能；不断提升城市综合服务能力与产业发展质量，增强城区对区域的辐射带动作用。</w:t>
      </w:r>
    </w:p>
    <w:p>
      <w:pPr>
        <w:rPr>
          <w:rFonts w:hint="eastAsia"/>
        </w:rPr>
      </w:pPr>
      <w:r>
        <w:rPr>
          <w:rFonts w:hint="eastAsia"/>
        </w:rPr>
        <w:t>中心村为荆蒲兰村，是</w:t>
      </w:r>
      <w:r>
        <w:rPr>
          <w:rFonts w:hint="eastAsia"/>
          <w:lang w:val="en-US" w:eastAsia="zh-CN"/>
        </w:rPr>
        <w:t>井陉</w:t>
      </w:r>
      <w:r>
        <w:rPr>
          <w:rFonts w:hint="eastAsia"/>
        </w:rPr>
        <w:t>矿区乡村振兴的重要节点，加强公共设施配置及服务能力，满足周边居民的日常生活服务和农业生产服务需求。</w:t>
      </w:r>
    </w:p>
    <w:p>
      <w:pPr>
        <w:rPr>
          <w:rFonts w:hint="eastAsia"/>
        </w:rPr>
      </w:pPr>
      <w:r>
        <w:rPr>
          <w:rFonts w:hint="eastAsia"/>
        </w:rPr>
        <w:t>一般村包括北寨、张家井、南井沟村，主要为居民居住生活空间。</w:t>
      </w:r>
    </w:p>
    <w:p>
      <w:pPr>
        <w:pStyle w:val="2"/>
        <w:numPr>
          <w:ilvl w:val="1"/>
          <w:numId w:val="2"/>
        </w:numPr>
        <w:tabs>
          <w:tab w:val="left" w:pos="320"/>
        </w:tabs>
        <w:ind w:left="0" w:firstLine="0"/>
        <w:rPr>
          <w:rFonts w:hint="eastAsia"/>
        </w:rPr>
      </w:pPr>
      <w:bookmarkStart w:id="33" w:name="_Toc61446540"/>
      <w:bookmarkStart w:id="34" w:name="_Toc130991285"/>
      <w:r>
        <w:rPr>
          <w:rFonts w:hint="eastAsia"/>
        </w:rPr>
        <w:t>明确国土空间规划分区</w:t>
      </w:r>
      <w:bookmarkEnd w:id="33"/>
      <w:bookmarkEnd w:id="34"/>
    </w:p>
    <w:p>
      <w:pPr>
        <w:pStyle w:val="3"/>
        <w:rPr>
          <w:rFonts w:hint="eastAsia"/>
        </w:rPr>
      </w:pPr>
      <w:r>
        <w:rPr>
          <w:rFonts w:hint="eastAsia"/>
        </w:rPr>
        <w:t>国土空间规划分区</w:t>
      </w:r>
    </w:p>
    <w:p>
      <w:r>
        <w:t>按照主体功能定位和空间治理要求，划定生态保护区、生态控制区、农田保护区、城镇发展区、乡村发展区五类国土空间规划分区。</w:t>
      </w:r>
      <w:r>
        <w:rPr>
          <w:rFonts w:hint="eastAsia"/>
        </w:rPr>
        <w:t>并将城镇发展区、乡村发展区细化至二级分区。</w:t>
      </w:r>
    </w:p>
    <w:p>
      <w:r>
        <w:t>生态保护区</w:t>
      </w:r>
      <w:r>
        <w:rPr>
          <w:rFonts w:hint="eastAsia"/>
        </w:rPr>
        <w:t>8.5</w:t>
      </w:r>
      <w:r>
        <w:t>平方千米，占比1</w:t>
      </w:r>
      <w:r>
        <w:rPr>
          <w:rFonts w:hint="eastAsia"/>
        </w:rPr>
        <w:t>1.94</w:t>
      </w:r>
      <w:r>
        <w:t>%。主要为生态保护红线，是在生态空间范围内具有特殊重要生态功能、必须强制性严格保护的区域，</w:t>
      </w:r>
      <w:r>
        <w:rPr>
          <w:rFonts w:hint="eastAsia"/>
        </w:rPr>
        <w:t>主要</w:t>
      </w:r>
      <w:r>
        <w:t>分布在西部</w:t>
      </w:r>
      <w:r>
        <w:rPr>
          <w:rFonts w:hint="eastAsia"/>
        </w:rPr>
        <w:t>清凉山</w:t>
      </w:r>
      <w:r>
        <w:t>、</w:t>
      </w:r>
      <w:r>
        <w:rPr>
          <w:rFonts w:hint="eastAsia"/>
        </w:rPr>
        <w:t>北部台阳山、东部青石岭，</w:t>
      </w:r>
      <w:r>
        <w:t>区内</w:t>
      </w:r>
      <w:r>
        <w:rPr>
          <w:rFonts w:hint="eastAsia"/>
        </w:rPr>
        <w:t>应</w:t>
      </w:r>
      <w:r>
        <w:t>严格</w:t>
      </w:r>
      <w:r>
        <w:rPr>
          <w:rFonts w:hint="eastAsia"/>
        </w:rPr>
        <w:t>执行</w:t>
      </w:r>
      <w:r>
        <w:t>生态保护红线管控要求。</w:t>
      </w:r>
    </w:p>
    <w:p>
      <w:r>
        <w:t>生态控制区</w:t>
      </w:r>
      <w:r>
        <w:rPr>
          <w:rFonts w:hint="eastAsia"/>
        </w:rPr>
        <w:t>14.41</w:t>
      </w:r>
      <w:r>
        <w:t>平方千米，占比</w:t>
      </w:r>
      <w:r>
        <w:rPr>
          <w:rFonts w:hint="eastAsia"/>
        </w:rPr>
        <w:t>20.25</w:t>
      </w:r>
      <w:r>
        <w:t>%。主要为生态保护红线外公益林、水源保护区、主要河流等</w:t>
      </w:r>
      <w:r>
        <w:rPr>
          <w:rFonts w:hint="eastAsia"/>
        </w:rPr>
        <w:t>生态保护</w:t>
      </w:r>
      <w:r>
        <w:t>区域。</w:t>
      </w:r>
      <w:r>
        <w:rPr>
          <w:rFonts w:hint="eastAsia"/>
        </w:rPr>
        <w:t>区内应</w:t>
      </w:r>
      <w:r>
        <w:t>加强林地保护修复，提高水源涵养能力，</w:t>
      </w:r>
      <w:r>
        <w:rPr>
          <w:rFonts w:hint="eastAsia"/>
        </w:rPr>
        <w:t>做好</w:t>
      </w:r>
      <w:r>
        <w:t>河道生态防护</w:t>
      </w:r>
      <w:r>
        <w:rPr>
          <w:rFonts w:hint="eastAsia"/>
        </w:rPr>
        <w:t>和修复</w:t>
      </w:r>
      <w:r>
        <w:t>，</w:t>
      </w:r>
      <w:r>
        <w:rPr>
          <w:rFonts w:hint="eastAsia"/>
        </w:rPr>
        <w:t>防治河流</w:t>
      </w:r>
      <w:r>
        <w:t>污染。</w:t>
      </w:r>
    </w:p>
    <w:p>
      <w:r>
        <w:t>农田保护区</w:t>
      </w:r>
      <w:r>
        <w:rPr>
          <w:rFonts w:hint="eastAsia"/>
        </w:rPr>
        <w:t>7.53</w:t>
      </w:r>
      <w:r>
        <w:t>平方千米，占比</w:t>
      </w:r>
      <w:r>
        <w:rPr>
          <w:rFonts w:hint="eastAsia"/>
        </w:rPr>
        <w:t>10.54</w:t>
      </w:r>
      <w:r>
        <w:t>%。主要为永久基本农田相对集中区域。区内</w:t>
      </w:r>
      <w:r>
        <w:rPr>
          <w:rFonts w:hint="eastAsia"/>
        </w:rPr>
        <w:t>应严格执行</w:t>
      </w:r>
      <w:r>
        <w:t>永久基本农田</w:t>
      </w:r>
      <w:r>
        <w:rPr>
          <w:rFonts w:hint="eastAsia"/>
        </w:rPr>
        <w:t>管理规定</w:t>
      </w:r>
      <w:r>
        <w:t>，开展高标准农田建设和土地整治，提高农田质量。</w:t>
      </w:r>
    </w:p>
    <w:p>
      <w:r>
        <w:t>城镇发展区</w:t>
      </w:r>
      <w:r>
        <w:rPr>
          <w:rFonts w:hint="eastAsia"/>
        </w:rPr>
        <w:t>23.60</w:t>
      </w:r>
      <w:r>
        <w:t>平方千米，占比</w:t>
      </w:r>
      <w:r>
        <w:rPr>
          <w:rFonts w:hint="eastAsia"/>
        </w:rPr>
        <w:t>33.17</w:t>
      </w:r>
      <w:r>
        <w:t>%。主要为城镇开发边界围合的范围，是城镇集中开发建设、满足城镇生产生活需要的区域。区内</w:t>
      </w:r>
      <w:r>
        <w:rPr>
          <w:rFonts w:hint="eastAsia"/>
        </w:rPr>
        <w:t>应</w:t>
      </w:r>
      <w:r>
        <w:t>严格落实城镇开发边界管控要求。</w:t>
      </w:r>
    </w:p>
    <w:p>
      <w:r>
        <w:t>乡村发展区</w:t>
      </w:r>
      <w:r>
        <w:rPr>
          <w:rFonts w:hint="eastAsia"/>
        </w:rPr>
        <w:t>17.11</w:t>
      </w:r>
      <w:r>
        <w:t>平方千米，占比</w:t>
      </w:r>
      <w:r>
        <w:rPr>
          <w:rFonts w:hint="eastAsia"/>
        </w:rPr>
        <w:t>24.05</w:t>
      </w:r>
      <w:r>
        <w:t>%。主要为农田保护区外农业发展</w:t>
      </w:r>
      <w:r>
        <w:rPr>
          <w:rFonts w:hint="eastAsia"/>
        </w:rPr>
        <w:t>、</w:t>
      </w:r>
      <w:r>
        <w:t>农民集中生产生活的区域。区内重点优化</w:t>
      </w:r>
      <w:r>
        <w:rPr>
          <w:rFonts w:hint="eastAsia"/>
        </w:rPr>
        <w:t>村庄</w:t>
      </w:r>
      <w:r>
        <w:t>布局，合理保障农业生产和生活需求。</w:t>
      </w:r>
    </w:p>
    <w:p>
      <w:pPr>
        <w:pStyle w:val="3"/>
        <w:rPr>
          <w:rFonts w:hint="eastAsia"/>
        </w:rPr>
      </w:pPr>
      <w:r>
        <w:rPr>
          <w:rFonts w:hint="eastAsia"/>
        </w:rPr>
        <w:t>优化用途结构</w:t>
      </w:r>
    </w:p>
    <w:p>
      <w:pPr>
        <w:rPr>
          <w:shd w:val="clear" w:color="auto" w:fill="FFFFFF"/>
        </w:rPr>
      </w:pPr>
      <w:r>
        <w:rPr>
          <w:shd w:val="clear" w:color="auto" w:fill="FFFFFF"/>
        </w:rPr>
        <w:t>严格落实《</w:t>
      </w:r>
      <w:r>
        <w:rPr>
          <w:rFonts w:hint="eastAsia"/>
          <w:shd w:val="clear" w:color="auto" w:fill="FFFFFF"/>
        </w:rPr>
        <w:t>石家庄市</w:t>
      </w:r>
      <w:r>
        <w:rPr>
          <w:shd w:val="clear" w:color="auto" w:fill="FFFFFF"/>
        </w:rPr>
        <w:t>国土空间</w:t>
      </w:r>
      <w:r>
        <w:rPr>
          <w:rFonts w:hint="eastAsia"/>
          <w:shd w:val="clear" w:color="auto" w:fill="FFFFFF"/>
        </w:rPr>
        <w:t>总体</w:t>
      </w:r>
      <w:r>
        <w:rPr>
          <w:shd w:val="clear" w:color="auto" w:fill="FFFFFF"/>
        </w:rPr>
        <w:t>规划（2021</w:t>
      </w:r>
      <w:r>
        <w:rPr>
          <w:rFonts w:hint="eastAsia"/>
          <w:shd w:val="clear" w:color="auto" w:fill="FFFFFF"/>
        </w:rPr>
        <w:t>—</w:t>
      </w:r>
      <w:r>
        <w:rPr>
          <w:shd w:val="clear" w:color="auto" w:fill="FFFFFF"/>
        </w:rPr>
        <w:t>2035年）》各项约束性指标，以资源环境承载能力和国土空间开发适宜性评价为基础，</w:t>
      </w:r>
      <w:r>
        <w:rPr>
          <w:rFonts w:hint="eastAsia"/>
          <w:shd w:val="clear" w:color="auto" w:fill="FFFFFF"/>
        </w:rPr>
        <w:t>优先</w:t>
      </w:r>
      <w:r>
        <w:rPr>
          <w:shd w:val="clear" w:color="auto" w:fill="FFFFFF"/>
        </w:rPr>
        <w:t>保障农业、生态、基础设施用地需求，严格控制各类建设占用</w:t>
      </w:r>
      <w:r>
        <w:t>农用地</w:t>
      </w:r>
      <w:r>
        <w:rPr>
          <w:shd w:val="clear" w:color="auto" w:fill="FFFFFF"/>
        </w:rPr>
        <w:t>和生态用地，</w:t>
      </w:r>
      <w:r>
        <w:rPr>
          <w:rFonts w:hint="eastAsia"/>
          <w:shd w:val="clear" w:color="auto" w:fill="FFFFFF"/>
        </w:rPr>
        <w:t>确</w:t>
      </w:r>
      <w:r>
        <w:rPr>
          <w:shd w:val="clear" w:color="auto" w:fill="FFFFFF"/>
        </w:rPr>
        <w:t xml:space="preserve">保粮食和生态安全。 </w:t>
      </w:r>
    </w:p>
    <w:p>
      <w:pPr>
        <w:rPr>
          <w:shd w:val="clear" w:color="auto" w:fill="FFFFFF"/>
        </w:rPr>
      </w:pPr>
      <w:r>
        <w:rPr>
          <w:shd w:val="clear" w:color="auto" w:fill="FFFFFF"/>
        </w:rPr>
        <w:t>合理调整农用地结构。通过农业种植结构调整，逐步引导园地、林地向</w:t>
      </w:r>
      <w:r>
        <w:t>山区</w:t>
      </w:r>
      <w:r>
        <w:rPr>
          <w:shd w:val="clear" w:color="auto" w:fill="FFFFFF"/>
        </w:rPr>
        <w:t>转移，实现耕地集中连片布局。鼓励农用地</w:t>
      </w:r>
      <w:r>
        <w:rPr>
          <w:rFonts w:hint="eastAsia"/>
          <w:shd w:val="clear" w:color="auto" w:fill="FFFFFF"/>
        </w:rPr>
        <w:t>高</w:t>
      </w:r>
      <w:r>
        <w:rPr>
          <w:shd w:val="clear" w:color="auto" w:fill="FFFFFF"/>
        </w:rPr>
        <w:t>效利用。因地制宜复垦建设用地、</w:t>
      </w:r>
      <w:r>
        <w:t>开发</w:t>
      </w:r>
      <w:r>
        <w:rPr>
          <w:shd w:val="clear" w:color="auto" w:fill="FFFFFF"/>
        </w:rPr>
        <w:t>未利用地，补充耕地规模。</w:t>
      </w:r>
    </w:p>
    <w:p>
      <w:pPr>
        <w:rPr>
          <w:shd w:val="clear" w:color="auto" w:fill="FFFFFF"/>
        </w:rPr>
      </w:pPr>
      <w:r>
        <w:rPr>
          <w:shd w:val="clear" w:color="auto" w:fill="FFFFFF"/>
        </w:rPr>
        <w:t>优化生态用地布局。优先保护自然保护</w:t>
      </w:r>
      <w:r>
        <w:rPr>
          <w:rFonts w:hint="eastAsia"/>
          <w:shd w:val="clear" w:color="auto" w:fill="FFFFFF"/>
        </w:rPr>
        <w:t>地以及</w:t>
      </w:r>
      <w:r>
        <w:rPr>
          <w:shd w:val="clear" w:color="auto" w:fill="FFFFFF"/>
        </w:rPr>
        <w:t>林地、园地、湿地等生态用地。加快推进国土绿化行动，重点在西部</w:t>
      </w:r>
      <w:r>
        <w:rPr>
          <w:rFonts w:hint="eastAsia"/>
          <w:shd w:val="clear" w:color="auto" w:fill="FFFFFF"/>
        </w:rPr>
        <w:t>、东部、北部</w:t>
      </w:r>
      <w:r>
        <w:rPr>
          <w:shd w:val="clear" w:color="auto" w:fill="FFFFFF"/>
        </w:rPr>
        <w:t>山地，通过荒山荒坡造林、农村建设用地整治，提升土地生态化水平。适度保留其他自然保留地，发挥生态功能，保持生态平衡。</w:t>
      </w:r>
    </w:p>
    <w:p>
      <w:pPr>
        <w:rPr>
          <w:rFonts w:ascii="仿宋" w:cs="仿宋" w:hAnsi="仿宋" w:hint="eastAsia"/>
        </w:rPr>
      </w:pPr>
      <w:r>
        <w:rPr>
          <w:shd w:val="clear" w:color="auto" w:fill="FFFFFF"/>
        </w:rPr>
        <w:t>严格控制建设用地总量。精准配置新增建设用地，优先保障省级</w:t>
      </w:r>
      <w:r>
        <w:t>交通</w:t>
      </w:r>
      <w:r>
        <w:rPr>
          <w:shd w:val="clear" w:color="auto" w:fill="FFFFFF"/>
        </w:rPr>
        <w:t>、能源等基础设施项目，</w:t>
      </w:r>
      <w:r>
        <w:rPr>
          <w:rFonts w:hint="eastAsia"/>
          <w:shd w:val="clear" w:color="auto" w:fill="FFFFFF"/>
        </w:rPr>
        <w:t>保障</w:t>
      </w:r>
      <w:r>
        <w:rPr>
          <w:shd w:val="clear" w:color="auto" w:fill="FFFFFF"/>
        </w:rPr>
        <w:t>产业、各类重要公共服务设施用地需求</w:t>
      </w:r>
      <w:r>
        <w:rPr>
          <w:rFonts w:hint="eastAsia"/>
          <w:shd w:val="clear" w:color="auto" w:fill="FFFFFF"/>
        </w:rPr>
        <w:t>，严格控制</w:t>
      </w:r>
      <w:r>
        <w:rPr>
          <w:shd w:val="clear" w:color="auto" w:fill="FFFFFF"/>
        </w:rPr>
        <w:t>村庄建设用地</w:t>
      </w:r>
      <w:r>
        <w:rPr>
          <w:rFonts w:hint="eastAsia"/>
          <w:shd w:val="clear" w:color="auto" w:fill="FFFFFF"/>
        </w:rPr>
        <w:t>规模增长</w:t>
      </w:r>
      <w:r>
        <w:rPr>
          <w:shd w:val="clear" w:color="auto" w:fill="FFFFFF"/>
        </w:rPr>
        <w:t>，</w:t>
      </w:r>
      <w:r>
        <w:rPr>
          <w:rFonts w:hint="eastAsia"/>
          <w:shd w:val="clear" w:color="auto" w:fill="FFFFFF"/>
        </w:rPr>
        <w:t>逐步降低人均城镇建设用地规模，整体</w:t>
      </w:r>
      <w:r>
        <w:rPr>
          <w:shd w:val="clear" w:color="auto" w:fill="FFFFFF"/>
        </w:rPr>
        <w:t>提高建设用地节约集约利用水平</w:t>
      </w:r>
      <w:r>
        <w:t>。</w:t>
      </w:r>
    </w:p>
    <w:p>
      <w:pPr>
        <w:rPr>
          <w:rFonts w:hint="eastAsia"/>
        </w:rPr>
      </w:pPr>
    </w:p>
    <w:p>
      <w:pPr>
        <w:rPr>
          <w:rFonts w:hint="eastAsia"/>
        </w:rPr>
      </w:pPr>
    </w:p>
    <w:p>
      <w:pPr>
        <w:rPr>
          <w:rFonts w:hint="eastAsia"/>
        </w:rPr>
      </w:pPr>
    </w:p>
    <w:p>
      <w:pPr>
        <w:pStyle w:val="1"/>
        <w:ind w:firstLine="0"/>
        <w:rPr>
          <w:rFonts w:ascii="黑体" w:cs="黑体" w:hAnsi="黑体" w:hint="eastAsia"/>
          <w:szCs w:val="40"/>
        </w:rPr>
      </w:pPr>
      <w:r>
        <w:rPr>
          <w:rFonts w:ascii="黑体" w:cs="黑体" w:hAnsi="黑体" w:hint="eastAsia"/>
          <w:szCs w:val="40"/>
        </w:rPr>
        <w:br w:type="page"/>
      </w:r>
      <w:bookmarkStart w:id="35" w:name="_Toc130991286"/>
      <w:r>
        <w:rPr>
          <w:rFonts w:ascii="黑体" w:cs="黑体" w:hAnsi="黑体" w:hint="eastAsia"/>
          <w:szCs w:val="40"/>
        </w:rPr>
        <w:t>推进</w:t>
      </w:r>
      <w:r>
        <w:rPr>
          <w:rFonts w:hint="eastAsia"/>
        </w:rPr>
        <w:t>耕地保护与乡村振兴</w:t>
      </w:r>
      <w:bookmarkEnd w:id="35"/>
    </w:p>
    <w:p>
      <w:pPr>
        <w:pStyle w:val="2"/>
        <w:numPr>
          <w:ilvl w:val="1"/>
          <w:numId w:val="3"/>
        </w:numPr>
        <w:tabs>
          <w:tab w:val="left" w:pos="320"/>
        </w:tabs>
        <w:ind w:left="0" w:firstLine="0"/>
        <w:rPr>
          <w:rFonts w:hint="eastAsia"/>
        </w:rPr>
      </w:pPr>
      <w:bookmarkStart w:id="36" w:name="_Toc17117"/>
      <w:bookmarkStart w:id="37" w:name="_Toc4557"/>
      <w:bookmarkStart w:id="38" w:name="_Toc130991287"/>
      <w:r>
        <w:rPr>
          <w:rFonts w:hint="eastAsia"/>
        </w:rPr>
        <w:t>实施耕地“三位一体”保护</w:t>
      </w:r>
      <w:bookmarkEnd w:id="36"/>
      <w:bookmarkEnd w:id="37"/>
      <w:bookmarkEnd w:id="38"/>
    </w:p>
    <w:p>
      <w:pPr>
        <w:pStyle w:val="3"/>
        <w:rPr>
          <w:rFonts w:hint="eastAsia"/>
        </w:rPr>
      </w:pPr>
      <w:r>
        <w:rPr>
          <w:rFonts w:hint="eastAsia"/>
        </w:rPr>
        <w:t>稳定优质耕地布局</w:t>
      </w:r>
    </w:p>
    <w:p>
      <w:pPr>
        <w:rPr>
          <w:rFonts w:hint="eastAsia"/>
        </w:rPr>
      </w:pPr>
      <w:r>
        <w:rPr>
          <w:rFonts w:hint="eastAsia"/>
          <w:shd w:val="clear" w:color="auto" w:fill="FFFFFF"/>
        </w:rPr>
        <w:t>坚持最严格的耕地保护制度，落实保护任务，</w:t>
      </w:r>
      <w:r>
        <w:rPr>
          <w:shd w:val="clear" w:color="auto" w:fill="FFFFFF"/>
        </w:rPr>
        <w:t>实施耕地数量、</w:t>
      </w:r>
      <w:r>
        <w:t>质量</w:t>
      </w:r>
      <w:r>
        <w:rPr>
          <w:shd w:val="clear" w:color="auto" w:fill="FFFFFF"/>
        </w:rPr>
        <w:t>、生态</w:t>
      </w:r>
      <w:r>
        <w:rPr>
          <w:rFonts w:hint="eastAsia"/>
          <w:shd w:val="clear" w:color="auto" w:fill="FFFFFF"/>
        </w:rPr>
        <w:t>“</w:t>
      </w:r>
      <w:r>
        <w:rPr>
          <w:shd w:val="clear" w:color="auto" w:fill="FFFFFF"/>
        </w:rPr>
        <w:t>三位一体</w:t>
      </w:r>
      <w:r>
        <w:rPr>
          <w:rFonts w:hint="eastAsia"/>
          <w:shd w:val="clear" w:color="auto" w:fill="FFFFFF"/>
        </w:rPr>
        <w:t>”</w:t>
      </w:r>
      <w:r>
        <w:rPr>
          <w:shd w:val="clear" w:color="auto" w:fill="FFFFFF"/>
        </w:rPr>
        <w:t>保护。</w:t>
      </w:r>
      <w:r>
        <w:rPr>
          <w:rFonts w:hint="eastAsia"/>
          <w:shd w:val="clear" w:color="auto" w:fill="FFFFFF"/>
        </w:rPr>
        <w:t>压实耕地保护主体责任，健全耕地保护和粮食安全责任目标考核机制，各级党委和政府逐级签订耕地保护和粮食安全责任书，实行耕地保护党政同责、终身追责。</w:t>
      </w:r>
      <w:r>
        <w:rPr>
          <w:rFonts w:hint="eastAsia"/>
        </w:rPr>
        <w:t>全面落实上级下达的耕地保有量和永久基本农田保护任务，推进耕地保护由单纯的数量保护向数量、质量和生态“三位一体”全面保护转变。</w:t>
      </w:r>
    </w:p>
    <w:p>
      <w:pPr>
        <w:pStyle w:val="3"/>
        <w:rPr>
          <w:rFonts w:hint="eastAsia"/>
        </w:rPr>
      </w:pPr>
      <w:r>
        <w:rPr>
          <w:rFonts w:hint="eastAsia"/>
        </w:rPr>
        <w:t>严格耕地用途管制</w:t>
      </w:r>
    </w:p>
    <w:p>
      <w:pPr>
        <w:rPr>
          <w:rFonts w:hint="eastAsia"/>
          <w:u w:val="single"/>
        </w:rPr>
      </w:pPr>
      <w:r>
        <w:rPr>
          <w:rFonts w:hint="eastAsia"/>
          <w:u w:val="single"/>
        </w:rPr>
        <w:t>落实“长牙齿”的耕地保护硬措施，严格落实耕地利用优先序，坚决守住耕地红线，防止耕地非农化、非粮化。</w:t>
      </w:r>
    </w:p>
    <w:p>
      <w:pPr>
        <w:rPr>
          <w:shd w:val="clear" w:color="auto" w:fill="FFFFFF"/>
        </w:rPr>
      </w:pPr>
      <w:r>
        <w:rPr>
          <w:u w:val="single"/>
          <w:shd w:val="clear" w:color="auto" w:fill="FFFFFF"/>
        </w:rPr>
        <w:t>禁止占用耕地建窑、建坟</w:t>
      </w:r>
      <w:r>
        <w:rPr>
          <w:u w:val="single"/>
        </w:rPr>
        <w:t>或者</w:t>
      </w:r>
      <w:r>
        <w:rPr>
          <w:u w:val="single"/>
          <w:shd w:val="clear" w:color="auto" w:fill="FFFFFF"/>
        </w:rPr>
        <w:t>擅</w:t>
      </w:r>
      <w:r>
        <w:rPr>
          <w:u w:val="single"/>
        </w:rPr>
        <w:t>自在耕地上建房、挖砂、采石、采矿、取土等。</w:t>
      </w:r>
      <w:r>
        <w:rPr>
          <w:u w:val="single"/>
          <w:shd w:val="clear" w:color="auto" w:fill="FFFFFF"/>
        </w:rPr>
        <w:t>禁止任何单位和个人闲置、荒芜耕地。严格控制耕地转为林地、草地、园地等其他农用地，严格控制新增农村道路、畜禽养殖设施、水产养殖设施和破坏耕作层的种植业设施等农业设施建设用地使用一般耕地；不得在一般耕地上挖湖造景、种植草皮；不得违规超标准在铁路、公路等用地红线外，以及河渠两侧、水库周边占用一般耕地种树建设绿化带，未经批准不得占用一般耕地实施国土绿化。</w:t>
      </w:r>
    </w:p>
    <w:p>
      <w:pPr>
        <w:rPr>
          <w:rFonts w:hint="eastAsia"/>
          <w:u w:val="single"/>
        </w:rPr>
      </w:pPr>
      <w:r>
        <w:rPr>
          <w:u w:val="single"/>
          <w:shd w:val="clear" w:color="auto" w:fill="FFFFFF"/>
        </w:rPr>
        <w:t>对永久基本农田实施特殊保护。永久基本农田不得转为林地、草地、园地等其他农用地及农业设施建设用地；严禁占用永久基本农田</w:t>
      </w:r>
      <w:r>
        <w:rPr>
          <w:u w:val="single"/>
        </w:rPr>
        <w:t>发展</w:t>
      </w:r>
      <w:r>
        <w:rPr>
          <w:u w:val="single"/>
          <w:shd w:val="clear" w:color="auto" w:fill="FFFFFF"/>
        </w:rPr>
        <w:t>林果业、挖塘养鱼和种植苗木、草皮等用于绿化装饰以及其他破坏耕作层的植物；严禁占用永久基本农田挖湖造景、建设绿化带和建设畜禽养殖设施、水产养殖设施和破坏耕作层的种植业设施</w:t>
      </w:r>
      <w:r>
        <w:rPr>
          <w:rFonts w:hint="eastAsia"/>
          <w:u w:val="single"/>
          <w:shd w:val="clear" w:color="auto" w:fill="FFFFFF"/>
        </w:rPr>
        <w:t>。</w:t>
      </w:r>
    </w:p>
    <w:p>
      <w:pPr>
        <w:pStyle w:val="3"/>
        <w:rPr>
          <w:rFonts w:hint="eastAsia"/>
        </w:rPr>
      </w:pPr>
      <w:r>
        <w:rPr>
          <w:rFonts w:hint="eastAsia"/>
        </w:rPr>
        <w:t>落实耕地“占补平衡”和“进出平衡”</w:t>
      </w:r>
    </w:p>
    <w:p>
      <w:pPr>
        <w:rPr>
          <w:rFonts w:hint="eastAsia"/>
        </w:rPr>
      </w:pPr>
      <w:r>
        <w:rPr>
          <w:rFonts w:hint="eastAsia"/>
          <w:u w:val="single"/>
        </w:rPr>
        <w:t>加强耕地管理，严把选址关、验收关和利用关，确保耕地“占补平衡”和“进出平衡”落实到位。</w:t>
      </w:r>
      <w:r>
        <w:rPr>
          <w:rFonts w:hint="eastAsia"/>
        </w:rPr>
        <w:t>各类非农业建设经批准占用耕地的，严格依据供地政策，制定项目用地控制指标、严格市场准入条件等措施，从源头上减少占用，加强建设项目选址和用地的评价和论证，建设项目选址必须把减少占用耕地作为比选的重要因素，确需占用的，必须按照“占多少，垦多少”的原则，由占用耕地的单位负责开垦与所占用耕地的数量和质量相当的耕地，没有条件开垦或开垦的耕地不符合要求的，应当缴纳耕地开垦费，专款用于开垦新的耕地。</w:t>
      </w:r>
    </w:p>
    <w:p>
      <w:pPr>
        <w:rPr>
          <w:rFonts w:hint="eastAsia"/>
        </w:rPr>
      </w:pPr>
      <w:r>
        <w:rPr>
          <w:shd w:val="clear" w:color="auto" w:fill="FFFFFF"/>
        </w:rPr>
        <w:t>因农业结构调整、农业设施建设等，确需将耕地转为林地、草地、园地等其他农用地及农业设施建设用地的，应当按照</w:t>
      </w:r>
      <w:r>
        <w:rPr>
          <w:rFonts w:hint="eastAsia"/>
          <w:shd w:val="clear" w:color="auto" w:fill="FFFFFF"/>
        </w:rPr>
        <w:t>“</w:t>
      </w:r>
      <w:r>
        <w:rPr>
          <w:shd w:val="clear" w:color="auto" w:fill="FFFFFF"/>
        </w:rPr>
        <w:t>出多少，进多少</w:t>
      </w:r>
      <w:r>
        <w:rPr>
          <w:rFonts w:hint="eastAsia"/>
          <w:shd w:val="clear" w:color="auto" w:fill="FFFFFF"/>
        </w:rPr>
        <w:t>”</w:t>
      </w:r>
      <w:r>
        <w:rPr>
          <w:shd w:val="clear" w:color="auto" w:fill="FFFFFF"/>
        </w:rPr>
        <w:t>的原则，通过统筹林地、草地、园地等其他农用地及农业设施建设用地整治为耕地等方式，补足同等数量、质量的可以长期稳定利用的耕地，</w:t>
      </w:r>
      <w:r>
        <w:rPr>
          <w:rFonts w:hint="eastAsia"/>
        </w:rPr>
        <w:t>对耕地转为其他农用地及农业设施建设用地实行年度“进出平衡”，并严格补足同等数量、质量的可以长期稳定利用的耕地，及时统筹落实。</w:t>
      </w:r>
    </w:p>
    <w:p>
      <w:pPr>
        <w:pStyle w:val="3"/>
      </w:pPr>
      <w:r>
        <w:rPr>
          <w:rFonts w:hint="eastAsia"/>
        </w:rPr>
        <w:t>持续提升耕地质量</w:t>
      </w:r>
    </w:p>
    <w:p>
      <w:pPr>
        <w:rPr>
          <w:rFonts w:hint="eastAsia"/>
        </w:rPr>
      </w:pPr>
      <w:r>
        <w:rPr>
          <w:rFonts w:hint="eastAsia"/>
        </w:rPr>
        <w:t>加强高标准农田建设，提高优质耕地比重，提升耕地质量。因地制宜推广保护性耕作，提高耕地耕层厚度和有机质含量。对于连片化程度较差或耕地质量等别较低的地区，在符合生态保护和农业条件的基础上，积极实施现有耕地提质改造等工程，促使耕地向规模化、集中化和优质化方向发展。</w:t>
      </w:r>
    </w:p>
    <w:p>
      <w:pPr>
        <w:pStyle w:val="3"/>
        <w:rPr>
          <w:rFonts w:hint="eastAsia"/>
        </w:rPr>
      </w:pPr>
      <w:r>
        <w:rPr>
          <w:rFonts w:hint="eastAsia"/>
        </w:rPr>
        <w:t>拓宽补充耕地途径</w:t>
      </w:r>
    </w:p>
    <w:p>
      <w:pPr>
        <w:rPr>
          <w:rFonts w:hint="eastAsia"/>
        </w:rPr>
      </w:pPr>
      <w:r>
        <w:rPr>
          <w:rFonts w:hint="eastAsia"/>
        </w:rPr>
        <w:t>按照不低于周边耕地质量、具有农田灌溉条件和能够提高耕地集中连片程度的原则，有序开展耕地补充。按照统筹规划、突出重点、用途适宜、经济可行的要求，立足优先农业利用、恢复生产功能、鼓励多用途使用、改善生态环境，科学实施农用地整理、农村建设用地整治，工矿废弃地复垦、后备土地资源开发，对用地结构进行优化配置和合理布局，合理安排土地的利用方向、规模和时序，有效增加耕地面积。</w:t>
      </w:r>
    </w:p>
    <w:p>
      <w:pPr>
        <w:pStyle w:val="3"/>
        <w:rPr>
          <w:rFonts w:hint="eastAsia"/>
        </w:rPr>
      </w:pPr>
      <w:r>
        <w:rPr>
          <w:rFonts w:hint="eastAsia"/>
        </w:rPr>
        <w:t>逐步改善耕地生态</w:t>
      </w:r>
    </w:p>
    <w:p>
      <w:pPr>
        <w:rPr>
          <w:rFonts w:hAnsi="仿宋" w:hint="eastAsia"/>
          <w:szCs w:val="32"/>
        </w:rPr>
      </w:pPr>
      <w:r>
        <w:rPr>
          <w:rFonts w:hint="eastAsia"/>
        </w:rPr>
        <w:t>推进矿区生态化土地综合整治，从生态化、全局化的角度统筹安排耕地周边生态修复项目，保持生态环境与农田基础设施更加配套，建成“田成方、林成网、路相通、渠相连、旱能灌、涝能排”的优质、高效、高产、稳产的农田，使耕地的生态环境保持良好的状态，增强农田生态系统的抗逆性和缓冲性，提升系统生态功能和景观功能，实现耕地生产与生态功能的统一。</w:t>
      </w:r>
    </w:p>
    <w:p>
      <w:pPr>
        <w:pStyle w:val="2"/>
        <w:numPr>
          <w:ilvl w:val="1"/>
          <w:numId w:val="3"/>
        </w:numPr>
        <w:tabs>
          <w:tab w:val="left" w:pos="320"/>
        </w:tabs>
        <w:ind w:left="0" w:firstLine="0"/>
        <w:rPr>
          <w:rFonts w:hint="eastAsia"/>
        </w:rPr>
      </w:pPr>
      <w:bookmarkStart w:id="39" w:name="_Toc130991288"/>
      <w:bookmarkStart w:id="40" w:name="_Toc61446543"/>
      <w:r>
        <w:rPr>
          <w:rFonts w:hint="eastAsia"/>
        </w:rPr>
        <w:t>优化农业生产布局</w:t>
      </w:r>
      <w:bookmarkEnd w:id="39"/>
    </w:p>
    <w:p>
      <w:pPr>
        <w:pStyle w:val="3"/>
        <w:rPr>
          <w:rFonts w:hint="eastAsia"/>
        </w:rPr>
      </w:pPr>
      <w:r>
        <w:rPr>
          <w:rFonts w:hint="eastAsia"/>
        </w:rPr>
        <w:t>推进粮食生产功能区建设</w:t>
      </w:r>
    </w:p>
    <w:p>
      <w:pPr>
        <w:rPr>
          <w:rFonts w:hint="eastAsia"/>
        </w:rPr>
      </w:pPr>
      <w:r>
        <w:rPr>
          <w:shd w:val="clear" w:color="auto" w:fill="FFFFFF"/>
        </w:rPr>
        <w:t>以永久基本农田为基础，调整农业结构，优化粮食生产功能区布局。以</w:t>
      </w:r>
      <w:r>
        <w:rPr>
          <w:rFonts w:hint="eastAsia"/>
          <w:shd w:val="clear" w:color="auto" w:fill="FFFFFF"/>
        </w:rPr>
        <w:t>中部盆地</w:t>
      </w:r>
      <w:r>
        <w:rPr>
          <w:shd w:val="clear" w:color="auto" w:fill="FFFFFF"/>
        </w:rPr>
        <w:t>为核心，大力推进粮食生产基地建设，打造小麦生产基地</w:t>
      </w:r>
      <w:r>
        <w:rPr>
          <w:rFonts w:hint="eastAsia"/>
          <w:shd w:val="clear" w:color="auto" w:fill="FFFFFF"/>
        </w:rPr>
        <w:t>；合理</w:t>
      </w:r>
      <w:r>
        <w:rPr>
          <w:shd w:val="clear" w:color="auto" w:fill="FFFFFF"/>
        </w:rPr>
        <w:t>减少</w:t>
      </w:r>
      <w:r>
        <w:rPr>
          <w:rFonts w:hint="eastAsia"/>
          <w:shd w:val="clear" w:color="auto" w:fill="FFFFFF"/>
        </w:rPr>
        <w:t>采煤沉陷区</w:t>
      </w:r>
      <w:r>
        <w:rPr>
          <w:shd w:val="clear" w:color="auto" w:fill="FFFFFF"/>
        </w:rPr>
        <w:t>和生态退化地区小麦播种面积，确保粮食生产</w:t>
      </w:r>
      <w:r>
        <w:rPr>
          <w:rFonts w:hint="eastAsia"/>
          <w:shd w:val="clear" w:color="auto" w:fill="FFFFFF"/>
        </w:rPr>
        <w:t>可持续发展</w:t>
      </w:r>
      <w:r>
        <w:rPr>
          <w:shd w:val="clear" w:color="auto" w:fill="FFFFFF"/>
        </w:rPr>
        <w:t>。</w:t>
      </w:r>
    </w:p>
    <w:p>
      <w:pPr>
        <w:pStyle w:val="3"/>
        <w:rPr>
          <w:rFonts w:hint="eastAsia"/>
        </w:rPr>
      </w:pPr>
      <w:r>
        <w:rPr>
          <w:rFonts w:hint="eastAsia"/>
        </w:rPr>
        <w:t>推动特色优势农业集群发展</w:t>
      </w:r>
    </w:p>
    <w:p>
      <w:pPr>
        <w:rPr>
          <w:rFonts w:hint="eastAsia"/>
          <w:shd w:val="clear" w:color="auto" w:fill="FFFFFF"/>
        </w:rPr>
      </w:pPr>
      <w:r>
        <w:rPr>
          <w:shd w:val="clear" w:color="auto" w:fill="FFFFFF"/>
        </w:rPr>
        <w:t>优化</w:t>
      </w:r>
      <w:r>
        <w:rPr>
          <w:rFonts w:hint="eastAsia"/>
          <w:shd w:val="clear" w:color="auto" w:fill="FFFFFF"/>
        </w:rPr>
        <w:t>农业</w:t>
      </w:r>
      <w:r>
        <w:rPr>
          <w:shd w:val="clear" w:color="auto" w:fill="FFFFFF"/>
        </w:rPr>
        <w:t>产业结构和产品结构</w:t>
      </w:r>
      <w:r>
        <w:rPr>
          <w:rFonts w:hint="eastAsia"/>
          <w:shd w:val="clear" w:color="auto" w:fill="FFFFFF"/>
        </w:rPr>
        <w:t>，依托昊源苹果名优品种，</w:t>
      </w:r>
      <w:r>
        <w:rPr>
          <w:shd w:val="clear" w:color="auto" w:fill="FFFFFF"/>
        </w:rPr>
        <w:t>打造山地苹果产业集群，</w:t>
      </w:r>
      <w:r>
        <w:rPr>
          <w:rFonts w:hint="eastAsia"/>
          <w:shd w:val="clear" w:color="auto" w:fill="FFFFFF"/>
        </w:rPr>
        <w:t>培育发展</w:t>
      </w:r>
      <w:r>
        <w:rPr>
          <w:shd w:val="clear" w:color="auto" w:fill="FFFFFF"/>
        </w:rPr>
        <w:t>优质食用菌产业集群</w:t>
      </w:r>
      <w:r>
        <w:rPr>
          <w:rFonts w:hint="eastAsia"/>
          <w:shd w:val="clear" w:color="auto" w:fill="FFFFFF"/>
        </w:rPr>
        <w:t>，提高台阳山红嘴香椿种植面积和产量，打造石家庄市西部特色农业集群。</w:t>
      </w:r>
    </w:p>
    <w:p>
      <w:pPr>
        <w:pStyle w:val="3"/>
        <w:rPr>
          <w:rFonts w:hint="eastAsia"/>
        </w:rPr>
      </w:pPr>
      <w:r>
        <w:rPr>
          <w:rFonts w:hint="eastAsia"/>
        </w:rPr>
        <w:t>发展现代设施农业和生态休闲农业</w:t>
      </w:r>
    </w:p>
    <w:p>
      <w:pPr>
        <w:rPr>
          <w:rFonts w:hint="eastAsia"/>
          <w:shd w:val="clear" w:color="auto" w:fill="FFFFFF"/>
        </w:rPr>
      </w:pPr>
      <w:r>
        <w:rPr>
          <w:shd w:val="clear" w:color="auto" w:fill="FFFFFF"/>
        </w:rPr>
        <w:t>合理保障设施农业用地，在保护生态环境基础上，支持利用空闲地、废弃地发展现代设施农业。</w:t>
      </w:r>
      <w:r>
        <w:rPr>
          <w:rFonts w:hint="eastAsia"/>
          <w:shd w:val="clear" w:color="auto" w:fill="FFFFFF"/>
        </w:rPr>
        <w:t>加强</w:t>
      </w:r>
      <w:r>
        <w:rPr>
          <w:shd w:val="clear" w:color="auto" w:fill="FFFFFF"/>
        </w:rPr>
        <w:t>现代设施农业项目同乡村振兴项目相衔接，</w:t>
      </w:r>
      <w:r>
        <w:rPr>
          <w:rFonts w:hint="eastAsia"/>
          <w:shd w:val="clear" w:color="auto" w:fill="FFFFFF"/>
        </w:rPr>
        <w:t>统筹</w:t>
      </w:r>
      <w:r>
        <w:rPr>
          <w:shd w:val="clear" w:color="auto" w:fill="FFFFFF"/>
        </w:rPr>
        <w:t>农业现代化示范区、特色农业集群、农业产业园等</w:t>
      </w:r>
      <w:r>
        <w:rPr>
          <w:rFonts w:hint="eastAsia"/>
          <w:shd w:val="clear" w:color="auto" w:fill="FFFFFF"/>
        </w:rPr>
        <w:t>建设</w:t>
      </w:r>
      <w:r>
        <w:rPr>
          <w:shd w:val="clear" w:color="auto" w:fill="FFFFFF"/>
        </w:rPr>
        <w:t>。以</w:t>
      </w:r>
      <w:r>
        <w:rPr>
          <w:rFonts w:hint="eastAsia"/>
          <w:shd w:val="clear" w:color="auto" w:fill="FFFFFF"/>
        </w:rPr>
        <w:t>西部、北部和南部荆蒲兰飞地</w:t>
      </w:r>
      <w:r>
        <w:rPr>
          <w:shd w:val="clear" w:color="auto" w:fill="FFFFFF"/>
        </w:rPr>
        <w:t>为重点，推进农业与文化、旅游、健康等</w:t>
      </w:r>
      <w:r>
        <w:rPr>
          <w:rFonts w:hint="eastAsia"/>
          <w:shd w:val="clear" w:color="auto" w:fill="FFFFFF"/>
        </w:rPr>
        <w:t>服务</w:t>
      </w:r>
      <w:r>
        <w:rPr>
          <w:shd w:val="clear" w:color="auto" w:fill="FFFFFF"/>
        </w:rPr>
        <w:t>深度融合，创建休闲农业精品园区</w:t>
      </w:r>
      <w:r>
        <w:rPr>
          <w:rFonts w:hint="eastAsia"/>
          <w:shd w:val="clear" w:color="auto" w:fill="FFFFFF"/>
        </w:rPr>
        <w:t>，</w:t>
      </w:r>
      <w:r>
        <w:rPr>
          <w:shd w:val="clear" w:color="auto" w:fill="FFFFFF"/>
        </w:rPr>
        <w:t>形成休闲农业发展新格局</w:t>
      </w:r>
      <w:r>
        <w:rPr>
          <w:rFonts w:hint="eastAsia"/>
          <w:shd w:val="clear" w:color="auto" w:fill="FFFFFF"/>
        </w:rPr>
        <w:t>。</w:t>
      </w:r>
    </w:p>
    <w:p>
      <w:pPr>
        <w:pStyle w:val="2"/>
        <w:numPr>
          <w:ilvl w:val="1"/>
          <w:numId w:val="3"/>
        </w:numPr>
        <w:tabs>
          <w:tab w:val="left" w:pos="320"/>
        </w:tabs>
        <w:ind w:left="0" w:firstLine="0"/>
        <w:rPr>
          <w:rFonts w:hint="eastAsia"/>
        </w:rPr>
      </w:pPr>
      <w:bookmarkStart w:id="41" w:name="_Toc130991289"/>
      <w:bookmarkStart w:id="42" w:name="_Toc28172"/>
      <w:bookmarkStart w:id="43" w:name="_Toc25488"/>
      <w:r>
        <w:rPr>
          <w:rFonts w:hint="eastAsia"/>
        </w:rPr>
        <w:t>建设宜居宜业美丽乡村</w:t>
      </w:r>
      <w:bookmarkEnd w:id="41"/>
      <w:bookmarkEnd w:id="42"/>
      <w:bookmarkEnd w:id="43"/>
    </w:p>
    <w:p>
      <w:pPr>
        <w:pStyle w:val="3"/>
        <w:rPr>
          <w:rFonts w:hint="eastAsia"/>
        </w:rPr>
      </w:pPr>
      <w:r>
        <w:rPr>
          <w:rFonts w:hint="eastAsia"/>
        </w:rPr>
        <w:t xml:space="preserve">分区分类优化村庄布局 </w:t>
      </w:r>
    </w:p>
    <w:p>
      <w:pPr>
        <w:rPr>
          <w:rFonts w:hint="eastAsia"/>
        </w:rPr>
      </w:pPr>
      <w:r>
        <w:rPr>
          <w:rFonts w:hint="eastAsia"/>
        </w:rPr>
        <w:t>根据井陉矿区村庄特点，在乡村发展分区的基础上，按照特色保护、保留改善等两种类型引导村庄布局和建设，合理确定村庄建设边界，防止村庄建设用地无序蔓延，为乡村产业留足发展空间，严禁乱占耕地建房。</w:t>
      </w:r>
    </w:p>
    <w:p>
      <w:pPr>
        <w:rPr>
          <w:rFonts w:hint="eastAsia"/>
        </w:rPr>
      </w:pPr>
      <w:r>
        <w:t>特色保护类村庄</w:t>
      </w:r>
      <w:r>
        <w:rPr>
          <w:rFonts w:hint="eastAsia"/>
        </w:rPr>
        <w:t>。主要包括贾庄村和南凤山村等2个村庄。</w:t>
      </w:r>
      <w:r>
        <w:t>统筹保护与发展的关系，保护好</w:t>
      </w:r>
      <w:r>
        <w:rPr>
          <w:rFonts w:hint="eastAsia"/>
        </w:rPr>
        <w:t>历史文化名村和传统村落格局、自然山水风貌、</w:t>
      </w:r>
      <w:r>
        <w:t>历史建筑、传统民居等</w:t>
      </w:r>
      <w:r>
        <w:rPr>
          <w:rFonts w:hint="eastAsia"/>
        </w:rPr>
        <w:t>自然文化遗产</w:t>
      </w:r>
      <w:r>
        <w:t>，引导村庄特色化发展</w:t>
      </w:r>
      <w:r>
        <w:rPr>
          <w:rFonts w:hint="eastAsia"/>
        </w:rPr>
        <w:t>。</w:t>
      </w:r>
    </w:p>
    <w:p>
      <w:pPr>
        <w:rPr>
          <w:rFonts w:hint="eastAsia"/>
        </w:rPr>
      </w:pPr>
      <w:r>
        <w:t>保留改善类村庄</w:t>
      </w:r>
      <w:r>
        <w:rPr>
          <w:rFonts w:hint="eastAsia"/>
        </w:rPr>
        <w:t>。主要包括北寨、张家井</w:t>
      </w:r>
      <w:r>
        <w:rPr>
          <w:rFonts w:hint="eastAsia"/>
          <w:lang w:val="en-US" w:eastAsia="zh-CN"/>
        </w:rPr>
        <w:t>北区</w:t>
      </w:r>
      <w:r>
        <w:rPr>
          <w:rFonts w:hint="eastAsia"/>
        </w:rPr>
        <w:t>、南井沟、荆蒲兰等4个村庄。</w:t>
      </w:r>
      <w:r>
        <w:t>有序推进农村环境整治与改造提升，</w:t>
      </w:r>
      <w:r>
        <w:rPr>
          <w:rFonts w:hint="eastAsia"/>
        </w:rPr>
        <w:t>完善</w:t>
      </w:r>
      <w:r>
        <w:t>基础设施和公共服务设施</w:t>
      </w:r>
      <w:r>
        <w:rPr>
          <w:rFonts w:hint="eastAsia"/>
        </w:rPr>
        <w:t>。</w:t>
      </w:r>
    </w:p>
    <w:p>
      <w:pPr>
        <w:pStyle w:val="3"/>
        <w:rPr>
          <w:rFonts w:hint="eastAsia"/>
        </w:rPr>
      </w:pPr>
      <w:r>
        <w:rPr>
          <w:rFonts w:hint="eastAsia"/>
        </w:rPr>
        <w:t>推动一二三产业融合发展</w:t>
      </w:r>
    </w:p>
    <w:p>
      <w:pPr>
        <w:rPr>
          <w:spacing w:val="8"/>
          <w:shd w:val="clear" w:color="auto" w:fill="FFFFFF"/>
        </w:rPr>
      </w:pPr>
      <w:r>
        <w:t>大力发展现代农业、乡村特色产业</w:t>
      </w:r>
      <w:r>
        <w:rPr>
          <w:rFonts w:hint="eastAsia"/>
        </w:rPr>
        <w:t>，</w:t>
      </w:r>
      <w:r>
        <w:t>打造农产品加工业、生态休闲农业等多业态融合发展</w:t>
      </w:r>
      <w:r>
        <w:rPr>
          <w:rFonts w:hint="eastAsia"/>
        </w:rPr>
        <w:t>农村</w:t>
      </w:r>
      <w:r>
        <w:t>产业新模式。聚焦重点产业，聚集资源要素，</w:t>
      </w:r>
      <w:r>
        <w:rPr>
          <w:rFonts w:hint="eastAsia"/>
        </w:rPr>
        <w:t>支持</w:t>
      </w:r>
      <w:r>
        <w:t>农村创业创新。稳妥有序推进农村集体经营性建设用地入市，</w:t>
      </w:r>
      <w:r>
        <w:rPr>
          <w:rFonts w:hint="eastAsia"/>
        </w:rPr>
        <w:t>加强</w:t>
      </w:r>
      <w:r>
        <w:t>农村产业</w:t>
      </w:r>
      <w:r>
        <w:rPr>
          <w:rFonts w:hint="eastAsia"/>
        </w:rPr>
        <w:t>支撑保障</w:t>
      </w:r>
      <w:r>
        <w:rPr>
          <w:spacing w:val="8"/>
          <w:shd w:val="clear" w:color="auto" w:fill="FFFFFF"/>
        </w:rPr>
        <w:t>。</w:t>
      </w:r>
    </w:p>
    <w:p>
      <w:pPr>
        <w:pStyle w:val="3"/>
        <w:rPr>
          <w:rFonts w:hint="eastAsia"/>
        </w:rPr>
      </w:pPr>
      <w:r>
        <w:rPr>
          <w:rFonts w:hint="eastAsia"/>
        </w:rPr>
        <w:t>提升人居环境品质</w:t>
      </w:r>
    </w:p>
    <w:p>
      <w:pPr>
        <w:rPr>
          <w:spacing w:val="8"/>
          <w:shd w:val="clear" w:color="auto" w:fill="FFFFFF"/>
        </w:rPr>
      </w:pPr>
      <w:r>
        <w:rPr>
          <w:rFonts w:hint="eastAsia"/>
        </w:rPr>
        <w:t>以村容村貌美、服务设施美、生态环境美、富民产业美、社会和谐美“五美”为主要目标，统筹</w:t>
      </w:r>
      <w:r>
        <w:t>产业发展</w:t>
      </w:r>
      <w:r>
        <w:rPr>
          <w:rFonts w:hint="eastAsia"/>
        </w:rPr>
        <w:t>与</w:t>
      </w:r>
      <w:r>
        <w:t>生态环境保护</w:t>
      </w:r>
      <w:r>
        <w:rPr>
          <w:rFonts w:hint="eastAsia"/>
        </w:rPr>
        <w:t>关系</w:t>
      </w:r>
      <w:r>
        <w:t>，培育</w:t>
      </w:r>
      <w:r>
        <w:rPr>
          <w:rFonts w:hint="eastAsia"/>
        </w:rPr>
        <w:t>特色鲜明、优势突出的农产品产业，加大农村危房改造力度，提升农房建设质量，改善交通、水利、能源、电力、电信等基础设施条件，加快补齐教育、医疗卫生、社会保障、养老、文化体育等公共服务短板，因地制宜推进农村厕所革命、生活垃圾处理、生活污水治理和村庄绿化美化。统筹农村环境整治和田园风貌保护提升，打造宜居和美乡村</w:t>
      </w:r>
      <w:r>
        <w:rPr>
          <w:spacing w:val="8"/>
          <w:shd w:val="clear" w:color="auto" w:fill="FFFFFF"/>
        </w:rPr>
        <w:t>。</w:t>
      </w:r>
    </w:p>
    <w:p>
      <w:pPr>
        <w:pStyle w:val="2"/>
        <w:numPr>
          <w:ilvl w:val="1"/>
          <w:numId w:val="3"/>
        </w:numPr>
        <w:tabs>
          <w:tab w:val="left" w:pos="320"/>
        </w:tabs>
        <w:ind w:left="0" w:firstLine="0"/>
        <w:rPr>
          <w:rFonts w:hint="eastAsia"/>
        </w:rPr>
      </w:pPr>
      <w:bookmarkStart w:id="44" w:name="_Toc130991290"/>
      <w:r>
        <w:rPr>
          <w:rFonts w:hint="eastAsia"/>
        </w:rPr>
        <w:t>加强土地综合整治</w:t>
      </w:r>
      <w:bookmarkEnd w:id="40"/>
      <w:bookmarkEnd w:id="44"/>
    </w:p>
    <w:p>
      <w:pPr>
        <w:rPr>
          <w:rFonts w:hint="eastAsia"/>
        </w:rPr>
      </w:pPr>
      <w:r>
        <w:rPr>
          <w:rFonts w:hint="eastAsia"/>
        </w:rPr>
        <w:t>针对空间治理问题，分类开展国土综合整治，有序盘活存量，提高国土空间品质和价值。根据整治地区的功能特点和主要整治内容，分为城镇地区国土综合整治、乡村地区国土综合整治和采煤沉陷区国土综合整治。</w:t>
      </w:r>
    </w:p>
    <w:p>
      <w:pPr>
        <w:pStyle w:val="3"/>
        <w:rPr>
          <w:rFonts w:hint="eastAsia"/>
        </w:rPr>
      </w:pPr>
      <w:r>
        <w:rPr>
          <w:rFonts w:hint="eastAsia"/>
        </w:rPr>
        <w:t>乡村地区国土综合整治</w:t>
      </w:r>
    </w:p>
    <w:p>
      <w:pPr>
        <w:rPr>
          <w:rFonts w:hint="eastAsia"/>
        </w:rPr>
      </w:pPr>
      <w:r>
        <w:rPr>
          <w:rFonts w:hint="eastAsia"/>
        </w:rPr>
        <w:t>通过对乡村农用地和村庄建设用地进行整治，推进各类低效农用地整治，打造规模集中连片、高质量、高标准的农业生产格局；通过工矿废弃地的整理复垦，有效补充耕地资源，同时改善生态环境；调整优化农村居民点用地布局，完善农村基础设施与公共服务设施，稳步推进美丽宜居乡村建设，加快“空心村”整治，保护自然人文景观及生态环境，传承乡村文化景观特色；通过对人居生态环境进行综合整治，有效改善大气环境、水环境，提高人居生产生活环境质量。</w:t>
      </w:r>
    </w:p>
    <w:p>
      <w:pPr>
        <w:pStyle w:val="3"/>
        <w:rPr>
          <w:rFonts w:hint="eastAsia"/>
        </w:rPr>
      </w:pPr>
      <w:r>
        <w:rPr>
          <w:rFonts w:hint="eastAsia"/>
        </w:rPr>
        <w:t>农用地整理</w:t>
      </w:r>
    </w:p>
    <w:p>
      <w:pPr>
        <w:rPr>
          <w:rFonts w:hint="eastAsia"/>
        </w:rPr>
      </w:pPr>
      <w:r>
        <w:rPr>
          <w:rFonts w:hint="eastAsia"/>
        </w:rPr>
        <w:t>围绕耕地保护和乡村振兴，全面推进农用地整理。通过对田、水、路、林、村的综合整治，改造和完善农业配套基础设施，对用地结构进行优化配置和合理布局，增加有效耕地面积，改良土壤，完善农田水利设施，提高耕地质量，提高农业综合生产能力</w:t>
      </w:r>
      <w:r>
        <w:rPr>
          <w:rFonts w:hint="eastAsia"/>
          <w:lang w:eastAsia="zh-CN"/>
        </w:rPr>
        <w:t>；</w:t>
      </w:r>
      <w:r>
        <w:rPr>
          <w:rFonts w:hint="eastAsia"/>
        </w:rPr>
        <w:t>实行田、水、路、林综合治理，提高农业抗御自然灾害能力</w:t>
      </w:r>
      <w:r>
        <w:rPr>
          <w:rFonts w:hint="eastAsia"/>
          <w:lang w:eastAsia="zh-CN"/>
        </w:rPr>
        <w:t>；</w:t>
      </w:r>
      <w:r>
        <w:rPr>
          <w:rFonts w:hint="eastAsia"/>
        </w:rPr>
        <w:t>加强农田防护林等生态建设，逐步形成点、带、网、片相结合的复合生态系统，改善农田生态环境。规划到2035年</w:t>
      </w:r>
      <w:r>
        <w:rPr>
          <w:rFonts w:hint="eastAsia"/>
          <w:lang w:eastAsia="zh-CN"/>
        </w:rPr>
        <w:t>，</w:t>
      </w:r>
      <w:r>
        <w:rPr>
          <w:rFonts w:hint="eastAsia"/>
        </w:rPr>
        <w:t>全区完成农用地整理新增耕地面积1</w:t>
      </w:r>
      <w:r>
        <w:rPr>
          <w:rFonts w:hint="eastAsia"/>
          <w:lang w:val="en-US" w:eastAsia="zh-CN"/>
        </w:rPr>
        <w:t>.</w:t>
      </w:r>
      <w:r>
        <w:rPr>
          <w:rFonts w:hint="eastAsia"/>
        </w:rPr>
        <w:t>76</w:t>
      </w:r>
      <w:r>
        <w:rPr>
          <w:rFonts w:hint="eastAsia"/>
          <w:lang w:val="en-US" w:eastAsia="zh-CN"/>
        </w:rPr>
        <w:t>平方公里</w:t>
      </w:r>
      <w:r>
        <w:rPr>
          <w:rFonts w:hint="eastAsia"/>
        </w:rPr>
        <w:t>。</w:t>
      </w:r>
    </w:p>
    <w:p>
      <w:pPr>
        <w:pStyle w:val="3"/>
        <w:rPr>
          <w:rFonts w:hint="eastAsia"/>
        </w:rPr>
      </w:pPr>
      <w:r>
        <w:rPr>
          <w:rFonts w:hint="eastAsia"/>
        </w:rPr>
        <w:t>农村建设用地整治</w:t>
      </w:r>
    </w:p>
    <w:p>
      <w:pPr>
        <w:rPr>
          <w:rFonts w:ascii="Times New Roman" w:cs="Times New Roman" w:hAnsi="Times New Roman" w:hint="eastAsia"/>
        </w:rPr>
      </w:pPr>
      <w:r>
        <w:rPr>
          <w:rFonts w:ascii="Times New Roman" w:cs="Times New Roman" w:hAnsi="Times New Roman" w:hint="eastAsia"/>
        </w:rPr>
        <w:t>积极盘活农村建设用地，加强对低效利用的农村建设用地的整治力度，通过</w:t>
      </w:r>
      <w:r>
        <w:rPr>
          <w:rFonts w:ascii="Times New Roman" w:cs="Times New Roman" w:hAnsi="Times New Roman" w:hint="eastAsia"/>
          <w:lang w:val="en-US" w:eastAsia="zh-CN"/>
        </w:rPr>
        <w:t>腾退零散分布的工业、物流等集体经营性用地</w:t>
      </w:r>
      <w:r>
        <w:rPr>
          <w:rFonts w:ascii="Times New Roman" w:cs="Times New Roman" w:hAnsi="Times New Roman" w:hint="eastAsia"/>
        </w:rPr>
        <w:t>和闲置</w:t>
      </w:r>
      <w:r>
        <w:rPr>
          <w:rFonts w:ascii="Times New Roman" w:cs="Times New Roman" w:hAnsi="Times New Roman" w:hint="eastAsia"/>
          <w:lang w:val="en-US" w:eastAsia="zh-CN"/>
        </w:rPr>
        <w:t>废弃</w:t>
      </w:r>
      <w:r>
        <w:rPr>
          <w:rFonts w:ascii="Times New Roman" w:cs="Times New Roman" w:hAnsi="Times New Roman" w:hint="eastAsia"/>
        </w:rPr>
        <w:t>宅基地，稳妥推进农村建设用地整治。</w:t>
      </w:r>
    </w:p>
    <w:p>
      <w:pPr>
        <w:rPr>
          <w:rFonts w:hint="eastAsia"/>
        </w:rPr>
      </w:pPr>
      <w:r>
        <w:rPr>
          <w:rFonts w:hint="eastAsia"/>
        </w:rPr>
        <w:br w:type="page"/>
      </w:r>
    </w:p>
    <w:p>
      <w:pPr>
        <w:pStyle w:val="1"/>
        <w:ind w:firstLine="0"/>
      </w:pPr>
      <w:bookmarkStart w:id="45" w:name="_Toc130991291"/>
      <w:r>
        <w:rPr>
          <w:rFonts w:hint="eastAsia"/>
        </w:rPr>
        <w:t>加强自然资源保护与生态修复</w:t>
      </w:r>
      <w:bookmarkEnd w:id="45"/>
    </w:p>
    <w:p>
      <w:pPr>
        <w:pStyle w:val="2"/>
        <w:numPr>
          <w:ilvl w:val="1"/>
          <w:numId w:val="4"/>
        </w:numPr>
        <w:tabs>
          <w:tab w:val="left" w:pos="320"/>
        </w:tabs>
        <w:ind w:left="0" w:firstLine="0"/>
        <w:rPr>
          <w:rFonts w:hint="eastAsia"/>
        </w:rPr>
      </w:pPr>
      <w:bookmarkStart w:id="46" w:name="_Toc130991292"/>
      <w:bookmarkStart w:id="47" w:name="_Toc20060"/>
      <w:bookmarkStart w:id="48" w:name="_Toc10680"/>
      <w:bookmarkStart w:id="49" w:name="_Toc2771"/>
      <w:bookmarkStart w:id="50" w:name="_Toc27764"/>
      <w:bookmarkStart w:id="51" w:name="_Toc61446535"/>
      <w:r>
        <w:rPr>
          <w:rFonts w:hint="eastAsia"/>
        </w:rPr>
        <w:t>建立自然保护地体系</w:t>
      </w:r>
      <w:bookmarkEnd w:id="46"/>
      <w:bookmarkEnd w:id="47"/>
      <w:bookmarkEnd w:id="48"/>
      <w:bookmarkEnd w:id="49"/>
      <w:bookmarkEnd w:id="50"/>
    </w:p>
    <w:p>
      <w:pPr>
        <w:pStyle w:val="3"/>
        <w:rPr>
          <w:rFonts w:hint="eastAsia"/>
        </w:rPr>
      </w:pPr>
      <w:r>
        <w:rPr>
          <w:rFonts w:hint="eastAsia"/>
        </w:rPr>
        <w:t>构建科学合理的自然保护地体系</w:t>
      </w:r>
    </w:p>
    <w:p>
      <w:pPr>
        <w:pStyle w:val="16"/>
        <w:rPr>
          <w:rFonts w:ascii="Times New Roman" w:eastAsia="仿宋_GB2312" w:hAnsi="Times New Roman"/>
          <w:sz w:val="32"/>
          <w:lang w:val="zh-CN"/>
        </w:rPr>
      </w:pPr>
      <w:r>
        <w:rPr>
          <w:rFonts w:ascii="Times New Roman" w:eastAsia="仿宋_GB2312" w:hAnsi="Times New Roman"/>
          <w:sz w:val="32"/>
          <w:lang w:val="zh-CN"/>
        </w:rPr>
        <w:t>按照自然生态系统原真性、完整性、系统性保护要求，对现有的1处自然保护地，即清凉山</w:t>
      </w:r>
      <w:r>
        <w:rPr>
          <w:rFonts w:ascii="Times New Roman" w:eastAsia="仿宋_GB2312" w:hAnsi="Times New Roman"/>
          <w:sz w:val="32"/>
          <w:lang w:val="zh-CN"/>
        </w:rPr>
        <w:t>省级风景名胜区</w:t>
      </w:r>
      <w:r>
        <w:rPr>
          <w:rFonts w:ascii="Times New Roman" w:eastAsia="仿宋_GB2312" w:hAnsi="Times New Roman"/>
          <w:sz w:val="32"/>
          <w:lang w:val="zh-CN"/>
        </w:rPr>
        <w:t>开展优化，优化后面积8.62平方千米。</w:t>
      </w:r>
    </w:p>
    <w:p>
      <w:pPr>
        <w:pStyle w:val="3"/>
      </w:pPr>
      <w:r>
        <w:rPr>
          <w:rFonts w:hint="eastAsia"/>
        </w:rPr>
        <w:t>统筹自然保护地保护与利用</w:t>
      </w:r>
    </w:p>
    <w:p>
      <w:pPr>
        <w:rPr>
          <w:lang w:val="zh-CN"/>
        </w:rPr>
      </w:pPr>
      <w:r>
        <w:rPr>
          <w:lang w:val="zh-CN"/>
        </w:rPr>
        <w:t>以自然恢复为主、人工措施为辅，统筹自然保护地内生态廊道建设、重要栖息地恢复和废弃地修复，确保自然资源健康安全。丰富自然保护地生物多样性，保护自然保护地地质地貌景观，</w:t>
      </w:r>
      <w:r>
        <w:rPr>
          <w:rFonts w:hint="eastAsia"/>
        </w:rPr>
        <w:t>系统性保护</w:t>
      </w:r>
      <w:r>
        <w:rPr>
          <w:lang w:val="zh-CN"/>
        </w:rPr>
        <w:t>确保市域内重要自然生态系统、自然遗迹、自然景观和生物多样性，提升</w:t>
      </w:r>
      <w:r>
        <w:rPr>
          <w:rFonts w:hint="eastAsia"/>
        </w:rPr>
        <w:t>优质</w:t>
      </w:r>
      <w:r>
        <w:rPr>
          <w:lang w:val="zh-CN"/>
        </w:rPr>
        <w:t>生态产品供给能力。</w:t>
      </w:r>
    </w:p>
    <w:p>
      <w:pPr>
        <w:rPr>
          <w:lang w:val="zh-CN"/>
        </w:rPr>
      </w:pPr>
      <w:r>
        <w:rPr>
          <w:lang w:val="zh-CN"/>
        </w:rPr>
        <w:t>在</w:t>
      </w:r>
      <w:r>
        <w:rPr>
          <w:rFonts w:hint="eastAsia"/>
        </w:rPr>
        <w:t>严格</w:t>
      </w:r>
      <w:r>
        <w:rPr>
          <w:lang w:val="zh-CN"/>
        </w:rPr>
        <w:t>保护的前提下，</w:t>
      </w:r>
      <w:r>
        <w:rPr>
          <w:rFonts w:hint="eastAsia"/>
        </w:rPr>
        <w:t>依托清凉山</w:t>
      </w:r>
      <w:r>
        <w:rPr>
          <w:lang w:val="zh-CN"/>
        </w:rPr>
        <w:t>省级风景名胜区的自然之美和人文之胜，积极开展审美欣赏、野外游憩、科技教育、文化体验、娱乐休闲、户外运动、康体度假等旅游活动，形成体现</w:t>
      </w:r>
      <w:r>
        <w:rPr>
          <w:rFonts w:hint="eastAsia"/>
          <w:lang w:val="en-US" w:eastAsia="zh-CN"/>
        </w:rPr>
        <w:t>地域</w:t>
      </w:r>
      <w:r>
        <w:rPr>
          <w:lang w:val="zh-CN"/>
        </w:rPr>
        <w:t>自然和文化特色的风景游览地。</w:t>
      </w:r>
    </w:p>
    <w:p>
      <w:pPr>
        <w:pStyle w:val="2"/>
        <w:numPr>
          <w:ilvl w:val="1"/>
          <w:numId w:val="4"/>
        </w:numPr>
        <w:tabs>
          <w:tab w:val="left" w:pos="320"/>
        </w:tabs>
        <w:ind w:left="0" w:firstLine="0"/>
        <w:rPr>
          <w:rFonts w:hint="eastAsia"/>
        </w:rPr>
      </w:pPr>
      <w:bookmarkStart w:id="52" w:name="_Toc130991293"/>
      <w:r>
        <w:rPr>
          <w:rFonts w:hint="eastAsia"/>
        </w:rPr>
        <w:t>合理利用水资源</w:t>
      </w:r>
      <w:bookmarkEnd w:id="51"/>
      <w:bookmarkEnd w:id="52"/>
    </w:p>
    <w:p>
      <w:pPr>
        <w:pStyle w:val="3"/>
        <w:rPr>
          <w:rFonts w:hint="eastAsia"/>
        </w:rPr>
      </w:pPr>
      <w:r>
        <w:rPr>
          <w:rFonts w:hint="eastAsia"/>
        </w:rPr>
        <w:t>严格控制用水总量</w:t>
      </w:r>
    </w:p>
    <w:p>
      <w:r>
        <w:rPr>
          <w:rFonts w:hint="eastAsia"/>
        </w:rPr>
        <w:t>按照</w:t>
      </w:r>
      <w:r>
        <w:t>以水定城、以水定地、以水定人、以水定产</w:t>
      </w:r>
      <w:r>
        <w:rPr>
          <w:rFonts w:hint="eastAsia"/>
        </w:rPr>
        <w:t>要求</w:t>
      </w:r>
      <w:r>
        <w:t>，</w:t>
      </w:r>
      <w:r>
        <w:rPr>
          <w:rFonts w:hint="eastAsia"/>
        </w:rPr>
        <w:t>根据省级下达</w:t>
      </w:r>
      <w:r>
        <w:t>用水指标控制用水总量</w:t>
      </w:r>
      <w:r>
        <w:rPr>
          <w:rFonts w:hint="eastAsia"/>
        </w:rPr>
        <w:t>；坚持</w:t>
      </w:r>
      <w:r>
        <w:t>农业用水负增长、工业用水微增长、生活用水控制增长、生态用水适度增长的原则，合理调整用水结构。</w:t>
      </w:r>
    </w:p>
    <w:p>
      <w:pPr>
        <w:pStyle w:val="3"/>
        <w:rPr>
          <w:rFonts w:hint="eastAsia"/>
        </w:rPr>
      </w:pPr>
      <w:r>
        <w:rPr>
          <w:rFonts w:hint="eastAsia"/>
        </w:rPr>
        <w:t>优化水资源配置</w:t>
      </w:r>
    </w:p>
    <w:p>
      <w:pPr>
        <w:rPr>
          <w:rFonts w:hint="eastAsia"/>
        </w:rPr>
      </w:pPr>
      <w:r>
        <w:rPr>
          <w:rFonts w:hint="eastAsia"/>
        </w:rPr>
        <w:t>构建水源保障体系，形成多源互补供水格局。井陉矿区可利用水资源包括地表水、地下水和非常规水资源。</w:t>
      </w:r>
      <w:r>
        <w:rPr>
          <w:rFonts w:hint="eastAsia"/>
          <w:lang w:val="en-US" w:eastAsia="zh-CN"/>
        </w:rPr>
        <w:t>到</w:t>
      </w:r>
      <w:r>
        <w:rPr>
          <w:rFonts w:hint="eastAsia"/>
        </w:rPr>
        <w:t>2035年，水资源可利用总量为0.4</w:t>
      </w:r>
      <w:r>
        <w:rPr>
          <w:rFonts w:hint="eastAsia"/>
          <w:lang w:val="en-US" w:eastAsia="zh-CN"/>
        </w:rPr>
        <w:t>5</w:t>
      </w:r>
      <w:r>
        <w:rPr>
          <w:rFonts w:hint="eastAsia"/>
        </w:rPr>
        <w:t>亿立方米。</w:t>
      </w:r>
    </w:p>
    <w:p>
      <w:r>
        <w:rPr>
          <w:rFonts w:hint="eastAsia"/>
        </w:rPr>
        <w:t>在水资源总体供需平衡的基础上，按照用足用好地表水、推广利用非常规水、严格控制开采地下水的原则，优化水资源配置，实现城乡供水保障体系更加完善、水资源调控能力全面提升、水生态环境明显改善。地下水优先满足生活用水；地表水统筹保障工业、农业和生态用水；非常规水主要用于工业冷却、景观环境和城市杂用。通过水资源优化配置，确保地下水开采量不超过地下水开采总量红线控制指标。到2035年，井陉矿区年用水总量控制在0.40亿立方米以内，实现水资源供需平衡。</w:t>
      </w:r>
    </w:p>
    <w:p>
      <w:pPr>
        <w:pStyle w:val="3"/>
        <w:rPr>
          <w:rFonts w:hint="eastAsia"/>
        </w:rPr>
      </w:pPr>
      <w:r>
        <w:rPr>
          <w:rFonts w:hint="eastAsia"/>
        </w:rPr>
        <w:t>提高水资源利用效率</w:t>
      </w:r>
    </w:p>
    <w:p>
      <w:r>
        <w:rPr>
          <w:rFonts w:hint="eastAsia"/>
        </w:rPr>
        <w:t>调整农业种植结构，推广农业节水措施。因地制宜，努力形成低耗、高效、高产的农业种植结构，大力推广节水抗旱栽培技术、水肥一体化等节水措施，保障高效节水灌溉工程建设。</w:t>
      </w:r>
    </w:p>
    <w:p>
      <w:r>
        <w:rPr>
          <w:rFonts w:hint="eastAsia"/>
        </w:rPr>
        <w:t>优化工业产业结构，改造优化用水工艺。限制高耗水、高污染项目，推进节水工艺和设备升级，提高工业用水循环利用率。</w:t>
      </w:r>
    </w:p>
    <w:p>
      <w:pPr>
        <w:rPr>
          <w:rFonts w:hint="eastAsia"/>
        </w:rPr>
      </w:pPr>
      <w:r>
        <w:t>加强城镇节水降损，建设节水城市。</w:t>
      </w:r>
      <w:r>
        <w:rPr>
          <w:rFonts w:hint="eastAsia"/>
        </w:rPr>
        <w:t>推动供水厂、供水管网及农村供水工程节水改造，推广供水管网分区计量，建立数字化的管网监测控制系统，降低管网漏损率。</w:t>
      </w:r>
    </w:p>
    <w:p>
      <w:r>
        <w:rPr>
          <w:rFonts w:hint="eastAsia"/>
        </w:rPr>
        <w:t>提高非常规水资源利用率，实现分质供水。推进污水再生利用，再生水逐步替代新鲜水作为工业冷却、景观环境、城市杂用等水源。此外，加强雨水集蓄利用，落实海绵城市建设理念，通过“渗、滞、蓄、净、用、排”等多种措施，充分利用雨水资源。</w:t>
      </w:r>
    </w:p>
    <w:p>
      <w:pPr>
        <w:pStyle w:val="3"/>
        <w:rPr>
          <w:rFonts w:hint="eastAsia"/>
        </w:rPr>
      </w:pPr>
      <w:r>
        <w:rPr>
          <w:rFonts w:hint="eastAsia"/>
        </w:rPr>
        <w:t>加强水源保护和污染防治</w:t>
      </w:r>
    </w:p>
    <w:p>
      <w:r>
        <w:rPr>
          <w:rFonts w:ascii="Times New Roman" w:eastAsia="仿宋_GB2312" w:cs="仿宋_GB2312" w:hAnsi="Times New Roman" w:hint="eastAsia"/>
          <w:kern w:val="2"/>
          <w:sz w:val="32"/>
          <w:szCs w:val="24"/>
          <w:lang w:val="en-US" w:eastAsia="zh-CN"/>
        </w:rPr>
        <w:t>坚持以防为主、防治结合，重点加强境内石家庄市地表水水源二级保护区和准保护区、井陉矿区集中式饮用水水源一级保护区等重要饮用水水源保护，落实相关保护要求。强化源头控制、水陆统筹、系统治理，构建全流域、全过程、全口径水污染综合防治体系，深入推进工业和生活污水治理，全面防治城乡点源、面源污染，保障饮用水源安全</w:t>
      </w:r>
      <w:r>
        <w:t>。</w:t>
      </w:r>
    </w:p>
    <w:p>
      <w:r>
        <w:rPr>
          <w:rFonts w:hint="eastAsia"/>
        </w:rPr>
        <w:t>坚持以防为主、防治结合，加强饮用水水源保护。强化源头控制、水陆统筹、系统治理，构建全流域、全过程、全口径水污染综合防治体系，深入推进工业和生活污水治理，全面防治城乡点源、面源污染</w:t>
      </w:r>
      <w:r>
        <w:t>。</w:t>
      </w:r>
    </w:p>
    <w:p>
      <w:pPr>
        <w:pStyle w:val="2"/>
        <w:numPr>
          <w:ilvl w:val="1"/>
          <w:numId w:val="4"/>
        </w:numPr>
        <w:tabs>
          <w:tab w:val="left" w:pos="320"/>
        </w:tabs>
        <w:ind w:left="0" w:firstLine="0"/>
        <w:rPr>
          <w:rFonts w:hint="eastAsia"/>
        </w:rPr>
      </w:pPr>
      <w:bookmarkStart w:id="53" w:name="_Toc130991294"/>
      <w:bookmarkStart w:id="54" w:name="_Toc61446538"/>
      <w:r>
        <w:rPr>
          <w:rFonts w:hint="eastAsia"/>
        </w:rPr>
        <w:t>加强自然资源保护</w:t>
      </w:r>
      <w:bookmarkEnd w:id="53"/>
      <w:bookmarkEnd w:id="54"/>
    </w:p>
    <w:p>
      <w:pPr>
        <w:pStyle w:val="3"/>
        <w:rPr>
          <w:rFonts w:hint="eastAsia"/>
        </w:rPr>
      </w:pPr>
      <w:r>
        <w:rPr>
          <w:rFonts w:hint="eastAsia"/>
        </w:rPr>
        <w:t>持续推进造林和国土绿化</w:t>
      </w:r>
    </w:p>
    <w:p>
      <w:pPr>
        <w:rPr>
          <w:rFonts w:hint="eastAsia"/>
        </w:rPr>
      </w:pPr>
      <w:r>
        <w:rPr>
          <w:rFonts w:hint="eastAsia"/>
        </w:rPr>
        <w:t>加大林业资源保护力度。以我区西部山区为重点，采取封山育林、防火预警、防虫治虫等措施，加强西部深山区天然林封育保护以及清凉山</w:t>
      </w:r>
      <w:r>
        <w:rPr>
          <w:lang w:val="zh-CN"/>
        </w:rPr>
        <w:t>省级风景名胜区</w:t>
      </w:r>
      <w:r>
        <w:rPr>
          <w:rFonts w:hint="eastAsia"/>
        </w:rPr>
        <w:t>公益林管护，结合天然林保护工程实施，完善天然林防火防虫预警体系，有效提升森林保护能力。禁止天然林商业性采伐，实行天然林保护与公益林管理并轨。</w:t>
      </w:r>
    </w:p>
    <w:p>
      <w:pPr>
        <w:rPr>
          <w:rFonts w:hint="eastAsia"/>
        </w:rPr>
      </w:pPr>
      <w:r>
        <w:rPr>
          <w:rFonts w:hint="eastAsia"/>
        </w:rPr>
        <w:t>适地适绿推动林草建设。按照宜林则林、宜灌则灌、宜草则草原则，坚持数量与质量并重，因地制宜采取封山育林、人工造林、飞播造林、生态环境自动监测等多种措施推进林草植被建设，完善草原防灾预警体系；充分利用废地、荒地、废弃矿山，增加林草植被总量；统筹清凉山、绵右灌渠、水库周边、石太高速公路北线等重要交通干线两侧林网建设，有序安排年度造林绿化任务。</w:t>
      </w:r>
    </w:p>
    <w:p>
      <w:pPr>
        <w:rPr>
          <w:rFonts w:hint="eastAsia"/>
        </w:rPr>
      </w:pPr>
      <w:r>
        <w:rPr>
          <w:rFonts w:hint="eastAsia"/>
        </w:rPr>
        <w:t>提升森林系统质量。提高水源涵养林质量，调整优化林分结构、树种结构，提升混交林比例；对水土流失和砍伐区域进行补种，加强森林抚育，开展低效林改造，扩大天然公益林保护规模；城市内营建多树种、多层次、生物多样性指数高和景观生态效益显著的环境保护林，提升城市环境宜居性。</w:t>
      </w:r>
    </w:p>
    <w:p>
      <w:pPr>
        <w:rPr>
          <w:rFonts w:hint="eastAsia"/>
        </w:rPr>
      </w:pPr>
      <w:r>
        <w:rPr>
          <w:rFonts w:hint="eastAsia"/>
        </w:rPr>
        <w:t>严格林地管理。严格林地用途管制，实行占用林地总量控制。必须占用或者征收林地的，依法办理审批手续，严格落实“先补后占”管理机制；严格控制采矿、采砂、取土等对生态破坏较大的项目使用林地；使用省级林地定额的项目，确因建设需要无法落实先补后占的，允许实行“边占边补”；临时占用林地期满后按要求恢复乔灌林地。</w:t>
      </w:r>
    </w:p>
    <w:p>
      <w:pPr>
        <w:rPr>
          <w:rFonts w:hint="eastAsia"/>
        </w:rPr>
      </w:pPr>
      <w:r>
        <w:rPr>
          <w:rFonts w:hint="eastAsia"/>
        </w:rPr>
        <w:t>推进林地资源合理利用。挖掘现有林地资源产业优势，延伸山林产业发展链，发展林下经济、林产品保鲜储藏和精深加工等，培育“以林养林”新模式，探索“山林+”模式，培育经济林特色产业。</w:t>
      </w:r>
    </w:p>
    <w:p>
      <w:r>
        <w:rPr>
          <w:rFonts w:hint="eastAsia"/>
        </w:rPr>
        <w:t>实施绿色攻坚行动。根据井陉矿区发展需求，结合退耕还林、中幼林抚育和低质低效林改造等工程实施，以清凉山、绵右灌渠、水库周边、石太高速公路北线等重要交通干线以及其他生态敏感、脆弱地区为重点，本着因地制宜、适地适树的原则，注重乔、灌、草搭配，开展森林生态系统培育，提升森林生态系统质量和稳定性。</w:t>
      </w:r>
    </w:p>
    <w:p>
      <w:pPr>
        <w:pStyle w:val="3"/>
        <w:rPr>
          <w:rFonts w:hint="eastAsia"/>
        </w:rPr>
      </w:pPr>
      <w:r>
        <w:t>加强</w:t>
      </w:r>
      <w:r>
        <w:rPr>
          <w:rFonts w:hint="eastAsia"/>
        </w:rPr>
        <w:t>湿地资源保护利用</w:t>
      </w:r>
    </w:p>
    <w:p>
      <w:pPr>
        <w:rPr>
          <w:rFonts w:hint="eastAsia"/>
        </w:rPr>
      </w:pPr>
      <w:r>
        <w:rPr>
          <w:rFonts w:hint="eastAsia"/>
        </w:rPr>
        <w:t>坚持保护优先、严格管理、系统治理、科学修复、合理利用原则，对湿地实行分级管理，实行湿地面积总量管控，保障湿地生态功能和永续利用。严格保护清凉湾湿地公园等湿地资源，严格控制生产经营活动，不允许新建永久性建筑；其他一般湿地，在不破坏湿地资源、不改变湿地类型和性质前提下，经批准可开展生态旅游、生态种植养殖等活动。</w:t>
      </w:r>
    </w:p>
    <w:p>
      <w:pPr>
        <w:rPr>
          <w:rFonts w:hint="eastAsia"/>
        </w:rPr>
      </w:pPr>
      <w:r>
        <w:rPr>
          <w:rFonts w:hint="eastAsia"/>
        </w:rPr>
        <w:t>因地制宜采取水系</w:t>
      </w:r>
      <w:r>
        <w:rPr>
          <w:rFonts w:hint="eastAsia"/>
          <w:lang w:val="zh-CN"/>
        </w:rPr>
        <w:t>连通</w:t>
      </w:r>
      <w:r>
        <w:rPr>
          <w:rFonts w:hint="eastAsia"/>
        </w:rPr>
        <w:t>、清淤疏浚、水源涵养与水土保持等治理修复措施，提升湿地生态服务功能，严格管控湿地开发利用的生态环境影响，减少生物多样性干扰。</w:t>
      </w:r>
    </w:p>
    <w:p>
      <w:r>
        <w:rPr>
          <w:rFonts w:hint="eastAsia"/>
        </w:rPr>
        <w:t>结合小流域治理、河道整治等工程实施，修复湿地生态功能，科学选取湿地修复技术。综合考虑水文条件、气候条件、植物类型等因素，针对具体湿地问题进行技术的配置和组合。到2035年，湿地保护率达到55%。</w:t>
      </w:r>
    </w:p>
    <w:p>
      <w:pPr>
        <w:pStyle w:val="3"/>
        <w:rPr>
          <w:rFonts w:hint="eastAsia"/>
        </w:rPr>
      </w:pPr>
      <w:r>
        <w:rPr>
          <w:rFonts w:hint="eastAsia"/>
        </w:rPr>
        <w:t>强化矿产资源保护利用</w:t>
      </w:r>
    </w:p>
    <w:p>
      <w:pPr>
        <w:spacing w:before="0" w:line="560" w:lineRule="exact"/>
        <w:ind w:firstLine="640"/>
        <w:jc w:val="both"/>
        <w:rPr>
          <w:rFonts w:ascii="仿宋" w:cs="仿宋" w:hAnsi="仿宋" w:hint="eastAsia"/>
          <w:szCs w:val="32"/>
          <w:lang w:val="en-US" w:eastAsia="zh-CN"/>
          <w:highlight w:val="auto"/>
        </w:rPr>
      </w:pPr>
      <w:r>
        <w:rPr>
          <w:rFonts w:ascii="仿宋" w:cs="仿宋" w:hAnsi="仿宋" w:hint="eastAsia"/>
          <w:szCs w:val="32"/>
          <w:highlight w:val="auto"/>
        </w:rPr>
        <w:t>在探矿权及采矿权设置区划中，严格执行部、省、市国土资源主管部门探矿权与采矿权设置与投放的相关规定。新设探矿权要结合空间管制要求，增加</w:t>
      </w:r>
      <w:r>
        <w:rPr>
          <w:rFonts w:ascii="仿宋" w:cs="仿宋" w:hAnsi="仿宋" w:hint="eastAsia"/>
          <w:szCs w:val="32"/>
          <w:lang w:val="en-US" w:eastAsia="zh-CN"/>
          <w:highlight w:val="auto"/>
        </w:rPr>
        <w:t>地热、矿泉水等</w:t>
      </w:r>
      <w:r>
        <w:rPr>
          <w:rFonts w:ascii="仿宋" w:cs="仿宋" w:hAnsi="仿宋" w:hint="eastAsia"/>
          <w:szCs w:val="32"/>
          <w:highlight w:val="auto"/>
        </w:rPr>
        <w:t>清洁能源</w:t>
      </w:r>
      <w:r>
        <w:rPr>
          <w:rFonts w:ascii="仿宋" w:cs="仿宋" w:hAnsi="仿宋" w:hint="eastAsia"/>
          <w:szCs w:val="32"/>
          <w:lang w:val="en-US" w:eastAsia="zh-CN"/>
          <w:highlight w:val="auto"/>
        </w:rPr>
        <w:t>及</w:t>
      </w:r>
      <w:r>
        <w:rPr>
          <w:rFonts w:ascii="仿宋" w:cs="仿宋" w:hAnsi="仿宋" w:hint="eastAsia"/>
          <w:szCs w:val="32"/>
          <w:highlight w:val="auto"/>
        </w:rPr>
        <w:t>战略性矿产探矿权数量，减少其它探矿权数量，优化探矿权结构</w:t>
      </w:r>
      <w:r>
        <w:rPr>
          <w:rFonts w:ascii="仿宋" w:cs="仿宋" w:hAnsi="仿宋" w:hint="eastAsia"/>
          <w:szCs w:val="32"/>
          <w:lang w:eastAsia="zh-CN"/>
          <w:highlight w:val="auto"/>
        </w:rPr>
        <w:t>。</w:t>
      </w:r>
      <w:r>
        <w:rPr>
          <w:rFonts w:ascii="仿宋" w:cs="仿宋" w:hAnsi="仿宋" w:hint="eastAsia"/>
          <w:szCs w:val="32"/>
          <w:highlight w:val="auto"/>
        </w:rPr>
        <w:t>严格准入条件，严控新设采矿权数量</w:t>
      </w:r>
      <w:r>
        <w:rPr>
          <w:rFonts w:ascii="仿宋" w:cs="仿宋" w:hAnsi="仿宋" w:hint="eastAsia"/>
          <w:szCs w:val="32"/>
          <w:lang w:val="en-US" w:eastAsia="zh-CN"/>
          <w:highlight w:val="auto"/>
        </w:rPr>
        <w:t>。</w:t>
      </w:r>
    </w:p>
    <w:p>
      <w:pPr>
        <w:rPr>
          <w:rFonts w:ascii="仿宋" w:cs="仿宋" w:hAnsi="仿宋" w:hint="eastAsia"/>
          <w:szCs w:val="32"/>
        </w:rPr>
      </w:pPr>
      <w:r>
        <w:rPr>
          <w:rFonts w:ascii="仿宋" w:cs="仿宋" w:hAnsi="仿宋" w:hint="eastAsia"/>
          <w:szCs w:val="32"/>
          <w:highlight w:val="auto"/>
        </w:rPr>
        <w:t>根据我区矿产资源分布特点和矿业开发基本格局和相关产业空间布局，以能源资源保障、集约化开采、规模化开发为目标</w:t>
      </w:r>
      <w:r>
        <w:rPr>
          <w:rFonts w:ascii="仿宋" w:cs="仿宋" w:hAnsi="仿宋" w:hint="eastAsia"/>
          <w:szCs w:val="32"/>
          <w:lang w:eastAsia="zh-CN"/>
          <w:highlight w:val="auto"/>
        </w:rPr>
        <w:t>，</w:t>
      </w:r>
      <w:r>
        <w:rPr>
          <w:rFonts w:ascii="仿宋" w:cs="仿宋" w:hAnsi="仿宋" w:hint="eastAsia"/>
          <w:szCs w:val="32"/>
          <w:highlight w:val="auto"/>
        </w:rPr>
        <w:t>在基本农田、生态保护红线、自然保护地等重要区域以外的地区，</w:t>
      </w:r>
      <w:r>
        <w:rPr>
          <w:rFonts w:ascii="仿宋" w:cs="仿宋" w:hAnsi="仿宋" w:hint="eastAsia"/>
          <w:szCs w:val="32"/>
          <w:lang w:val="en-US" w:eastAsia="zh-CN"/>
          <w:highlight w:val="auto"/>
        </w:rPr>
        <w:t>设置2处非金属矿产集中</w:t>
      </w:r>
      <w:r>
        <w:rPr>
          <w:rFonts w:ascii="仿宋" w:cs="仿宋" w:hAnsi="仿宋" w:hint="eastAsia"/>
          <w:szCs w:val="32"/>
          <w:highlight w:val="auto"/>
        </w:rPr>
        <w:t>开采区</w:t>
      </w:r>
      <w:r>
        <w:rPr>
          <w:rFonts w:ascii="仿宋" w:cs="仿宋" w:hAnsi="仿宋" w:hint="eastAsia"/>
          <w:szCs w:val="32"/>
          <w:lang w:eastAsia="zh-CN"/>
          <w:highlight w:val="auto"/>
        </w:rPr>
        <w:t>，</w:t>
      </w:r>
      <w:r>
        <w:rPr>
          <w:rFonts w:ascii="仿宋" w:cs="仿宋" w:hAnsi="仿宋" w:hint="eastAsia"/>
          <w:szCs w:val="32"/>
          <w:lang w:val="en-US" w:eastAsia="zh-CN"/>
          <w:highlight w:val="auto"/>
        </w:rPr>
        <w:t>分别为荆蒲兰建筑石料用灰岩矿集中开采区及</w:t>
      </w:r>
      <w:r>
        <w:rPr>
          <w:rFonts w:ascii="仿宋" w:cs="仿宋" w:hAnsi="仿宋" w:hint="eastAsia"/>
          <w:szCs w:val="32"/>
          <w:highlight w:val="auto"/>
        </w:rPr>
        <w:t>南寨水泥</w:t>
      </w:r>
      <w:r>
        <w:rPr>
          <w:rFonts w:ascii="仿宋" w:cs="仿宋" w:hAnsi="仿宋" w:hint="eastAsia"/>
          <w:szCs w:val="32"/>
          <w:lang w:val="en-US" w:eastAsia="zh-CN"/>
          <w:highlight w:val="auto"/>
        </w:rPr>
        <w:t>用</w:t>
      </w:r>
      <w:r>
        <w:rPr>
          <w:rFonts w:ascii="仿宋" w:cs="仿宋" w:hAnsi="仿宋" w:hint="eastAsia"/>
          <w:szCs w:val="32"/>
          <w:highlight w:val="auto"/>
        </w:rPr>
        <w:t>灰岩集中开采区</w:t>
      </w:r>
      <w:r>
        <w:rPr>
          <w:rFonts w:ascii="仿宋" w:cs="仿宋" w:hAnsi="仿宋" w:hint="eastAsia"/>
          <w:szCs w:val="32"/>
        </w:rPr>
        <w:t>。</w:t>
      </w:r>
    </w:p>
    <w:p>
      <w:pPr>
        <w:pStyle w:val="2"/>
        <w:numPr>
          <w:ilvl w:val="1"/>
          <w:numId w:val="4"/>
        </w:numPr>
        <w:tabs>
          <w:tab w:val="left" w:pos="320"/>
        </w:tabs>
        <w:ind w:left="0" w:firstLine="0"/>
      </w:pPr>
      <w:bookmarkStart w:id="55" w:name="_Toc61446544"/>
      <w:bookmarkStart w:id="56" w:name="_Toc130991295"/>
      <w:bookmarkStart w:id="57" w:name="_Toc50379766"/>
      <w:r>
        <w:rPr>
          <w:rFonts w:hint="eastAsia"/>
        </w:rPr>
        <w:t>推进生态修复</w:t>
      </w:r>
      <w:bookmarkEnd w:id="55"/>
      <w:bookmarkEnd w:id="56"/>
      <w:bookmarkEnd w:id="57"/>
    </w:p>
    <w:p>
      <w:pPr>
        <w:pStyle w:val="3"/>
        <w:rPr>
          <w:rFonts w:hint="eastAsia"/>
        </w:rPr>
      </w:pPr>
      <w:r>
        <w:rPr>
          <w:rFonts w:hint="eastAsia"/>
        </w:rPr>
        <w:t>山水林田湖草系统修复</w:t>
      </w:r>
    </w:p>
    <w:p>
      <w:pPr>
        <w:rPr>
          <w:rFonts w:ascii="Times New Roman" w:cs="Times New Roman" w:hAnsi="仿宋" w:hint="eastAsia"/>
          <w:lang w:val="en-US" w:eastAsia="zh-CN"/>
        </w:rPr>
      </w:pPr>
      <w:r>
        <w:rPr>
          <w:rFonts w:ascii="Times New Roman" w:cs="Times New Roman" w:hAnsi="仿宋" w:hint="eastAsia"/>
          <w:lang w:val="en-US" w:eastAsia="zh-CN"/>
        </w:rPr>
        <w:t>加强</w:t>
      </w:r>
      <w:r>
        <w:rPr>
          <w:rFonts w:ascii="Times New Roman" w:cs="Times New Roman" w:hAnsi="仿宋" w:hint="eastAsia"/>
          <w:lang w:val="zh-CN" w:eastAsia="zh-CN"/>
        </w:rPr>
        <w:t>山</w:t>
      </w:r>
      <w:r>
        <w:rPr>
          <w:rFonts w:ascii="Times New Roman" w:cs="Times New Roman" w:hAnsi="仿宋" w:hint="eastAsia"/>
          <w:lang w:val="en-US" w:eastAsia="zh-CN"/>
        </w:rPr>
        <w:t>区系统性</w:t>
      </w:r>
      <w:r>
        <w:rPr>
          <w:rFonts w:ascii="Times New Roman" w:cs="Times New Roman" w:hAnsi="仿宋" w:hint="eastAsia"/>
          <w:lang w:val="zh-CN" w:eastAsia="zh-CN"/>
        </w:rPr>
        <w:t>生态修复，</w:t>
      </w:r>
      <w:r>
        <w:rPr>
          <w:rFonts w:ascii="Times New Roman" w:cs="Times New Roman" w:hAnsi="仿宋" w:hint="eastAsia"/>
          <w:lang w:val="en-US" w:eastAsia="zh-CN"/>
        </w:rPr>
        <w:t>实施生物多样性保护工程、耕地恢复重点工程、林地恢复重点工程。到2035年，山水林田湖草生态修复总面积为3.17平方公里，其中，生物多样性保护工程面积0.37平方公里，耕地恢复重点工程1.76平方公里，林地恢复重点工程1.41平方公里，实施区域包括贾庄镇、凤山镇、横涧乡。</w:t>
      </w:r>
    </w:p>
    <w:p>
      <w:pPr>
        <w:pStyle w:val="3"/>
        <w:rPr>
          <w:rFonts w:hint="eastAsia"/>
        </w:rPr>
      </w:pPr>
      <w:r>
        <w:rPr>
          <w:rFonts w:hint="eastAsia"/>
        </w:rPr>
        <w:t>矿山生态修复工程</w:t>
      </w:r>
    </w:p>
    <w:p>
      <w:pPr>
        <w:rPr>
          <w:rFonts w:hint="eastAsia"/>
        </w:rPr>
      </w:pPr>
      <w:r>
        <w:rPr>
          <w:rFonts w:ascii="Times New Roman" w:cs="Times New Roman" w:hAnsi="仿宋" w:hint="eastAsia"/>
          <w:lang w:val="en-US" w:eastAsia="zh-CN"/>
        </w:rPr>
        <w:t>保留矿峰水泥有限公司南寨石灰岩矿1家生产矿山。加强生产矿山监督管理工作，以生态效益为主，综合考虑社会、经济效益，采取“边开采、边治理、边恢复”的方式，将矿山环境治理贯穿于矿产资源开发全过程。明确责任主体，落实各项规章制度，对矿山企业进行检查，督促矿山企业履行矿山地质环境恢复治理义务</w:t>
      </w:r>
      <w:r>
        <w:rPr>
          <w:rFonts w:hint="eastAsia"/>
        </w:rPr>
        <w:t>。</w:t>
      </w:r>
    </w:p>
    <w:p>
      <w:pPr>
        <w:pStyle w:val="3"/>
        <w:rPr>
          <w:rFonts w:hint="eastAsia"/>
        </w:rPr>
      </w:pPr>
      <w:r>
        <w:rPr>
          <w:rFonts w:hint="eastAsia"/>
        </w:rPr>
        <w:t>湿地与水域生态修复工程</w:t>
      </w:r>
    </w:p>
    <w:p>
      <w:pPr>
        <w:rPr>
          <w:rFonts w:hint="eastAsia"/>
        </w:rPr>
      </w:pPr>
      <w:r>
        <w:rPr>
          <w:rFonts w:hint="eastAsia"/>
        </w:rPr>
        <w:t>河流生态修复是指利用生态系统原理，采取各种方法修复受损伤的水体生态系统的生物群体及结构，重建健康的水生态系统，修复和强化水体生态系统的主要功能，并能使生态系统实现整体协调、自我维持、自我演替的良性循环。</w:t>
      </w:r>
    </w:p>
    <w:p>
      <w:pPr>
        <w:rPr>
          <w:rFonts w:hint="eastAsia"/>
        </w:rPr>
      </w:pPr>
      <w:r>
        <w:rPr>
          <w:rFonts w:hint="eastAsia"/>
        </w:rPr>
        <w:t>白沙河生态恢复的任务有4大项：一是水质改善；二是水文情势改善；三是河流地貌景观修复；四是生物群落多样性的维持与恢复。总的目的是改善河流生态系统的结构、功能和过程，使之趋于自然化。</w:t>
      </w:r>
    </w:p>
    <w:p>
      <w:pPr>
        <w:pStyle w:val="21"/>
        <w:rPr>
          <w:rFonts w:ascii="Times New Roman" w:eastAsia="仿宋_GB2312" w:hAnsi="Times New Roman"/>
          <w:sz w:val="32"/>
        </w:rPr>
      </w:pPr>
      <w:r>
        <w:rPr>
          <w:rFonts w:ascii="Times New Roman" w:eastAsia="仿宋_GB2312" w:hAnsi="Times New Roman" w:hint="eastAsia"/>
          <w:sz w:val="32"/>
        </w:rPr>
        <w:t>白沙河生态综合整治工程通过河流纵向连续性修复、河流形态修复包括平面形态的蜿蜒性、断面几何形态的多样性和护坡材料的透水和多孔性能的修复，最终达到白沙河整体修复。</w:t>
      </w:r>
    </w:p>
    <w:p>
      <w:pPr>
        <w:pStyle w:val="21"/>
        <w:rPr>
          <w:rFonts w:ascii="Times New Roman" w:eastAsia="仿宋_GB2312" w:hAnsi="Times New Roman" w:hint="eastAsia"/>
          <w:sz w:val="32"/>
        </w:rPr>
      </w:pPr>
      <w:r>
        <w:rPr>
          <w:rFonts w:ascii="Times New Roman" w:eastAsia="仿宋_GB2312" w:hAnsi="Times New Roman" w:hint="eastAsia"/>
          <w:sz w:val="32"/>
        </w:rPr>
        <w:t>为了减缓河流整治的负面影响。首先，在河道整治线的选择上，应考虑项目区域是否有重要的生物栖息地、是否需要保留原有大型深潭的弯道。并采取措施保护现存河畔林及濒临灭绝物种等；在确定滩地高程时，应考虑洪水脉冲频率及水深；在选择河床坡降时，要考虑其对河流冲淤的影响等。</w:t>
      </w:r>
    </w:p>
    <w:p>
      <w:pPr>
        <w:rPr>
          <w:rFonts w:hint="eastAsia"/>
        </w:rPr>
      </w:pPr>
    </w:p>
    <w:p>
      <w:pPr>
        <w:pStyle w:val="1"/>
        <w:ind w:firstLine="0"/>
        <w:rPr>
          <w:rFonts w:hint="eastAsia"/>
        </w:rPr>
      </w:pPr>
      <w:r>
        <w:rPr>
          <w:rFonts w:hint="eastAsia"/>
        </w:rPr>
        <w:br w:type="page"/>
      </w:r>
      <w:bookmarkStart w:id="58" w:name="_Toc130991296"/>
      <w:r>
        <w:rPr>
          <w:rFonts w:hint="eastAsia"/>
        </w:rPr>
        <w:t>营造高效宜居的活力城区</w:t>
      </w:r>
      <w:bookmarkEnd w:id="58"/>
    </w:p>
    <w:p>
      <w:pPr>
        <w:pStyle w:val="2"/>
        <w:numPr>
          <w:ilvl w:val="1"/>
          <w:numId w:val="5"/>
        </w:numPr>
        <w:tabs>
          <w:tab w:val="left" w:pos="320"/>
        </w:tabs>
        <w:ind w:left="0" w:firstLine="0"/>
        <w:rPr>
          <w:rFonts w:hint="eastAsia"/>
        </w:rPr>
      </w:pPr>
      <w:bookmarkStart w:id="59" w:name="_Toc130991297"/>
      <w:bookmarkStart w:id="60" w:name="_Toc61446558"/>
      <w:bookmarkStart w:id="61" w:name="_Toc40262877"/>
      <w:bookmarkStart w:id="62" w:name="_Toc24225"/>
      <w:bookmarkStart w:id="63" w:name="_Toc22450"/>
      <w:bookmarkStart w:id="64" w:name="_Toc50379754"/>
      <w:bookmarkStart w:id="65" w:name="_Toc21209"/>
      <w:r>
        <w:rPr>
          <w:rFonts w:hint="eastAsia"/>
        </w:rPr>
        <w:t>优化城市功能布局和用地结构</w:t>
      </w:r>
      <w:bookmarkEnd w:id="59"/>
    </w:p>
    <w:p>
      <w:pPr>
        <w:pStyle w:val="3"/>
        <w:rPr>
          <w:rFonts w:hint="eastAsia"/>
        </w:rPr>
      </w:pPr>
      <w:r>
        <w:rPr>
          <w:rFonts w:hint="eastAsia"/>
        </w:rPr>
        <w:t>优化产业空间布局</w:t>
      </w:r>
    </w:p>
    <w:p>
      <w:pPr>
        <w:rPr>
          <w:rFonts w:hint="eastAsia"/>
        </w:rPr>
      </w:pPr>
      <w:r>
        <w:rPr>
          <w:rFonts w:hint="eastAsia"/>
        </w:rPr>
        <w:t>壮大产业园区。依托石钢，延伸上下游产业链，壮大石钢特钢产业园、装备制造产业园、新型建材产业园、鑫鸿工业园等产业园区。</w:t>
      </w:r>
    </w:p>
    <w:p>
      <w:pPr>
        <w:rPr>
          <w:rFonts w:hint="eastAsia"/>
        </w:rPr>
      </w:pPr>
      <w:r>
        <w:rPr>
          <w:rFonts w:hint="eastAsia"/>
        </w:rPr>
        <w:t>发展“一带”。延西环旅游路形成生态文化旅游带，结合山水特色、历史文化资源，发展上下文化、山前休闲游憩、山上生态旅游的特色文旅产业。</w:t>
      </w:r>
    </w:p>
    <w:p>
      <w:pPr>
        <w:rPr>
          <w:rFonts w:hint="eastAsia"/>
        </w:rPr>
      </w:pPr>
      <w:r>
        <w:rPr>
          <w:rFonts w:hint="eastAsia"/>
        </w:rPr>
        <w:t>培育“多点”：依托风景和文化资源，培育贾庄民俗旅游、</w:t>
      </w:r>
      <w:r>
        <w:rPr>
          <w:rFonts w:hint="eastAsia"/>
          <w:lang w:val="en-US" w:eastAsia="zh-CN"/>
        </w:rPr>
        <w:t>台阳山</w:t>
      </w:r>
      <w:r>
        <w:rPr>
          <w:rFonts w:hint="eastAsia"/>
        </w:rPr>
        <w:t>、</w:t>
      </w:r>
      <w:r>
        <w:rPr>
          <w:rFonts w:hint="eastAsia"/>
          <w:lang w:val="en-US" w:eastAsia="zh-CN"/>
        </w:rPr>
        <w:t>井陉磁窑</w:t>
      </w:r>
      <w:r>
        <w:rPr>
          <w:rFonts w:hint="eastAsia"/>
        </w:rPr>
        <w:t>遗址等特色旅游资源节点。</w:t>
      </w:r>
    </w:p>
    <w:p>
      <w:pPr>
        <w:pStyle w:val="3"/>
      </w:pPr>
      <w:bookmarkEnd w:id="60"/>
      <w:bookmarkEnd w:id="61"/>
      <w:bookmarkEnd w:id="62"/>
      <w:bookmarkEnd w:id="63"/>
      <w:bookmarkEnd w:id="64"/>
      <w:r>
        <w:rPr>
          <w:rFonts w:hint="eastAsia"/>
        </w:rPr>
        <w:t>完善“一主、两片、</w:t>
      </w:r>
      <w:r>
        <w:rPr>
          <w:rFonts w:hint="eastAsia"/>
          <w:lang w:val="en-US" w:eastAsia="zh-CN"/>
        </w:rPr>
        <w:t>三园</w:t>
      </w:r>
      <w:r>
        <w:rPr>
          <w:rFonts w:hint="eastAsia"/>
        </w:rPr>
        <w:t>”城市功能</w:t>
      </w:r>
    </w:p>
    <w:p>
      <w:pPr>
        <w:rPr>
          <w:rFonts w:hint="eastAsia"/>
        </w:rPr>
      </w:pPr>
      <w:r>
        <w:rPr>
          <w:rFonts w:hint="eastAsia"/>
        </w:rPr>
        <w:t>强化“一主”。凸出城区集聚效应，聚焦商业商务、产业配套服务、文化教育产业等，重点发展特色生活性服务业和现代生产性服务业，打造综合商贸服务中心。</w:t>
      </w:r>
    </w:p>
    <w:p>
      <w:r>
        <w:rPr>
          <w:rFonts w:hint="eastAsia"/>
        </w:rPr>
        <w:t>做优“两片”。依托镇区服务和传统村落资源，提升读服务配套，发展特色旅游，提升基本公共服务，辐射带动周边村庄；</w:t>
      </w:r>
    </w:p>
    <w:p>
      <w:pPr>
        <w:rPr>
          <w:rFonts w:hint="eastAsia"/>
        </w:rPr>
      </w:pPr>
      <w:r>
        <w:rPr>
          <w:rFonts w:hint="eastAsia"/>
        </w:rPr>
        <w:t>壮大“三</w:t>
      </w:r>
      <w:r>
        <w:rPr>
          <w:rFonts w:hint="eastAsia"/>
          <w:lang w:val="en-US" w:eastAsia="zh-CN"/>
        </w:rPr>
        <w:t>园</w:t>
      </w:r>
      <w:r>
        <w:rPr>
          <w:rFonts w:hint="eastAsia"/>
        </w:rPr>
        <w:t>”：依托</w:t>
      </w:r>
      <w:r>
        <w:rPr>
          <w:rFonts w:hint="eastAsia"/>
          <w:lang w:val="en-US" w:eastAsia="zh-CN"/>
        </w:rPr>
        <w:t>工业园区西区的</w:t>
      </w:r>
      <w:r>
        <w:rPr>
          <w:rFonts w:hint="eastAsia"/>
        </w:rPr>
        <w:t>石钢发展特钢产业园，释放焦化厂更新存量土地，布局和石钢产业联系紧密的制造业；东部推动丰达钢厂、五矿、诚联洗煤厂等企业腾笼换鸟，发展装备制造业，打造装备制造园；北部以矿峰水泥为龙头，推进二期建设，发展绿色建材产业。</w:t>
      </w:r>
    </w:p>
    <w:p>
      <w:pPr>
        <w:pStyle w:val="3"/>
        <w:rPr>
          <w:rFonts w:hint="eastAsia"/>
        </w:rPr>
      </w:pPr>
      <w:r>
        <w:rPr>
          <w:rFonts w:hint="eastAsia"/>
        </w:rPr>
        <w:t>完善现代服务空间布局</w:t>
      </w:r>
    </w:p>
    <w:p>
      <w:pPr>
        <w:rPr>
          <w:rFonts w:ascii="仿宋" w:cs="仿宋" w:hAnsi="仿宋" w:hint="eastAsia"/>
        </w:rPr>
      </w:pPr>
      <w:r>
        <w:t>构建等级清晰、布局合理的商业</w:t>
      </w:r>
      <w:r>
        <w:rPr>
          <w:rFonts w:hint="eastAsia"/>
        </w:rPr>
        <w:t>服务网络</w:t>
      </w:r>
      <w:r>
        <w:t>体系。高标准</w:t>
      </w:r>
      <w:r>
        <w:rPr>
          <w:rFonts w:hint="eastAsia"/>
        </w:rPr>
        <w:t>改造提升康盛街商业</w:t>
      </w:r>
      <w:r>
        <w:t>中心，</w:t>
      </w:r>
      <w:r>
        <w:rPr>
          <w:rFonts w:hint="eastAsia"/>
          <w:lang w:val="en-US" w:eastAsia="zh-CN"/>
        </w:rPr>
        <w:t>增加商业用地规模，</w:t>
      </w:r>
      <w:r>
        <w:rPr>
          <w:rFonts w:hint="eastAsia"/>
        </w:rPr>
        <w:t>强化</w:t>
      </w:r>
      <w:r>
        <w:t>城市商务服务能级；均衡布局</w:t>
      </w:r>
      <w:r>
        <w:rPr>
          <w:rFonts w:hint="eastAsia"/>
        </w:rPr>
        <w:t>社区</w:t>
      </w:r>
      <w:r>
        <w:rPr>
          <w:rFonts w:ascii="仿宋" w:cs="仿宋" w:hAnsi="仿宋" w:hint="eastAsia"/>
          <w:szCs w:val="32"/>
        </w:rPr>
        <w:t>级商业中心，结合15分钟生活圈补齐社区商业服务网点，全面提高居民生活购物便利度。</w:t>
      </w:r>
    </w:p>
    <w:p>
      <w:pPr>
        <w:rPr>
          <w:rFonts w:hint="eastAsia"/>
        </w:rPr>
      </w:pPr>
      <w:r>
        <w:rPr>
          <w:rFonts w:hint="eastAsia"/>
          <w:lang w:val="en-US" w:eastAsia="zh-CN"/>
        </w:rPr>
        <w:t>沿西环</w:t>
      </w:r>
      <w:r>
        <w:rPr>
          <w:rFonts w:hint="eastAsia"/>
        </w:rPr>
        <w:t>旅游路布局商业服务业用地，布局农业观光、特色</w:t>
      </w:r>
      <w:r>
        <w:rPr>
          <w:rFonts w:hint="eastAsia"/>
          <w:lang w:val="en-US" w:eastAsia="zh-CN"/>
        </w:rPr>
        <w:t>住宿</w:t>
      </w:r>
      <w:r>
        <w:rPr>
          <w:rFonts w:hint="eastAsia"/>
        </w:rPr>
        <w:t>、康体娱乐等功能，在凤山片区南部区域利用工业用地更新区域等打造休闲消费功能区，提升商业服务活力与特色，支撑矿区文化旅游和运动康养发展。</w:t>
      </w:r>
    </w:p>
    <w:p>
      <w:pPr>
        <w:pStyle w:val="3"/>
        <w:rPr>
          <w:rFonts w:hint="eastAsia"/>
        </w:rPr>
      </w:pPr>
      <w:r>
        <w:rPr>
          <w:rFonts w:hint="eastAsia"/>
        </w:rPr>
        <w:t>划定规划分区，分类制定管控要求</w:t>
      </w:r>
    </w:p>
    <w:p>
      <w:pPr>
        <w:rPr>
          <w:rFonts w:hint="eastAsia"/>
        </w:rPr>
      </w:pPr>
      <w:r>
        <w:rPr>
          <w:rFonts w:hint="eastAsia"/>
        </w:rPr>
        <w:t>落实城区功能区布局，在集中建设区内以主次干路为边界，划定规划二级规划分区，制定分区发展引导，突出主导功能。</w:t>
      </w:r>
    </w:p>
    <w:tbl>
      <w:tblPr>
        <w:jc w:val="left"/>
        <w:tblInd w:w="0" w:type="dxa"/>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22"/>
      </w:tblGrid>
      <w:tr>
        <w:tc>
          <w:tcPr>
            <w:tcW w:w="8522" w:type="dxa"/>
            <w:noWrap/>
          </w:tcPr>
          <w:p>
            <w:pPr>
              <w:pStyle w:val="26"/>
              <w:spacing w:line="288" w:lineRule="auto"/>
              <w:ind w:left="-2" w:firstLine="0"/>
              <w:jc w:val="center"/>
              <w:rPr>
                <w:sz w:val="24"/>
              </w:rPr>
            </w:pPr>
            <w:r>
              <w:rPr>
                <w:rFonts w:eastAsia="黑体"/>
                <w:bCs/>
                <w:sz w:val="24"/>
              </w:rPr>
              <w:t>规划二级分区</w:t>
            </w:r>
          </w:p>
        </w:tc>
      </w:tr>
      <w:tr>
        <w:tc>
          <w:tcPr>
            <w:tcW w:w="8522" w:type="dxa"/>
            <w:tcBorders>
              <w:top w:val="single" w:sz="4" w:space="0" w:color="auto"/>
              <w:left w:val="single" w:sz="4" w:space="0" w:color="auto"/>
              <w:right w:val="single" w:sz="4" w:space="0" w:color="auto"/>
            </w:tcBorders>
            <w:noWrap/>
          </w:tcPr>
          <w:p>
            <w:pPr>
              <w:spacing w:line="288" w:lineRule="auto"/>
              <w:ind w:firstLine="560"/>
              <w:rPr>
                <w:sz w:val="28"/>
                <w:szCs w:val="22"/>
              </w:rPr>
            </w:pPr>
            <w:r>
              <w:rPr>
                <w:sz w:val="28"/>
                <w:szCs w:val="22"/>
              </w:rPr>
              <w:t>居住生活区：</w:t>
            </w:r>
            <w:r>
              <w:rPr>
                <w:rFonts w:hint="eastAsia"/>
                <w:sz w:val="28"/>
                <w:szCs w:val="22"/>
              </w:rPr>
              <w:t>以</w:t>
            </w:r>
            <w:r>
              <w:rPr>
                <w:sz w:val="28"/>
                <w:szCs w:val="22"/>
              </w:rPr>
              <w:t>住宅建筑和居住配套设施为主要功能导向；</w:t>
            </w:r>
          </w:p>
          <w:p>
            <w:pPr>
              <w:spacing w:line="288" w:lineRule="auto"/>
              <w:ind w:firstLine="560"/>
              <w:rPr>
                <w:sz w:val="28"/>
                <w:szCs w:val="22"/>
              </w:rPr>
            </w:pPr>
            <w:r>
              <w:rPr>
                <w:sz w:val="28"/>
                <w:szCs w:val="22"/>
              </w:rPr>
              <w:t>综合服务区：</w:t>
            </w:r>
            <w:r>
              <w:rPr>
                <w:rFonts w:hint="eastAsia"/>
                <w:sz w:val="28"/>
                <w:szCs w:val="22"/>
              </w:rPr>
              <w:t>以</w:t>
            </w:r>
            <w:r>
              <w:rPr>
                <w:sz w:val="28"/>
                <w:szCs w:val="22"/>
              </w:rPr>
              <w:t>行政办公、文化、教育、医疗以及综合商业等服务为主要功能导向；</w:t>
            </w:r>
          </w:p>
          <w:p>
            <w:pPr>
              <w:spacing w:line="288" w:lineRule="auto"/>
              <w:ind w:firstLine="560"/>
              <w:rPr>
                <w:sz w:val="28"/>
                <w:szCs w:val="22"/>
              </w:rPr>
            </w:pPr>
            <w:r>
              <w:rPr>
                <w:sz w:val="28"/>
                <w:szCs w:val="22"/>
              </w:rPr>
              <w:t>商业商务区：</w:t>
            </w:r>
            <w:r>
              <w:rPr>
                <w:rFonts w:hint="eastAsia"/>
                <w:sz w:val="28"/>
                <w:szCs w:val="22"/>
              </w:rPr>
              <w:t>以</w:t>
            </w:r>
            <w:r>
              <w:rPr>
                <w:sz w:val="28"/>
                <w:szCs w:val="22"/>
              </w:rPr>
              <w:t>商业、商务办公为主要功能导向；</w:t>
            </w:r>
          </w:p>
          <w:p>
            <w:pPr>
              <w:spacing w:line="288" w:lineRule="auto"/>
              <w:ind w:firstLine="560"/>
              <w:rPr>
                <w:sz w:val="28"/>
                <w:szCs w:val="22"/>
              </w:rPr>
            </w:pPr>
            <w:r>
              <w:rPr>
                <w:sz w:val="28"/>
                <w:szCs w:val="22"/>
              </w:rPr>
              <w:t>工业发展区：</w:t>
            </w:r>
            <w:r>
              <w:rPr>
                <w:rFonts w:hint="eastAsia"/>
                <w:sz w:val="28"/>
                <w:szCs w:val="22"/>
              </w:rPr>
              <w:t>以</w:t>
            </w:r>
            <w:r>
              <w:rPr>
                <w:sz w:val="28"/>
                <w:szCs w:val="22"/>
              </w:rPr>
              <w:t>工业及其配套产业为主要功能导向；</w:t>
            </w:r>
          </w:p>
          <w:p>
            <w:pPr>
              <w:spacing w:line="288" w:lineRule="auto"/>
              <w:ind w:firstLine="560"/>
              <w:rPr>
                <w:sz w:val="28"/>
                <w:szCs w:val="22"/>
              </w:rPr>
            </w:pPr>
            <w:r>
              <w:rPr>
                <w:sz w:val="28"/>
                <w:szCs w:val="22"/>
              </w:rPr>
              <w:t>绿地休闲区：</w:t>
            </w:r>
            <w:r>
              <w:rPr>
                <w:rFonts w:hint="eastAsia"/>
                <w:sz w:val="28"/>
                <w:szCs w:val="22"/>
              </w:rPr>
              <w:t>以</w:t>
            </w:r>
            <w:r>
              <w:rPr>
                <w:sz w:val="28"/>
                <w:szCs w:val="22"/>
              </w:rPr>
              <w:t>公园绿地、广场用地、滨水开敞空间、防护绿地等为主要功能导向；</w:t>
            </w:r>
          </w:p>
          <w:p>
            <w:pPr>
              <w:spacing w:line="288" w:lineRule="auto"/>
              <w:ind w:firstLine="560"/>
              <w:rPr>
                <w:rFonts w:hint="eastAsia"/>
                <w:sz w:val="28"/>
                <w:szCs w:val="22"/>
              </w:rPr>
            </w:pPr>
            <w:r>
              <w:rPr>
                <w:rFonts w:hint="eastAsia"/>
                <w:sz w:val="28"/>
                <w:szCs w:val="22"/>
              </w:rPr>
              <w:t>战略预留区：</w:t>
            </w:r>
            <w:r>
              <w:rPr>
                <w:rFonts w:ascii="仿宋_GB2312" w:cs="仿宋_GB2312" w:hAnsi="仿宋_GB2312" w:hint="eastAsia"/>
                <w:kern w:val="0"/>
                <w:sz w:val="28"/>
                <w:szCs w:val="20"/>
              </w:rPr>
              <w:t>在城镇集中建设区中，为城镇重大战略性功能控制的留白区域。</w:t>
            </w:r>
          </w:p>
        </w:tc>
      </w:tr>
    </w:tbl>
    <w:p>
      <w:pPr>
        <w:pStyle w:val="3"/>
        <w:rPr>
          <w:rFonts w:hint="eastAsia"/>
        </w:rPr>
      </w:pPr>
      <w:r>
        <w:rPr>
          <w:rFonts w:hint="eastAsia"/>
        </w:rPr>
        <w:t>合理调整用地结构</w:t>
      </w:r>
    </w:p>
    <w:p>
      <w:pPr>
        <w:rPr>
          <w:rFonts w:hint="eastAsia"/>
        </w:rPr>
      </w:pPr>
      <w:r>
        <w:rPr>
          <w:rFonts w:hint="eastAsia"/>
        </w:rPr>
        <w:t>控制居住用地总规模和比例，合理提高公共管理与公共服务设施用地规模，重点保障工业用地规模，大幅增加绿地和开敞空间。</w:t>
      </w:r>
    </w:p>
    <w:p>
      <w:pPr>
        <w:rPr>
          <w:rFonts w:hint="eastAsia"/>
        </w:rPr>
      </w:pPr>
      <w:r>
        <w:rPr>
          <w:rFonts w:hint="eastAsia"/>
        </w:rPr>
        <w:t>合理控制城区的居住用地的规模和。积极引导老城区内城中村、棚户区、老旧小区的更新改造，不断提高居住的环境与品质，规划到2035年，居住用地规模6.</w:t>
      </w:r>
      <w:r>
        <w:rPr>
          <w:rFonts w:hint="eastAsia"/>
          <w:lang w:val="en-US" w:eastAsia="zh-CN"/>
        </w:rPr>
        <w:t>3</w:t>
      </w:r>
      <w:r>
        <w:rPr>
          <w:rFonts w:hint="eastAsia"/>
        </w:rPr>
        <w:t>9平方千米，人均居住用地由68.35平方米下降至5</w:t>
      </w:r>
      <w:r>
        <w:rPr>
          <w:rFonts w:hint="eastAsia"/>
          <w:lang w:val="en-US" w:eastAsia="zh-CN"/>
        </w:rPr>
        <w:t>4.64</w:t>
      </w:r>
      <w:r>
        <w:rPr>
          <w:rFonts w:hint="eastAsia"/>
        </w:rPr>
        <w:t>平方米，占比由28.4%下降至2</w:t>
      </w:r>
      <w:r>
        <w:rPr>
          <w:rFonts w:hint="eastAsia"/>
          <w:lang w:val="en-US" w:eastAsia="zh-CN"/>
        </w:rPr>
        <w:t>7</w:t>
      </w:r>
      <w:r>
        <w:rPr>
          <w:rFonts w:hint="eastAsia"/>
        </w:rPr>
        <w:t>.</w:t>
      </w:r>
      <w:r>
        <w:rPr>
          <w:rFonts w:hint="eastAsia"/>
          <w:lang w:val="en-US" w:eastAsia="zh-CN"/>
        </w:rPr>
        <w:t>2</w:t>
      </w:r>
      <w:r>
        <w:rPr>
          <w:rFonts w:hint="eastAsia"/>
        </w:rPr>
        <w:t>%。</w:t>
      </w:r>
    </w:p>
    <w:p>
      <w:r>
        <w:rPr>
          <w:rFonts w:hint="eastAsia"/>
        </w:rPr>
        <w:t>提高公共管理与公共服务用地保障水平。建立以主城区为主、贾庄和凤山两组团为辅，服务全区</w:t>
      </w:r>
      <w:r>
        <w:rPr>
          <w:rFonts w:hint="eastAsia"/>
          <w:lang w:eastAsia="zh-CN"/>
        </w:rPr>
        <w:t>的</w:t>
      </w:r>
      <w:r>
        <w:rPr>
          <w:rFonts w:hint="eastAsia"/>
        </w:rPr>
        <w:t>公共服务体系，为城市居民提供完善的社会服务保障体系，规划到2035年，公共管理与公共服务用地规模由0.63平方千米提高到1.</w:t>
      </w:r>
      <w:r>
        <w:rPr>
          <w:rFonts w:hint="eastAsia"/>
          <w:lang w:val="en-US" w:eastAsia="zh-CN"/>
        </w:rPr>
        <w:t>27</w:t>
      </w:r>
      <w:r>
        <w:rPr>
          <w:rFonts w:hint="eastAsia"/>
        </w:rPr>
        <w:t>平方千米，占比达到5.</w:t>
      </w:r>
      <w:r>
        <w:rPr>
          <w:rFonts w:hint="eastAsia"/>
          <w:lang w:val="en-US" w:eastAsia="zh-CN"/>
        </w:rPr>
        <w:t>4</w:t>
      </w:r>
      <w:r>
        <w:rPr>
          <w:rFonts w:hint="eastAsia"/>
        </w:rPr>
        <w:t>%。</w:t>
      </w:r>
    </w:p>
    <w:p>
      <w:r>
        <w:rPr>
          <w:rFonts w:hint="eastAsia"/>
        </w:rPr>
        <w:t>优化工业用地布局，稳定工业用地规模，保障矿区产业发展。引导工业用地在园区集中布局，引导沿路散布零散工业用地腾笼换鸟，用于发展商业服务、康体娱乐、商贸批发。规划到2035年工业用地总规模稳定在8.</w:t>
      </w:r>
      <w:r>
        <w:rPr>
          <w:rFonts w:hint="eastAsia"/>
          <w:lang w:val="en-US" w:eastAsia="zh-CN"/>
        </w:rPr>
        <w:t>03</w:t>
      </w:r>
      <w:r>
        <w:rPr>
          <w:rFonts w:hint="eastAsia"/>
        </w:rPr>
        <w:t>平方千米，占比达到3</w:t>
      </w:r>
      <w:r>
        <w:rPr>
          <w:rFonts w:hint="eastAsia"/>
          <w:lang w:val="en-US" w:eastAsia="zh-CN"/>
        </w:rPr>
        <w:t>4</w:t>
      </w:r>
      <w:r>
        <w:rPr>
          <w:rFonts w:hint="eastAsia"/>
        </w:rPr>
        <w:t>%左右。</w:t>
      </w:r>
    </w:p>
    <w:p>
      <w:pPr>
        <w:rPr>
          <w:rFonts w:hint="eastAsia"/>
        </w:rPr>
      </w:pPr>
      <w:r>
        <w:rPr>
          <w:rFonts w:hint="eastAsia"/>
        </w:rPr>
        <w:t>增加绿地与开敞空间规模和比例，提升城市环境品质。规划到2035年，人均绿地面积提高至1</w:t>
      </w:r>
      <w:r>
        <w:rPr>
          <w:rFonts w:hint="eastAsia"/>
          <w:lang w:val="en-US" w:eastAsia="zh-CN"/>
        </w:rPr>
        <w:t>2.31</w:t>
      </w:r>
      <w:r>
        <w:rPr>
          <w:rFonts w:hint="eastAsia"/>
        </w:rPr>
        <w:t>平方米，占比</w:t>
      </w:r>
      <w:r>
        <w:rPr>
          <w:rFonts w:hint="eastAsia"/>
          <w:lang w:val="en-US" w:eastAsia="zh-CN"/>
        </w:rPr>
        <w:t>6</w:t>
      </w:r>
      <w:r>
        <w:rPr>
          <w:rFonts w:hint="eastAsia"/>
        </w:rPr>
        <w:t>.1%。</w:t>
      </w:r>
    </w:p>
    <w:p>
      <w:r>
        <w:rPr>
          <w:rFonts w:ascii="仿宋" w:cs="仿宋" w:hAnsi="仿宋" w:hint="eastAsia"/>
          <w:szCs w:val="32"/>
        </w:rPr>
        <w:t>完善</w:t>
      </w:r>
      <w:r>
        <w:rPr>
          <w:rFonts w:ascii="仿宋" w:cs="仿宋" w:hAnsi="仿宋"/>
          <w:szCs w:val="32"/>
        </w:rPr>
        <w:t>道路交通，提高通行能力。</w:t>
      </w:r>
      <w:r>
        <w:rPr>
          <w:rFonts w:hint="eastAsia"/>
        </w:rPr>
        <w:t>通过打通错断头路、打开</w:t>
      </w:r>
      <w:r>
        <w:rPr>
          <w:rFonts w:ascii="仿宋" w:cs="仿宋" w:hAnsi="仿宋" w:hint="eastAsia"/>
          <w:szCs w:val="32"/>
        </w:rPr>
        <w:t>大院</w:t>
      </w:r>
      <w:r>
        <w:rPr>
          <w:rFonts w:hint="eastAsia"/>
        </w:rPr>
        <w:t>等措施，优化道路微循环体系，</w:t>
      </w:r>
      <w:r>
        <w:rPr>
          <w:rFonts w:ascii="仿宋" w:cs="仿宋" w:hAnsi="仿宋" w:hint="eastAsia"/>
          <w:szCs w:val="32"/>
        </w:rPr>
        <w:t>规划到2035年，</w:t>
      </w:r>
      <w:r>
        <w:rPr>
          <w:rFonts w:hint="eastAsia"/>
        </w:rPr>
        <w:t>交通运输用地2.</w:t>
      </w:r>
      <w:r>
        <w:rPr>
          <w:rFonts w:hint="eastAsia"/>
          <w:lang w:val="en-US" w:eastAsia="zh-CN"/>
        </w:rPr>
        <w:t>35</w:t>
      </w:r>
      <w:r>
        <w:rPr>
          <w:rFonts w:hint="eastAsia"/>
        </w:rPr>
        <w:t>平方千米，占比1</w:t>
      </w:r>
      <w:r>
        <w:rPr>
          <w:rFonts w:hint="eastAsia"/>
          <w:lang w:val="en-US" w:eastAsia="zh-CN"/>
        </w:rPr>
        <w:t>0.0</w:t>
      </w:r>
      <w:r>
        <w:rPr>
          <w:rFonts w:hint="eastAsia"/>
        </w:rPr>
        <w:t>%，路网密度达到</w:t>
      </w:r>
      <w:r>
        <w:rPr>
          <w:rFonts w:ascii="仿宋" w:cs="仿宋" w:hAnsi="仿宋" w:hint="eastAsia"/>
          <w:szCs w:val="32"/>
        </w:rPr>
        <w:t>8千米/平方千米。</w:t>
      </w:r>
    </w:p>
    <w:p>
      <w:pPr>
        <w:pStyle w:val="2"/>
        <w:numPr>
          <w:ilvl w:val="1"/>
          <w:numId w:val="5"/>
        </w:numPr>
        <w:tabs>
          <w:tab w:val="left" w:pos="320"/>
        </w:tabs>
        <w:ind w:left="0" w:firstLine="0"/>
        <w:rPr>
          <w:rFonts w:hint="eastAsia"/>
        </w:rPr>
      </w:pPr>
      <w:bookmarkStart w:id="66" w:name="_Toc61446546"/>
      <w:bookmarkStart w:id="67" w:name="_Toc130991298"/>
      <w:r>
        <w:rPr>
          <w:rFonts w:hint="eastAsia"/>
        </w:rPr>
        <w:t>配置高品质城乡公共服务</w:t>
      </w:r>
      <w:bookmarkEnd w:id="65"/>
      <w:bookmarkEnd w:id="66"/>
      <w:r>
        <w:rPr>
          <w:rFonts w:hint="eastAsia"/>
        </w:rPr>
        <w:t>设施</w:t>
      </w:r>
      <w:bookmarkEnd w:id="67"/>
    </w:p>
    <w:p>
      <w:pPr>
        <w:pStyle w:val="3"/>
        <w:rPr>
          <w:rFonts w:hint="eastAsia"/>
        </w:rPr>
      </w:pPr>
      <w:bookmarkStart w:id="68" w:name="_Hlk61425195"/>
      <w:r>
        <w:rPr>
          <w:rFonts w:hint="eastAsia"/>
        </w:rPr>
        <w:t>构建公平、优质、均衡的基础教育设施体系</w:t>
      </w:r>
    </w:p>
    <w:p>
      <w:pPr>
        <w:pStyle w:val="16"/>
        <w:rPr>
          <w:rFonts w:ascii="Times New Roman" w:eastAsia="仿宋_GB2312" w:cs="Times New Roman" w:hAnsi="Times New Roman"/>
          <w:kern w:val="2"/>
          <w:sz w:val="32"/>
          <w:szCs w:val="24"/>
          <w:lang w:val="en-US" w:eastAsia="zh-CN" w:bidi="ar-SA"/>
        </w:rPr>
      </w:pPr>
      <w:r>
        <w:rPr>
          <w:rFonts w:ascii="Times New Roman" w:eastAsia="仿宋_GB2312" w:cs="Times New Roman" w:hAnsi="Times New Roman" w:hint="eastAsia"/>
          <w:kern w:val="2"/>
          <w:sz w:val="32"/>
          <w:szCs w:val="24"/>
          <w:lang w:val="en-US" w:eastAsia="zh-CN" w:bidi="ar-SA"/>
        </w:rPr>
        <w:t>加大基础教育用地统筹利用和保障，严格执行《石家庄市教育设施规划建设管理条例》，推动井陉矿区学前教育、义务教育全覆盖，实现适龄学生就近入学。</w:t>
      </w:r>
    </w:p>
    <w:p>
      <w:r>
        <w:rPr>
          <w:rFonts w:hint="eastAsia"/>
        </w:rPr>
        <w:t>到2035年，九年制义务教育阶段全部实现学校标准化建设；在普及九年制义务教育的同时提升高中阶段普及率，2035年普及率达到</w:t>
      </w:r>
      <w:r>
        <w:t>100</w:t>
      </w:r>
      <w:r>
        <w:rPr>
          <w:rFonts w:hint="eastAsia"/>
        </w:rPr>
        <w:t>%。</w:t>
      </w:r>
    </w:p>
    <w:p>
      <w:r>
        <w:rPr>
          <w:rFonts w:hint="eastAsia"/>
        </w:rPr>
        <w:t>1</w:t>
      </w:r>
      <w:r>
        <w:t>5</w:t>
      </w:r>
      <w:r>
        <w:rPr>
          <w:rFonts w:hint="eastAsia"/>
        </w:rPr>
        <w:t>分钟生活圈内，按照建筑面积390平方米/千人、用地面积702平方米/千人的标准配置初中，服务半径不宜大于1000米；1</w:t>
      </w:r>
      <w:r>
        <w:t>0</w:t>
      </w:r>
      <w:r>
        <w:rPr>
          <w:rFonts w:hint="eastAsia"/>
        </w:rPr>
        <w:t>分钟生活圈内按照建筑面积702平方米/千人、用地面积1248平方米/千人的标准配置小学，服务半径不宜大于500米；主城区及凤山、贾庄生活组团均实现居住社区内学前教育设施布局全覆盖。</w:t>
      </w:r>
    </w:p>
    <w:p>
      <w:pPr>
        <w:rPr>
          <w:rFonts w:ascii="Times New Roman" w:cs="Times New Roman" w:hAnsi="Times New Roman" w:hint="eastAsia"/>
        </w:rPr>
      </w:pPr>
      <w:r>
        <w:rPr>
          <w:rFonts w:ascii="Times New Roman" w:cs="Times New Roman" w:hAnsi="Times New Roman" w:hint="eastAsia"/>
        </w:rPr>
        <w:t>保留现状职业学校2所，保留现状高中1所、初中2所、小学4所，规划新增小学6所。</w:t>
      </w:r>
    </w:p>
    <w:p>
      <w:pPr>
        <w:pStyle w:val="3"/>
        <w:rPr>
          <w:rFonts w:hint="eastAsia"/>
        </w:rPr>
      </w:pPr>
      <w:r>
        <w:rPr>
          <w:rFonts w:hint="eastAsia"/>
        </w:rPr>
        <w:t>构建覆盖城乡、服务均</w:t>
      </w:r>
      <w:r>
        <w:rPr>
          <w:rFonts w:hint="eastAsia"/>
          <w:lang w:val="en-US" w:eastAsia="zh-CN"/>
        </w:rPr>
        <w:t>好</w:t>
      </w:r>
      <w:r>
        <w:rPr>
          <w:rFonts w:hint="eastAsia"/>
        </w:rPr>
        <w:t>医疗卫生体系</w:t>
      </w:r>
    </w:p>
    <w:p>
      <w:pPr>
        <w:pStyle w:val="16"/>
        <w:rPr>
          <w:rFonts w:ascii="Times New Roman" w:eastAsia="仿宋_GB2312" w:hAnsi="Times New Roman"/>
          <w:sz w:val="32"/>
        </w:rPr>
      </w:pPr>
      <w:r>
        <w:rPr>
          <w:rFonts w:ascii="Times New Roman" w:eastAsia="仿宋_GB2312" w:hAnsi="Times New Roman"/>
          <w:sz w:val="32"/>
        </w:rPr>
        <w:t>加强基层医疗卫生服务设施建设，全面提高各级医疗机构的整体功能，提高卫生资源共享度和综合利用率，构建以综合医院、专科医院为中心，基层社区卫生服务中心为基础的两级医疗服务体系。社区卫生服务覆盖率达100%。</w:t>
      </w:r>
    </w:p>
    <w:p>
      <w:pPr>
        <w:pStyle w:val="16"/>
        <w:rPr>
          <w:rFonts w:ascii="Times New Roman" w:eastAsia="仿宋_GB2312" w:hAnsi="Times New Roman"/>
          <w:sz w:val="32"/>
        </w:rPr>
      </w:pPr>
      <w:r>
        <w:rPr>
          <w:rFonts w:ascii="Times New Roman" w:eastAsia="仿宋_GB2312" w:hAnsi="Times New Roman"/>
          <w:sz w:val="32"/>
        </w:rPr>
        <w:t>规划保留现状</w:t>
      </w:r>
      <w:r>
        <w:rPr>
          <w:rFonts w:ascii="Times New Roman" w:eastAsia="仿宋_GB2312" w:hAnsi="Times New Roman" w:hint="eastAsia"/>
          <w:sz w:val="32"/>
          <w:lang w:val="en-US" w:eastAsia="zh-CN"/>
        </w:rPr>
        <w:t>人民医院、矿区医院</w:t>
      </w:r>
      <w:r>
        <w:rPr>
          <w:rFonts w:ascii="Times New Roman" w:eastAsia="仿宋_GB2312" w:hAnsi="Times New Roman"/>
          <w:sz w:val="32"/>
        </w:rPr>
        <w:t>两所综合医院，规划</w:t>
      </w:r>
      <w:r>
        <w:rPr>
          <w:rFonts w:ascii="Times New Roman" w:eastAsia="仿宋_GB2312" w:hAnsi="Times New Roman" w:hint="eastAsia"/>
          <w:sz w:val="32"/>
          <w:lang w:val="en-US" w:eastAsia="zh-CN"/>
        </w:rPr>
        <w:t>保留贾庄卫生院、凤山卫生院，</w:t>
      </w:r>
      <w:r>
        <w:rPr>
          <w:rFonts w:ascii="Times New Roman" w:eastAsia="仿宋_GB2312" w:hAnsi="Times New Roman"/>
          <w:sz w:val="32"/>
        </w:rPr>
        <w:t>新增社区卫生服务中心（社区医院）3处。到2035年，每千人口床位数达到</w:t>
      </w:r>
      <w:r>
        <w:rPr>
          <w:rFonts w:ascii="Times New Roman" w:eastAsia="仿宋_GB2312" w:hAnsi="Times New Roman"/>
          <w:sz w:val="32"/>
        </w:rPr>
        <w:t>9</w:t>
      </w:r>
      <w:r>
        <w:rPr>
          <w:rFonts w:ascii="Times New Roman" w:eastAsia="仿宋_GB2312" w:hAnsi="Times New Roman"/>
          <w:sz w:val="32"/>
        </w:rPr>
        <w:t>张。</w:t>
      </w:r>
    </w:p>
    <w:p>
      <w:pPr>
        <w:pStyle w:val="3"/>
        <w:rPr>
          <w:rFonts w:hint="eastAsia"/>
        </w:rPr>
      </w:pPr>
      <w:r>
        <w:rPr>
          <w:rFonts w:hint="eastAsia"/>
        </w:rPr>
        <w:t>构建现代公共文化服务体系</w:t>
      </w:r>
    </w:p>
    <w:p>
      <w:pPr>
        <w:pStyle w:val="16"/>
        <w:rPr>
          <w:rFonts w:ascii="Times New Roman" w:eastAsia="仿宋_GB2312" w:hAnsi="Times New Roman"/>
          <w:sz w:val="32"/>
        </w:rPr>
      </w:pPr>
      <w:r>
        <w:rPr>
          <w:rFonts w:ascii="Times New Roman" w:eastAsia="仿宋_GB2312" w:hAnsi="Times New Roman"/>
          <w:sz w:val="32"/>
        </w:rPr>
        <w:t>有序推进基层图书馆、博物馆、美术馆、文化馆、剧场等文化设施建设。建设高标准的城区文化中心，通过新建、改造等多种方式完善社区文化设施。</w:t>
      </w:r>
    </w:p>
    <w:p>
      <w:pPr>
        <w:pStyle w:val="16"/>
        <w:rPr>
          <w:rFonts w:ascii="Times New Roman" w:eastAsia="仿宋_GB2312" w:hAnsi="Times New Roman"/>
          <w:sz w:val="32"/>
        </w:rPr>
      </w:pPr>
      <w:r>
        <w:rPr>
          <w:rFonts w:ascii="Times New Roman" w:eastAsia="仿宋_GB2312" w:hAnsi="Times New Roman"/>
          <w:sz w:val="32"/>
        </w:rPr>
        <w:t>15分钟生活圈设置文化活动中心，服务半径不宜小于1000米；5分钟生活圈设置文化活动室。</w:t>
      </w:r>
    </w:p>
    <w:p>
      <w:pPr>
        <w:pStyle w:val="16"/>
        <w:rPr>
          <w:rFonts w:ascii="Times New Roman" w:eastAsia="仿宋_GB2312" w:hAnsi="Times New Roman"/>
          <w:sz w:val="32"/>
        </w:rPr>
      </w:pPr>
      <w:r>
        <w:rPr>
          <w:rFonts w:ascii="Times New Roman" w:eastAsia="仿宋_GB2312" w:hAnsi="Times New Roman"/>
          <w:sz w:val="32"/>
        </w:rPr>
        <w:t>千人指标：按建筑面积120平方米/千人、用地面积100平方米/千人配置文化活动中心。</w:t>
      </w:r>
    </w:p>
    <w:p>
      <w:pPr>
        <w:pStyle w:val="3"/>
        <w:rPr>
          <w:rFonts w:hint="eastAsia"/>
        </w:rPr>
      </w:pPr>
      <w:r>
        <w:rPr>
          <w:rFonts w:hint="eastAsia"/>
        </w:rPr>
        <w:t>构建完善的体育服务体系</w:t>
      </w:r>
    </w:p>
    <w:p>
      <w:pPr>
        <w:pStyle w:val="16"/>
        <w:rPr>
          <w:rFonts w:ascii="Times New Roman" w:eastAsia="仿宋_GB2312" w:hAnsi="Times New Roman"/>
          <w:sz w:val="32"/>
        </w:rPr>
      </w:pPr>
      <w:r>
        <w:rPr>
          <w:rFonts w:ascii="Times New Roman" w:eastAsia="仿宋_GB2312" w:hAnsi="Times New Roman"/>
          <w:sz w:val="32"/>
        </w:rPr>
        <w:t>以社区体育中心、中小型全民健身中心、多功能运动场为主要形式，推进全民健身服务均等化、品质化发展，合理利用城市公园、公共绿地、郊野公园等建设全民健身设施，大力推动学校体育设施向社会开放共享。</w:t>
      </w:r>
    </w:p>
    <w:p>
      <w:r>
        <w:rPr>
          <w:rFonts w:hint="eastAsia"/>
        </w:rPr>
        <w:t>15分钟生活圈设置体育馆（场）、大型多功能运动场地，服务半径不宜小于1000米；10分钟生活圈设置中型多功能运动场地；5分钟生活圈配置小型多功能运动（球类）场地及室外综合健身场地（含老年户外活动场地）。</w:t>
      </w:r>
    </w:p>
    <w:p>
      <w:pPr>
        <w:pStyle w:val="16"/>
        <w:rPr>
          <w:rFonts w:ascii="Times New Roman" w:eastAsia="仿宋_GB2312" w:hAnsi="Times New Roman"/>
          <w:sz w:val="32"/>
        </w:rPr>
      </w:pPr>
      <w:r>
        <w:rPr>
          <w:rFonts w:ascii="Times New Roman" w:eastAsia="仿宋_GB2312" w:hAnsi="Times New Roman"/>
          <w:sz w:val="32"/>
        </w:rPr>
        <w:t>千人指标：按建筑面积100平方米/千人、用地面积70平方米/千人配置体育馆（场）或全民健身中心；按用地面积60平方米/千人配置大型多功能运动场地；按用地面积90平方米/千人配置中型多功能运动场地；按建筑面积120平方米/千人配置小型多功能运动场地；按用地面积50平方米/千人配置室外综合健身场地。</w:t>
      </w:r>
    </w:p>
    <w:p>
      <w:pPr>
        <w:pStyle w:val="3"/>
        <w:rPr>
          <w:rFonts w:hint="eastAsia"/>
        </w:rPr>
      </w:pPr>
      <w:r>
        <w:rPr>
          <w:rFonts w:hint="eastAsia"/>
        </w:rPr>
        <w:t>建成</w:t>
      </w:r>
      <w:bookmarkStart w:id="69" w:name="_Hlk61189784"/>
      <w:r>
        <w:rPr>
          <w:rFonts w:hint="eastAsia"/>
        </w:rPr>
        <w:t>医养结合、服务均等</w:t>
      </w:r>
      <w:bookmarkEnd w:id="69"/>
      <w:r>
        <w:rPr>
          <w:rFonts w:hint="eastAsia"/>
        </w:rPr>
        <w:t>的养老服务体系</w:t>
      </w:r>
    </w:p>
    <w:p>
      <w:pPr>
        <w:pStyle w:val="16"/>
        <w:rPr>
          <w:rFonts w:ascii="Times New Roman" w:eastAsia="仿宋_GB2312" w:hAnsi="Times New Roman"/>
          <w:sz w:val="32"/>
        </w:rPr>
      </w:pPr>
      <w:r>
        <w:rPr>
          <w:rFonts w:ascii="Times New Roman" w:eastAsia="仿宋_GB2312" w:hAnsi="Times New Roman"/>
          <w:sz w:val="32"/>
        </w:rPr>
        <w:t>加快养老服务设施的建设，逐步形成布局合理、服务规范、机制灵活，满足不同层次需要</w:t>
      </w:r>
      <w:r>
        <w:rPr>
          <w:rFonts w:ascii="Times New Roman" w:eastAsia="仿宋_GB2312" w:hAnsi="Times New Roman" w:hint="eastAsia"/>
          <w:sz w:val="32"/>
          <w:lang w:eastAsia="zh-CN"/>
        </w:rPr>
        <w:t>的</w:t>
      </w:r>
      <w:r>
        <w:rPr>
          <w:rFonts w:ascii="Times New Roman" w:eastAsia="仿宋_GB2312" w:hAnsi="Times New Roman"/>
          <w:sz w:val="32"/>
        </w:rPr>
        <w:t>养老服务体系。以构建“9064”养老服务格局为目标（90%居家养老、6%社区养老、4%机构养老），全面建成以居家为基础、社区为依托、机构为补充的养老服务体系。推动无障碍基础设施与辅助设施建设，构建无障碍公共活动网络。</w:t>
      </w:r>
    </w:p>
    <w:p>
      <w:pPr>
        <w:pStyle w:val="16"/>
        <w:rPr>
          <w:rFonts w:ascii="Times New Roman" w:eastAsia="仿宋_GB2312" w:hAnsi="Times New Roman"/>
          <w:sz w:val="32"/>
        </w:rPr>
      </w:pPr>
      <w:r>
        <w:rPr>
          <w:rFonts w:ascii="Times New Roman" w:eastAsia="仿宋_GB2312" w:hAnsi="Times New Roman"/>
          <w:sz w:val="32"/>
        </w:rPr>
        <w:t>到2035年，每千名老人拥有养老床位数达到4</w:t>
      </w:r>
      <w:r>
        <w:rPr>
          <w:rFonts w:ascii="Times New Roman" w:eastAsia="仿宋_GB2312" w:hAnsi="Times New Roman"/>
          <w:sz w:val="32"/>
        </w:rPr>
        <w:t>0</w:t>
      </w:r>
      <w:r>
        <w:rPr>
          <w:rFonts w:ascii="Times New Roman" w:eastAsia="仿宋_GB2312" w:hAnsi="Times New Roman"/>
          <w:sz w:val="32"/>
        </w:rPr>
        <w:t>张以上，社区居家养老服务覆盖率达到100%。</w:t>
      </w:r>
      <w:bookmarkEnd w:id="68"/>
    </w:p>
    <w:p>
      <w:pPr>
        <w:pStyle w:val="3"/>
        <w:rPr>
          <w:rFonts w:hint="eastAsia"/>
        </w:rPr>
      </w:pPr>
      <w:r>
        <w:rPr>
          <w:rFonts w:hint="eastAsia"/>
        </w:rPr>
        <w:t>合理布局城市公共服务中心</w:t>
      </w:r>
    </w:p>
    <w:p>
      <w:r>
        <w:rPr>
          <w:rFonts w:hint="eastAsia"/>
        </w:rPr>
        <w:t>逐步建立全民共享、便捷使用的基本公共服务体系，形成“区级—社区”两级公共服务设施体系，布局形成多层次、全覆盖、人性化的公共服务体系。</w:t>
      </w:r>
    </w:p>
    <w:p>
      <w:pPr>
        <w:rPr>
          <w:rFonts w:ascii="仿宋" w:cs="仿宋" w:hAnsi="仿宋"/>
          <w:szCs w:val="32"/>
        </w:rPr>
      </w:pPr>
      <w:r>
        <w:rPr>
          <w:rFonts w:ascii="仿宋" w:cs="仿宋" w:hAnsi="仿宋" w:hint="eastAsia"/>
          <w:szCs w:val="32"/>
        </w:rPr>
        <w:t>（1）区级公共服务中心。以矿区</w:t>
      </w:r>
      <w:r>
        <w:rPr>
          <w:rFonts w:hint="eastAsia"/>
        </w:rPr>
        <w:t>政府办公机构为依托，将南纬路打造为行政—商业一条街，形成区级公共服务中心区，</w:t>
      </w:r>
      <w:r>
        <w:rPr>
          <w:rFonts w:ascii="仿宋" w:cs="仿宋" w:hAnsi="仿宋" w:hint="eastAsia"/>
          <w:szCs w:val="32"/>
        </w:rPr>
        <w:t>主要承担全区的综合服务功能。</w:t>
      </w:r>
    </w:p>
    <w:p>
      <w:r>
        <w:rPr>
          <w:rFonts w:hint="eastAsia"/>
        </w:rPr>
        <w:t>（3）社区级公共服务中心。规划结合居住区布局构建社区级公共服务中心，每个社区级公共服务中心配置医疗、养老、文化、健身休闲等设施，满足1</w:t>
      </w:r>
      <w:r>
        <w:t>5</w:t>
      </w:r>
      <w:r>
        <w:rPr>
          <w:rFonts w:hint="eastAsia"/>
        </w:rPr>
        <w:t>分钟生活圈的服务需求。</w:t>
      </w:r>
    </w:p>
    <w:p>
      <w:pPr>
        <w:pStyle w:val="3"/>
        <w:rPr>
          <w:rFonts w:hint="eastAsia"/>
        </w:rPr>
      </w:pPr>
      <w:r>
        <w:rPr>
          <w:rFonts w:hint="eastAsia"/>
        </w:rPr>
        <w:t>完善城市社区生活圈</w:t>
      </w:r>
    </w:p>
    <w:p>
      <w:r>
        <w:rPr>
          <w:rFonts w:hint="eastAsia"/>
        </w:rPr>
        <w:t>通过社区生活圈引导社区级公共服务设施布局，提升公共服务设施服务水平。构建完整的15分钟社区生活圈，突出功能复合和职住平衡，明确服务内容和设置要求，满足居民在社区内获得多种类型的基础公共服务。到2035年，实现卫生、教育、文化、体育、养老等社区公共服务设施15分钟步行可达覆盖率100%。</w:t>
      </w:r>
    </w:p>
    <w:p>
      <w:pPr>
        <w:rPr>
          <w:rFonts w:hint="eastAsia"/>
        </w:rPr>
      </w:pPr>
      <w:r>
        <w:rPr>
          <w:rFonts w:hint="eastAsia"/>
        </w:rPr>
        <w:t>15分钟生活圈社区中心配置中学、医疗服务机构、文化活动中心、社区服务中心、养老院、大型多功能运动场地等设施。10分钟生活圈中心配置小学、社区活动中心、中型多功能运动场地、综合商场、便民市场等设施。5分钟生活圈社区中心配置幼儿园、文化活动站、社区卫生服务站、托老所、小型多功能运动场等设施。</w:t>
      </w:r>
    </w:p>
    <w:p>
      <w:pPr>
        <w:pStyle w:val="19"/>
      </w:pPr>
    </w:p>
    <w:p>
      <w:pPr>
        <w:pStyle w:val="2"/>
        <w:numPr>
          <w:ilvl w:val="1"/>
          <w:numId w:val="5"/>
        </w:numPr>
        <w:tabs>
          <w:tab w:val="left" w:pos="320"/>
        </w:tabs>
        <w:ind w:left="0" w:firstLine="0"/>
        <w:rPr>
          <w:rFonts w:hint="eastAsia"/>
        </w:rPr>
      </w:pPr>
      <w:bookmarkStart w:id="70" w:name="_Toc3295"/>
      <w:bookmarkStart w:id="71" w:name="_Toc61446547"/>
      <w:bookmarkStart w:id="72" w:name="_Toc130991299"/>
      <w:r>
        <w:rPr>
          <w:rFonts w:hint="eastAsia"/>
        </w:rPr>
        <w:t>居住用地布局与</w:t>
      </w:r>
      <w:bookmarkEnd w:id="70"/>
      <w:bookmarkEnd w:id="71"/>
      <w:r>
        <w:rPr>
          <w:rFonts w:hint="eastAsia"/>
        </w:rPr>
        <w:t>住房保障</w:t>
      </w:r>
      <w:bookmarkEnd w:id="72"/>
    </w:p>
    <w:p>
      <w:pPr>
        <w:pStyle w:val="3"/>
        <w:rPr>
          <w:rFonts w:hint="eastAsia"/>
          <w:bCs/>
        </w:rPr>
      </w:pPr>
      <w:bookmarkStart w:id="73" w:name="_Hlk61429288"/>
      <w:r>
        <w:rPr>
          <w:rFonts w:hint="eastAsia"/>
        </w:rPr>
        <w:t>完善住房供应体系</w:t>
      </w:r>
    </w:p>
    <w:p>
      <w:pPr>
        <w:pStyle w:val="16"/>
        <w:rPr>
          <w:rFonts w:ascii="Times New Roman" w:eastAsia="仿宋_GB2312" w:hAnsi="Times New Roman"/>
          <w:sz w:val="32"/>
        </w:rPr>
      </w:pPr>
      <w:r>
        <w:rPr>
          <w:rFonts w:ascii="Times New Roman" w:eastAsia="仿宋_GB2312" w:hAnsi="Times New Roman"/>
          <w:sz w:val="32"/>
        </w:rPr>
        <w:t>保障居住用地供应，优化居住供应结构，提升居住空间品质，满足多元居住需求。新增高品质住宅和面向创新产业人员的保障住房，逐步改善居住供给结构，重点解决好中低收入家庭住房问题，实现宜居城市，构建和谐社区。</w:t>
      </w:r>
    </w:p>
    <w:p>
      <w:pPr>
        <w:pStyle w:val="3"/>
        <w:rPr>
          <w:rFonts w:hint="eastAsia"/>
        </w:rPr>
      </w:pPr>
      <w:r>
        <w:rPr>
          <w:rFonts w:hint="eastAsia"/>
        </w:rPr>
        <w:t>优化居住用地布局</w:t>
      </w:r>
    </w:p>
    <w:p>
      <w:pPr>
        <w:pStyle w:val="16"/>
        <w:rPr>
          <w:rFonts w:ascii="Times New Roman" w:eastAsia="仿宋_GB2312" w:hAnsi="Times New Roman"/>
          <w:sz w:val="32"/>
        </w:rPr>
      </w:pPr>
      <w:r>
        <w:rPr>
          <w:rFonts w:ascii="Times New Roman" w:eastAsia="仿宋_GB2312" w:hAnsi="Times New Roman"/>
          <w:sz w:val="32"/>
        </w:rPr>
        <w:t>合理布局居住用地，重点增加产业园区配套住房、适度增加居住用地供给，新增高品质住宅和面向创新产业人员的保障住房，改善居住供给结构。</w:t>
      </w:r>
    </w:p>
    <w:p>
      <w:pPr>
        <w:pStyle w:val="16"/>
        <w:rPr>
          <w:rFonts w:ascii="Times New Roman" w:eastAsia="仿宋_GB2312" w:hAnsi="Times New Roman"/>
          <w:sz w:val="32"/>
        </w:rPr>
      </w:pPr>
      <w:r>
        <w:rPr>
          <w:rFonts w:ascii="Times New Roman" w:eastAsia="仿宋_GB2312" w:hAnsi="Times New Roman"/>
          <w:sz w:val="32"/>
        </w:rPr>
        <w:t>居住用地布局强调集中紧凑，老城区重点提升居住社区空间品质，关注老旧小区改造；贾庄生活组团、凤山生活组团，优先保障政策性住房布局在公共交通便利的区域。</w:t>
      </w:r>
    </w:p>
    <w:p>
      <w:pPr>
        <w:pStyle w:val="16"/>
        <w:rPr>
          <w:rFonts w:ascii="Times New Roman" w:eastAsia="仿宋_GB2312" w:hAnsi="Times New Roman"/>
          <w:sz w:val="32"/>
        </w:rPr>
      </w:pPr>
      <w:r>
        <w:rPr>
          <w:rFonts w:ascii="Times New Roman" w:eastAsia="仿宋_GB2312" w:hAnsi="Times New Roman"/>
          <w:sz w:val="32"/>
        </w:rPr>
        <w:t>居住用地的选择要避开采空区等地质不良地段，考虑居住安全，进一步对采空区周边一定范围（50米）居住开发建设提出要求，居住用地尽量布置在工业区的上风向，且要考虑周边的交通、环境等因素，综合考虑各方面因素。</w:t>
      </w:r>
      <w:bookmarkEnd w:id="73"/>
    </w:p>
    <w:p>
      <w:pPr>
        <w:pStyle w:val="2"/>
        <w:numPr>
          <w:ilvl w:val="1"/>
          <w:numId w:val="5"/>
        </w:numPr>
        <w:tabs>
          <w:tab w:val="left" w:pos="320"/>
        </w:tabs>
        <w:ind w:left="0" w:firstLine="0"/>
        <w:rPr>
          <w:rFonts w:hint="eastAsia"/>
        </w:rPr>
      </w:pPr>
      <w:bookmarkStart w:id="74" w:name="_Toc130991300"/>
      <w:bookmarkStart w:id="75" w:name="_Toc61446548"/>
      <w:bookmarkStart w:id="76" w:name="_Toc16063"/>
      <w:r>
        <w:rPr>
          <w:rFonts w:hint="eastAsia"/>
        </w:rPr>
        <w:t>蓝绿开敞空间与绿道系统</w:t>
      </w:r>
      <w:bookmarkEnd w:id="74"/>
      <w:bookmarkEnd w:id="75"/>
    </w:p>
    <w:p>
      <w:pPr>
        <w:pStyle w:val="3"/>
        <w:rPr>
          <w:rFonts w:hint="eastAsia"/>
        </w:rPr>
      </w:pPr>
      <w:bookmarkStart w:id="77" w:name="_Hlk61429557"/>
      <w:r>
        <w:rPr>
          <w:rFonts w:hint="eastAsia"/>
        </w:rPr>
        <w:t>构建全域蓝绿开敞空间</w:t>
      </w:r>
    </w:p>
    <w:p>
      <w:pPr>
        <w:pStyle w:val="16"/>
        <w:rPr>
          <w:rFonts w:ascii="Times New Roman" w:eastAsia="仿宋_GB2312" w:hAnsi="Times New Roman"/>
          <w:sz w:val="32"/>
        </w:rPr>
      </w:pPr>
      <w:r>
        <w:rPr>
          <w:rFonts w:ascii="Times New Roman" w:eastAsia="仿宋_GB2312" w:hAnsi="Times New Roman"/>
          <w:sz w:val="32"/>
        </w:rPr>
        <w:t>依托自然山水资源，构建以清凉山为西部生态屏障，以绵左渠等水渠为水系空间，其他重要生态廊道为补充的全域蓝绿开敞空间。以恢复和增加森林植被为核心，加快太行山绿化工程建设，保护水系沿线空间，改善水体环境。</w:t>
      </w:r>
    </w:p>
    <w:p>
      <w:pPr>
        <w:pStyle w:val="16"/>
        <w:rPr>
          <w:rFonts w:ascii="Times New Roman" w:eastAsia="仿宋_GB2312" w:hAnsi="Times New Roman"/>
          <w:sz w:val="32"/>
        </w:rPr>
      </w:pPr>
      <w:r>
        <w:rPr>
          <w:rFonts w:ascii="Times New Roman" w:eastAsia="仿宋_GB2312" w:hAnsi="Times New Roman"/>
          <w:sz w:val="32"/>
        </w:rPr>
        <w:t>加强生态脆弱地区的生态修复，对河道、沟渠进行的生态治理，提升蓝绿空间质量和规模。</w:t>
      </w:r>
    </w:p>
    <w:p>
      <w:pPr>
        <w:pStyle w:val="3"/>
        <w:rPr>
          <w:rFonts w:hint="eastAsia"/>
        </w:rPr>
      </w:pPr>
      <w:r>
        <w:rPr>
          <w:rFonts w:hint="eastAsia"/>
        </w:rPr>
        <w:t>打造全域畅通的绿道系统</w:t>
      </w:r>
    </w:p>
    <w:p>
      <w:pPr>
        <w:pStyle w:val="16"/>
        <w:rPr>
          <w:rFonts w:ascii="Times New Roman" w:eastAsia="仿宋_GB2312" w:hAnsi="Times New Roman"/>
          <w:sz w:val="32"/>
        </w:rPr>
      </w:pPr>
      <w:bookmarkStart w:id="78" w:name="_Toc18877"/>
      <w:r>
        <w:rPr>
          <w:rFonts w:ascii="Times New Roman" w:eastAsia="仿宋_GB2312" w:hAnsi="Times New Roman"/>
          <w:sz w:val="32"/>
        </w:rPr>
        <w:t>围绕清凉山生态屏障、环城道路，规划建设西部山前绿道绿廊、环城绿道等绿道绿廊主线，结合平赞公路、平涉路等对外交通道路，打造全域畅通的绿色廊道。</w:t>
      </w:r>
      <w:bookmarkEnd w:id="77"/>
    </w:p>
    <w:p>
      <w:pPr>
        <w:pStyle w:val="3"/>
        <w:rPr>
          <w:rFonts w:hint="eastAsia"/>
        </w:rPr>
      </w:pPr>
      <w:r>
        <w:rPr>
          <w:rFonts w:hint="eastAsia"/>
        </w:rPr>
        <w:t>完善公园体系</w:t>
      </w:r>
    </w:p>
    <w:p>
      <w:pPr>
        <w:rPr>
          <w:rFonts w:hint="eastAsia"/>
        </w:rPr>
      </w:pPr>
      <w:r>
        <w:rPr>
          <w:rFonts w:hint="eastAsia"/>
        </w:rPr>
        <w:t>完善郊野生态公园、城市公园以及社区公园三级公园体系建设。到2025年，公园绿地和开敞空间500米服务半径覆盖率从现状65%提高到75%，到2035年提高到90%。</w:t>
      </w:r>
    </w:p>
    <w:p>
      <w:pPr>
        <w:rPr>
          <w:rFonts w:hint="eastAsia"/>
        </w:rPr>
      </w:pPr>
      <w:r>
        <w:rPr>
          <w:rFonts w:hint="eastAsia"/>
        </w:rPr>
        <w:t>郊野生态公园：推进郊野生态公园建设，打造环城郊野公园环。</w:t>
      </w:r>
    </w:p>
    <w:p>
      <w:pPr>
        <w:rPr>
          <w:rFonts w:hint="eastAsia"/>
        </w:rPr>
      </w:pPr>
      <w:r>
        <w:rPr>
          <w:rFonts w:hint="eastAsia"/>
        </w:rPr>
        <w:t>城市公园：优化城市公园布局，中心城区结合现有绿地资源因地布局，形成1公顷以上城市公园。</w:t>
      </w:r>
    </w:p>
    <w:p>
      <w:pPr>
        <w:rPr>
          <w:rFonts w:hint="eastAsia"/>
        </w:rPr>
      </w:pPr>
      <w:r>
        <w:rPr>
          <w:rFonts w:hint="eastAsia"/>
        </w:rPr>
        <w:t>社区公园：结合宜居社区布局，通过边角地整理、见缝插针等方式，增加社区公园数量，满足市民日常休闲、娱乐、健身的需求。到2035年，</w:t>
      </w:r>
      <w:r>
        <w:rPr>
          <w:rFonts w:cs="仿宋_GB2312" w:hint="eastAsia"/>
          <w:lang w:val="en-US" w:eastAsia="zh-CN"/>
        </w:rPr>
        <w:t>建成一批服务半径 500 米、面积</w:t>
      </w:r>
      <w:r>
        <w:rPr>
          <w:rFonts w:hint="eastAsia"/>
          <w:lang w:val="en-US" w:eastAsia="zh-CN"/>
        </w:rPr>
        <w:t>400平米以上的社区公园</w:t>
      </w:r>
      <w:r>
        <w:rPr>
          <w:rFonts w:hint="eastAsia"/>
        </w:rPr>
        <w:t>。</w:t>
      </w:r>
    </w:p>
    <w:p>
      <w:pPr>
        <w:pStyle w:val="3"/>
        <w:rPr>
          <w:rFonts w:hint="eastAsia"/>
        </w:rPr>
      </w:pPr>
      <w:r>
        <w:rPr>
          <w:rFonts w:hint="eastAsia"/>
        </w:rPr>
        <w:t>构建公共活动空间</w:t>
      </w:r>
    </w:p>
    <w:p>
      <w:pPr>
        <w:rPr>
          <w:rFonts w:hint="eastAsia"/>
        </w:rPr>
      </w:pPr>
      <w:r>
        <w:rPr>
          <w:rFonts w:hint="eastAsia"/>
        </w:rPr>
        <w:t>规划充分利用现状山体、滨水空间、公园、广场、旅游资源、老民居、商业节点等资源，以公园、广场、滨水空间为建设核心，以道路为骨架串联各个公共活动空间，重点打造 “两带两轴，三片区多节点”休息健身、游憩娱乐、文化体验城市公共活动空间系统。</w:t>
      </w:r>
    </w:p>
    <w:p>
      <w:pPr>
        <w:rPr>
          <w:rFonts w:hint="eastAsia"/>
        </w:rPr>
      </w:pPr>
      <w:r>
        <w:rPr>
          <w:rFonts w:hint="eastAsia"/>
        </w:rPr>
        <w:t xml:space="preserve"> “两带两轴”：两带是指清凉山公共活动空间和滨河路滨水公共活动空间，两轴是指以矿市街为轴线的行政办公空间，以南纬路为轴线的生活公共空间； </w:t>
      </w:r>
    </w:p>
    <w:p>
      <w:pPr>
        <w:rPr>
          <w:rFonts w:hint="eastAsia"/>
        </w:rPr>
      </w:pPr>
      <w:r>
        <w:rPr>
          <w:rFonts w:hint="eastAsia"/>
        </w:rPr>
        <w:t>“三片多节点”：三片区是指杏花沟生态公园、清凉湾</w:t>
      </w:r>
      <w:r>
        <w:rPr>
          <w:rFonts w:hint="eastAsia"/>
          <w:highlight w:val="auto"/>
        </w:rPr>
        <w:t>湿地公园和历史文化风貌区；</w:t>
      </w:r>
      <w:r>
        <w:rPr>
          <w:rFonts w:hint="eastAsia"/>
        </w:rPr>
        <w:t>多节点是商业街、行政中心、历史老街等节点；</w:t>
      </w:r>
    </w:p>
    <w:p>
      <w:r>
        <w:rPr>
          <w:rFonts w:hint="eastAsia"/>
        </w:rPr>
        <w:t>打造连接清凉湾湿地公园、天护老街、康盛街步行街、古驿道、滨河路、杏花沟生态公园、风情小镇慢行系统。</w:t>
      </w:r>
    </w:p>
    <w:p>
      <w:pPr>
        <w:pStyle w:val="3"/>
        <w:rPr>
          <w:rFonts w:hint="eastAsia"/>
        </w:rPr>
      </w:pPr>
      <w:r>
        <w:rPr>
          <w:rFonts w:hint="eastAsia"/>
        </w:rPr>
        <w:t>完善城市蓝绿空间布局</w:t>
      </w:r>
    </w:p>
    <w:p>
      <w:pPr>
        <w:rPr>
          <w:rFonts w:hint="eastAsia"/>
        </w:rPr>
      </w:pPr>
      <w:r>
        <w:rPr>
          <w:rFonts w:hint="eastAsia"/>
        </w:rPr>
        <w:t>践行生态文明理念，明确绿地空间、绿道空间、滨水空间、郊野公园等蓝绿网络格局的建设目标和要求，确定人均公园绿地面积、公园绿地和广场步行5分钟覆盖率等指标，鼓励老城区留白增绿。提出城市结构性绿地系统、主要河湖水系及岸线的控制范围。维护自然河道、湿地生态系统，明确通风廊道的格局和控制要求。</w:t>
      </w:r>
    </w:p>
    <w:p>
      <w:pPr>
        <w:rPr>
          <w:rFonts w:hint="eastAsia"/>
        </w:rPr>
      </w:pPr>
      <w:r>
        <w:rPr>
          <w:rFonts w:hint="eastAsia"/>
        </w:rPr>
        <w:t>规划充分利用现状水体资源，以大型生态公园建设为核心，以道路绿化为骨架，均匀分布各类公园绿地，点线面结合，形成，形成 “一环一带、两横四纵、两园多点”的城市绿地结构。</w:t>
      </w:r>
    </w:p>
    <w:p>
      <w:pPr>
        <w:rPr>
          <w:rFonts w:hint="eastAsia"/>
        </w:rPr>
      </w:pPr>
      <w:r>
        <w:rPr>
          <w:rFonts w:hint="eastAsia"/>
        </w:rPr>
        <w:t>一环一带：环城区外围的绿化环；清凉山山前绿带。</w:t>
      </w:r>
    </w:p>
    <w:p>
      <w:pPr>
        <w:rPr>
          <w:rFonts w:hint="eastAsia"/>
        </w:rPr>
      </w:pPr>
      <w:r>
        <w:rPr>
          <w:rFonts w:hint="eastAsia"/>
        </w:rPr>
        <w:t>两横四纵：沿城市主干路形成的纵向和横向的带状公园，形成城市的绿网骨架。</w:t>
      </w:r>
    </w:p>
    <w:p>
      <w:pPr>
        <w:rPr>
          <w:rFonts w:hint="eastAsia"/>
        </w:rPr>
      </w:pPr>
      <w:r>
        <w:rPr>
          <w:rFonts w:hint="eastAsia"/>
        </w:rPr>
        <w:t>两园多点：杏花沟生态公园、清凉湾湿地公园；依据相关绿地服务半径要求，合理布置的居住区公园绿地，均衡服务于城市居民。</w:t>
      </w:r>
    </w:p>
    <w:p>
      <w:pPr>
        <w:pStyle w:val="2"/>
        <w:numPr>
          <w:ilvl w:val="1"/>
          <w:numId w:val="5"/>
        </w:numPr>
        <w:tabs>
          <w:tab w:val="left" w:pos="320"/>
        </w:tabs>
        <w:ind w:left="0" w:firstLine="0"/>
        <w:rPr>
          <w:rFonts w:hint="eastAsia"/>
        </w:rPr>
      </w:pPr>
      <w:bookmarkStart w:id="79" w:name="_Toc130991301"/>
      <w:r>
        <w:rPr>
          <w:rFonts w:hint="eastAsia"/>
        </w:rPr>
        <w:t>城市地下空间规划</w:t>
      </w:r>
      <w:bookmarkEnd w:id="79"/>
    </w:p>
    <w:p>
      <w:pPr>
        <w:pStyle w:val="3"/>
        <w:rPr>
          <w:rFonts w:hint="eastAsia"/>
          <w:bCs/>
        </w:rPr>
      </w:pPr>
      <w:r>
        <w:rPr>
          <w:rFonts w:hint="eastAsia"/>
          <w:bCs/>
        </w:rPr>
        <w:t>地下空间</w:t>
      </w:r>
      <w:r>
        <w:rPr>
          <w:rFonts w:hint="eastAsia"/>
        </w:rPr>
        <w:t>开发利用目标</w:t>
      </w:r>
    </w:p>
    <w:p>
      <w:pPr>
        <w:rPr>
          <w:rFonts w:hint="eastAsia"/>
        </w:rPr>
      </w:pPr>
      <w:r>
        <w:rPr>
          <w:rFonts w:hint="eastAsia"/>
        </w:rPr>
        <w:t>通过对地下空间开发利用的引导，保证城市安全，构建地上、地面和地下三维一体的立体化城市空间。逐步带动城市核心区更新改造，提升城市容量，优化交通矛盾，改善人居环境，创建立体城市。</w:t>
      </w:r>
    </w:p>
    <w:p>
      <w:pPr>
        <w:pStyle w:val="3"/>
        <w:rPr>
          <w:rFonts w:hint="eastAsia"/>
        </w:rPr>
      </w:pPr>
      <w:r>
        <w:rPr>
          <w:rFonts w:hint="eastAsia"/>
        </w:rPr>
        <w:t>地下空间开发利用原则</w:t>
      </w:r>
    </w:p>
    <w:p>
      <w:pPr>
        <w:rPr>
          <w:rFonts w:hint="eastAsia"/>
        </w:rPr>
      </w:pPr>
      <w:r>
        <w:rPr>
          <w:rFonts w:hint="eastAsia"/>
        </w:rPr>
        <w:t>遵循由浅及深，人在上、物在下，人的长时间活动在上、短时间活动在下的原则统筹布局，以城市中心区、高强度开发居住和商业区域为重点，鼓励商业设施和公服设施地上地下一体化开发，逐步推进市政设施地下化建设。</w:t>
      </w:r>
    </w:p>
    <w:p>
      <w:pPr>
        <w:rPr>
          <w:rFonts w:hint="eastAsia"/>
        </w:rPr>
      </w:pPr>
      <w:r>
        <w:rPr>
          <w:rFonts w:hint="eastAsia"/>
        </w:rPr>
        <w:t>地下空间开发强度以浅层地下空间（地下0—15米）开发为主，重点布置地下停车、地下市政管线、人防工程和地下物流、地下商业等功能。</w:t>
      </w:r>
    </w:p>
    <w:p>
      <w:pPr>
        <w:pStyle w:val="3"/>
        <w:rPr>
          <w:rFonts w:hint="eastAsia"/>
        </w:rPr>
      </w:pPr>
      <w:r>
        <w:rPr>
          <w:rFonts w:hint="eastAsia"/>
        </w:rPr>
        <w:t>分区管控与功能、分层布局</w:t>
      </w:r>
    </w:p>
    <w:p>
      <w:pPr>
        <w:rPr>
          <w:rFonts w:hint="eastAsia"/>
        </w:rPr>
      </w:pPr>
      <w:r>
        <w:rPr>
          <w:rFonts w:hint="eastAsia"/>
        </w:rPr>
        <w:t>结合城市建设发展特点划定城市地下空间禁建区、一般建设区和重点建设区。</w:t>
      </w:r>
    </w:p>
    <w:p>
      <w:pPr>
        <w:rPr>
          <w:rFonts w:hint="eastAsia"/>
        </w:rPr>
      </w:pPr>
      <w:r>
        <w:rPr>
          <w:rFonts w:hint="eastAsia"/>
        </w:rPr>
        <w:t>功能布局分为混合功能和单一功能。混合功能以地下空间功能根据地面建设呈现多种功能的混合性，主要为地下商业、地下停车、地下市政或其他地下业务空间的混合使用，此类地下空间鼓励相互连通。单一功能主要为人防工程、地下市政设施、地下工业仓储、居住区地下开发等，地下连通性不做强制要求。</w:t>
      </w:r>
    </w:p>
    <w:p>
      <w:pPr>
        <w:rPr>
          <w:rFonts w:hint="eastAsia"/>
        </w:rPr>
      </w:pPr>
      <w:r>
        <w:rPr>
          <w:rFonts w:hint="eastAsia"/>
        </w:rPr>
        <w:t>分层布局。地下空间开发以一层为主，大部分停车、市政、防灾、仓储（产业园、仓储用地）仅建设地下一层，主要分布在城市公服、文化特色区及生态敏感区周边。地下二层开发重点布局在工程地质稳定、交通区位良好、发展动力强劲地区，主要分布在城市的新老居住区和中心商业、公共服务设施区域。</w:t>
      </w:r>
    </w:p>
    <w:p>
      <w:pPr>
        <w:pStyle w:val="2"/>
        <w:numPr>
          <w:ilvl w:val="1"/>
          <w:numId w:val="5"/>
        </w:numPr>
        <w:tabs>
          <w:tab w:val="left" w:pos="320"/>
        </w:tabs>
        <w:ind w:left="0" w:firstLine="0"/>
        <w:rPr>
          <w:rFonts w:hint="eastAsia"/>
        </w:rPr>
      </w:pPr>
      <w:bookmarkStart w:id="80" w:name="_Toc130991302"/>
      <w:r>
        <w:rPr>
          <w:rFonts w:hint="eastAsia"/>
        </w:rPr>
        <w:t>促进城镇建设用地节约集约</w:t>
      </w:r>
      <w:bookmarkEnd w:id="80"/>
    </w:p>
    <w:p>
      <w:pPr>
        <w:pStyle w:val="3"/>
        <w:rPr>
          <w:rFonts w:hint="eastAsia"/>
        </w:rPr>
      </w:pPr>
      <w:bookmarkEnd w:id="78"/>
      <w:r>
        <w:rPr>
          <w:rFonts w:hint="eastAsia"/>
        </w:rPr>
        <w:t>控制城镇建设用地总量</w:t>
      </w:r>
    </w:p>
    <w:p>
      <w:r>
        <w:t>严格控制城镇建设用地总量，积极推进土地利用方式转变</w:t>
      </w:r>
      <w:r>
        <w:rPr>
          <w:rFonts w:hint="eastAsia"/>
        </w:rPr>
        <w:t>，</w:t>
      </w:r>
      <w:r>
        <w:t>严格土地使用标准和节约集约评价</w:t>
      </w:r>
      <w:r>
        <w:rPr>
          <w:rFonts w:hint="eastAsia"/>
        </w:rPr>
        <w:t>，</w:t>
      </w:r>
      <w:r>
        <w:t>强化重大建设项目节约集约用地刚性约束，新上项目应达到国内同行业当前节约集约用地</w:t>
      </w:r>
      <w:r>
        <w:rPr>
          <w:rFonts w:hint="eastAsia"/>
        </w:rPr>
        <w:t>平均</w:t>
      </w:r>
      <w:r>
        <w:t>水平。</w:t>
      </w:r>
    </w:p>
    <w:p>
      <w:pPr>
        <w:pStyle w:val="3"/>
      </w:pPr>
      <w:r>
        <w:rPr>
          <w:rFonts w:hint="eastAsia"/>
        </w:rPr>
        <w:t>加强使用建设用地流量</w:t>
      </w:r>
    </w:p>
    <w:p>
      <w:pPr>
        <w:rPr>
          <w:rFonts w:hint="eastAsia"/>
        </w:rPr>
      </w:pPr>
      <w:r>
        <w:rPr>
          <w:rFonts w:hint="eastAsia"/>
        </w:rPr>
        <w:t>推动城乡建设用地增减挂钩，加快城镇开发边界外零散、低效建设用地整理、整合、流转，流转指标重点保障主城区、园区、民生服务设施、基础设施用地需求，优化建设用地空间布局，提高土地利用效率。</w:t>
      </w:r>
    </w:p>
    <w:p>
      <w:pPr>
        <w:pStyle w:val="3"/>
        <w:rPr>
          <w:rFonts w:hint="eastAsia"/>
        </w:rPr>
      </w:pPr>
      <w:r>
        <w:rPr>
          <w:rFonts w:hint="eastAsia"/>
        </w:rPr>
        <w:t>推进存量用地盘活利用</w:t>
      </w:r>
    </w:p>
    <w:p>
      <w:pPr>
        <w:rPr>
          <w:rFonts w:hint="eastAsia"/>
        </w:rPr>
      </w:pPr>
      <w:r>
        <w:rPr>
          <w:rFonts w:hint="eastAsia"/>
        </w:rPr>
        <w:t>通过盘活存量建设用地，优化空间结构和功能，建设紧凑型城市，全面提升生态品质和环境质量，保障城市安全，激发社会文化活力，增强城市的吸引力和竞争力，实现城市的高质量发展和高品质生活。</w:t>
      </w:r>
    </w:p>
    <w:p>
      <w:pPr>
        <w:pStyle w:val="3"/>
      </w:pPr>
      <w:r>
        <w:rPr>
          <w:rFonts w:hint="eastAsia"/>
        </w:rPr>
        <w:t>有序推进城市更新</w:t>
      </w:r>
    </w:p>
    <w:p>
      <w:pPr>
        <w:rPr>
          <w:rFonts w:hint="eastAsia"/>
        </w:rPr>
      </w:pPr>
      <w:r>
        <w:rPr>
          <w:rFonts w:hint="eastAsia"/>
        </w:rPr>
        <w:t>深度挖潜建设用地内涵，推动低效用地再开发，加快旧住区、老厂区及“城中村”改造。统筹安排城镇基础设施、公共服务设施、居住、产业用地等，提升土地价值，改善人居环境，提高土地对经济社会发展的持续保障能力。规划至2035年，全区完成城镇低效建设用地再开发面积约7平方公里，主要涉及贾庄镇、凤山镇、横涧乡等，再开发用途主要为工矿仓储用地、住宅用地、公共管理与公共服务用地、公路用地等。</w:t>
      </w:r>
    </w:p>
    <w:p>
      <w:pPr>
        <w:rPr>
          <w:rFonts w:hint="eastAsia"/>
        </w:rPr>
      </w:pPr>
      <w:r>
        <w:rPr>
          <w:rFonts w:hint="eastAsia"/>
        </w:rPr>
        <w:t>统筹推进老旧小区综合整治和有机更新。对老旧小区开展抗震加固、建筑节能改造、配套设施完善、无障碍设施补建、多层住宅加装电梯、增加停车位等工作，解决安全问题、提升环境品质和公共服务能力。建立老旧小区日常管理维护长效机制，促进物业管理规范化、社会化、精细化。</w:t>
      </w:r>
    </w:p>
    <w:p>
      <w:pPr>
        <w:rPr>
          <w:rFonts w:ascii="仿宋" w:cs="仿宋" w:hAnsi="仿宋"/>
          <w:szCs w:val="32"/>
        </w:rPr>
      </w:pPr>
      <w:r>
        <w:rPr>
          <w:rFonts w:hint="eastAsia"/>
        </w:rPr>
        <w:t>重点对新西、横北、横西、北西等城中村搬迁改造工作，改善生活居住环境。结合新城建设与旧城改造，近期充分利用现状已有基础，进行优化提升，集聚商业金融功能，提升康盛特色商业街</w:t>
      </w:r>
      <w:r>
        <w:rPr>
          <w:rFonts w:ascii="仿宋" w:cs="仿宋" w:hAnsi="仿宋"/>
          <w:szCs w:val="32"/>
        </w:rPr>
        <w:t>。</w:t>
      </w:r>
      <w:bookmarkStart w:id="81" w:name="_Toc476910124"/>
      <w:bookmarkStart w:id="82" w:name="_Toc477190401"/>
      <w:bookmarkEnd w:id="81"/>
      <w:bookmarkEnd w:id="82"/>
    </w:p>
    <w:p>
      <w:pPr>
        <w:pStyle w:val="2"/>
        <w:numPr>
          <w:ilvl w:val="1"/>
          <w:numId w:val="5"/>
        </w:numPr>
        <w:tabs>
          <w:tab w:val="left" w:pos="320"/>
        </w:tabs>
        <w:ind w:left="0" w:firstLine="0"/>
        <w:rPr>
          <w:rFonts w:hint="eastAsia"/>
        </w:rPr>
      </w:pPr>
      <w:bookmarkStart w:id="83" w:name="_Toc130991303"/>
      <w:r>
        <w:rPr>
          <w:rFonts w:hint="eastAsia"/>
        </w:rPr>
        <w:t>科学划定城市控制线</w:t>
      </w:r>
      <w:bookmarkEnd w:id="83"/>
    </w:p>
    <w:p>
      <w:pPr>
        <w:pStyle w:val="3"/>
        <w:rPr>
          <w:rFonts w:hint="eastAsia"/>
        </w:rPr>
      </w:pPr>
      <w:r>
        <w:rPr>
          <w:rFonts w:hint="eastAsia"/>
        </w:rPr>
        <w:t>划定城市绿线</w:t>
      </w:r>
    </w:p>
    <w:p>
      <w:pPr>
        <w:rPr>
          <w:u w:val="single"/>
          <w:shd w:val="clear" w:color="auto" w:fill="FFFFFF"/>
        </w:rPr>
      </w:pPr>
      <w:r>
        <w:rPr>
          <w:u w:val="single"/>
          <w:shd w:val="clear" w:color="auto" w:fill="FFFFFF"/>
        </w:rPr>
        <w:t>加强城市绿地整体性、系统性保护和管理，将城区内</w:t>
      </w:r>
      <w:r>
        <w:rPr>
          <w:rFonts w:hint="eastAsia"/>
          <w:u w:val="single"/>
          <w:shd w:val="clear" w:color="auto" w:fill="FFFFFF"/>
        </w:rPr>
        <w:t>人民公园、杏花沟湿地公园、体育公园</w:t>
      </w:r>
      <w:r>
        <w:rPr>
          <w:u w:val="single"/>
          <w:shd w:val="clear" w:color="auto" w:fill="FFFFFF"/>
        </w:rPr>
        <w:t>等</w:t>
      </w:r>
      <w:r>
        <w:rPr>
          <w:rFonts w:hint="eastAsia"/>
          <w:u w:val="single"/>
          <w:shd w:val="clear" w:color="auto" w:fill="FFFFFF"/>
        </w:rPr>
        <w:t>公园</w:t>
      </w:r>
      <w:r>
        <w:rPr>
          <w:u w:val="single"/>
          <w:shd w:val="clear" w:color="auto" w:fill="FFFFFF"/>
        </w:rPr>
        <w:t>绿地划入城市绿线。</w:t>
      </w:r>
    </w:p>
    <w:p>
      <w:pPr>
        <w:pStyle w:val="3"/>
        <w:rPr>
          <w:rFonts w:hint="eastAsia"/>
        </w:rPr>
      </w:pPr>
      <w:r>
        <w:rPr>
          <w:rFonts w:hint="eastAsia"/>
        </w:rPr>
        <w:t>划定城市蓝线</w:t>
      </w:r>
    </w:p>
    <w:p>
      <w:pPr>
        <w:rPr>
          <w:u w:val="single"/>
          <w:shd w:val="clear" w:color="auto" w:fill="FFFFFF"/>
        </w:rPr>
      </w:pPr>
      <w:r>
        <w:rPr>
          <w:u w:val="single"/>
          <w:shd w:val="clear" w:color="auto" w:fill="FFFFFF"/>
        </w:rPr>
        <w:t>加强城市水系保护与管理，保障城市防洪防涝、供水安全，将</w:t>
      </w:r>
      <w:r>
        <w:rPr>
          <w:rFonts w:hint="eastAsia"/>
          <w:u w:val="single"/>
          <w:shd w:val="clear" w:color="auto" w:fill="FFFFFF"/>
        </w:rPr>
        <w:t>小作河、绵河的河道</w:t>
      </w:r>
      <w:r>
        <w:rPr>
          <w:u w:val="single"/>
          <w:shd w:val="clear" w:color="auto" w:fill="FFFFFF"/>
        </w:rPr>
        <w:t>管理范围界线划入城市蓝线。</w:t>
      </w:r>
    </w:p>
    <w:p>
      <w:pPr>
        <w:pStyle w:val="3"/>
        <w:rPr>
          <w:rFonts w:hint="eastAsia"/>
        </w:rPr>
      </w:pPr>
      <w:r>
        <w:rPr>
          <w:rFonts w:hint="eastAsia"/>
        </w:rPr>
        <w:t>划定城市紫线</w:t>
      </w:r>
    </w:p>
    <w:p>
      <w:pPr>
        <w:rPr>
          <w:spacing w:val="8"/>
          <w:szCs w:val="32"/>
          <w:u w:val="single"/>
          <w:shd w:val="clear" w:color="auto" w:fill="FFFFFF"/>
        </w:rPr>
      </w:pPr>
      <w:r>
        <w:rPr>
          <w:spacing w:val="8"/>
          <w:szCs w:val="32"/>
          <w:u w:val="single"/>
          <w:shd w:val="clear" w:color="auto" w:fill="FFFFFF"/>
        </w:rPr>
        <w:t>为加强城市历史建筑保护与管理，将</w:t>
      </w:r>
      <w:r>
        <w:rPr>
          <w:rFonts w:hint="eastAsia"/>
          <w:u w:val="single"/>
        </w:rPr>
        <w:t>将井陉煤矿老井﹒皇冠塔、天护陀罗尼经幢、南寨清凉阁等11处文物保护单位</w:t>
      </w:r>
      <w:r>
        <w:rPr>
          <w:spacing w:val="8"/>
          <w:szCs w:val="32"/>
          <w:u w:val="single"/>
          <w:shd w:val="clear" w:color="auto" w:fill="FFFFFF"/>
        </w:rPr>
        <w:t>及必要的风貌协调区划入城市紫线。</w:t>
      </w:r>
    </w:p>
    <w:p>
      <w:pPr>
        <w:pStyle w:val="3"/>
        <w:rPr>
          <w:rFonts w:hint="eastAsia"/>
        </w:rPr>
      </w:pPr>
      <w:r>
        <w:rPr>
          <w:rFonts w:hint="eastAsia"/>
        </w:rPr>
        <w:t>划定城市黄线</w:t>
      </w:r>
    </w:p>
    <w:p>
      <w:pPr>
        <w:rPr>
          <w:u w:val="single"/>
          <w:shd w:val="clear" w:color="auto" w:fill="FFFFFF"/>
        </w:rPr>
      </w:pPr>
      <w:r>
        <w:rPr>
          <w:rFonts w:hint="eastAsia"/>
          <w:u w:val="single"/>
          <w:shd w:val="clear" w:color="auto" w:fill="FFFFFF"/>
        </w:rPr>
        <w:t>加强城市基础设施用地管理，保障基础设施正常、高效运转，将井矿220千伏变电站、西王110千伏变电站、矿区门站等基础设施用地界线划入城市黄线</w:t>
      </w:r>
      <w:r>
        <w:rPr>
          <w:u w:val="single"/>
          <w:shd w:val="clear" w:color="auto" w:fill="FFFFFF"/>
        </w:rPr>
        <w:t>。</w:t>
      </w:r>
    </w:p>
    <w:p>
      <w:pPr>
        <w:pStyle w:val="3"/>
        <w:rPr>
          <w:rFonts w:hint="eastAsia"/>
        </w:rPr>
      </w:pPr>
      <w:r>
        <w:rPr>
          <w:rFonts w:hint="eastAsia"/>
        </w:rPr>
        <w:t>严格执行“四线”管控要求</w:t>
      </w:r>
    </w:p>
    <w:p>
      <w:pPr>
        <w:rPr>
          <w:rFonts w:ascii="仿宋" w:hAnsi="仿宋" w:hint="eastAsia"/>
          <w:szCs w:val="32"/>
          <w:u w:val="single"/>
        </w:rPr>
      </w:pPr>
      <w:r>
        <w:rPr>
          <w:u w:val="single"/>
          <w:shd w:val="clear" w:color="auto" w:fill="FFFFFF"/>
        </w:rPr>
        <w:t>城市绿线、蓝线、紫线和黄线一经批准，</w:t>
      </w:r>
      <w:r>
        <w:rPr>
          <w:u w:val="single"/>
        </w:rPr>
        <w:t>不得擅自调整</w:t>
      </w:r>
      <w:r>
        <w:rPr>
          <w:rFonts w:hint="eastAsia"/>
          <w:u w:val="single"/>
        </w:rPr>
        <w:t>，</w:t>
      </w:r>
      <w:r>
        <w:rPr>
          <w:u w:val="single"/>
          <w:shd w:val="clear" w:color="auto" w:fill="FFFFFF"/>
        </w:rPr>
        <w:t>范围内</w:t>
      </w:r>
      <w:r>
        <w:rPr>
          <w:rFonts w:hint="eastAsia"/>
          <w:u w:val="single"/>
          <w:shd w:val="clear" w:color="auto" w:fill="FFFFFF"/>
        </w:rPr>
        <w:t>各项建设活动应</w:t>
      </w:r>
      <w:r>
        <w:rPr>
          <w:u w:val="single"/>
          <w:shd w:val="clear" w:color="auto" w:fill="FFFFFF"/>
        </w:rPr>
        <w:t>严格按照相关管理办法实施管控</w:t>
      </w:r>
      <w:r>
        <w:rPr>
          <w:bCs/>
          <w:u w:val="single"/>
        </w:rPr>
        <w:t>。</w:t>
      </w:r>
    </w:p>
    <w:p>
      <w:pPr>
        <w:pStyle w:val="16"/>
      </w:pPr>
    </w:p>
    <w:p>
      <w:pPr>
        <w:pStyle w:val="1"/>
        <w:ind w:firstLine="0"/>
      </w:pPr>
      <w:r>
        <w:rPr>
          <w:rFonts w:hint="eastAsia"/>
        </w:rPr>
        <w:br w:type="page"/>
      </w:r>
      <w:bookmarkStart w:id="84" w:name="_Toc130991304"/>
      <w:r>
        <w:rPr>
          <w:rFonts w:hint="eastAsia"/>
        </w:rPr>
        <w:t>塑造魅力矿区风貌</w:t>
      </w:r>
      <w:bookmarkEnd w:id="84"/>
    </w:p>
    <w:p>
      <w:pPr>
        <w:pStyle w:val="2"/>
        <w:numPr>
          <w:ilvl w:val="1"/>
          <w:numId w:val="6"/>
        </w:numPr>
        <w:tabs>
          <w:tab w:val="left" w:pos="320"/>
        </w:tabs>
        <w:ind w:left="0" w:firstLine="0"/>
        <w:rPr>
          <w:rFonts w:hint="eastAsia"/>
        </w:rPr>
      </w:pPr>
      <w:bookmarkStart w:id="85" w:name="_Toc130991305"/>
      <w:bookmarkStart w:id="86" w:name="_Toc18164"/>
      <w:bookmarkStart w:id="87" w:name="_Hlk61430999"/>
      <w:r>
        <w:rPr>
          <w:rFonts w:hint="eastAsia"/>
        </w:rPr>
        <w:t>构建要素全覆盖的保护体系</w:t>
      </w:r>
      <w:bookmarkEnd w:id="85"/>
      <w:bookmarkEnd w:id="86"/>
    </w:p>
    <w:p>
      <w:pPr>
        <w:pStyle w:val="16"/>
        <w:rPr>
          <w:rFonts w:ascii="Times New Roman" w:eastAsia="仿宋_GB2312" w:hAnsi="Times New Roman"/>
          <w:sz w:val="32"/>
        </w:rPr>
      </w:pPr>
      <w:bookmarkStart w:id="88" w:name="_Toc2002"/>
      <w:r>
        <w:rPr>
          <w:rFonts w:ascii="Times New Roman" w:eastAsia="仿宋_GB2312" w:hAnsi="Times New Roman"/>
          <w:sz w:val="32"/>
        </w:rPr>
        <w:t>构建文物古迹、工业遗产、传统村落等物质文化遗产及非物质文化遗产多层次保护体系。突出自然地理特色，全面保护历史文化环境的真实性，合理利用自然与历史文化资源，拓展深化历史文化保护内涵，丰富保护类型，强化成片风貌保护，实现保护与发展的融合，促进优秀传统文化的延续和发展。</w:t>
      </w:r>
    </w:p>
    <w:p>
      <w:pPr>
        <w:pStyle w:val="3"/>
        <w:rPr>
          <w:rFonts w:hint="eastAsia"/>
        </w:rPr>
      </w:pPr>
      <w:r>
        <w:rPr>
          <w:rFonts w:hint="eastAsia"/>
        </w:rPr>
        <w:t>分级分类依法保护文物古迹、历史建筑</w:t>
      </w:r>
    </w:p>
    <w:p>
      <w:pPr>
        <w:rPr>
          <w:rFonts w:hint="eastAsia"/>
        </w:rPr>
      </w:pPr>
      <w:r>
        <w:rPr>
          <w:rFonts w:hint="eastAsia"/>
        </w:rPr>
        <w:t>严格执行文物保护有关要求</w:t>
      </w:r>
      <w:r>
        <w:rPr>
          <w:rFonts w:hint="eastAsia"/>
          <w:lang w:eastAsia="zh-CN"/>
        </w:rPr>
        <w:t>，</w:t>
      </w:r>
      <w:r>
        <w:rPr>
          <w:rFonts w:hint="eastAsia"/>
        </w:rPr>
        <w:t>加大现有3处全国重点文物保护单位、5处省级文物保护单位、3处市县级文物保护单位保护力度</w:t>
      </w:r>
      <w:r>
        <w:rPr>
          <w:rFonts w:hint="eastAsia"/>
          <w:lang w:eastAsia="zh-CN"/>
        </w:rPr>
        <w:t>，</w:t>
      </w:r>
      <w:r>
        <w:rPr>
          <w:rFonts w:hint="eastAsia"/>
        </w:rPr>
        <w:t>严禁任何对文物本体造成破坏的行为,划定文物保护范围和建设控制地带</w:t>
      </w:r>
      <w:r>
        <w:rPr>
          <w:rFonts w:hint="eastAsia"/>
          <w:lang w:eastAsia="zh-CN"/>
        </w:rPr>
        <w:t>，</w:t>
      </w:r>
      <w:r>
        <w:rPr>
          <w:rFonts w:hint="eastAsia"/>
        </w:rPr>
        <w:t>结合文物具体情况，编制保护图则，制定有针对性的保护要求。明确保护要求和管理责任,加强文物古迹周边环境整治,延续历史风貌。</w:t>
      </w:r>
    </w:p>
    <w:p>
      <w:pPr>
        <w:rPr>
          <w:rFonts w:hint="eastAsia"/>
        </w:rPr>
      </w:pPr>
      <w:r>
        <w:rPr>
          <w:rFonts w:hint="eastAsia"/>
        </w:rPr>
        <w:t>对已公布的2处历史建筑划定保护范围,加快历史建筑调查认定与保护修缮</w:t>
      </w:r>
      <w:r>
        <w:rPr>
          <w:rFonts w:hint="eastAsia"/>
          <w:lang w:eastAsia="zh-CN"/>
        </w:rPr>
        <w:t>，</w:t>
      </w:r>
      <w:r>
        <w:rPr>
          <w:rFonts w:hint="eastAsia"/>
        </w:rPr>
        <w:t>做到应保尽保。</w:t>
      </w:r>
    </w:p>
    <w:p>
      <w:pPr>
        <w:pStyle w:val="3"/>
        <w:rPr>
          <w:rFonts w:hint="eastAsia"/>
        </w:rPr>
      </w:pPr>
      <w:r>
        <w:rPr>
          <w:rFonts w:hint="eastAsia"/>
        </w:rPr>
        <w:t>有效保护工业遗产</w:t>
      </w:r>
    </w:p>
    <w:p>
      <w:pPr>
        <w:rPr>
          <w:rFonts w:hint="eastAsia"/>
        </w:rPr>
      </w:pPr>
      <w:r>
        <w:rPr>
          <w:rFonts w:hint="eastAsia"/>
        </w:rPr>
        <w:t>建立评定工业遗产的机制体系，加快划定井陉煤矿工业遗产保护范围</w:t>
      </w:r>
      <w:r>
        <w:rPr>
          <w:rFonts w:hint="eastAsia"/>
          <w:lang w:eastAsia="zh-CN"/>
        </w:rPr>
        <w:t>，</w:t>
      </w:r>
      <w:r>
        <w:rPr>
          <w:rFonts w:hint="eastAsia"/>
        </w:rPr>
        <w:t>采取有效保护修缮措施</w:t>
      </w:r>
      <w:r>
        <w:rPr>
          <w:rFonts w:hint="eastAsia"/>
          <w:lang w:eastAsia="zh-CN"/>
        </w:rPr>
        <w:t>，</w:t>
      </w:r>
      <w:r>
        <w:rPr>
          <w:rFonts w:hint="eastAsia"/>
        </w:rPr>
        <w:t>保持遗产格局、建筑结构样式和风貌特征</w:t>
      </w:r>
      <w:r>
        <w:rPr>
          <w:rFonts w:hint="eastAsia"/>
          <w:lang w:eastAsia="zh-CN"/>
        </w:rPr>
        <w:t>，</w:t>
      </w:r>
      <w:r>
        <w:rPr>
          <w:rFonts w:hint="eastAsia"/>
        </w:rPr>
        <w:t>确保核心物项不被破坏。结合生产工艺和特色，重点对工业建筑和设施进行整合和利用，体现工业遗存价值。</w:t>
      </w:r>
    </w:p>
    <w:p>
      <w:pPr>
        <w:pStyle w:val="3"/>
        <w:rPr>
          <w:rFonts w:hint="eastAsia"/>
        </w:rPr>
      </w:pPr>
      <w:r>
        <w:rPr>
          <w:rFonts w:hint="eastAsia"/>
        </w:rPr>
        <w:t>统筹保护历史文化名村和传统村落</w:t>
      </w:r>
    </w:p>
    <w:p>
      <w:pPr>
        <w:rPr>
          <w:rFonts w:hint="eastAsia"/>
        </w:rPr>
      </w:pPr>
      <w:r>
        <w:rPr>
          <w:rFonts w:hint="eastAsia"/>
        </w:rPr>
        <w:t>加强对贾庄村历史文化名村、南凤山村传统村落的保护。统筹划定历史文化名村和传统村落核心保护区、建设控制地带和协调发展区，整体保护历史文化名村和传统村落的传统格局、历史风貌、人文环境及其所依存的地形地貌、河湖水系等自然景观环境,挖掘历史文化价值，在保护中实现特色发展。</w:t>
      </w:r>
    </w:p>
    <w:p>
      <w:pPr>
        <w:pStyle w:val="3"/>
        <w:rPr>
          <w:rFonts w:hint="eastAsia"/>
        </w:rPr>
      </w:pPr>
      <w:r>
        <w:rPr>
          <w:rFonts w:hint="eastAsia"/>
        </w:rPr>
        <w:t>加强非物质文化遗产的传承与弘扬</w:t>
      </w:r>
    </w:p>
    <w:p>
      <w:pPr>
        <w:rPr>
          <w:rFonts w:hint="eastAsia"/>
        </w:rPr>
      </w:pPr>
      <w:r>
        <w:rPr>
          <w:rFonts w:hint="eastAsia"/>
        </w:rPr>
        <w:t>发掘、整理、恢复和保护各类非物质文化遗产，提高非物质文化遗产传承实践能力，弘扬当代价值，促进发展振兴。建设矿区非物质文化遗产展览馆，加强各类非物质文化遗产的宣传展示，利用各类节庆、会展活动，表演、展示各类非物质文化遗产，提高影响力和知名度。</w:t>
      </w:r>
    </w:p>
    <w:p>
      <w:pPr>
        <w:pStyle w:val="3"/>
        <w:rPr>
          <w:rFonts w:hint="eastAsia"/>
        </w:rPr>
      </w:pPr>
      <w:r>
        <w:rPr>
          <w:rFonts w:hint="eastAsia"/>
        </w:rPr>
        <w:t>划定全域历史文化保护线</w:t>
      </w:r>
    </w:p>
    <w:p>
      <w:r>
        <w:rPr>
          <w:rFonts w:hint="eastAsia"/>
        </w:rPr>
        <w:t>将井陉煤矿老井﹒皇冠塔、天护陀罗尼经幢、南寨清凉阁等11处文物保护单位保护范围与建设控制地带、贾庄历史文化名村和南凤山传统村落核心保护范围及建设控制地带、冯家沟古戏楼、南凤山文革“忠”字化照壁等2处历史建筑保护范围及必要的建设控制地带划入历史文化保护线，对历史文化遗存及周边环境进行统一空间管控。</w:t>
      </w:r>
    </w:p>
    <w:p>
      <w:pPr>
        <w:pStyle w:val="2"/>
        <w:numPr>
          <w:ilvl w:val="1"/>
          <w:numId w:val="6"/>
        </w:numPr>
        <w:tabs>
          <w:tab w:val="left" w:pos="320"/>
        </w:tabs>
        <w:ind w:left="0" w:firstLine="0"/>
        <w:rPr>
          <w:rFonts w:hint="eastAsia"/>
        </w:rPr>
      </w:pPr>
      <w:bookmarkStart w:id="89" w:name="_Toc130991306"/>
      <w:bookmarkEnd w:id="88"/>
      <w:r>
        <w:rPr>
          <w:rFonts w:hint="eastAsia"/>
        </w:rPr>
        <w:t>加强历史文化和自然景观的整体保护与利用</w:t>
      </w:r>
      <w:bookmarkEnd w:id="89"/>
    </w:p>
    <w:p>
      <w:pPr>
        <w:rPr>
          <w:rFonts w:hint="eastAsia"/>
        </w:rPr>
      </w:pPr>
      <w:r>
        <w:rPr>
          <w:rFonts w:hint="eastAsia"/>
        </w:rPr>
        <w:t>活化利用历史文化资源，保护和展现山水文化格局。按照“突出亮点、整体保护、活化利用”的发展理念，培育历史文化景观集聚区旅游发展的核心吸引力。</w:t>
      </w:r>
    </w:p>
    <w:p>
      <w:pPr>
        <w:pStyle w:val="3"/>
        <w:rPr>
          <w:rFonts w:hint="eastAsia"/>
        </w:rPr>
      </w:pPr>
      <w:r>
        <w:rPr>
          <w:rFonts w:hint="eastAsia"/>
        </w:rPr>
        <w:t>构建山水文化格局</w:t>
      </w:r>
    </w:p>
    <w:p>
      <w:pPr>
        <w:rPr>
          <w:rFonts w:hint="eastAsia"/>
        </w:rPr>
      </w:pPr>
      <w:r>
        <w:rPr>
          <w:rFonts w:hint="eastAsia"/>
        </w:rPr>
        <w:t>严格保护井陉矿区的山水文化格局，以“清凉山、台阳山、青石岭、云</w:t>
      </w:r>
      <w:r>
        <w:rPr>
          <w:rFonts w:hint="eastAsia"/>
          <w:lang w:val="en-US" w:eastAsia="zh-CN"/>
        </w:rPr>
        <w:t>凤</w:t>
      </w:r>
      <w:r>
        <w:rPr>
          <w:rFonts w:hint="eastAsia"/>
        </w:rPr>
        <w:t>山、三官山、起龙山”等山体为框架，形成水域、湿地、林地及自然保留地等生态空间和耕地、园地、商品林、其他农用地的一般生态空间，打造山前生态保育带，形成“一环、一带”的保护与发展相协调的山水格局。</w:t>
      </w:r>
    </w:p>
    <w:p>
      <w:pPr>
        <w:pStyle w:val="3"/>
        <w:rPr>
          <w:rFonts w:hint="eastAsia"/>
        </w:rPr>
      </w:pPr>
      <w:r>
        <w:rPr>
          <w:rFonts w:hint="eastAsia"/>
        </w:rPr>
        <w:t>山水文化整体保护与发展</w:t>
      </w:r>
    </w:p>
    <w:p>
      <w:pPr>
        <w:rPr>
          <w:rFonts w:hint="eastAsia"/>
        </w:rPr>
      </w:pPr>
      <w:r>
        <w:rPr>
          <w:rFonts w:hint="eastAsia"/>
        </w:rPr>
        <w:t>依托清凉山优越的生态环境，整合清凉山省级风景名胜区、贾庄、凤山传统村落和台阳的自然生态资源，强化山体保护，优化生态环境，发展生态休闲旅游；挖掘和利用沿线自然和文化资源，加强古驿道保护和工业资源整合，推进特色小镇和美丽乡村建设，建设历史与文化交相辉映的产城融合示范区。</w:t>
      </w:r>
    </w:p>
    <w:p>
      <w:pPr>
        <w:pStyle w:val="2"/>
        <w:numPr>
          <w:ilvl w:val="1"/>
          <w:numId w:val="6"/>
        </w:numPr>
        <w:tabs>
          <w:tab w:val="left" w:pos="320"/>
        </w:tabs>
        <w:ind w:left="0" w:firstLine="0"/>
        <w:rPr>
          <w:rFonts w:hint="eastAsia"/>
        </w:rPr>
      </w:pPr>
      <w:bookmarkStart w:id="90" w:name="_Toc130991307"/>
      <w:r>
        <w:rPr>
          <w:rFonts w:hint="eastAsia"/>
        </w:rPr>
        <w:t>塑造山水共融的城乡风貌</w:t>
      </w:r>
      <w:bookmarkEnd w:id="90"/>
    </w:p>
    <w:p>
      <w:pPr>
        <w:pStyle w:val="3"/>
        <w:rPr>
          <w:rFonts w:hint="eastAsia"/>
        </w:rPr>
      </w:pPr>
      <w:r>
        <w:rPr>
          <w:rFonts w:hint="eastAsia"/>
        </w:rPr>
        <w:t>突出自然人文产业共生的城乡整体风貌管控</w:t>
      </w:r>
    </w:p>
    <w:p>
      <w:pPr>
        <w:rPr>
          <w:rFonts w:hint="eastAsia"/>
        </w:rPr>
      </w:pPr>
      <w:r>
        <w:rPr>
          <w:rFonts w:hint="eastAsia"/>
        </w:rPr>
        <w:t>遵循矿区地貌格局，充分利用清凉山、台阳山、青石岭等山体资源，强化城乡建设与自然山水和谐共融；延续历史文脉，彰显天户、贾</w:t>
      </w:r>
      <w:r>
        <w:rPr>
          <w:rFonts w:hint="eastAsia"/>
          <w:lang w:val="en-US" w:eastAsia="zh-CN"/>
        </w:rPr>
        <w:t>庄</w:t>
      </w:r>
      <w:r>
        <w:rPr>
          <w:rFonts w:hint="eastAsia"/>
        </w:rPr>
        <w:t>等传统风貌，重点提升矿区独特的工业风貌，塑造“城绿共生、产城融合、活力延展”的城乡整体风貌。加强城乡形态、自然廊道、建筑风貌的管控。</w:t>
      </w:r>
    </w:p>
    <w:p>
      <w:pPr>
        <w:pStyle w:val="3"/>
        <w:rPr>
          <w:rFonts w:hint="eastAsia"/>
        </w:rPr>
      </w:pPr>
      <w:r>
        <w:rPr>
          <w:rFonts w:hint="eastAsia"/>
        </w:rPr>
        <w:t>塑造丰富的城乡风貌</w:t>
      </w:r>
    </w:p>
    <w:p>
      <w:pPr>
        <w:rPr>
          <w:rFonts w:hint="eastAsia"/>
        </w:rPr>
      </w:pPr>
      <w:r>
        <w:rPr>
          <w:rFonts w:hint="eastAsia"/>
        </w:rPr>
        <w:t>根据城市功能和空间形态，划分为传统风貌区、旧城风貌区、新城风貌区、城市协调风貌区和产业风貌区，针对不同风貌片区,对建筑风格、开发强度、建筑高度控制、建筑色彩控制和公共空间特色等要素进行分区管控。</w:t>
      </w:r>
    </w:p>
    <w:p>
      <w:pPr>
        <w:rPr>
          <w:rFonts w:hint="eastAsia"/>
        </w:rPr>
      </w:pPr>
      <w:r>
        <w:rPr>
          <w:rFonts w:hint="eastAsia"/>
        </w:rPr>
        <w:t>（1）传统风貌区</w:t>
      </w:r>
    </w:p>
    <w:p>
      <w:pPr>
        <w:rPr>
          <w:rFonts w:hint="eastAsia"/>
        </w:rPr>
      </w:pPr>
      <w:r>
        <w:rPr>
          <w:rFonts w:hint="eastAsia"/>
        </w:rPr>
        <w:t>分为老井皇冠塔历史风貌区、贾庄传统风貌村落传统风貌街以及贾庄历史文化名村风貌区、南凤山传统村落风貌区，在这些历史文化底蕴深厚的区域，在风貌上强调传承，重点是对格局形制的传承和历史文化风貌的再现。</w:t>
      </w:r>
    </w:p>
    <w:p>
      <w:pPr>
        <w:rPr>
          <w:rFonts w:hint="eastAsia"/>
        </w:rPr>
      </w:pPr>
      <w:r>
        <w:rPr>
          <w:rFonts w:hint="eastAsia"/>
        </w:rPr>
        <w:t>（2）旧城风貌区</w:t>
      </w:r>
    </w:p>
    <w:p>
      <w:pPr>
        <w:rPr>
          <w:rFonts w:hint="eastAsia"/>
        </w:rPr>
      </w:pPr>
      <w:r>
        <w:rPr>
          <w:rFonts w:hint="eastAsia"/>
        </w:rPr>
        <w:t>功能以文体行政办公功能为主，该区域作为现代与传统建筑交融的区域，在建筑高度和色彩上适度放宽要求。</w:t>
      </w:r>
    </w:p>
    <w:p>
      <w:pPr>
        <w:rPr>
          <w:rFonts w:hint="eastAsia"/>
        </w:rPr>
      </w:pPr>
      <w:r>
        <w:rPr>
          <w:rFonts w:hint="eastAsia"/>
        </w:rPr>
        <w:t>（3）新城风貌区</w:t>
      </w:r>
    </w:p>
    <w:p>
      <w:pPr>
        <w:rPr>
          <w:rFonts w:hint="eastAsia"/>
        </w:rPr>
      </w:pPr>
      <w:r>
        <w:rPr>
          <w:rFonts w:hint="eastAsia"/>
        </w:rPr>
        <w:t>分为天户新城风貌区和凤山新城风貌区，是未来城市现代生活的重要空间、综合公共服务集中，强调适度集中、尺度宜人，既能彰显现代特征，又能感知到小城市的悠然生活。</w:t>
      </w:r>
    </w:p>
    <w:p>
      <w:pPr>
        <w:rPr>
          <w:rFonts w:hint="eastAsia"/>
        </w:rPr>
      </w:pPr>
      <w:r>
        <w:rPr>
          <w:rFonts w:hint="eastAsia"/>
        </w:rPr>
        <w:t>（4）城市协调风貌区</w:t>
      </w:r>
    </w:p>
    <w:p>
      <w:pPr>
        <w:rPr>
          <w:rFonts w:hint="eastAsia"/>
        </w:rPr>
      </w:pPr>
      <w:r>
        <w:rPr>
          <w:rFonts w:hint="eastAsia"/>
        </w:rPr>
        <w:t>作为老井、皇冠塔瞭望清凉山的重要视觉通廊，该区域做好与传统风貌协调的功能，在高度、色彩上要满足视觉通廊、天际线的要求。</w:t>
      </w:r>
    </w:p>
    <w:p>
      <w:pPr>
        <w:rPr>
          <w:rFonts w:hint="eastAsia"/>
        </w:rPr>
      </w:pPr>
      <w:r>
        <w:rPr>
          <w:rFonts w:hint="eastAsia"/>
        </w:rPr>
        <w:t>（5）产业风貌区</w:t>
      </w:r>
    </w:p>
    <w:p>
      <w:pPr>
        <w:rPr>
          <w:rFonts w:hint="eastAsia"/>
        </w:rPr>
      </w:pPr>
      <w:r>
        <w:rPr>
          <w:rFonts w:hint="eastAsia"/>
        </w:rPr>
        <w:t>相对独立，是矿区经济的根基，也是城市风貌的重要组成部分。强调整体简洁、明快、园区化的风貌特征，高度上以</w:t>
      </w:r>
      <w:r>
        <w:rPr>
          <w:rFonts w:hint="eastAsia"/>
          <w:highlight w:val="magenta"/>
        </w:rPr>
        <w:t>相对低层的厂房为主</w:t>
      </w:r>
      <w:r>
        <w:rPr>
          <w:rFonts w:hint="eastAsia"/>
        </w:rPr>
        <w:t>，强调规整统一的建筑肌理，展现工业建筑的秩序感。</w:t>
      </w:r>
    </w:p>
    <w:p>
      <w:pPr>
        <w:pStyle w:val="2"/>
        <w:numPr>
          <w:ilvl w:val="1"/>
          <w:numId w:val="6"/>
        </w:numPr>
        <w:tabs>
          <w:tab w:val="left" w:pos="320"/>
        </w:tabs>
        <w:ind w:left="0" w:firstLine="0"/>
        <w:rPr>
          <w:rFonts w:hint="eastAsia"/>
        </w:rPr>
      </w:pPr>
      <w:bookmarkStart w:id="91" w:name="_Toc61446561"/>
      <w:bookmarkStart w:id="92" w:name="_Toc130991308"/>
      <w:bookmarkStart w:id="93" w:name="_Toc9524"/>
      <w:bookmarkStart w:id="94" w:name="_Toc10130"/>
      <w:r>
        <w:rPr>
          <w:rFonts w:hint="eastAsia"/>
        </w:rPr>
        <w:t>城市空间形态管控</w:t>
      </w:r>
      <w:bookmarkEnd w:id="91"/>
      <w:bookmarkEnd w:id="92"/>
      <w:bookmarkEnd w:id="93"/>
      <w:bookmarkEnd w:id="94"/>
    </w:p>
    <w:p>
      <w:pPr>
        <w:pStyle w:val="3"/>
        <w:rPr>
          <w:rFonts w:hint="eastAsia"/>
        </w:rPr>
      </w:pPr>
      <w:r>
        <w:rPr>
          <w:rFonts w:hint="eastAsia"/>
        </w:rPr>
        <w:t>城市开发强度分区引导</w:t>
      </w:r>
    </w:p>
    <w:p>
      <w:pPr>
        <w:rPr>
          <w:rFonts w:hint="eastAsia"/>
        </w:rPr>
      </w:pPr>
      <w:r>
        <w:rPr>
          <w:rFonts w:hint="eastAsia"/>
        </w:rPr>
        <w:t>严格控制城区开发强度，体现小城市的风貌特色，在分区引导方面，形成中心城区高、贾庄和凤山组团稍低的整体格局，清凉山山前地区严格控制开发强度，形成城市高品质空间。</w:t>
      </w:r>
    </w:p>
    <w:p>
      <w:pPr>
        <w:pStyle w:val="3"/>
        <w:rPr>
          <w:rFonts w:hint="eastAsia"/>
        </w:rPr>
      </w:pPr>
      <w:r>
        <w:rPr>
          <w:rFonts w:hint="eastAsia"/>
        </w:rPr>
        <w:t>建筑高度管控</w:t>
      </w:r>
    </w:p>
    <w:p>
      <w:pPr>
        <w:rPr>
          <w:rFonts w:hint="eastAsia"/>
        </w:rPr>
      </w:pPr>
      <w:r>
        <w:rPr>
          <w:rFonts w:hint="eastAsia"/>
        </w:rPr>
        <w:t>优化城市形态管控策略，形成层级清晰、标志鲜明的整体形态格局。在建筑高度控制上，明确“旧城强调控制，传统重在协调、新城侧重引导、产业保持弹性”的控制原则，居住建筑原则控制在18层以下。</w:t>
      </w:r>
    </w:p>
    <w:p>
      <w:pPr>
        <w:rPr>
          <w:rFonts w:hint="eastAsia"/>
        </w:rPr>
      </w:pPr>
      <w:r>
        <w:rPr>
          <w:rFonts w:hint="eastAsia"/>
        </w:rPr>
        <w:t>3层以下控制区：主要老井皇冠塔、天护老街、中央人民广播电台旧址和古驿道周边及康盛街步行街两侧商铺；</w:t>
      </w:r>
    </w:p>
    <w:p>
      <w:pPr>
        <w:rPr>
          <w:rFonts w:hint="eastAsia"/>
        </w:rPr>
      </w:pPr>
      <w:r>
        <w:rPr>
          <w:rFonts w:hint="eastAsia"/>
        </w:rPr>
        <w:t>3—6层控制区：次一级的旧城街道、传统风貌区周边协调地区；</w:t>
      </w:r>
    </w:p>
    <w:p>
      <w:pPr>
        <w:rPr>
          <w:rFonts w:hint="eastAsia"/>
        </w:rPr>
      </w:pPr>
      <w:r>
        <w:rPr>
          <w:rFonts w:hint="eastAsia"/>
        </w:rPr>
        <w:t>6—12层控制区：旧城区改造项目</w:t>
      </w:r>
    </w:p>
    <w:p>
      <w:pPr>
        <w:rPr>
          <w:rFonts w:hint="eastAsia"/>
        </w:rPr>
      </w:pPr>
      <w:r>
        <w:rPr>
          <w:rFonts w:hint="eastAsia"/>
        </w:rPr>
        <w:t>12—18层控制区：新城片区一般以小高层为主，高层应高低交错分布，城市天际线应富有变化;</w:t>
      </w:r>
    </w:p>
    <w:p>
      <w:pPr>
        <w:rPr>
          <w:rFonts w:hint="eastAsia"/>
        </w:rPr>
      </w:pPr>
      <w:r>
        <w:rPr>
          <w:rFonts w:hint="eastAsia"/>
        </w:rPr>
        <w:t>18—30层控制区：主要针对已建项目。</w:t>
      </w:r>
    </w:p>
    <w:p>
      <w:pPr>
        <w:rPr>
          <w:rFonts w:hint="eastAsia"/>
        </w:rPr>
      </w:pPr>
      <w:r>
        <w:rPr>
          <w:rFonts w:hint="eastAsia"/>
        </w:rPr>
        <w:t>地标性建筑物和商业综合体最高不超过30层。</w:t>
      </w:r>
    </w:p>
    <w:p>
      <w:pPr>
        <w:rPr>
          <w:rFonts w:hint="eastAsia"/>
        </w:rPr>
      </w:pPr>
      <w:r>
        <w:rPr>
          <w:rFonts w:hint="eastAsia"/>
        </w:rPr>
        <w:t>工业地区办公建筑建筑高度不超过12层。</w:t>
      </w:r>
    </w:p>
    <w:p>
      <w:pPr>
        <w:pStyle w:val="3"/>
      </w:pPr>
      <w:r>
        <w:rPr>
          <w:rFonts w:hint="eastAsia"/>
        </w:rPr>
        <w:t>天际线管控</w:t>
      </w:r>
    </w:p>
    <w:p>
      <w:pPr>
        <w:rPr>
          <w:rFonts w:hint="eastAsia"/>
        </w:rPr>
      </w:pPr>
      <w:r>
        <w:rPr>
          <w:rFonts w:hint="eastAsia"/>
        </w:rPr>
        <w:t>按照“城中望山”、“山间见城”、“门户观城”三类控制城市天际线。重点协调城、山关系，保护山峦背景；结合文化建筑、地标建筑分布，形成连续且完整，韵律感强的城市天际轮廓。</w:t>
      </w:r>
    </w:p>
    <w:p>
      <w:r>
        <w:rPr>
          <w:rFonts w:hint="eastAsia"/>
        </w:rPr>
        <w:t>重点保护城区西侧地区连绵的山峦背景与山体天际线，严格控制山前地区建筑高度和体量。城市高层建筑结合中心体系进行分布，形成城市地标突出、城市天际轮廓丰富的意象。</w:t>
      </w:r>
    </w:p>
    <w:p>
      <w:pPr>
        <w:pStyle w:val="3"/>
        <w:rPr>
          <w:rFonts w:hint="eastAsia"/>
        </w:rPr>
      </w:pPr>
      <w:r>
        <w:rPr>
          <w:rFonts w:hint="eastAsia"/>
        </w:rPr>
        <w:t>建筑色彩管控</w:t>
      </w:r>
    </w:p>
    <w:p>
      <w:pPr>
        <w:rPr>
          <w:rFonts w:hint="eastAsia"/>
        </w:rPr>
      </w:pPr>
      <w:r>
        <w:rPr>
          <w:rFonts w:hint="eastAsia"/>
        </w:rPr>
        <w:t>整体控制城市居住区、工业区、城市门户等重要地区的建筑色彩，强化建筑风貌引导。城市色彩体系突出传承性、文化性、独特性、地域性，选用色彩稳定、明度适度、色相柔和的色彩区间，营造和谐、舒适、安定的城市生活空间。</w:t>
      </w:r>
    </w:p>
    <w:p>
      <w:pPr>
        <w:pStyle w:val="3"/>
      </w:pPr>
      <w:r>
        <w:rPr>
          <w:rFonts w:hint="eastAsia"/>
        </w:rPr>
        <w:t>特色片区营造</w:t>
      </w:r>
    </w:p>
    <w:p>
      <w:r>
        <w:rPr>
          <w:rFonts w:hint="eastAsia"/>
        </w:rPr>
        <w:t>重点营造杏花沟公园片区、中东王舍工业片区、天护古城片区</w:t>
      </w:r>
      <w:r>
        <w:rPr>
          <w:rFonts w:hint="eastAsia"/>
          <w:lang w:eastAsia="zh-CN"/>
        </w:rPr>
        <w:t>、</w:t>
      </w:r>
      <w:r>
        <w:rPr>
          <w:rFonts w:hint="eastAsia"/>
          <w:lang w:val="en-US" w:eastAsia="zh-CN"/>
        </w:rPr>
        <w:t>滨河片区</w:t>
      </w:r>
      <w:r>
        <w:rPr>
          <w:rFonts w:hint="eastAsia"/>
        </w:rPr>
        <w:t>以及正丰矿—段家楼片区等特色片区。</w:t>
      </w:r>
    </w:p>
    <w:p>
      <w:pPr>
        <w:pStyle w:val="1"/>
        <w:ind w:firstLine="0"/>
        <w:rPr>
          <w:rFonts w:hint="eastAsia"/>
        </w:rPr>
      </w:pPr>
      <w:bookmarkStart w:id="95" w:name="_Toc28745"/>
      <w:bookmarkEnd w:id="76"/>
      <w:bookmarkEnd w:id="87"/>
      <w:r>
        <w:rPr>
          <w:rFonts w:hint="eastAsia"/>
        </w:rPr>
        <w:br w:type="page"/>
      </w:r>
      <w:bookmarkStart w:id="96" w:name="_Toc61446553"/>
      <w:bookmarkStart w:id="97" w:name="_Toc130991309"/>
      <w:r>
        <w:rPr>
          <w:rFonts w:hint="eastAsia"/>
        </w:rPr>
        <w:t>完善基础设施支撑体系</w:t>
      </w:r>
      <w:bookmarkEnd w:id="95"/>
      <w:bookmarkEnd w:id="96"/>
      <w:bookmarkEnd w:id="97"/>
    </w:p>
    <w:p>
      <w:pPr>
        <w:pStyle w:val="2"/>
        <w:numPr>
          <w:ilvl w:val="1"/>
          <w:numId w:val="7"/>
        </w:numPr>
        <w:tabs>
          <w:tab w:val="left" w:pos="320"/>
        </w:tabs>
        <w:ind w:left="0" w:firstLine="0"/>
        <w:rPr>
          <w:rFonts w:hint="eastAsia"/>
        </w:rPr>
      </w:pPr>
      <w:bookmarkStart w:id="98" w:name="_Toc130991310"/>
      <w:r>
        <w:rPr>
          <w:rFonts w:hint="eastAsia"/>
        </w:rPr>
        <w:t>打造便捷高效的交通系统</w:t>
      </w:r>
      <w:bookmarkEnd w:id="98"/>
    </w:p>
    <w:p>
      <w:pPr>
        <w:pStyle w:val="3"/>
        <w:rPr>
          <w:rFonts w:hint="eastAsia"/>
        </w:rPr>
      </w:pPr>
      <w:r>
        <w:rPr>
          <w:rFonts w:hint="eastAsia"/>
        </w:rPr>
        <w:t>交通发展战略目标</w:t>
      </w:r>
    </w:p>
    <w:p>
      <w:pPr>
        <w:rPr>
          <w:rFonts w:hint="eastAsia"/>
        </w:rPr>
      </w:pPr>
      <w:r>
        <w:rPr>
          <w:rFonts w:hint="eastAsia"/>
        </w:rPr>
        <w:t>建设以高快速路、市域（郊）铁路为骨架的对外快速交通网络，多方式协调，有效衔接，提高城市的区域可达性。</w:t>
      </w:r>
    </w:p>
    <w:p>
      <w:pPr>
        <w:rPr>
          <w:rFonts w:hint="eastAsia"/>
        </w:rPr>
      </w:pPr>
      <w:r>
        <w:rPr>
          <w:rFonts w:hint="eastAsia"/>
        </w:rPr>
        <w:t>落实新发展理念，建立与国土空间相协调，道路功能完善、结构合理，以公共交通为主导的绿色高效城市综合交通体系。绿色交通出行比例达到75%。</w:t>
      </w:r>
    </w:p>
    <w:p>
      <w:pPr>
        <w:pStyle w:val="3"/>
        <w:rPr>
          <w:rFonts w:hint="eastAsia"/>
        </w:rPr>
      </w:pPr>
      <w:r>
        <w:rPr>
          <w:rFonts w:hint="eastAsia"/>
        </w:rPr>
        <w:t>依托“三高两快”融入石家庄一小时交通圈</w:t>
      </w:r>
    </w:p>
    <w:p>
      <w:pPr>
        <w:rPr>
          <w:rFonts w:hint="eastAsia"/>
        </w:rPr>
      </w:pPr>
      <w:r>
        <w:rPr>
          <w:rFonts w:hint="eastAsia"/>
        </w:rPr>
        <w:t>加强与石家庄市主城区的交通联系，积极融入石家庄市一小时交通圈，发挥好交通对产业和经济的支撑带动作用，统筹好各种运输方式、城市内外交通衔接。</w:t>
      </w:r>
    </w:p>
    <w:p>
      <w:pPr>
        <w:rPr>
          <w:rFonts w:hint="eastAsia"/>
        </w:rPr>
      </w:pPr>
      <w:r>
        <w:rPr>
          <w:rFonts w:hint="eastAsia"/>
        </w:rPr>
        <w:t>规划贾天线南延接石太高速；规划平赞高速矿区出入口。规划通过平赞高速井陉连接线接和平路西延。</w:t>
      </w:r>
    </w:p>
    <w:p>
      <w:r>
        <w:rPr>
          <w:rFonts w:hint="eastAsia"/>
        </w:rPr>
        <w:t>最终形成三高（京昆高速、石太高速、平赞高速—南绕城高速）两快（井矿快速路—南二环西延、平赞高速井陉连接线—和平路西延）五条对外快速联系通道，融入石家庄中心城区一小时交通圈。</w:t>
      </w:r>
    </w:p>
    <w:p>
      <w:pPr>
        <w:pStyle w:val="3"/>
        <w:rPr>
          <w:rFonts w:hint="eastAsia"/>
        </w:rPr>
      </w:pPr>
      <w:r>
        <w:rPr>
          <w:rFonts w:hint="eastAsia"/>
        </w:rPr>
        <w:t>加强与周边地区的交通衔接</w:t>
      </w:r>
    </w:p>
    <w:p>
      <w:r>
        <w:rPr>
          <w:rFonts w:hint="eastAsia"/>
        </w:rPr>
        <w:t>依托京昆高速、石太高速、平赞高速—南绕城高速、铁路、国道307、省道334、省道307等联通周边井陉、平山、赞皇、鹿泉、山西阳泉等区县。</w:t>
      </w:r>
    </w:p>
    <w:p>
      <w:pPr>
        <w:pStyle w:val="3"/>
        <w:rPr>
          <w:rFonts w:hint="eastAsia"/>
        </w:rPr>
      </w:pPr>
      <w:r>
        <w:rPr>
          <w:rFonts w:hint="eastAsia"/>
        </w:rPr>
        <w:t>优化铁路网络，服务产业发展</w:t>
      </w:r>
    </w:p>
    <w:p>
      <w:r>
        <w:rPr>
          <w:rFonts w:hint="eastAsia"/>
        </w:rPr>
        <w:t>保留凤张铁路和新井铁路，将新井支线西延，服务石钢。利用新井铁路谋划连接石家庄市主中心城区的市域（郊）铁路，融入轨道上的石家庄。</w:t>
      </w:r>
    </w:p>
    <w:p>
      <w:pPr>
        <w:pStyle w:val="3"/>
        <w:rPr>
          <w:highlight w:val="magenta"/>
        </w:rPr>
      </w:pPr>
      <w:r>
        <w:rPr>
          <w:rFonts w:hint="eastAsia"/>
          <w:highlight w:val="magenta"/>
        </w:rPr>
        <w:t>保障重大交通基础设施</w:t>
      </w:r>
    </w:p>
    <w:p>
      <w:pPr>
        <w:rPr>
          <w:rFonts w:hint="eastAsia"/>
          <w:highlight w:val="magenta"/>
        </w:rPr>
      </w:pPr>
      <w:r>
        <w:rPr>
          <w:rFonts w:hint="eastAsia"/>
          <w:highlight w:val="magenta"/>
        </w:rPr>
        <w:t>规划</w:t>
      </w:r>
      <w:r>
        <w:rPr>
          <w:rFonts w:hint="eastAsia"/>
          <w:lang w:val="en-US" w:eastAsia="zh-CN"/>
          <w:highlight w:val="magenta"/>
        </w:rPr>
        <w:t>推进</w:t>
      </w:r>
      <w:r>
        <w:rPr>
          <w:rFonts w:hint="eastAsia"/>
          <w:highlight w:val="magenta"/>
        </w:rPr>
        <w:t>矿市街与金川路交叉口东南角长途客运站</w:t>
      </w:r>
      <w:r>
        <w:rPr>
          <w:rFonts w:hint="eastAsia"/>
          <w:lang w:val="en-US" w:eastAsia="zh-CN"/>
          <w:highlight w:val="magenta"/>
        </w:rPr>
        <w:t>启用</w:t>
      </w:r>
      <w:r>
        <w:rPr>
          <w:rFonts w:hint="eastAsia"/>
          <w:highlight w:val="magenta"/>
        </w:rPr>
        <w:t>，同时周边配套相应的交通维修设施用地、交通集散广场和停车场用地。结合北侧城区公交枢纽，作为对外客运交通的集散点。规划长途客运站用地1.8公顷。</w:t>
      </w:r>
    </w:p>
    <w:p>
      <w:pPr>
        <w:pStyle w:val="3"/>
        <w:rPr>
          <w:rFonts w:hint="eastAsia"/>
        </w:rPr>
      </w:pPr>
      <w:r>
        <w:rPr>
          <w:rFonts w:hint="eastAsia"/>
        </w:rPr>
        <w:t>完善城区路网结构和网络布局</w:t>
      </w:r>
    </w:p>
    <w:p>
      <w:pPr>
        <w:rPr>
          <w:rFonts w:hint="eastAsia"/>
        </w:rPr>
      </w:pPr>
      <w:r>
        <w:rPr>
          <w:rFonts w:hint="eastAsia"/>
        </w:rPr>
        <w:t>构建与区域公路合理衔接、与城市空间布局相适应的骨干路网，优化道路网络结构，践行“窄马路、密路网”理念，主干路红线宽度不超过40米，次干路红线宽度不超过30米，支路红线宽度不超过20米，路网密度不低于8千米/平方千米。</w:t>
      </w:r>
    </w:p>
    <w:p>
      <w:pPr>
        <w:rPr>
          <w:rFonts w:hint="eastAsia"/>
        </w:rPr>
      </w:pPr>
      <w:r>
        <w:rPr>
          <w:rFonts w:hint="eastAsia"/>
        </w:rPr>
        <w:t>重视道路骨架系统建设，明确道路功能层次。提高贯穿性道路等级和建设标准，实施公路城区段道路城市化改造，构筑“三纵六横”的骨架路网结构。</w:t>
      </w:r>
    </w:p>
    <w:p>
      <w:r>
        <w:rPr>
          <w:rFonts w:hint="eastAsia"/>
        </w:rPr>
        <w:t>三纵：贾凤路、矿市街、</w:t>
      </w:r>
      <w:r>
        <w:rPr>
          <w:rFonts w:hint="eastAsia"/>
          <w:lang w:val="en-US" w:eastAsia="zh-CN"/>
        </w:rPr>
        <w:t>平涉路</w:t>
      </w:r>
      <w:r>
        <w:rPr>
          <w:rFonts w:hint="eastAsia"/>
        </w:rPr>
        <w:t>。</w:t>
      </w:r>
    </w:p>
    <w:p>
      <w:pPr>
        <w:rPr>
          <w:rFonts w:hint="eastAsia"/>
        </w:rPr>
      </w:pPr>
      <w:r>
        <w:rPr>
          <w:rFonts w:hint="eastAsia"/>
        </w:rPr>
        <w:t>六横：北环路、纬一路、工业大道、世纪大道——南纬路、金川路、凤中路。</w:t>
      </w:r>
    </w:p>
    <w:p>
      <w:pPr>
        <w:rPr>
          <w:rFonts w:hint="eastAsia"/>
        </w:rPr>
      </w:pPr>
      <w:r>
        <w:rPr>
          <w:rFonts w:hint="eastAsia"/>
        </w:rPr>
        <w:t>集约利用通道资源，加强集散性道路建设，改善道路网络的瓶颈地段，打通断头路，优化道路交叉口渠化，畅通道路微循环，提高支路密度，不低于5千米/平方千米。</w:t>
      </w:r>
    </w:p>
    <w:p>
      <w:pPr>
        <w:pStyle w:val="3"/>
        <w:rPr>
          <w:rFonts w:hint="eastAsia"/>
        </w:rPr>
      </w:pPr>
      <w:r>
        <w:rPr>
          <w:rFonts w:hint="eastAsia"/>
        </w:rPr>
        <w:t>提高公交服务水平</w:t>
      </w:r>
    </w:p>
    <w:p>
      <w:pPr>
        <w:rPr>
          <w:rFonts w:hint="eastAsia"/>
        </w:rPr>
      </w:pPr>
      <w:r>
        <w:rPr>
          <w:rFonts w:hint="eastAsia"/>
        </w:rPr>
        <w:t>构建以客运枢纽为核心、市域（郊）铁路为骨架、常规公交为主体，出租车与共享交通工具等其它交通方式为辅助的高效、安全、绿色共享、城乡一体的现代化公共交通体系。</w:t>
      </w:r>
    </w:p>
    <w:p>
      <w:pPr>
        <w:rPr>
          <w:rFonts w:hint="eastAsia"/>
        </w:rPr>
      </w:pPr>
      <w:r>
        <w:rPr>
          <w:rFonts w:hint="eastAsia"/>
        </w:rPr>
        <w:t>通过客运枢纽、市域（郊）铁路强化与石家庄市中心城区的联系；常规公交、出租车、共享交通工具等与井陉县统筹协调，一体化发展。</w:t>
      </w:r>
    </w:p>
    <w:p>
      <w:pPr>
        <w:rPr>
          <w:rFonts w:hint="eastAsia"/>
        </w:rPr>
      </w:pPr>
      <w:r>
        <w:rPr>
          <w:rFonts w:hint="eastAsia"/>
        </w:rPr>
        <w:t>到2035年常规公交车达到50标台，新能源公交车比例达到100%，合计布局公交场站用地，场站用地面积不低于每标台150平方米。</w:t>
      </w:r>
    </w:p>
    <w:p>
      <w:pPr>
        <w:pStyle w:val="3"/>
        <w:rPr>
          <w:rFonts w:hint="eastAsia"/>
        </w:rPr>
      </w:pPr>
      <w:r>
        <w:rPr>
          <w:rFonts w:hint="eastAsia"/>
        </w:rPr>
        <w:t>提升慢行出行品质</w:t>
      </w:r>
    </w:p>
    <w:p>
      <w:pPr>
        <w:rPr>
          <w:rFonts w:hint="eastAsia"/>
        </w:rPr>
      </w:pPr>
      <w:r>
        <w:rPr>
          <w:rFonts w:hint="eastAsia"/>
        </w:rPr>
        <w:t>保证慢行交通路权，提升步行和自行车道网络密度，鼓励自行车交通出行，有序发展公共自行车和共享单车，满足居民通勤、健身等需求。</w:t>
      </w:r>
    </w:p>
    <w:p>
      <w:pPr>
        <w:rPr>
          <w:rFonts w:hint="eastAsia"/>
        </w:rPr>
      </w:pPr>
      <w:r>
        <w:rPr>
          <w:rFonts w:hint="eastAsia"/>
        </w:rPr>
        <w:t>完善步行网络系统，围绕商业中心、旅游景点、绿道绿廊、轨道站点周边等，形成连续的、高品质的步行系统。</w:t>
      </w:r>
    </w:p>
    <w:p>
      <w:pPr>
        <w:pStyle w:val="3"/>
        <w:rPr>
          <w:rFonts w:hint="eastAsia"/>
        </w:rPr>
      </w:pPr>
      <w:r>
        <w:rPr>
          <w:rFonts w:hint="eastAsia"/>
        </w:rPr>
        <w:t>形成配建停车为主、公共停车为辅的停车供应格局</w:t>
      </w:r>
    </w:p>
    <w:p>
      <w:r>
        <w:rPr>
          <w:rFonts w:hint="eastAsia"/>
        </w:rPr>
        <w:t>到2035年，总停车泊位与机动车保有量之比达到1.2：1，配建停车泊位占比不低于85%，优先保障居住端基本停车需求，合理满足出行端停车需求。住宅停车泊位按照100%预留充电桩安装条件，其他配建和公共停车泊位保证不低于10%的泊位具备充电桩安装条件。加强非机动车泊位及充电设施建设。</w:t>
      </w:r>
    </w:p>
    <w:p>
      <w:pPr>
        <w:rPr>
          <w:rFonts w:hint="eastAsia"/>
        </w:rPr>
      </w:pPr>
      <w:r>
        <w:rPr>
          <w:rFonts w:hint="eastAsia"/>
        </w:rPr>
        <w:t>鼓励土地的复合利用，充分利用公园、绿地、人防工程、广场、公交场站、公共设施等地下空间增加停车泊位供给；加强停车管理，推动泊位共享。</w:t>
      </w:r>
    </w:p>
    <w:p>
      <w:pPr>
        <w:pStyle w:val="2"/>
        <w:numPr>
          <w:ilvl w:val="1"/>
          <w:numId w:val="7"/>
        </w:numPr>
        <w:tabs>
          <w:tab w:val="left" w:pos="320"/>
        </w:tabs>
        <w:ind w:left="0" w:firstLine="0"/>
        <w:rPr>
          <w:rFonts w:hint="eastAsia"/>
        </w:rPr>
      </w:pPr>
      <w:bookmarkStart w:id="99" w:name="_Toc130991311"/>
      <w:bookmarkStart w:id="100" w:name="_Toc50379760"/>
      <w:bookmarkStart w:id="101" w:name="_Toc21567"/>
      <w:bookmarkStart w:id="102" w:name="_Toc61446555"/>
      <w:bookmarkStart w:id="103" w:name="_Toc5549"/>
      <w:r>
        <w:rPr>
          <w:rFonts w:hint="eastAsia"/>
        </w:rPr>
        <w:t>提升市政基础设施保障能力</w:t>
      </w:r>
      <w:bookmarkEnd w:id="99"/>
    </w:p>
    <w:p>
      <w:pPr>
        <w:pStyle w:val="3"/>
      </w:pPr>
      <w:bookmarkEnd w:id="100"/>
      <w:bookmarkEnd w:id="101"/>
      <w:bookmarkEnd w:id="102"/>
      <w:r>
        <w:rPr>
          <w:rFonts w:hint="eastAsia"/>
        </w:rPr>
        <w:t>保障城乡给水安全</w:t>
      </w:r>
    </w:p>
    <w:p>
      <w:pPr>
        <w:rPr>
          <w:rFonts w:hint="eastAsia"/>
        </w:rPr>
      </w:pPr>
      <w:r>
        <w:rPr>
          <w:rFonts w:hint="eastAsia"/>
        </w:rPr>
        <w:t>扩建白彪水厂，由日供水能力2.0万立方米增加到4.</w:t>
      </w:r>
      <w:r>
        <w:t>5</w:t>
      </w:r>
      <w:r>
        <w:rPr>
          <w:rFonts w:hint="eastAsia"/>
        </w:rPr>
        <w:t>万立方米</w:t>
      </w:r>
      <w:r>
        <w:rPr>
          <w:rFonts w:ascii="Times New Roman" w:eastAsia="仿宋_GB2312" w:cs="仿宋_GB2312" w:hAnsi="Times New Roman" w:hint="eastAsia"/>
          <w:kern w:val="2"/>
          <w:sz w:val="32"/>
          <w:szCs w:val="24"/>
          <w:lang w:val="en-US" w:eastAsia="zh-CN"/>
        </w:rPr>
        <w:t>；新建南寨水厂，水源为地表水，</w:t>
      </w:r>
      <w:r>
        <w:rPr>
          <w:rFonts w:ascii="Times New Roman" w:cs="仿宋_GB2312" w:hAnsi="Times New Roman" w:hint="eastAsia"/>
          <w:kern w:val="2"/>
          <w:sz w:val="32"/>
          <w:szCs w:val="24"/>
          <w:lang w:val="en-US" w:eastAsia="zh-CN"/>
        </w:rPr>
        <w:t>日</w:t>
      </w:r>
      <w:r>
        <w:rPr>
          <w:rFonts w:ascii="Times New Roman" w:eastAsia="仿宋_GB2312" w:cs="仿宋_GB2312" w:hAnsi="Times New Roman" w:hint="eastAsia"/>
          <w:kern w:val="2"/>
          <w:sz w:val="32"/>
          <w:szCs w:val="24"/>
          <w:lang w:val="en-US" w:eastAsia="zh-CN"/>
        </w:rPr>
        <w:t>供水能力2.0万立方米</w:t>
      </w:r>
      <w:r>
        <w:rPr>
          <w:rFonts w:ascii="Times New Roman" w:cs="仿宋_GB2312" w:hAnsi="Times New Roman" w:hint="eastAsia"/>
          <w:kern w:val="2"/>
          <w:sz w:val="32"/>
          <w:szCs w:val="24"/>
          <w:lang w:val="en-US" w:eastAsia="zh-CN"/>
        </w:rPr>
        <w:t>；</w:t>
      </w:r>
      <w:r>
        <w:rPr>
          <w:rFonts w:hint="eastAsia"/>
        </w:rPr>
        <w:t>保障日常供水的同时，有效应对突发事件。完善供水管网系统，实现供水管网全覆盖，同步配套市政消火栓和消防水鹤；持续推动老旧管网改造，降低供水管网漏损。</w:t>
      </w:r>
    </w:p>
    <w:p>
      <w:pPr>
        <w:pStyle w:val="3"/>
        <w:rPr>
          <w:rFonts w:hint="eastAsia"/>
        </w:rPr>
      </w:pPr>
      <w:r>
        <w:rPr>
          <w:rFonts w:hint="eastAsia"/>
        </w:rPr>
        <w:t>完善污水处理系统</w:t>
      </w:r>
    </w:p>
    <w:p>
      <w:r>
        <w:rPr>
          <w:rFonts w:hint="eastAsia"/>
        </w:rPr>
        <w:t>保留现状污水处理厂，扩建北部贾庄污水厂，污水处理总能力达</w:t>
      </w:r>
      <w:r>
        <w:t>5.5</w:t>
      </w:r>
      <w:r>
        <w:rPr>
          <w:rFonts w:hint="eastAsia"/>
        </w:rPr>
        <w:t>万立方米/日。加大污水管网建设，实现污水管网全覆盖、全收集、全处理，主次干道雨污全分流，近、远期污水集中处理率大于99%。</w:t>
      </w:r>
    </w:p>
    <w:p>
      <w:pPr>
        <w:rPr>
          <w:rFonts w:hint="eastAsia"/>
        </w:rPr>
      </w:pPr>
      <w:r>
        <w:rPr>
          <w:rFonts w:hint="eastAsia"/>
        </w:rPr>
        <w:t>在污水处理厂预留再生水利用设施建设空间，逐步完善再生水管网布局，扩大再生水管网覆盖范围。再生水主要用于景观环境补水、工业冷却、城市杂用等。到2035年，再生水利用率达到6</w:t>
      </w:r>
      <w:r>
        <w:t>0</w:t>
      </w:r>
      <w:r>
        <w:rPr>
          <w:rFonts w:hint="eastAsia"/>
        </w:rPr>
        <w:t>%。</w:t>
      </w:r>
    </w:p>
    <w:p>
      <w:pPr>
        <w:pStyle w:val="3"/>
        <w:rPr>
          <w:rFonts w:hint="eastAsia"/>
        </w:rPr>
      </w:pPr>
      <w:r>
        <w:rPr>
          <w:rFonts w:hint="eastAsia"/>
        </w:rPr>
        <w:t>优化排水防涝体系</w:t>
      </w:r>
    </w:p>
    <w:p>
      <w:pPr>
        <w:rPr>
          <w:rFonts w:hint="eastAsia"/>
        </w:rPr>
      </w:pPr>
      <w:r>
        <w:rPr>
          <w:rFonts w:hint="eastAsia"/>
        </w:rPr>
        <w:t>构建大排水系统，提高雨水设施标准。按照设计重现期一般区域2—</w:t>
      </w:r>
      <w:r>
        <w:t>3</w:t>
      </w:r>
      <w:r>
        <w:rPr>
          <w:rFonts w:hint="eastAsia"/>
        </w:rPr>
        <w:t>年、重要地区3—5年标准改造和新建雨水管道。加强水系建设和治理，保障雨水排放出路，规划期末井陉矿区内涝标准达到20年一遇。</w:t>
      </w:r>
    </w:p>
    <w:p>
      <w:pPr>
        <w:pStyle w:val="3"/>
        <w:rPr>
          <w:rFonts w:hint="eastAsia"/>
        </w:rPr>
      </w:pPr>
      <w:r>
        <w:rPr>
          <w:rFonts w:hint="eastAsia"/>
        </w:rPr>
        <w:t>构建安全高效、能力充足的智能电网</w:t>
      </w:r>
    </w:p>
    <w:p>
      <w:pPr>
        <w:rPr>
          <w:rFonts w:ascii="Times New Roman" w:cs="Times New Roman" w:hAnsi="Times New Roman" w:hint="eastAsia"/>
        </w:rPr>
      </w:pPr>
      <w:r>
        <w:rPr>
          <w:rFonts w:ascii="Times New Roman" w:cs="Times New Roman" w:hAnsi="Times New Roman" w:hint="eastAsia"/>
        </w:rPr>
        <w:t>规划期末用电最大负荷为150兆瓦。加强电网与周边区域的联络，完善本地输配电力网络系统，形成多电源和多等级输、变、配电网络，提高电源供应能力。规划新增110千伏凤凰站1座，规模为150兆伏安，占地0.52公顷；扩建升级现状35千伏洪州站为110千伏站，规模为100兆伏安，占地0.62公顷；原址扩容35千伏矿区站，规模为40兆伏安。加强高压走廊通道控制，其宽度500千伏为60-75米、220千伏为30-40米、110千伏为15-25米、35千伏为15-20米。</w:t>
      </w:r>
    </w:p>
    <w:p>
      <w:pPr>
        <w:pStyle w:val="3"/>
        <w:rPr>
          <w:rFonts w:hint="eastAsia"/>
        </w:rPr>
      </w:pPr>
      <w:r>
        <w:rPr>
          <w:rFonts w:hint="eastAsia"/>
        </w:rPr>
        <w:t>建设智慧先进通信信息网络</w:t>
      </w:r>
    </w:p>
    <w:p>
      <w:pPr>
        <w:rPr>
          <w:rFonts w:ascii="Times New Roman" w:cs="Times New Roman" w:hAnsi="Times New Roman" w:hint="eastAsia"/>
        </w:rPr>
      </w:pPr>
      <w:r>
        <w:rPr>
          <w:rFonts w:ascii="Times New Roman" w:cs="Times New Roman" w:hAnsi="Times New Roman" w:hint="eastAsia"/>
        </w:rPr>
        <w:t>规划期末固定电话主线为6.6万线，移动电话为13.8万卡号，宽带及数字电视用户为4.5万户。构建高速泛在、安全可控的通信网络，保留现状电信局站、邮政局所和广播电视台等通信设施，加快5G基站建设，覆盖率达到100%，完善通信管网系统，“多网”融合，促进信息基础设施互联互通、资源共享。</w:t>
      </w:r>
    </w:p>
    <w:p>
      <w:pPr>
        <w:pStyle w:val="3"/>
        <w:rPr>
          <w:rFonts w:hint="eastAsia"/>
        </w:rPr>
      </w:pPr>
      <w:r>
        <w:rPr>
          <w:rFonts w:hint="eastAsia"/>
        </w:rPr>
        <w:t>发展多能互补的安全清洁供热体系</w:t>
      </w:r>
    </w:p>
    <w:p>
      <w:pPr>
        <w:rPr>
          <w:rFonts w:ascii="Times New Roman" w:cs="Times New Roman" w:hAnsi="Times New Roman" w:hint="eastAsia"/>
        </w:rPr>
      </w:pPr>
      <w:r>
        <w:rPr>
          <w:rFonts w:ascii="Times New Roman" w:cs="Times New Roman" w:hAnsi="Times New Roman" w:hint="eastAsia"/>
        </w:rPr>
        <w:t>规划期末集中采暖热负荷为460兆瓦，工业生产热负荷为200吨/小时。发展以需求为导向、多种方式相结合的清洁供热体系，规划以石钢、矿峰等工业余热为主力热源，新能源和可再生能源供热为补充，积极推进煤炭清洁化利用，乡村地区鼓励使用秸秆、太阳能、空气能等可再生能源。加强主干热网互联互通，保障城市供热系统安全稳定。</w:t>
      </w:r>
    </w:p>
    <w:p>
      <w:pPr>
        <w:pStyle w:val="3"/>
        <w:rPr>
          <w:rFonts w:hint="eastAsia"/>
        </w:rPr>
      </w:pPr>
      <w:r>
        <w:rPr>
          <w:rFonts w:hint="eastAsia"/>
        </w:rPr>
        <w:t>打造多源多向的天然气输配系统</w:t>
      </w:r>
    </w:p>
    <w:p>
      <w:pPr>
        <w:rPr>
          <w:rFonts w:ascii="Times New Roman" w:cs="Times New Roman" w:hAnsi="Times New Roman" w:hint="eastAsia"/>
        </w:rPr>
      </w:pPr>
      <w:r>
        <w:rPr>
          <w:rFonts w:ascii="Times New Roman" w:cs="Times New Roman" w:hAnsi="Times New Roman" w:hint="eastAsia"/>
        </w:rPr>
        <w:t>规划期末天然气用气量为6亿立方米/年。建立管道天然气、液化天然气、压缩天然气多元互补的天然气供应保障体系。完善天然气输配管网及场站设施，形成多源供气格局，保障供气安全。保留现状南石门分输站-贾庄门站、井陉门站-矿区门站高压管线；保留现状矿区门站，续建贾庄门站，规模12万方/时。加强应急储气保障，规划结合贾庄门站新建LNG储配站1座。</w:t>
      </w:r>
    </w:p>
    <w:p>
      <w:pPr>
        <w:pStyle w:val="3"/>
        <w:rPr>
          <w:rFonts w:hint="eastAsia"/>
        </w:rPr>
      </w:pPr>
      <w:r>
        <w:rPr>
          <w:rFonts w:hint="eastAsia"/>
        </w:rPr>
        <w:t>推进垃圾分类处理和回收利用</w:t>
      </w:r>
    </w:p>
    <w:p>
      <w:pPr>
        <w:rPr>
          <w:rFonts w:ascii="Times New Roman" w:cs="Times New Roman" w:hAnsi="Times New Roman" w:hint="eastAsia"/>
        </w:rPr>
      </w:pPr>
      <w:r>
        <w:rPr>
          <w:rFonts w:ascii="Times New Roman" w:cs="Times New Roman" w:hAnsi="Times New Roman" w:hint="eastAsia"/>
        </w:rPr>
        <w:t>规划期末生活垃圾产生量为100吨/日。规划依托矿峰水泥窑协同处置设施处理生活垃圾和污泥，厨余、粪便、建筑、医疗、电子垃圾等运至</w:t>
      </w:r>
      <w:r>
        <w:rPr>
          <w:rFonts w:ascii="Times New Roman" w:cs="Times New Roman" w:hAnsi="Times New Roman" w:hint="eastAsia"/>
          <w:lang w:val="en-US" w:eastAsia="zh-CN"/>
        </w:rPr>
        <w:t>专业垃圾处理厂处理</w:t>
      </w:r>
      <w:r>
        <w:rPr>
          <w:rFonts w:ascii="Times New Roman" w:cs="Times New Roman" w:hAnsi="Times New Roman" w:hint="eastAsia"/>
        </w:rPr>
        <w:t>。到2035年，生活垃圾回收利用率达到40%。加强垃圾分类收集和分类清运，完善中转收运系统，规划新建垃圾转运站4座，其中1#转运站占地600平方米，规模为20吨/日；2#和4#转运站占地800平方米，规模为30吨/日；3#转运站占地1000平方米，规模为40吨/日。</w:t>
      </w:r>
    </w:p>
    <w:p>
      <w:pPr>
        <w:pStyle w:val="2"/>
        <w:numPr>
          <w:ilvl w:val="1"/>
          <w:numId w:val="7"/>
        </w:numPr>
        <w:tabs>
          <w:tab w:val="left" w:pos="320"/>
        </w:tabs>
        <w:ind w:left="0" w:firstLine="0"/>
        <w:rPr>
          <w:rFonts w:hint="eastAsia"/>
        </w:rPr>
      </w:pPr>
      <w:bookmarkStart w:id="104" w:name="_Toc61446556"/>
      <w:bookmarkStart w:id="105" w:name="_Toc130991312"/>
      <w:r>
        <w:rPr>
          <w:rFonts w:hint="eastAsia"/>
        </w:rPr>
        <w:t>增强城乡安全韧性</w:t>
      </w:r>
      <w:bookmarkEnd w:id="104"/>
      <w:bookmarkEnd w:id="105"/>
      <w:r>
        <w:rPr>
          <w:rFonts w:hint="eastAsia"/>
        </w:rPr>
        <w:tab/>
      </w:r>
    </w:p>
    <w:p>
      <w:pPr>
        <w:widowControl/>
        <w:spacing w:line="600" w:lineRule="exact"/>
        <w:ind w:firstLine="680"/>
        <w:rPr>
          <w:rFonts w:ascii="Times New Roman" w:eastAsia="仿宋_GB2312" w:cs="仿宋_GB2312" w:hAnsi="Times New Roman"/>
          <w:sz w:val="32"/>
        </w:rPr>
      </w:pPr>
      <w:r>
        <w:rPr>
          <w:rFonts w:ascii="Times New Roman" w:eastAsia="仿宋_GB2312" w:cs="仿宋_GB2312" w:hAnsi="Times New Roman" w:hint="eastAsia"/>
          <w:sz w:val="32"/>
        </w:rPr>
        <w:t>120条 构建防灾空间保障体系</w:t>
      </w:r>
    </w:p>
    <w:p>
      <w:pPr>
        <w:widowControl/>
        <w:spacing w:line="600" w:lineRule="exact"/>
        <w:ind w:firstLine="680"/>
        <w:rPr>
          <w:rFonts w:ascii="Times New Roman" w:eastAsia="仿宋_GB2312" w:cs="仿宋_GB2312" w:hAnsi="Times New Roman"/>
          <w:sz w:val="32"/>
        </w:rPr>
      </w:pPr>
      <w:r>
        <w:rPr>
          <w:rFonts w:ascii="Times New Roman" w:eastAsia="仿宋_GB2312" w:cs="仿宋_GB2312" w:hAnsi="Times New Roman" w:hint="eastAsia"/>
          <w:sz w:val="32"/>
        </w:rPr>
        <w:t>以城市快速路、公园、绿地、河流、广场等为界，建立防灾隔离廊道，保障充足的开敞空间，划分防灾分区。</w:t>
      </w:r>
    </w:p>
    <w:p>
      <w:pPr>
        <w:widowControl/>
        <w:spacing w:line="600" w:lineRule="exact"/>
        <w:ind w:firstLine="680"/>
        <w:rPr>
          <w:rFonts w:ascii="Times New Roman" w:eastAsia="仿宋_GB2312" w:cs="仿宋_GB2312" w:hAnsi="Times New Roman"/>
          <w:sz w:val="32"/>
        </w:rPr>
      </w:pPr>
      <w:r>
        <w:rPr>
          <w:rFonts w:ascii="Times New Roman" w:eastAsia="仿宋_GB2312" w:cs="仿宋_GB2312" w:hAnsi="Times New Roman" w:hint="eastAsia"/>
          <w:sz w:val="32"/>
        </w:rPr>
        <w:t>预留应对地震地质灾害、森林火灾、洪水内涝等突发事件的弹性空间。</w:t>
      </w:r>
      <w:r>
        <w:rPr>
          <w:rFonts w:ascii="Times New Roman" w:eastAsia="仿宋_GB2312" w:cs="仿宋_GB2312" w:hAnsi="Times New Roman"/>
          <w:sz w:val="32"/>
        </w:rPr>
        <w:t>加强危险化学品重大危险源影响区风险防范，对</w:t>
      </w:r>
      <w:r>
        <w:rPr>
          <w:rFonts w:ascii="Times New Roman" w:cs="仿宋_GB2312" w:hAnsi="Times New Roman" w:hint="eastAsia"/>
          <w:sz w:val="32"/>
          <w:lang w:val="en-US" w:eastAsia="zh-CN"/>
        </w:rPr>
        <w:t>凤山化工、力晶科技、民海化工三家</w:t>
      </w:r>
      <w:r>
        <w:rPr>
          <w:rFonts w:ascii="Times New Roman" w:eastAsia="仿宋_GB2312" w:cs="仿宋_GB2312" w:hAnsi="Times New Roman"/>
          <w:sz w:val="32"/>
        </w:rPr>
        <w:t>危险化学品</w:t>
      </w:r>
      <w:r>
        <w:rPr>
          <w:rFonts w:ascii="Times New Roman" w:cs="仿宋_GB2312" w:hAnsi="Times New Roman" w:hint="eastAsia"/>
          <w:sz w:val="32"/>
          <w:lang w:val="en-US" w:eastAsia="zh-CN"/>
        </w:rPr>
        <w:t>企业的</w:t>
      </w:r>
      <w:r>
        <w:rPr>
          <w:rFonts w:ascii="Times New Roman" w:eastAsia="仿宋_GB2312" w:cs="仿宋_GB2312" w:hAnsi="Times New Roman"/>
          <w:sz w:val="32"/>
        </w:rPr>
        <w:t>重大危险源及其防护空间用地进行安全管控。</w:t>
      </w:r>
    </w:p>
    <w:p>
      <w:pPr>
        <w:pStyle w:val="3"/>
        <w:rPr>
          <w:rFonts w:hint="eastAsia"/>
        </w:rPr>
      </w:pPr>
      <w:r>
        <w:rPr>
          <w:rFonts w:hint="eastAsia"/>
        </w:rPr>
        <w:t>防震减灾</w:t>
      </w:r>
    </w:p>
    <w:p>
      <w:pPr>
        <w:rPr>
          <w:rFonts w:hint="eastAsia"/>
        </w:rPr>
      </w:pPr>
      <w:r>
        <w:rPr>
          <w:rFonts w:hint="eastAsia"/>
        </w:rPr>
        <w:t>井陉矿区抗震设防烈度为Ⅶ度，学校、医院、养老机构、儿童福利机构、避难建筑、广播电视、生命线工程及应急指挥中心等重要设施按Ⅷ度加强设防。城中村、老旧小区等抗震薄弱区纳入城市更新行动，提升城市抗震能力。</w:t>
      </w:r>
    </w:p>
    <w:p>
      <w:pPr>
        <w:pStyle w:val="3"/>
      </w:pPr>
      <w:r>
        <w:rPr>
          <w:rFonts w:hint="eastAsia"/>
        </w:rPr>
        <w:t>采煤沉陷区治理利用</w:t>
      </w:r>
    </w:p>
    <w:p>
      <w:pPr>
        <w:spacing w:before="0" w:line="560" w:lineRule="exact"/>
        <w:ind w:firstLine="640"/>
        <w:jc w:val="both"/>
        <w:rPr>
          <w:rFonts w:hAnsi="仿宋" w:hint="eastAsia"/>
          <w:szCs w:val="32"/>
        </w:rPr>
      </w:pPr>
      <w:r>
        <w:rPr>
          <w:rFonts w:hAnsi="仿宋" w:hint="eastAsia"/>
          <w:szCs w:val="32"/>
        </w:rPr>
        <w:t>严格遵循国土空间规划管控，优化采煤沉陷区内生产、生活、生态空间布局，合理确定采煤沉陷区各类空间的规模、结构、布局和建设时序，因地制宜开展土地整治、后续资源开发利用、产业发展等。</w:t>
      </w:r>
    </w:p>
    <w:p>
      <w:pPr>
        <w:spacing w:before="0" w:line="560" w:lineRule="exact"/>
        <w:ind w:firstLine="640"/>
        <w:jc w:val="both"/>
      </w:pPr>
      <w:r>
        <w:rPr>
          <w:rFonts w:hAnsi="仿宋" w:hint="eastAsia"/>
          <w:szCs w:val="32"/>
        </w:rPr>
        <w:t>合理利用采煤沉陷区土地建设产业园区，发展设施农业、</w:t>
      </w:r>
      <w:r>
        <w:rPr>
          <w:rFonts w:hAnsi="仿宋" w:hint="eastAsia"/>
          <w:szCs w:val="32"/>
          <w:lang w:eastAsia="zh-CN"/>
        </w:rPr>
        <w:t>战略性新兴产业</w:t>
      </w:r>
      <w:r>
        <w:rPr>
          <w:rFonts w:hAnsi="仿宋" w:hint="eastAsia"/>
          <w:szCs w:val="32"/>
        </w:rPr>
        <w:t>和文化旅游等接续替代产业，提高采空区土地综合整治效率。</w:t>
      </w:r>
    </w:p>
    <w:p>
      <w:pPr>
        <w:rPr>
          <w:rFonts w:ascii="Times New Roman" w:cs="Times New Roman" w:hAnsi="Times New Roman" w:hint="eastAsia"/>
          <w:u w:val="single"/>
        </w:rPr>
      </w:pPr>
      <w:r>
        <w:rPr>
          <w:rFonts w:ascii="Times New Roman" w:cs="Times New Roman" w:hAnsi="Times New Roman" w:hint="eastAsia"/>
          <w:u w:val="single"/>
        </w:rPr>
        <w:t>采煤沉陷区</w:t>
      </w:r>
      <w:r>
        <w:rPr>
          <w:rFonts w:ascii="Times New Roman" w:cs="Times New Roman" w:hAnsi="Times New Roman" w:hint="eastAsia"/>
          <w:u w:val="single"/>
          <w:lang w:val="en-US" w:eastAsia="zh-CN"/>
        </w:rPr>
        <w:t>内</w:t>
      </w:r>
      <w:r>
        <w:rPr>
          <w:rFonts w:ascii="Times New Roman" w:cs="Times New Roman" w:hAnsi="Times New Roman" w:hint="eastAsia"/>
          <w:u w:val="single"/>
        </w:rPr>
        <w:t>建设应</w:t>
      </w:r>
      <w:r>
        <w:rPr>
          <w:rFonts w:cs="Times New Roman" w:hint="eastAsia"/>
          <w:u w:val="single"/>
          <w:lang w:eastAsia="zh-CN"/>
        </w:rPr>
        <w:t>根据</w:t>
      </w:r>
      <w:r>
        <w:rPr>
          <w:rFonts w:ascii="Times New Roman" w:cs="Times New Roman" w:hAnsi="Times New Roman" w:hint="eastAsia"/>
          <w:u w:val="single"/>
          <w:lang w:val="en-US" w:eastAsia="zh-CN"/>
        </w:rPr>
        <w:t>地质灾害危险性评估报告，</w:t>
      </w:r>
      <w:r>
        <w:rPr>
          <w:rFonts w:ascii="Times New Roman" w:cs="Times New Roman" w:hAnsi="Times New Roman" w:hint="eastAsia"/>
          <w:u w:val="single"/>
        </w:rPr>
        <w:t>地质灾害危险性小区可直接进行常规性建设，危险性中等区和大区</w:t>
      </w:r>
      <w:r>
        <w:rPr>
          <w:rFonts w:ascii="Times New Roman" w:cs="Times New Roman" w:hAnsi="Times New Roman" w:hint="eastAsia"/>
          <w:u w:val="single"/>
          <w:lang w:val="en-US" w:eastAsia="zh-CN"/>
        </w:rPr>
        <w:t>在进行</w:t>
      </w:r>
      <w:r>
        <w:rPr>
          <w:rFonts w:ascii="Times New Roman" w:cs="Times New Roman" w:hAnsi="Times New Roman" w:hint="eastAsia"/>
          <w:u w:val="single"/>
        </w:rPr>
        <w:t>工程建设</w:t>
      </w:r>
      <w:r>
        <w:rPr>
          <w:rFonts w:ascii="Times New Roman" w:cs="Times New Roman" w:hAnsi="Times New Roman" w:hint="eastAsia"/>
          <w:u w:val="single"/>
          <w:lang w:val="en-US" w:eastAsia="zh-CN"/>
        </w:rPr>
        <w:t>前</w:t>
      </w:r>
      <w:r>
        <w:rPr>
          <w:rFonts w:ascii="Times New Roman" w:cs="Times New Roman" w:hAnsi="Times New Roman" w:hint="eastAsia"/>
          <w:u w:val="single"/>
        </w:rPr>
        <w:t>需按照建设工程项目的重要性与工程特点进行建设工程地质灾害危险性专项勘查与评估。</w:t>
      </w:r>
      <w:r>
        <w:rPr>
          <w:rFonts w:ascii="Times New Roman" w:cs="Times New Roman" w:hAnsi="Times New Roman" w:hint="eastAsia"/>
          <w:u w:val="single"/>
          <w:lang w:val="en-US" w:eastAsia="zh-CN"/>
        </w:rPr>
        <w:t>根据专项勘查和评估结果，地质灾害危险性中等区和大区在项目建设前应采取相应的工程治理措施进行治理并做好后续监测，在项目建设中，做好地质灾害治理工程</w:t>
      </w:r>
      <w:r>
        <w:rPr>
          <w:rFonts w:ascii="Times New Roman" w:cs="Times New Roman" w:hAnsi="Times New Roman" w:hint="eastAsia"/>
          <w:u w:val="single"/>
        </w:rPr>
        <w:t>。</w:t>
      </w:r>
    </w:p>
    <w:p>
      <w:pPr>
        <w:pStyle w:val="3"/>
        <w:rPr>
          <w:rFonts w:hint="eastAsia"/>
        </w:rPr>
      </w:pPr>
      <w:r>
        <w:rPr>
          <w:rFonts w:hint="eastAsia"/>
        </w:rPr>
        <w:t>防洪工程</w:t>
      </w:r>
    </w:p>
    <w:p>
      <w:pPr>
        <w:rPr>
          <w:rFonts w:hint="eastAsia"/>
        </w:rPr>
      </w:pPr>
      <w:r>
        <w:rPr>
          <w:rFonts w:hint="eastAsia"/>
        </w:rPr>
        <w:t>完善防洪安全体系，确定井陉矿区按50年一遇防洪标准设防。贯彻综合防治、防治结合、以防为主的方针，遵循工程措施与非工程措施相结合、水渠治理与环境美化相结合的原则，完善防洪设施，加强对现有防洪设施的养护和管理。</w:t>
      </w:r>
    </w:p>
    <w:p>
      <w:pPr>
        <w:pStyle w:val="3"/>
        <w:rPr>
          <w:rFonts w:hint="eastAsia"/>
        </w:rPr>
      </w:pPr>
      <w:r>
        <w:rPr>
          <w:rFonts w:hint="eastAsia"/>
        </w:rPr>
        <w:t>消防救援体系</w:t>
      </w:r>
    </w:p>
    <w:p>
      <w:pPr>
        <w:keepNext w:val="0"/>
        <w:keepLines w:val="0"/>
        <w:widowControl/>
        <w:suppressLineNumbers w:val="0"/>
        <w:spacing w:before="0" w:beforeAutospacing="0" w:after="0" w:afterAutospacing="0" w:line="600" w:lineRule="exact"/>
        <w:ind w:left="0" w:right="0" w:firstLine="680"/>
        <w:jc w:val="both"/>
        <w:rPr>
          <w:rFonts w:ascii="Times New Roman" w:eastAsia="仿宋_GB2312" w:cs="仿宋_GB2312" w:hAnsi="Times New Roman" w:hint="eastAsia"/>
          <w:kern w:val="2"/>
          <w:sz w:val="32"/>
          <w:szCs w:val="24"/>
          <w:lang w:val="en-US" w:eastAsia="zh-CN"/>
        </w:rPr>
      </w:pPr>
      <w:r>
        <w:rPr>
          <w:rFonts w:ascii="Times New Roman" w:eastAsia="仿宋_GB2312" w:cs="仿宋_GB2312" w:hAnsi="Times New Roman" w:hint="eastAsia"/>
          <w:kern w:val="2"/>
          <w:sz w:val="32"/>
          <w:szCs w:val="24"/>
          <w:lang w:val="en-US" w:eastAsia="zh-CN"/>
        </w:rPr>
        <w:t>完善消防指挥调度、训练培训、消防站、中国救援河北机动专业支队消防供水、消防车通道、消防装备等多类消防设施。建成区级消防救援指挥中心，形成多级消防救援体系；大型企业建设企业专职消防队，推动社区、农村、消防安全重点单位建设微型消防站；结合产业结构及地域特点，建设山岳、水域、高层、化工等类型消防救援拓展训练基地；结合市政管网同步规划市政消防给水，配建市政消火栓、消防水鹤；老旧城区等市政供水能力不足的地区应建设消防水池等储水设施。农村、景区等地区应规划可靠的消防水源；完善路网规划，城市各级道路、居住区和企事业单位内部道路、消防车取水通道、建筑物消防车道应符合消防车辆安全、快捷通行的要求。</w:t>
      </w:r>
    </w:p>
    <w:p>
      <w:r>
        <w:rPr>
          <w:rFonts w:ascii="Times New Roman" w:eastAsia="仿宋_GB2312" w:cs="仿宋_GB2312" w:hAnsi="Times New Roman" w:hint="eastAsia"/>
          <w:kern w:val="2"/>
          <w:sz w:val="32"/>
          <w:szCs w:val="24"/>
          <w:lang w:val="en-US" w:eastAsia="zh-CN"/>
        </w:rPr>
        <w:t>保留现状一级消防站，新建1座战勤保障站、2座一级消防站，结合5分钟生活圈设置微型消防站，实现消防救援</w:t>
      </w:r>
      <w:r>
        <w:rPr>
          <w:rFonts w:ascii="Times New Roman" w:eastAsia="仿宋_GB2312" w:cs="Times New Roman" w:hAnsi="Times New Roman"/>
          <w:kern w:val="2"/>
          <w:sz w:val="32"/>
          <w:szCs w:val="24"/>
          <w:lang w:val="en-US" w:eastAsia="zh-CN"/>
        </w:rPr>
        <w:t>5</w:t>
      </w:r>
      <w:r>
        <w:rPr>
          <w:rFonts w:ascii="Times New Roman" w:eastAsia="仿宋_GB2312" w:cs="仿宋_GB2312" w:hAnsi="Times New Roman" w:hint="eastAsia"/>
          <w:kern w:val="2"/>
          <w:sz w:val="32"/>
          <w:szCs w:val="24"/>
          <w:lang w:val="en-US" w:eastAsia="zh-CN"/>
        </w:rPr>
        <w:t>分钟覆盖可达率</w:t>
      </w:r>
      <w:r>
        <w:rPr>
          <w:rFonts w:ascii="Times New Roman" w:eastAsia="仿宋_GB2312" w:cs="Times New Roman" w:hAnsi="Times New Roman"/>
          <w:kern w:val="2"/>
          <w:sz w:val="32"/>
          <w:szCs w:val="24"/>
          <w:lang w:val="en-US" w:eastAsia="zh-CN"/>
        </w:rPr>
        <w:t>100%</w:t>
      </w:r>
      <w:r>
        <w:rPr>
          <w:rFonts w:hint="eastAsia"/>
        </w:rPr>
        <w:t>。</w:t>
      </w:r>
    </w:p>
    <w:p>
      <w:pPr>
        <w:pStyle w:val="3"/>
      </w:pPr>
      <w:r>
        <w:rPr>
          <w:rFonts w:hint="eastAsia"/>
        </w:rPr>
        <w:t>人民防空设施</w:t>
      </w:r>
    </w:p>
    <w:p>
      <w:pPr>
        <w:rPr>
          <w:rFonts w:hint="eastAsia"/>
        </w:rPr>
      </w:pPr>
      <w:r>
        <w:rPr>
          <w:rFonts w:hint="eastAsia"/>
        </w:rPr>
        <w:t>坚持人员防护和重要经济目标防护并重，构建军地一体、稳定顺畅的组织指挥体系，布局合理、功能完备的人员防护体系，软硬兼顾、防消结合的目标防护体系，通专结合、精干多能的专业力量体系，精准专业、集约高效的支撑保障体系。人均人防工程面积不低于1.5平方米。</w:t>
      </w:r>
    </w:p>
    <w:p>
      <w:pPr>
        <w:pStyle w:val="3"/>
        <w:rPr>
          <w:rFonts w:hint="eastAsia"/>
        </w:rPr>
      </w:pPr>
      <w:r>
        <w:rPr>
          <w:rFonts w:hint="eastAsia"/>
        </w:rPr>
        <w:t>避难疏散设施</w:t>
      </w:r>
    </w:p>
    <w:p>
      <w:pPr>
        <w:rPr>
          <w:rFonts w:hint="eastAsia"/>
        </w:rPr>
      </w:pPr>
      <w:r>
        <w:t>完善中心—固定—紧急三级应急避难场所体系，利用公园绿地、广场等开敞空间以及学校、体育场所等规划应急避难场所，人均避难场所面积不低于2平方米。以高速公路、国道、省道及城市快速路、主干道构建生命通道，建设安全、可靠、高效的疏散救援道路系统</w:t>
      </w:r>
      <w:r>
        <w:rPr>
          <w:rFonts w:hint="eastAsia"/>
        </w:rPr>
        <w:t>。</w:t>
      </w:r>
    </w:p>
    <w:p>
      <w:pPr>
        <w:pStyle w:val="1"/>
        <w:ind w:firstLine="0"/>
        <w:rPr>
          <w:rFonts w:hint="eastAsia"/>
        </w:rPr>
      </w:pPr>
      <w:r>
        <w:rPr>
          <w:rFonts w:hint="eastAsia"/>
        </w:rPr>
        <w:br w:type="page"/>
      </w:r>
      <w:bookmarkStart w:id="106" w:name="_Toc130991313"/>
      <w:bookmarkStart w:id="107" w:name="_Toc2056"/>
      <w:bookmarkStart w:id="108" w:name="_Toc12539"/>
      <w:bookmarkStart w:id="109" w:name="_Toc61446562"/>
      <w:bookmarkStart w:id="110" w:name="_Toc18207"/>
      <w:bookmarkStart w:id="111" w:name="_Toc26819"/>
      <w:bookmarkStart w:id="112" w:name="_Toc23980"/>
      <w:bookmarkStart w:id="113" w:name="_Toc10722"/>
      <w:bookmarkEnd w:id="103"/>
      <w:r>
        <w:rPr>
          <w:rFonts w:hint="eastAsia"/>
        </w:rPr>
        <w:t>全面加强区域协同</w:t>
      </w:r>
      <w:bookmarkEnd w:id="106"/>
    </w:p>
    <w:p>
      <w:pPr>
        <w:pStyle w:val="2"/>
        <w:numPr>
          <w:ilvl w:val="1"/>
          <w:numId w:val="8"/>
        </w:numPr>
        <w:tabs>
          <w:tab w:val="left" w:pos="320"/>
        </w:tabs>
        <w:ind w:left="0" w:firstLine="0"/>
        <w:rPr>
          <w:rFonts w:hint="eastAsia"/>
        </w:rPr>
      </w:pPr>
      <w:bookmarkStart w:id="114" w:name="_Toc130991314"/>
      <w:r>
        <w:rPr>
          <w:rFonts w:hint="eastAsia"/>
          <w:lang w:val="en-US" w:eastAsia="zh-CN"/>
        </w:rPr>
        <w:t>全面</w:t>
      </w:r>
      <w:r>
        <w:rPr>
          <w:rFonts w:hint="eastAsia"/>
        </w:rPr>
        <w:t>融入省会都市圈</w:t>
      </w:r>
      <w:bookmarkEnd w:id="114"/>
    </w:p>
    <w:p>
      <w:pPr>
        <w:pStyle w:val="3"/>
        <w:rPr>
          <w:rFonts w:hint="eastAsia"/>
        </w:rPr>
      </w:pPr>
      <w:r>
        <w:rPr>
          <w:rFonts w:hint="eastAsia"/>
          <w:lang w:val="en-US" w:eastAsia="zh-CN"/>
        </w:rPr>
        <w:t>加快建设省会城市美丽“后花园”</w:t>
      </w:r>
    </w:p>
    <w:p>
      <w:pPr>
        <w:rPr>
          <w:rFonts w:hint="eastAsia"/>
        </w:rPr>
      </w:pPr>
      <w:r>
        <w:rPr>
          <w:rFonts w:hint="eastAsia"/>
          <w:lang w:val="en-US" w:eastAsia="zh-CN"/>
        </w:rPr>
        <w:t>强化市辖区作用和担当</w:t>
      </w:r>
      <w:r>
        <w:rPr>
          <w:rFonts w:hint="eastAsia"/>
        </w:rPr>
        <w:t>，应主动承接京津冀、雄安新区和冀中南的产业转移，在装备制造、新型建材、医疗器械、石钢特钢、工程机械、电子电气、轨道交通、新能源汽车产业、轨道交通制造等方面发挥主动性，引领西部产业发展。在重大基础设施互联互通和城镇产业协调布局等率先实现一体化发展，打造石家庄西部的产城融合示范区</w:t>
      </w:r>
      <w:r>
        <w:rPr>
          <w:rFonts w:hint="eastAsia"/>
          <w:lang w:val="en-US" w:eastAsia="zh-CN"/>
        </w:rPr>
        <w:t>和城市美丽“后花园”</w:t>
      </w:r>
      <w:r>
        <w:rPr>
          <w:rFonts w:hint="eastAsia"/>
        </w:rPr>
        <w:t>。</w:t>
      </w:r>
    </w:p>
    <w:p>
      <w:pPr>
        <w:pStyle w:val="3"/>
        <w:rPr>
          <w:rFonts w:hint="eastAsia"/>
        </w:rPr>
      </w:pPr>
      <w:r>
        <w:rPr>
          <w:rFonts w:hint="eastAsia"/>
        </w:rPr>
        <w:t>构建</w:t>
      </w:r>
      <w:r>
        <w:rPr>
          <w:rFonts w:hint="eastAsia"/>
          <w:lang w:val="en-US" w:eastAsia="zh-CN"/>
        </w:rPr>
        <w:t>与市区</w:t>
      </w:r>
      <w:r>
        <w:rPr>
          <w:rFonts w:hint="eastAsia"/>
        </w:rPr>
        <w:t>快速</w:t>
      </w:r>
      <w:r>
        <w:rPr>
          <w:rFonts w:hint="eastAsia"/>
          <w:lang w:val="en-US" w:eastAsia="zh-CN"/>
        </w:rPr>
        <w:t>便捷的</w:t>
      </w:r>
      <w:r>
        <w:rPr>
          <w:rFonts w:hint="eastAsia"/>
        </w:rPr>
        <w:t>综合交通网络</w:t>
      </w:r>
    </w:p>
    <w:p>
      <w:pPr>
        <w:rPr>
          <w:rFonts w:hint="eastAsia"/>
        </w:rPr>
      </w:pPr>
      <w:r>
        <w:rPr>
          <w:rFonts w:hint="eastAsia"/>
        </w:rPr>
        <w:t>强化区域快速交通网络体系，接入石家庄环路系统，快速衔接全面融入石家庄都市圈。依托既有高快速路，构建石家庄都市圈外环快速通道。利用既有货运铁路，建设市郊铁路，构建石家庄都市圈轨道联络。</w:t>
      </w:r>
    </w:p>
    <w:p>
      <w:pPr>
        <w:rPr>
          <w:rFonts w:hint="eastAsia"/>
        </w:rPr>
      </w:pPr>
      <w:r>
        <w:rPr>
          <w:rFonts w:hint="eastAsia"/>
        </w:rPr>
        <w:t>规划平赞高速连接线—北环物流通道接京昆高速；规划凤中路与西环路南延接石太高速；规划平赞高速连接线接平赞高速，经南绕城高速至石家庄市区。规划通过平赞高速井陉连接线接和平路西延至石家庄市区；规划井矿快速通道西延接西环路，通过井矿快速路—南二环西延至石家庄市区；通过平涉线—陉山大道—微新路—南二环西延至石家庄市区。</w:t>
      </w:r>
    </w:p>
    <w:p>
      <w:pPr>
        <w:rPr>
          <w:rFonts w:hint="eastAsia"/>
        </w:rPr>
      </w:pPr>
      <w:r>
        <w:rPr>
          <w:rFonts w:hint="eastAsia"/>
        </w:rPr>
        <w:t>最终形成三高（京昆高速、石太高速、平赞高速—南绕城高速）三快（井矿快速路—南二环西延、平涉线—南二环西延、和平路西延）六条联系通道，融入石家庄市区</w:t>
      </w:r>
      <w:r>
        <w:rPr>
          <w:rFonts w:hint="eastAsia"/>
          <w:lang w:val="en-US" w:eastAsia="zh-CN"/>
        </w:rPr>
        <w:t>30</w:t>
      </w:r>
      <w:r>
        <w:rPr>
          <w:rFonts w:hint="eastAsia"/>
        </w:rPr>
        <w:t>分钟交通圈。</w:t>
      </w:r>
    </w:p>
    <w:p>
      <w:pPr>
        <w:rPr>
          <w:rFonts w:hint="eastAsia"/>
        </w:rPr>
      </w:pPr>
      <w:r>
        <w:rPr>
          <w:rFonts w:hint="eastAsia"/>
        </w:rPr>
        <w:t>依托高速公路、铁路、省道334、省道307、联通周边井陉、平山、赞皇、鹿泉、山西阳泉。</w:t>
      </w:r>
    </w:p>
    <w:p>
      <w:pPr>
        <w:pStyle w:val="16"/>
        <w:rPr>
          <w:rFonts w:hint="eastAsia"/>
        </w:rPr>
      </w:pPr>
    </w:p>
    <w:p>
      <w:pPr>
        <w:pStyle w:val="2"/>
        <w:numPr>
          <w:ilvl w:val="1"/>
          <w:numId w:val="8"/>
        </w:numPr>
        <w:tabs>
          <w:tab w:val="left" w:pos="320"/>
        </w:tabs>
        <w:ind w:left="0" w:firstLine="0"/>
      </w:pPr>
      <w:bookmarkStart w:id="115" w:name="_Toc130991315"/>
      <w:r>
        <w:rPr>
          <w:rFonts w:hint="eastAsia"/>
        </w:rPr>
        <w:t>推动井矿</w:t>
      </w:r>
      <w:r>
        <w:rPr>
          <w:rFonts w:hint="eastAsia"/>
          <w:lang w:val="en-US" w:eastAsia="zh-CN"/>
        </w:rPr>
        <w:t>开发保护</w:t>
      </w:r>
      <w:bookmarkEnd w:id="115"/>
      <w:r>
        <w:rPr>
          <w:rFonts w:hint="eastAsia"/>
          <w:lang w:val="en-US" w:eastAsia="zh-CN"/>
        </w:rPr>
        <w:t>协同</w:t>
      </w:r>
    </w:p>
    <w:p>
      <w:pPr>
        <w:pStyle w:val="3"/>
        <w:rPr>
          <w:rFonts w:hint="eastAsia"/>
        </w:rPr>
      </w:pPr>
      <w:r>
        <w:rPr>
          <w:rFonts w:hint="eastAsia"/>
        </w:rPr>
        <w:t>加强与井陉县</w:t>
      </w:r>
      <w:r>
        <w:rPr>
          <w:rFonts w:hint="eastAsia"/>
          <w:lang w:val="en-US" w:eastAsia="zh-CN"/>
        </w:rPr>
        <w:t>产业发展协同</w:t>
      </w:r>
    </w:p>
    <w:p>
      <w:pPr>
        <w:rPr>
          <w:rFonts w:hint="eastAsia"/>
        </w:rPr>
      </w:pPr>
      <w:r>
        <w:rPr>
          <w:rFonts w:hint="eastAsia"/>
        </w:rPr>
        <w:t>发挥矿区</w:t>
      </w:r>
      <w:r>
        <w:rPr>
          <w:rFonts w:hint="eastAsia"/>
          <w:lang w:val="en-US" w:eastAsia="zh-CN"/>
        </w:rPr>
        <w:t>工业强区优势，依托龙头企业带动井陉县上下游企业发展，</w:t>
      </w:r>
      <w:r>
        <w:rPr>
          <w:rFonts w:hint="eastAsia"/>
        </w:rPr>
        <w:t>加强和井陉县北正组团产业联动，促进工业园区东区和北正工业园融合布局，共同形成石钢特钢产业链重要支撑平台。</w:t>
      </w:r>
      <w:r>
        <w:rPr>
          <w:rFonts w:hint="eastAsia"/>
          <w:lang w:val="en-US" w:eastAsia="zh-CN"/>
        </w:rPr>
        <w:t>强化矿区就业吸引带动作用，持续吸引</w:t>
      </w:r>
      <w:r>
        <w:rPr>
          <w:rFonts w:hint="eastAsia"/>
        </w:rPr>
        <w:t>辛庄、小作、南陉等</w:t>
      </w:r>
      <w:r>
        <w:rPr>
          <w:rFonts w:hint="eastAsia"/>
          <w:lang w:val="en-US" w:eastAsia="zh-CN"/>
        </w:rPr>
        <w:t>乡镇劳动力</w:t>
      </w:r>
      <w:r>
        <w:rPr>
          <w:rFonts w:hint="eastAsia"/>
        </w:rPr>
        <w:t>，</w:t>
      </w:r>
      <w:r>
        <w:rPr>
          <w:rFonts w:hint="eastAsia"/>
          <w:lang w:val="en-US" w:eastAsia="zh-CN"/>
        </w:rPr>
        <w:t>支撑矿区产业发展</w:t>
      </w:r>
      <w:r>
        <w:rPr>
          <w:rFonts w:hint="eastAsia"/>
        </w:rPr>
        <w:t>。</w:t>
      </w:r>
    </w:p>
    <w:p>
      <w:pPr>
        <w:pStyle w:val="3"/>
        <w:rPr>
          <w:rFonts w:hint="eastAsia"/>
        </w:rPr>
      </w:pPr>
      <w:r>
        <w:rPr>
          <w:rFonts w:hint="eastAsia"/>
          <w:lang w:val="en-US" w:eastAsia="zh-CN"/>
        </w:rPr>
        <w:t>做好井矿全域旅游协同</w:t>
      </w:r>
    </w:p>
    <w:p>
      <w:pPr>
        <w:pStyle w:val="21"/>
        <w:rPr>
          <w:rFonts w:ascii="Times New Roman" w:eastAsia="仿宋_GB2312" w:hAnsi="Times New Roman"/>
          <w:sz w:val="32"/>
        </w:rPr>
      </w:pPr>
      <w:r>
        <w:rPr>
          <w:rFonts w:ascii="Times New Roman" w:eastAsia="仿宋_GB2312" w:hAnsi="Times New Roman" w:hint="eastAsia"/>
          <w:sz w:val="32"/>
        </w:rPr>
        <w:t>加强和井陉县旅游开发协同，重点突出矿区的工业遗产旅游，和井陉县古镇古村旅游形成差异化主题，促进西环旅游路南北延伸，串联井陉县旅游资源，形成精品旅游线路。</w:t>
      </w:r>
    </w:p>
    <w:p>
      <w:pPr>
        <w:pStyle w:val="3"/>
        <w:rPr>
          <w:rFonts w:hint="eastAsia"/>
        </w:rPr>
      </w:pPr>
      <w:r>
        <w:rPr>
          <w:rFonts w:hint="eastAsia"/>
        </w:rPr>
        <w:t>区域基础设施共建共享</w:t>
      </w:r>
    </w:p>
    <w:p>
      <w:pPr>
        <w:rPr>
          <w:rFonts w:hint="eastAsia"/>
        </w:rPr>
      </w:pPr>
      <w:r>
        <w:rPr>
          <w:rFonts w:hint="eastAsia"/>
        </w:rPr>
        <w:t>建立清洁低碳安全高效的能源供应体系</w:t>
      </w:r>
      <w:r>
        <w:rPr>
          <w:rFonts w:hint="eastAsia"/>
          <w:lang w:eastAsia="zh-CN"/>
        </w:rPr>
        <w:t>，</w:t>
      </w:r>
      <w:r>
        <w:rPr>
          <w:rFonts w:hint="eastAsia"/>
        </w:rPr>
        <w:t>共享重要电力</w:t>
      </w:r>
      <w:r>
        <w:rPr>
          <w:rFonts w:hint="eastAsia"/>
          <w:lang w:val="en-US" w:eastAsia="zh-CN"/>
        </w:rPr>
        <w:t>和能源</w:t>
      </w:r>
      <w:r>
        <w:rPr>
          <w:rFonts w:hint="eastAsia"/>
        </w:rPr>
        <w:t>设施。矿区现有1座220KV井矿变电站，协调电力高压廊道布局方案，联通周边变电站设施，形成多电源供电环网骨架结构。构建多气源保障供气格局</w:t>
      </w:r>
      <w:r>
        <w:rPr>
          <w:rFonts w:hint="eastAsia"/>
          <w:lang w:eastAsia="zh-CN"/>
        </w:rPr>
        <w:t>，</w:t>
      </w:r>
      <w:r>
        <w:rPr>
          <w:rFonts w:hint="eastAsia"/>
        </w:rPr>
        <w:t>陕京二线、陕京三线天然气长输管线从井陉北部穿越，为井陉和矿区提供气源，协调高压燃气连通线路路由，确保矿区高压线网可落地实施。</w:t>
      </w:r>
    </w:p>
    <w:p>
      <w:pPr>
        <w:rPr>
          <w:rFonts w:hint="eastAsia"/>
        </w:rPr>
      </w:pPr>
      <w:r>
        <w:rPr>
          <w:rFonts w:hint="eastAsia"/>
        </w:rPr>
        <w:t>建立以资源化利用为核心的垃圾处理体系</w:t>
      </w:r>
      <w:r>
        <w:rPr>
          <w:rFonts w:hint="eastAsia"/>
          <w:lang w:eastAsia="zh-CN"/>
        </w:rPr>
        <w:t>。</w:t>
      </w:r>
      <w:r>
        <w:rPr>
          <w:rFonts w:hint="eastAsia"/>
        </w:rPr>
        <w:t>打破行政界线，实</w:t>
      </w:r>
      <w:r>
        <w:rPr>
          <w:rFonts w:hint="eastAsia"/>
          <w:lang w:val="en-US" w:eastAsia="zh-CN"/>
        </w:rPr>
        <w:t>现</w:t>
      </w:r>
      <w:r>
        <w:rPr>
          <w:rFonts w:hint="eastAsia"/>
        </w:rPr>
        <w:t>垃圾处理</w:t>
      </w:r>
      <w:r>
        <w:rPr>
          <w:rFonts w:hint="eastAsia"/>
          <w:lang w:val="en-US" w:eastAsia="zh-CN"/>
        </w:rPr>
        <w:t>设施</w:t>
      </w:r>
      <w:r>
        <w:rPr>
          <w:rFonts w:hint="eastAsia"/>
        </w:rPr>
        <w:t>共享共建。统筹安排终端处理设施</w:t>
      </w:r>
      <w:r>
        <w:rPr>
          <w:rFonts w:hint="eastAsia"/>
          <w:lang w:eastAsia="zh-CN"/>
        </w:rPr>
        <w:t>，</w:t>
      </w:r>
      <w:r>
        <w:rPr>
          <w:rFonts w:hint="eastAsia"/>
          <w:lang w:val="en-US" w:eastAsia="zh-CN"/>
        </w:rPr>
        <w:t>井</w:t>
      </w:r>
      <w:r>
        <w:rPr>
          <w:rFonts w:hint="eastAsia"/>
        </w:rPr>
        <w:t>陉矿区范围内的生活、餐厨、粪便、污泥和厨余垃圾运送至井陉生态环境园，建筑垃圾运送至元氏建筑垃圾综合利用中心，医疗垃圾运送至井陉上安镇医疗垃圾处置中心</w:t>
      </w:r>
    </w:p>
    <w:p>
      <w:pPr>
        <w:pStyle w:val="1"/>
        <w:ind w:firstLine="0"/>
        <w:rPr>
          <w:rFonts w:hint="eastAsia"/>
        </w:rPr>
      </w:pPr>
      <w:bookmarkStart w:id="116" w:name="_Toc130991316"/>
      <w:r>
        <w:rPr>
          <w:rFonts w:hint="eastAsia"/>
        </w:rPr>
        <w:t>保障规划实施与近期</w:t>
      </w:r>
      <w:bookmarkEnd w:id="107"/>
      <w:bookmarkEnd w:id="108"/>
      <w:bookmarkEnd w:id="109"/>
      <w:bookmarkEnd w:id="110"/>
      <w:r>
        <w:rPr>
          <w:rFonts w:hint="eastAsia"/>
        </w:rPr>
        <w:t>建设</w:t>
      </w:r>
      <w:bookmarkEnd w:id="116"/>
    </w:p>
    <w:p>
      <w:pPr>
        <w:pStyle w:val="2"/>
        <w:numPr>
          <w:ilvl w:val="1"/>
          <w:numId w:val="9"/>
        </w:numPr>
        <w:tabs>
          <w:tab w:val="left" w:pos="320"/>
        </w:tabs>
        <w:ind w:left="0" w:firstLine="0"/>
        <w:rPr>
          <w:rFonts w:hint="eastAsia"/>
        </w:rPr>
      </w:pPr>
      <w:bookmarkStart w:id="117" w:name="_Toc130991317"/>
      <w:bookmarkStart w:id="118" w:name="_Toc61446563"/>
      <w:r>
        <w:rPr>
          <w:rFonts w:hint="eastAsia"/>
        </w:rPr>
        <w:t>加强党的领导</w:t>
      </w:r>
      <w:bookmarkEnd w:id="117"/>
    </w:p>
    <w:p>
      <w:pPr>
        <w:pStyle w:val="3"/>
        <w:rPr>
          <w:rFonts w:hint="eastAsia"/>
        </w:rPr>
      </w:pPr>
      <w:r>
        <w:rPr>
          <w:rFonts w:hint="eastAsia"/>
        </w:rPr>
        <w:t xml:space="preserve">  加强组织领导</w:t>
      </w:r>
    </w:p>
    <w:p>
      <w:pPr>
        <w:rPr>
          <w:rFonts w:hint="eastAsia"/>
        </w:rPr>
      </w:pPr>
      <w:r>
        <w:rPr>
          <w:rFonts w:hint="eastAsia"/>
        </w:rPr>
        <w:t>坚持以</w:t>
      </w:r>
      <w:r>
        <w:t>习近平新时代中国特色社会主义思想</w:t>
      </w:r>
      <w:r>
        <w:rPr>
          <w:rFonts w:hint="eastAsia"/>
        </w:rPr>
        <w:t>为指导</w:t>
      </w:r>
      <w:r>
        <w:t>，忠诚捍卫</w:t>
      </w:r>
      <w:r>
        <w:rPr>
          <w:rFonts w:hint="eastAsia"/>
        </w:rPr>
        <w:t>“</w:t>
      </w:r>
      <w:r>
        <w:t>两个确立</w:t>
      </w:r>
      <w:r>
        <w:rPr>
          <w:rFonts w:hint="eastAsia"/>
        </w:rPr>
        <w:t>”</w:t>
      </w:r>
      <w:r>
        <w:t>，增强</w:t>
      </w:r>
      <w:r>
        <w:rPr>
          <w:rFonts w:hint="eastAsia"/>
        </w:rPr>
        <w:t>“</w:t>
      </w:r>
      <w:r>
        <w:t>四个意识</w:t>
      </w:r>
      <w:r>
        <w:rPr>
          <w:rFonts w:hint="eastAsia"/>
        </w:rPr>
        <w:t>”</w:t>
      </w:r>
      <w:r>
        <w:t>、坚定</w:t>
      </w:r>
      <w:r>
        <w:rPr>
          <w:rFonts w:hint="eastAsia"/>
        </w:rPr>
        <w:t>“</w:t>
      </w:r>
      <w:r>
        <w:t>四个自信</w:t>
      </w:r>
      <w:r>
        <w:rPr>
          <w:rFonts w:hint="eastAsia"/>
        </w:rPr>
        <w:t>”</w:t>
      </w:r>
      <w:r>
        <w:t>、做到</w:t>
      </w:r>
      <w:r>
        <w:rPr>
          <w:rFonts w:hint="eastAsia"/>
        </w:rPr>
        <w:t>“</w:t>
      </w:r>
      <w:r>
        <w:t>两个维护</w:t>
      </w:r>
      <w:r>
        <w:rPr>
          <w:rFonts w:hint="eastAsia"/>
        </w:rPr>
        <w:t>”</w:t>
      </w:r>
      <w:r>
        <w:t>，不断提高政治判断力、政治领悟力、政治执行力，充分发挥党总揽全局、协调各方的领导核心作用，把党的领导贯彻到国土空间规划编制实施全过程各领域各环节。</w:t>
      </w:r>
    </w:p>
    <w:p>
      <w:pPr>
        <w:pStyle w:val="3"/>
        <w:rPr>
          <w:rFonts w:hint="eastAsia"/>
        </w:rPr>
      </w:pPr>
      <w:r>
        <w:rPr>
          <w:rFonts w:hint="eastAsia"/>
        </w:rPr>
        <w:t xml:space="preserve">  强化主体责任</w:t>
      </w:r>
    </w:p>
    <w:p>
      <w:r>
        <w:t>落实</w:t>
      </w:r>
      <w:r>
        <w:rPr>
          <w:rFonts w:hint="eastAsia"/>
        </w:rPr>
        <w:t>各级党委和政府</w:t>
      </w:r>
      <w:r>
        <w:t>国土空间规划管理主体责任</w:t>
      </w:r>
      <w:r>
        <w:rPr>
          <w:rFonts w:hint="eastAsia"/>
        </w:rPr>
        <w:t>，坚持“多规合一”，</w:t>
      </w:r>
      <w:r>
        <w:t>强化规划严肃性，规划一经批准，任何部门和个人不得随意修改、违规变更。加强领导干部国土空间规划管理培训，防止换一届领导改一次规划。国土空间规划执行情况纳入领导干部</w:t>
      </w:r>
      <w:r>
        <w:rPr>
          <w:rFonts w:hint="eastAsia"/>
        </w:rPr>
        <w:t>自然资源资产</w:t>
      </w:r>
      <w:r>
        <w:t>离任审计。</w:t>
      </w:r>
    </w:p>
    <w:p>
      <w:pPr>
        <w:pStyle w:val="2"/>
        <w:numPr>
          <w:ilvl w:val="1"/>
          <w:numId w:val="9"/>
        </w:numPr>
        <w:tabs>
          <w:tab w:val="left" w:pos="320"/>
        </w:tabs>
        <w:ind w:left="0" w:firstLine="0"/>
        <w:rPr>
          <w:rFonts w:hint="eastAsia"/>
        </w:rPr>
      </w:pPr>
      <w:bookmarkStart w:id="119" w:name="_Toc130991318"/>
      <w:r>
        <w:rPr>
          <w:rFonts w:hint="eastAsia"/>
        </w:rPr>
        <w:t>规划传导与</w:t>
      </w:r>
      <w:bookmarkEnd w:id="111"/>
      <w:bookmarkEnd w:id="112"/>
      <w:bookmarkEnd w:id="113"/>
      <w:bookmarkEnd w:id="118"/>
      <w:r>
        <w:rPr>
          <w:rFonts w:hint="eastAsia"/>
        </w:rPr>
        <w:t>实施</w:t>
      </w:r>
      <w:bookmarkEnd w:id="119"/>
    </w:p>
    <w:p>
      <w:pPr>
        <w:pStyle w:val="3"/>
        <w:rPr>
          <w:rFonts w:hint="eastAsia"/>
        </w:rPr>
      </w:pPr>
      <w:bookmarkStart w:id="120" w:name="_Toc15674"/>
      <w:r>
        <w:rPr>
          <w:rFonts w:hint="eastAsia"/>
        </w:rPr>
        <w:t>完善规划编制体系</w:t>
      </w:r>
      <w:bookmarkEnd w:id="120"/>
    </w:p>
    <w:p>
      <w:pPr>
        <w:rPr>
          <w:rFonts w:hint="eastAsia"/>
        </w:rPr>
      </w:pPr>
      <w:r>
        <w:rPr>
          <w:rFonts w:hint="eastAsia"/>
          <w:lang w:val="en-US" w:eastAsia="zh-CN"/>
        </w:rPr>
        <w:t>井陉</w:t>
      </w:r>
      <w:r>
        <w:rPr>
          <w:rFonts w:hint="eastAsia"/>
        </w:rPr>
        <w:t>矿区国土空间</w:t>
      </w:r>
      <w:r>
        <w:rPr>
          <w:rFonts w:hint="eastAsia"/>
          <w:lang w:val="en-US" w:eastAsia="zh-CN"/>
        </w:rPr>
        <w:t>总体</w:t>
      </w:r>
      <w:r>
        <w:rPr>
          <w:rFonts w:hint="eastAsia"/>
        </w:rPr>
        <w:t>规划是编制矿区各级各类规划的准则和指南，是指导矿区建设发展的基本依据。坚持以规划为统领、以控制性详细规划为重点、以专项规划为支撑，形成全域覆盖、分层管理、分类指导、多规合一的规划体系。</w:t>
      </w:r>
    </w:p>
    <w:p>
      <w:pPr>
        <w:rPr>
          <w:rFonts w:hint="eastAsia"/>
        </w:rPr>
      </w:pPr>
      <w:r>
        <w:rPr>
          <w:rFonts w:hint="eastAsia"/>
        </w:rPr>
        <w:t>健全规划管理体制。矿区以法定程序划定各类规划的编制、审批、实施、管理等职责，落实多规合一，按法定程序和要求开展建设项目的审批、管理。</w:t>
      </w:r>
    </w:p>
    <w:p>
      <w:pPr>
        <w:rPr>
          <w:rFonts w:hint="eastAsia"/>
        </w:rPr>
      </w:pPr>
      <w:r>
        <w:rPr>
          <w:rFonts w:hint="eastAsia"/>
        </w:rPr>
        <w:t>畅通公众参与渠道。坚持开门开放编规划，搭建全过程、全方位的公众参与平台，健全规划公开制度，鼓励引导各领域专家和公众积极参与，在后续规划编制、决策、实施中发挥作用，确保规划凝民意，汇众智、聚众力。</w:t>
      </w:r>
    </w:p>
    <w:p>
      <w:pPr>
        <w:rPr>
          <w:rFonts w:hint="eastAsia"/>
        </w:rPr>
      </w:pPr>
      <w:r>
        <w:rPr>
          <w:rFonts w:hint="eastAsia"/>
        </w:rPr>
        <w:t>统筹安排规划实施时序。根据相关阶段建设目标要求，制定各类规划实施方案和行动计划，适时启动重大项目建设，确保矿区建设顺利进行。</w:t>
      </w:r>
    </w:p>
    <w:p>
      <w:pPr>
        <w:pStyle w:val="3"/>
        <w:rPr>
          <w:rFonts w:hint="eastAsia"/>
        </w:rPr>
      </w:pPr>
      <w:bookmarkStart w:id="121" w:name="_Toc18478"/>
      <w:r>
        <w:rPr>
          <w:rFonts w:hint="eastAsia"/>
        </w:rPr>
        <w:t>建立规划实施制度机制</w:t>
      </w:r>
    </w:p>
    <w:p>
      <w:pPr>
        <w:rPr>
          <w:rFonts w:hint="eastAsia"/>
        </w:rPr>
      </w:pPr>
      <w:r>
        <w:rPr>
          <w:rFonts w:hint="eastAsia"/>
        </w:rPr>
        <w:t>加强组织领导。建立矿区国土规划委员会制度，发挥组织协调和咨询审查作用，完善规划实施统筹决策机制。</w:t>
      </w:r>
    </w:p>
    <w:p>
      <w:pPr>
        <w:rPr>
          <w:rFonts w:hint="eastAsia"/>
        </w:rPr>
      </w:pPr>
      <w:r>
        <w:rPr>
          <w:rFonts w:hint="eastAsia"/>
        </w:rPr>
        <w:t>强化规划刚性约束。本规划纲要与相关规划经批准后必须严格执行，任何部门和个人不得随意修改、违规变更，坚决维护规划的严肃性和权威性，确保一张蓝图干到底。</w:t>
      </w:r>
    </w:p>
    <w:p>
      <w:pPr>
        <w:rPr>
          <w:rFonts w:hint="eastAsia"/>
        </w:rPr>
      </w:pPr>
      <w:r>
        <w:rPr>
          <w:rFonts w:hint="eastAsia"/>
        </w:rPr>
        <w:t>推进信息平台建设。推进国土空间基础信息平台建设，实现国土空间规划“一张图”。推动实现互联互通的数据共享。</w:t>
      </w:r>
    </w:p>
    <w:p>
      <w:pPr>
        <w:rPr>
          <w:rFonts w:hint="eastAsia"/>
        </w:rPr>
      </w:pPr>
      <w:r>
        <w:rPr>
          <w:rFonts w:hint="eastAsia"/>
        </w:rPr>
        <w:t>建立评估预警制度。建立规划监测评估预警制度，对规划实施情况开展动态监测、评估和预警。</w:t>
      </w:r>
    </w:p>
    <w:p>
      <w:pPr>
        <w:pStyle w:val="3"/>
        <w:rPr>
          <w:rFonts w:hint="eastAsia"/>
        </w:rPr>
      </w:pPr>
      <w:r>
        <w:rPr>
          <w:rFonts w:hint="eastAsia"/>
        </w:rPr>
        <w:t>创新体制机制与政策</w:t>
      </w:r>
      <w:bookmarkEnd w:id="121"/>
    </w:p>
    <w:p>
      <w:pPr>
        <w:rPr>
          <w:rFonts w:hint="eastAsia"/>
        </w:rPr>
      </w:pPr>
      <w:r>
        <w:rPr>
          <w:rFonts w:hint="eastAsia"/>
        </w:rPr>
        <w:t>围绕推进矿区规划实施，坚持深化改革、扩大开放，制定出台支持政策，为矿区建设发展创造良好条件，发挥对深化改革扩大开放的引领示范作用。</w:t>
      </w:r>
    </w:p>
    <w:p>
      <w:pPr>
        <w:rPr>
          <w:rFonts w:hint="eastAsia"/>
        </w:rPr>
      </w:pPr>
      <w:r>
        <w:rPr>
          <w:rFonts w:hint="eastAsia"/>
        </w:rPr>
        <w:t>深化行政体制改革。推进行政审批制度改革，全面实行负面清单管理，建立全新的投资项目审批制度，提高行政服务效率。</w:t>
      </w:r>
    </w:p>
    <w:p>
      <w:pPr>
        <w:rPr>
          <w:rFonts w:hint="eastAsia"/>
        </w:rPr>
      </w:pPr>
      <w:r>
        <w:rPr>
          <w:rFonts w:hint="eastAsia"/>
        </w:rPr>
        <w:t>推进土地管理制度改革。统筹解决矿区所需建设用地规模、耕地保有量、永久基本农田保护面积和耕地占补平衡指标。</w:t>
      </w:r>
    </w:p>
    <w:p>
      <w:r>
        <w:rPr>
          <w:rFonts w:hint="eastAsia"/>
        </w:rPr>
        <w:t>深化整理综合整治政策，以此为平台，统筹推进山水林田系统治理。</w:t>
      </w:r>
    </w:p>
    <w:p>
      <w:pPr>
        <w:pStyle w:val="2"/>
        <w:numPr>
          <w:ilvl w:val="1"/>
          <w:numId w:val="9"/>
        </w:numPr>
        <w:tabs>
          <w:tab w:val="left" w:pos="320"/>
        </w:tabs>
        <w:ind w:left="0" w:firstLine="0"/>
        <w:rPr>
          <w:rFonts w:hint="eastAsia"/>
        </w:rPr>
      </w:pPr>
      <w:bookmarkStart w:id="122" w:name="_Toc27258"/>
      <w:bookmarkStart w:id="123" w:name="_Toc130991319"/>
      <w:r>
        <w:rPr>
          <w:rFonts w:hint="eastAsia"/>
        </w:rPr>
        <w:t>建立统一的国土空间基础信息平台</w:t>
      </w:r>
      <w:bookmarkEnd w:id="122"/>
      <w:bookmarkEnd w:id="123"/>
    </w:p>
    <w:p>
      <w:pPr>
        <w:pStyle w:val="3"/>
        <w:rPr>
          <w:rFonts w:hint="eastAsia"/>
        </w:rPr>
      </w:pPr>
      <w:r>
        <w:rPr>
          <w:rFonts w:hint="eastAsia"/>
        </w:rPr>
        <w:t xml:space="preserve">  统一国土空间数字化底图</w:t>
      </w:r>
    </w:p>
    <w:p>
      <w:r>
        <w:t>利用新型基础测绘成果，依据统一的国土空间调查、规划和用途管制用地用海分类标准，充分融合国土调查、地质调查等各类成果，形成覆盖全域、实景三维、权威统一的国土空间数字化</w:t>
      </w:r>
      <w:r>
        <w:rPr>
          <w:rFonts w:hint="eastAsia"/>
        </w:rPr>
        <w:t>“</w:t>
      </w:r>
      <w:r>
        <w:t>基底</w:t>
      </w:r>
      <w:r>
        <w:rPr>
          <w:rFonts w:hint="eastAsia"/>
        </w:rPr>
        <w:t>”</w:t>
      </w:r>
      <w:r>
        <w:t>。建立健全国土空间基础信息统一调查监测与动态更新机制，完善国土空间数据体系，构建</w:t>
      </w:r>
      <w:r>
        <w:rPr>
          <w:rFonts w:hint="eastAsia"/>
        </w:rPr>
        <w:t>“</w:t>
      </w:r>
      <w:r>
        <w:t>数字国土</w:t>
      </w:r>
      <w:r>
        <w:rPr>
          <w:rFonts w:hint="eastAsia"/>
        </w:rPr>
        <w:t>”</w:t>
      </w:r>
      <w:r>
        <w:t>。</w:t>
      </w:r>
    </w:p>
    <w:p>
      <w:pPr>
        <w:pStyle w:val="3"/>
        <w:rPr>
          <w:rFonts w:hint="eastAsia"/>
        </w:rPr>
      </w:pPr>
      <w:r>
        <w:rPr>
          <w:rFonts w:hint="eastAsia"/>
        </w:rPr>
        <w:t xml:space="preserve">  建立国土空间规划“一张图”实施监督信息系统</w:t>
      </w:r>
    </w:p>
    <w:p>
      <w:r>
        <w:t>通过统一数据库标准、数据汇交要求、数据库质量检查细则和相关接口规范，实现各类空间性规划在规划体系、空间布局、技术标准和管理机制等方面</w:t>
      </w:r>
      <w:r>
        <w:rPr>
          <w:rFonts w:hint="eastAsia"/>
        </w:rPr>
        <w:t>衔</w:t>
      </w:r>
      <w:r>
        <w:t>接一致，为国土空间规划实施监督、国土空间用途管制、国土空间生态保护修复、自然资源信息共享开放等提供数据支持和技术保障。</w:t>
      </w:r>
    </w:p>
    <w:p>
      <w:pPr>
        <w:pStyle w:val="3"/>
        <w:rPr>
          <w:rFonts w:hint="eastAsia"/>
        </w:rPr>
      </w:pPr>
      <w:r>
        <w:rPr>
          <w:rFonts w:hint="eastAsia"/>
        </w:rPr>
        <w:t xml:space="preserve">  构建国土空间规划实施监测网络</w:t>
      </w:r>
    </w:p>
    <w:p>
      <w:pPr>
        <w:rPr>
          <w:rFonts w:hint="eastAsia"/>
        </w:rPr>
      </w:pPr>
      <w:r>
        <w:rPr>
          <w:rFonts w:hint="eastAsia"/>
        </w:rPr>
        <w:t>依托国土空间规划‘一张图’实施监督信息系统，实现规划编制、审批、修改和实施监督等全过程在线管理。建设国土空间规划实施监测网络，加强对重要控制线、重要平台等规划实施情况和重大工程、重点领域、突出问题等的监测预警。</w:t>
      </w:r>
    </w:p>
    <w:p>
      <w:pPr>
        <w:pStyle w:val="3"/>
        <w:rPr>
          <w:rFonts w:hint="eastAsia"/>
        </w:rPr>
      </w:pPr>
      <w:r>
        <w:rPr>
          <w:rFonts w:hint="eastAsia"/>
        </w:rPr>
        <w:t xml:space="preserve">  推动信息共建共享共用</w:t>
      </w:r>
    </w:p>
    <w:p>
      <w:r>
        <w:t>统一国土空间规划数据和时空数据标准，建立健全数据采集更新机制，完善数据共享机制，推动信息系统互联互通。加强数据安全管理，推进智慧国土建设与应用，提升面向政府部门、各行各业和社会公众的国土空间信息服务能力。</w:t>
      </w:r>
    </w:p>
    <w:p>
      <w:pPr>
        <w:pStyle w:val="2"/>
        <w:numPr>
          <w:ilvl w:val="1"/>
          <w:numId w:val="9"/>
        </w:numPr>
        <w:tabs>
          <w:tab w:val="left" w:pos="320"/>
        </w:tabs>
        <w:ind w:left="0" w:firstLine="0"/>
        <w:rPr>
          <w:rFonts w:hint="eastAsia"/>
        </w:rPr>
      </w:pPr>
      <w:bookmarkStart w:id="124" w:name="_Toc130991320"/>
      <w:r>
        <w:rPr>
          <w:rFonts w:hint="eastAsia"/>
        </w:rPr>
        <w:t>实施近期行动</w:t>
      </w:r>
      <w:bookmarkEnd w:id="124"/>
    </w:p>
    <w:p>
      <w:pPr>
        <w:pStyle w:val="3"/>
        <w:rPr>
          <w:rFonts w:hint="eastAsia"/>
        </w:rPr>
      </w:pPr>
      <w:r>
        <w:rPr>
          <w:rFonts w:hint="eastAsia"/>
        </w:rPr>
        <w:t>公共服务和商业商务设施建设</w:t>
      </w:r>
    </w:p>
    <w:p>
      <w:pPr>
        <w:rPr>
          <w:rFonts w:hint="eastAsia"/>
        </w:rPr>
      </w:pPr>
      <w:r>
        <w:rPr>
          <w:rFonts w:ascii="仿宋" w:cs="仿宋" w:hAnsi="仿宋" w:hint="eastAsia"/>
        </w:rPr>
        <w:t>公共服务设施</w:t>
      </w:r>
      <w:r>
        <w:rPr>
          <w:rFonts w:hint="eastAsia"/>
        </w:rPr>
        <w:t>：推进石家庄数字经济职业学院建设；</w:t>
      </w:r>
    </w:p>
    <w:p>
      <w:pPr>
        <w:rPr>
          <w:rFonts w:hint="eastAsia"/>
        </w:rPr>
      </w:pPr>
      <w:r>
        <w:rPr>
          <w:rFonts w:hint="eastAsia"/>
        </w:rPr>
        <w:t>商业商务设施：推进天津鲁际贸易有限公司商务酒店建设、太古清溪商业街改造提升及民宿建设。</w:t>
      </w:r>
    </w:p>
    <w:p>
      <w:pPr>
        <w:pStyle w:val="3"/>
        <w:rPr>
          <w:rFonts w:hint="eastAsia"/>
        </w:rPr>
      </w:pPr>
      <w:r>
        <w:rPr>
          <w:rFonts w:hint="eastAsia"/>
        </w:rPr>
        <w:t>重要产业建设</w:t>
      </w:r>
    </w:p>
    <w:p>
      <w:r>
        <w:rPr>
          <w:rFonts w:hint="eastAsia"/>
        </w:rPr>
        <w:t>推动神池洗煤厂、鑫跃焦化厂腾笼换鸟，招引先进制造业项目；</w:t>
      </w:r>
    </w:p>
    <w:p>
      <w:pPr>
        <w:pStyle w:val="3"/>
        <w:rPr>
          <w:rFonts w:hint="eastAsia"/>
        </w:rPr>
      </w:pPr>
      <w:r>
        <w:rPr>
          <w:rFonts w:hint="eastAsia"/>
        </w:rPr>
        <w:t>重大交通设施建设</w:t>
      </w:r>
    </w:p>
    <w:p>
      <w:r>
        <w:rPr>
          <w:rFonts w:hint="eastAsia"/>
        </w:rPr>
        <w:t>积极推动北环物流通道（东段和贾庄段）建设，实施贾凤路南延工程和石钢路北延工程；推进新西街停车场建设。</w:t>
      </w:r>
    </w:p>
    <w:p>
      <w:pPr>
        <w:pStyle w:val="3"/>
        <w:rPr>
          <w:rFonts w:hint="eastAsia"/>
        </w:rPr>
      </w:pPr>
      <w:r>
        <w:rPr>
          <w:rFonts w:hint="eastAsia"/>
        </w:rPr>
        <w:t>市政基础设施建设</w:t>
      </w:r>
    </w:p>
    <w:p>
      <w:pPr>
        <w:rPr>
          <w:rFonts w:hint="eastAsia"/>
        </w:rPr>
      </w:pPr>
      <w:r>
        <w:rPr>
          <w:rFonts w:hint="eastAsia"/>
        </w:rPr>
        <w:t>规划电力35KV洪州站升压扩建为110KV站，35KV矿区站扩容改造；推进矿区二站消防站建设。</w:t>
      </w:r>
    </w:p>
    <w:p>
      <w:pPr>
        <w:pStyle w:val="16"/>
      </w:pPr>
      <w:r>
        <w:br w:type="page"/>
      </w:r>
    </w:p>
    <w:p>
      <w:pPr>
        <w:pStyle w:val="1"/>
        <w:numPr>
          <w:ilvl w:val="0"/>
          <w:numId w:val="0"/>
        </w:numPr>
        <w:ind w:left="0" w:firstLine="0"/>
        <w:rPr>
          <w:rFonts w:ascii="黑体" w:eastAsia="黑体" w:hAnsi="黑体" w:hint="eastAsia"/>
          <w:bCs w:val="0"/>
          <w:kern w:val="0"/>
          <w:sz w:val="32"/>
          <w:szCs w:val="32"/>
        </w:rPr>
      </w:pPr>
      <w:bookmarkStart w:id="125" w:name="_Toc130991321"/>
      <w:r>
        <w:rPr>
          <w:rFonts w:ascii="黑体" w:eastAsia="黑体" w:hAnsi="黑体"/>
          <w:bCs w:val="0"/>
          <w:kern w:val="0"/>
          <w:sz w:val="32"/>
          <w:szCs w:val="32"/>
        </w:rPr>
        <w:t>附</w:t>
      </w:r>
      <w:r>
        <w:rPr>
          <w:rFonts w:ascii="黑体" w:eastAsia="黑体" w:hAnsi="黑体" w:hint="eastAsia"/>
          <w:bCs w:val="0"/>
          <w:kern w:val="0"/>
          <w:sz w:val="32"/>
          <w:szCs w:val="32"/>
        </w:rPr>
        <w:t xml:space="preserve">    </w:t>
      </w:r>
      <w:r>
        <w:rPr>
          <w:rFonts w:ascii="黑体" w:eastAsia="黑体" w:hAnsi="黑体"/>
          <w:bCs w:val="0"/>
          <w:kern w:val="0"/>
          <w:sz w:val="32"/>
          <w:szCs w:val="32"/>
        </w:rPr>
        <w:t>表</w:t>
      </w:r>
      <w:bookmarkStart w:id="126" w:name="_Hlk50373287"/>
      <w:bookmarkEnd w:id="125"/>
    </w:p>
    <w:p>
      <w:pPr>
        <w:pStyle w:val="39"/>
        <w:rPr>
          <w:rFonts w:ascii="黑体" w:eastAsia="黑体" w:hAnsi="黑体"/>
          <w:sz w:val="32"/>
          <w:szCs w:val="32"/>
        </w:rPr>
      </w:pPr>
      <w:r>
        <w:rPr>
          <w:rFonts w:ascii="黑体" w:eastAsia="黑体" w:hAnsi="黑体" w:hint="eastAsia"/>
          <w:sz w:val="32"/>
          <w:szCs w:val="32"/>
        </w:rPr>
        <w:t>附表1</w:t>
      </w:r>
    </w:p>
    <w:p>
      <w:pPr>
        <w:pStyle w:val="22"/>
        <w:adjustRightInd w:val="0"/>
        <w:spacing w:before="120" w:line="324" w:lineRule="auto"/>
        <w:ind w:left="0" w:firstLine="0"/>
        <w:jc w:val="center"/>
        <w:rPr>
          <w:rFonts w:ascii="黑体" w:cs="黑体" w:hAnsi="黑体" w:hint="eastAsia"/>
          <w:sz w:val="30"/>
          <w:szCs w:val="30"/>
        </w:rPr>
      </w:pPr>
      <w:r>
        <w:rPr>
          <w:rFonts w:ascii="黑体" w:cs="黑体" w:hAnsi="黑体" w:hint="eastAsia"/>
          <w:sz w:val="30"/>
          <w:szCs w:val="30"/>
        </w:rPr>
        <w:t>规划指标表</w:t>
      </w:r>
    </w:p>
    <w:p>
      <w:pPr>
        <w:spacing w:before="120"/>
        <w:ind w:firstLine="480"/>
        <w:jc w:val="right"/>
        <w:rPr>
          <w:bCs/>
          <w:sz w:val="24"/>
        </w:rPr>
      </w:pPr>
      <w:r>
        <w:rPr>
          <w:bCs/>
          <w:sz w:val="24"/>
        </w:rPr>
        <w:t>单位：平方千米</w:t>
      </w:r>
    </w:p>
    <w:tbl>
      <w:tblPr>
        <w:jc w:val="left"/>
        <w:tblInd w:w="0" w:type="dxa"/>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2"/>
        <w:gridCol w:w="1253"/>
        <w:gridCol w:w="1253"/>
        <w:gridCol w:w="1253"/>
        <w:gridCol w:w="1481"/>
      </w:tblGrid>
      <w:tr>
        <w:trPr>
          <w:trHeight w:val="741"/>
        </w:trPr>
        <w:tc>
          <w:tcPr>
            <w:tcW w:w="3282" w:type="dxa"/>
            <w:noWrap/>
            <w:vAlign w:val="center"/>
          </w:tcPr>
          <w:p>
            <w:pPr>
              <w:pStyle w:val="72"/>
              <w:spacing w:line="240" w:lineRule="auto"/>
              <w:ind w:firstLine="0"/>
              <w:jc w:val="center"/>
              <w:rPr>
                <w:rFonts w:eastAsia="仿宋"/>
                <w:b/>
              </w:rPr>
            </w:pPr>
            <w:r>
              <w:rPr>
                <w:rFonts w:eastAsia="仿宋_GB2312"/>
                <w:b/>
              </w:rPr>
              <w:t>指标</w:t>
            </w:r>
          </w:p>
        </w:tc>
        <w:tc>
          <w:tcPr>
            <w:tcW w:w="1253" w:type="dxa"/>
            <w:noWrap/>
            <w:vAlign w:val="center"/>
          </w:tcPr>
          <w:p>
            <w:pPr>
              <w:pStyle w:val="72"/>
              <w:spacing w:line="240" w:lineRule="auto"/>
              <w:ind w:firstLine="0"/>
              <w:jc w:val="center"/>
              <w:rPr>
                <w:rFonts w:eastAsia="仿宋"/>
                <w:b/>
              </w:rPr>
            </w:pPr>
            <w:r>
              <w:rPr>
                <w:rFonts w:eastAsia="仿宋_GB2312"/>
                <w:b/>
              </w:rPr>
              <w:t>2020年</w:t>
            </w:r>
          </w:p>
        </w:tc>
        <w:tc>
          <w:tcPr>
            <w:tcW w:w="1253" w:type="dxa"/>
            <w:noWrap/>
            <w:vAlign w:val="center"/>
          </w:tcPr>
          <w:p>
            <w:pPr>
              <w:pStyle w:val="72"/>
              <w:spacing w:line="240" w:lineRule="auto"/>
              <w:ind w:firstLine="0"/>
              <w:jc w:val="center"/>
              <w:rPr>
                <w:rFonts w:eastAsia="仿宋_GB2312"/>
                <w:b/>
              </w:rPr>
            </w:pPr>
            <w:r>
              <w:rPr>
                <w:rFonts w:eastAsia="仿宋_GB2312"/>
                <w:b/>
              </w:rPr>
              <w:t>2025年</w:t>
            </w:r>
          </w:p>
        </w:tc>
        <w:tc>
          <w:tcPr>
            <w:tcW w:w="1253" w:type="dxa"/>
            <w:noWrap/>
            <w:vAlign w:val="center"/>
          </w:tcPr>
          <w:p>
            <w:pPr>
              <w:pStyle w:val="72"/>
              <w:spacing w:line="240" w:lineRule="auto"/>
              <w:ind w:firstLine="0"/>
              <w:jc w:val="center"/>
              <w:rPr>
                <w:rFonts w:eastAsia="仿宋_GB2312"/>
                <w:b/>
              </w:rPr>
            </w:pPr>
            <w:r>
              <w:rPr>
                <w:rFonts w:eastAsia="仿宋_GB2312"/>
                <w:b/>
              </w:rPr>
              <w:t>2035年</w:t>
            </w:r>
          </w:p>
        </w:tc>
        <w:tc>
          <w:tcPr>
            <w:tcW w:w="1481" w:type="dxa"/>
            <w:noWrap/>
            <w:vAlign w:val="center"/>
          </w:tcPr>
          <w:p>
            <w:pPr>
              <w:pStyle w:val="72"/>
              <w:spacing w:line="240" w:lineRule="auto"/>
              <w:ind w:firstLine="0"/>
              <w:jc w:val="center"/>
              <w:rPr>
                <w:rFonts w:eastAsia="仿宋_GB2312"/>
                <w:b/>
              </w:rPr>
            </w:pPr>
            <w:r>
              <w:rPr>
                <w:rFonts w:eastAsia="仿宋_GB2312"/>
                <w:b/>
              </w:rPr>
              <w:t>指标属性</w:t>
            </w:r>
          </w:p>
        </w:tc>
      </w:tr>
      <w:tr>
        <w:trPr>
          <w:trHeight w:val="90"/>
        </w:trPr>
        <w:tc>
          <w:tcPr>
            <w:tcW w:w="3282"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4"/>
              </w:rPr>
            </w:pPr>
            <w:r>
              <w:rPr>
                <w:sz w:val="24"/>
              </w:rPr>
              <w:t>耕地保有量</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11.97</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11.97</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11.97</w:t>
            </w:r>
          </w:p>
        </w:tc>
        <w:tc>
          <w:tcPr>
            <w:tcW w:w="1481" w:type="dxa"/>
            <w:tcBorders>
              <w:top w:val="single" w:sz="4" w:space="0" w:color="auto"/>
              <w:left w:val="single" w:sz="4" w:space="0" w:color="auto"/>
              <w:right w:val="single" w:sz="4" w:space="0" w:color="auto"/>
            </w:tcBorders>
            <w:noWrap/>
            <w:vAlign w:val="center"/>
          </w:tcPr>
          <w:p>
            <w:pPr>
              <w:pStyle w:val="72"/>
              <w:spacing w:before="120"/>
              <w:ind w:firstLine="0"/>
              <w:jc w:val="center"/>
              <w:rPr>
                <w:rFonts w:eastAsia="仿宋"/>
              </w:rPr>
            </w:pPr>
            <w:r>
              <w:rPr>
                <w:rFonts w:eastAsia="仿宋_GB2312"/>
              </w:rPr>
              <w:t>约束性</w:t>
            </w:r>
          </w:p>
        </w:tc>
      </w:tr>
      <w:tr>
        <w:trPr>
          <w:trHeight w:val="90"/>
        </w:trPr>
        <w:tc>
          <w:tcPr>
            <w:tcW w:w="3282"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4"/>
              </w:rPr>
            </w:pPr>
            <w:r>
              <w:rPr>
                <w:sz w:val="24"/>
              </w:rPr>
              <w:t>永久基本农田保护面积</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7.53</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7.53</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7.53</w:t>
            </w:r>
          </w:p>
        </w:tc>
        <w:tc>
          <w:tcPr>
            <w:tcW w:w="1481" w:type="dxa"/>
            <w:tcBorders>
              <w:top w:val="single" w:sz="4" w:space="0" w:color="auto"/>
              <w:left w:val="single" w:sz="4" w:space="0" w:color="auto"/>
              <w:right w:val="single" w:sz="4" w:space="0" w:color="auto"/>
            </w:tcBorders>
            <w:noWrap/>
            <w:vAlign w:val="center"/>
          </w:tcPr>
          <w:p>
            <w:pPr>
              <w:pStyle w:val="72"/>
              <w:spacing w:before="120"/>
              <w:ind w:firstLine="0"/>
              <w:jc w:val="center"/>
              <w:rPr>
                <w:rFonts w:eastAsia="仿宋"/>
              </w:rPr>
            </w:pPr>
            <w:r>
              <w:rPr>
                <w:rFonts w:eastAsia="仿宋_GB2312"/>
              </w:rPr>
              <w:t>约束性</w:t>
            </w:r>
          </w:p>
        </w:tc>
      </w:tr>
      <w:tr>
        <w:trPr>
          <w:trHeight w:val="90"/>
        </w:trPr>
        <w:tc>
          <w:tcPr>
            <w:tcW w:w="3282" w:type="dxa"/>
            <w:tcBorders>
              <w:top w:val="single" w:sz="4" w:space="0" w:color="auto"/>
              <w:left w:val="single" w:sz="4" w:space="0" w:color="auto"/>
              <w:right w:val="single" w:sz="4" w:space="0" w:color="auto"/>
            </w:tcBorders>
            <w:noWrap/>
            <w:vAlign w:val="center"/>
          </w:tcPr>
          <w:p>
            <w:pPr>
              <w:pStyle w:val="72"/>
              <w:spacing w:before="120"/>
              <w:ind w:firstLine="0"/>
              <w:jc w:val="center"/>
              <w:rPr>
                <w:rFonts w:eastAsia="仿宋_GB2312"/>
              </w:rPr>
            </w:pPr>
            <w:r>
              <w:rPr>
                <w:rFonts w:eastAsia="仿宋_GB2312"/>
              </w:rPr>
              <w:t>生态保护红线面积</w:t>
            </w:r>
          </w:p>
        </w:tc>
        <w:tc>
          <w:tcPr>
            <w:tcW w:w="1253" w:type="dxa"/>
            <w:tcBorders>
              <w:top w:val="single" w:sz="4" w:space="0" w:color="auto"/>
              <w:left w:val="single" w:sz="4" w:space="0" w:color="auto"/>
              <w:right w:val="single" w:sz="4" w:space="0" w:color="auto"/>
            </w:tcBorders>
            <w:noWrap/>
            <w:vAlign w:val="center"/>
          </w:tcPr>
          <w:p>
            <w:pPr>
              <w:spacing w:before="120"/>
              <w:ind w:firstLine="0"/>
              <w:jc w:val="center"/>
              <w:textAlignment w:val="center"/>
              <w:rPr>
                <w:kern w:val="0"/>
                <w:sz w:val="24"/>
              </w:rPr>
            </w:pPr>
            <w:r>
              <w:rPr>
                <w:rFonts w:eastAsia="宋体"/>
                <w:color w:val="000000"/>
                <w:kern w:val="0"/>
                <w:sz w:val="24"/>
              </w:rPr>
              <w:t>13.13</w:t>
            </w:r>
          </w:p>
        </w:tc>
        <w:tc>
          <w:tcPr>
            <w:tcW w:w="1253" w:type="dxa"/>
            <w:tcBorders>
              <w:top w:val="single" w:sz="4" w:space="0" w:color="auto"/>
              <w:left w:val="single" w:sz="4" w:space="0" w:color="auto"/>
              <w:right w:val="single" w:sz="4" w:space="0" w:color="auto"/>
            </w:tcBorders>
            <w:noWrap/>
            <w:vAlign w:val="center"/>
          </w:tcPr>
          <w:p>
            <w:pPr>
              <w:spacing w:before="120"/>
              <w:ind w:firstLine="0"/>
              <w:jc w:val="center"/>
              <w:textAlignment w:val="center"/>
              <w:rPr>
                <w:kern w:val="0"/>
                <w:sz w:val="24"/>
              </w:rPr>
            </w:pPr>
            <w:r>
              <w:rPr>
                <w:rFonts w:eastAsia="宋体"/>
                <w:color w:val="000000"/>
                <w:kern w:val="0"/>
                <w:sz w:val="24"/>
              </w:rPr>
              <w:t>8.5</w:t>
            </w:r>
          </w:p>
        </w:tc>
        <w:tc>
          <w:tcPr>
            <w:tcW w:w="1253" w:type="dxa"/>
            <w:tcBorders>
              <w:top w:val="single" w:sz="4" w:space="0" w:color="auto"/>
              <w:left w:val="single" w:sz="4" w:space="0" w:color="auto"/>
              <w:right w:val="single" w:sz="4" w:space="0" w:color="auto"/>
            </w:tcBorders>
            <w:noWrap/>
            <w:vAlign w:val="center"/>
          </w:tcPr>
          <w:p>
            <w:pPr>
              <w:spacing w:before="120"/>
              <w:ind w:firstLine="0"/>
              <w:jc w:val="center"/>
              <w:textAlignment w:val="center"/>
              <w:rPr>
                <w:kern w:val="0"/>
                <w:sz w:val="24"/>
              </w:rPr>
            </w:pPr>
            <w:r>
              <w:rPr>
                <w:rFonts w:eastAsia="宋体"/>
                <w:color w:val="000000"/>
                <w:kern w:val="0"/>
                <w:sz w:val="24"/>
              </w:rPr>
              <w:t>8.5</w:t>
            </w:r>
          </w:p>
        </w:tc>
        <w:tc>
          <w:tcPr>
            <w:tcW w:w="1481" w:type="dxa"/>
            <w:tcBorders>
              <w:top w:val="single" w:sz="4" w:space="0" w:color="auto"/>
              <w:left w:val="single" w:sz="4" w:space="0" w:color="auto"/>
              <w:right w:val="single" w:sz="4" w:space="0" w:color="auto"/>
            </w:tcBorders>
            <w:noWrap/>
            <w:vAlign w:val="center"/>
          </w:tcPr>
          <w:p>
            <w:pPr>
              <w:pStyle w:val="72"/>
              <w:spacing w:before="120"/>
              <w:ind w:firstLine="0"/>
              <w:jc w:val="center"/>
              <w:rPr>
                <w:rFonts w:eastAsia="仿宋"/>
              </w:rPr>
            </w:pPr>
            <w:r>
              <w:rPr>
                <w:rFonts w:eastAsia="仿宋_GB2312"/>
              </w:rPr>
              <w:t>约束性</w:t>
            </w:r>
          </w:p>
        </w:tc>
      </w:tr>
      <w:tr>
        <w:trPr>
          <w:trHeight w:val="90"/>
        </w:trPr>
        <w:tc>
          <w:tcPr>
            <w:tcW w:w="3282" w:type="dxa"/>
            <w:tcBorders>
              <w:top w:val="single" w:sz="4" w:space="0" w:color="auto"/>
              <w:left w:val="single" w:sz="4" w:space="0" w:color="auto"/>
              <w:right w:val="single" w:sz="4" w:space="0" w:color="auto"/>
            </w:tcBorders>
            <w:noWrap/>
            <w:vAlign w:val="center"/>
          </w:tcPr>
          <w:p>
            <w:pPr>
              <w:pStyle w:val="72"/>
              <w:spacing w:before="120"/>
              <w:ind w:firstLine="0"/>
              <w:jc w:val="center"/>
              <w:rPr>
                <w:rFonts w:eastAsia="仿宋_GB2312"/>
              </w:rPr>
            </w:pPr>
            <w:r>
              <w:rPr>
                <w:rFonts w:eastAsia="仿宋_GB2312"/>
              </w:rPr>
              <w:t>城镇开发边界面积</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23.60</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23.60</w:t>
            </w:r>
          </w:p>
        </w:tc>
        <w:tc>
          <w:tcPr>
            <w:tcW w:w="1253"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23.60</w:t>
            </w:r>
          </w:p>
        </w:tc>
        <w:tc>
          <w:tcPr>
            <w:tcW w:w="1481" w:type="dxa"/>
            <w:tcBorders>
              <w:top w:val="single" w:sz="4" w:space="0" w:color="auto"/>
              <w:left w:val="single" w:sz="4" w:space="0" w:color="auto"/>
              <w:right w:val="single" w:sz="4" w:space="0" w:color="auto"/>
            </w:tcBorders>
            <w:noWrap/>
            <w:vAlign w:val="center"/>
          </w:tcPr>
          <w:p>
            <w:pPr>
              <w:pStyle w:val="72"/>
              <w:spacing w:before="120"/>
              <w:ind w:firstLine="0"/>
              <w:jc w:val="center"/>
              <w:rPr>
                <w:rFonts w:eastAsia="仿宋_GB2312"/>
              </w:rPr>
            </w:pPr>
            <w:r>
              <w:rPr>
                <w:rFonts w:eastAsia="仿宋_GB2312"/>
              </w:rPr>
              <w:t>约束性</w:t>
            </w:r>
          </w:p>
        </w:tc>
      </w:tr>
    </w:tbl>
    <w:p>
      <w:pPr>
        <w:spacing w:line="560" w:lineRule="exact"/>
        <w:ind w:firstLine="420"/>
        <w:rPr>
          <w:rFonts w:ascii="楷体" w:eastAsia="楷体" w:cs="仿宋" w:hAnsi="楷体"/>
          <w:kern w:val="0"/>
          <w:sz w:val="21"/>
          <w:szCs w:val="21"/>
        </w:rPr>
      </w:pPr>
      <w:r>
        <w:rPr>
          <w:rFonts w:ascii="楷体" w:eastAsia="楷体" w:cs="仿宋" w:hAnsi="楷体"/>
          <w:kern w:val="0"/>
          <w:sz w:val="21"/>
          <w:szCs w:val="21"/>
        </w:rPr>
        <w:t>注：生态保护红线基期面积为2018年国家批复数据。</w:t>
      </w:r>
    </w:p>
    <w:p>
      <w:pPr>
        <w:pStyle w:val="39"/>
        <w:rPr>
          <w:rFonts w:ascii="黑体" w:eastAsia="黑体" w:cs="黑体" w:hAnsi="黑体"/>
          <w:b/>
          <w:bCs/>
        </w:rPr>
      </w:pPr>
      <w:r>
        <w:rPr>
          <w:rFonts w:ascii="黑体" w:cs="黑体" w:hAnsi="黑体" w:hint="eastAsia"/>
          <w:b/>
          <w:bCs/>
        </w:rPr>
        <w:br w:type="page"/>
      </w:r>
      <w:r>
        <w:rPr>
          <w:rFonts w:ascii="黑体" w:eastAsia="黑体" w:hAnsi="黑体" w:hint="eastAsia"/>
          <w:sz w:val="32"/>
          <w:szCs w:val="32"/>
        </w:rPr>
        <w:t>附表2</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耕地、永久基本农田规划指标分解表</w:t>
      </w:r>
    </w:p>
    <w:p>
      <w:pPr>
        <w:spacing w:before="120" w:line="500" w:lineRule="exact"/>
        <w:ind w:firstLine="480"/>
        <w:jc w:val="right"/>
        <w:rPr>
          <w:rFonts w:ascii="宋体" w:eastAsia="宋体" w:hAnsi="Courier New"/>
          <w:sz w:val="24"/>
          <w:szCs w:val="20"/>
        </w:rPr>
      </w:pPr>
      <w:r>
        <w:rPr>
          <w:rFonts w:ascii="宋体" w:eastAsia="宋体" w:hAnsi="Courier New" w:hint="eastAsia"/>
          <w:sz w:val="24"/>
          <w:szCs w:val="20"/>
        </w:rPr>
        <w:t>单位：</w:t>
      </w:r>
      <w:r>
        <w:rPr>
          <w:bCs/>
          <w:sz w:val="24"/>
        </w:rPr>
        <w:t>平方千米</w:t>
      </w:r>
    </w:p>
    <w:tbl>
      <w:tblPr>
        <w:jc w:val="left"/>
        <w:tblInd w:w="0" w:type="dxa"/>
        <w:tblW w:w="836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660"/>
        <w:gridCol w:w="1760"/>
        <w:gridCol w:w="1931"/>
        <w:gridCol w:w="1389"/>
        <w:gridCol w:w="1620"/>
      </w:tblGrid>
      <w:tr>
        <w:trPr>
          <w:trHeight w:val="312"/>
        </w:trPr>
        <w:tc>
          <w:tcPr>
            <w:tcW w:w="1660" w:type="dxa"/>
            <w:vMerge w:val="restart"/>
            <w:tcBorders>
              <w:top w:val="single" w:sz="4" w:space="0" w:color="auto"/>
              <w:left w:val="single" w:sz="4" w:space="0" w:color="auto"/>
              <w:bottom w:val="single" w:sz="4" w:space="0" w:color="auto"/>
              <w:right w:val="single" w:sz="4" w:space="0" w:color="auto"/>
            </w:tcBorders>
            <w:noWrap/>
            <w:vAlign w:val="center"/>
          </w:tcPr>
          <w:p>
            <w:pPr>
              <w:autoSpaceDE w:val="0"/>
              <w:autoSpaceDN w:val="0"/>
              <w:spacing w:line="240" w:lineRule="auto"/>
              <w:ind w:firstLine="0"/>
              <w:jc w:val="center"/>
              <w:rPr>
                <w:rFonts w:ascii="宋体" w:eastAsia="宋体" w:hAnsi="宋体"/>
                <w:b/>
                <w:bCs/>
                <w:kern w:val="0"/>
                <w:sz w:val="21"/>
                <w:szCs w:val="21"/>
              </w:rPr>
            </w:pPr>
            <w:r>
              <w:rPr>
                <w:rFonts w:ascii="宋体" w:eastAsia="宋体" w:hAnsi="宋体" w:hint="eastAsia"/>
                <w:b/>
                <w:bCs/>
                <w:kern w:val="0"/>
                <w:sz w:val="21"/>
                <w:szCs w:val="21"/>
              </w:rPr>
              <w:t>井陉矿区乡镇</w:t>
            </w:r>
          </w:p>
        </w:tc>
        <w:tc>
          <w:tcPr>
            <w:tcW w:w="1760" w:type="dxa"/>
            <w:vMerge w:val="restart"/>
            <w:tcBorders>
              <w:top w:val="single" w:sz="4" w:space="0" w:color="auto"/>
              <w:left w:val="single" w:sz="4" w:space="0" w:color="auto"/>
              <w:bottom w:val="single" w:sz="4" w:space="0" w:color="auto"/>
              <w:right w:val="single" w:sz="4" w:space="0" w:color="auto"/>
            </w:tcBorders>
            <w:noWrap/>
            <w:vAlign w:val="center"/>
          </w:tcPr>
          <w:p>
            <w:pPr>
              <w:autoSpaceDE w:val="0"/>
              <w:autoSpaceDN w:val="0"/>
              <w:spacing w:line="240" w:lineRule="auto"/>
              <w:ind w:firstLine="0"/>
              <w:jc w:val="center"/>
              <w:rPr>
                <w:rFonts w:ascii="宋体" w:eastAsia="宋体" w:hAnsi="宋体"/>
                <w:b/>
                <w:bCs/>
                <w:kern w:val="0"/>
                <w:sz w:val="21"/>
                <w:szCs w:val="21"/>
              </w:rPr>
            </w:pPr>
            <w:r>
              <w:rPr>
                <w:rFonts w:ascii="宋体" w:eastAsia="宋体" w:hAnsi="宋体" w:hint="eastAsia"/>
                <w:b/>
                <w:bCs/>
                <w:kern w:val="0"/>
                <w:sz w:val="21"/>
                <w:szCs w:val="21"/>
              </w:rPr>
              <w:t>基期年耕地面积</w:t>
            </w:r>
          </w:p>
        </w:tc>
        <w:tc>
          <w:tcPr>
            <w:tcW w:w="3320" w:type="dxa"/>
            <w:gridSpan w:val="2"/>
            <w:tcBorders>
              <w:top w:val="single" w:sz="4" w:space="0" w:color="auto"/>
              <w:left w:val="nil"/>
              <w:bottom w:val="single" w:sz="4" w:space="0" w:color="auto"/>
              <w:right w:val="single" w:sz="4" w:space="0" w:color="auto"/>
            </w:tcBorders>
            <w:noWrap/>
            <w:vAlign w:val="center"/>
          </w:tcPr>
          <w:p>
            <w:pPr>
              <w:autoSpaceDE w:val="0"/>
              <w:autoSpaceDN w:val="0"/>
              <w:spacing w:line="240" w:lineRule="auto"/>
              <w:ind w:firstLine="0"/>
              <w:jc w:val="center"/>
              <w:rPr>
                <w:rFonts w:ascii="宋体" w:eastAsia="宋体" w:hAnsi="宋体"/>
                <w:b/>
                <w:bCs/>
                <w:kern w:val="0"/>
                <w:sz w:val="21"/>
                <w:szCs w:val="21"/>
              </w:rPr>
            </w:pPr>
            <w:r>
              <w:rPr>
                <w:rFonts w:ascii="宋体" w:eastAsia="宋体" w:hAnsi="宋体" w:hint="eastAsia"/>
                <w:b/>
                <w:bCs/>
                <w:kern w:val="0"/>
                <w:sz w:val="21"/>
                <w:szCs w:val="21"/>
              </w:rPr>
              <w:t>耕地保有量指标</w:t>
            </w:r>
          </w:p>
        </w:tc>
        <w:tc>
          <w:tcPr>
            <w:tcW w:w="1620" w:type="dxa"/>
            <w:vMerge w:val="restart"/>
            <w:tcBorders>
              <w:top w:val="single" w:sz="4" w:space="0" w:color="auto"/>
              <w:left w:val="single" w:sz="4" w:space="0" w:color="auto"/>
              <w:bottom w:val="single" w:sz="4" w:space="0" w:color="auto"/>
              <w:right w:val="single" w:sz="4" w:space="0" w:color="auto"/>
            </w:tcBorders>
            <w:noWrap/>
            <w:vAlign w:val="center"/>
          </w:tcPr>
          <w:p>
            <w:pPr>
              <w:autoSpaceDE w:val="0"/>
              <w:autoSpaceDN w:val="0"/>
              <w:spacing w:line="240" w:lineRule="auto"/>
              <w:ind w:firstLine="0"/>
              <w:jc w:val="center"/>
              <w:rPr>
                <w:rFonts w:ascii="宋体" w:eastAsia="宋体" w:hAnsi="宋体" w:hint="eastAsia"/>
                <w:b/>
                <w:bCs/>
                <w:kern w:val="0"/>
                <w:sz w:val="21"/>
                <w:szCs w:val="21"/>
              </w:rPr>
            </w:pPr>
            <w:r>
              <w:rPr>
                <w:rFonts w:ascii="宋体" w:eastAsia="宋体" w:hAnsi="宋体" w:hint="eastAsia"/>
                <w:b/>
                <w:bCs/>
                <w:kern w:val="0"/>
                <w:sz w:val="21"/>
                <w:szCs w:val="21"/>
              </w:rPr>
              <w:t>永久基本</w:t>
            </w:r>
          </w:p>
          <w:p>
            <w:pPr>
              <w:autoSpaceDE w:val="0"/>
              <w:autoSpaceDN w:val="0"/>
              <w:spacing w:line="240" w:lineRule="auto"/>
              <w:ind w:firstLine="0"/>
              <w:jc w:val="center"/>
              <w:rPr>
                <w:rFonts w:ascii="宋体" w:eastAsia="宋体" w:hAnsi="宋体"/>
                <w:b/>
                <w:bCs/>
                <w:kern w:val="0"/>
                <w:sz w:val="21"/>
                <w:szCs w:val="21"/>
              </w:rPr>
            </w:pPr>
            <w:r>
              <w:rPr>
                <w:rFonts w:ascii="宋体" w:eastAsia="宋体" w:hAnsi="宋体" w:hint="eastAsia"/>
                <w:b/>
                <w:bCs/>
                <w:kern w:val="0"/>
                <w:sz w:val="21"/>
                <w:szCs w:val="21"/>
              </w:rPr>
              <w:t>农田面积</w:t>
            </w:r>
          </w:p>
        </w:tc>
      </w:tr>
      <w:tr>
        <w:trPr>
          <w:trHeight w:val="312"/>
        </w:trPr>
        <w:tc>
          <w:tcPr>
            <w:tcW w:w="1660" w:type="dxa"/>
            <w:vMerge/>
            <w:tcBorders>
              <w:top w:val="single" w:sz="4" w:space="0" w:color="auto"/>
              <w:left w:val="single" w:sz="4" w:space="0" w:color="auto"/>
              <w:bottom w:val="single" w:sz="4" w:space="0" w:color="auto"/>
              <w:right w:val="single" w:sz="4" w:space="0" w:color="auto"/>
            </w:tcBorders>
            <w:noWrap/>
            <w:vAlign w:val="center"/>
          </w:tcPr>
          <w:p/>
        </w:tc>
        <w:tc>
          <w:tcPr>
            <w:tcW w:w="1760" w:type="dxa"/>
            <w:vMerge/>
            <w:tcBorders>
              <w:top w:val="single" w:sz="4" w:space="0" w:color="auto"/>
              <w:left w:val="single" w:sz="4" w:space="0" w:color="auto"/>
              <w:bottom w:val="single" w:sz="4" w:space="0" w:color="auto"/>
              <w:right w:val="single" w:sz="4" w:space="0" w:color="auto"/>
            </w:tcBorders>
            <w:noWrap/>
            <w:vAlign w:val="center"/>
          </w:tcPr>
          <w:p/>
        </w:tc>
        <w:tc>
          <w:tcPr>
            <w:tcW w:w="1931" w:type="dxa"/>
            <w:tcBorders>
              <w:top w:val="nil"/>
              <w:left w:val="nil"/>
              <w:bottom w:val="single" w:sz="4" w:space="0" w:color="auto"/>
              <w:right w:val="single" w:sz="4" w:space="0" w:color="auto"/>
            </w:tcBorders>
            <w:noWrap/>
            <w:vAlign w:val="center"/>
          </w:tcPr>
          <w:p>
            <w:pPr>
              <w:autoSpaceDE w:val="0"/>
              <w:autoSpaceDN w:val="0"/>
              <w:spacing w:line="240" w:lineRule="auto"/>
              <w:ind w:firstLine="0"/>
              <w:jc w:val="center"/>
              <w:rPr>
                <w:rFonts w:ascii="宋体" w:eastAsia="宋体" w:hAnsi="宋体"/>
                <w:kern w:val="0"/>
                <w:sz w:val="21"/>
                <w:szCs w:val="21"/>
              </w:rPr>
            </w:pPr>
            <w:r>
              <w:rPr>
                <w:rFonts w:ascii="宋体" w:eastAsia="宋体" w:hAnsi="宋体" w:hint="eastAsia"/>
                <w:kern w:val="0"/>
                <w:sz w:val="21"/>
                <w:szCs w:val="21"/>
              </w:rPr>
              <w:t>规划近期目标年</w:t>
            </w:r>
          </w:p>
        </w:tc>
        <w:tc>
          <w:tcPr>
            <w:tcW w:w="1389" w:type="dxa"/>
            <w:tcBorders>
              <w:top w:val="nil"/>
              <w:left w:val="nil"/>
              <w:bottom w:val="single" w:sz="4" w:space="0" w:color="auto"/>
              <w:right w:val="single" w:sz="4" w:space="0" w:color="auto"/>
            </w:tcBorders>
            <w:noWrap/>
            <w:vAlign w:val="center"/>
          </w:tcPr>
          <w:p>
            <w:pPr>
              <w:autoSpaceDE w:val="0"/>
              <w:autoSpaceDN w:val="0"/>
              <w:spacing w:line="240" w:lineRule="auto"/>
              <w:ind w:firstLine="0"/>
              <w:jc w:val="center"/>
              <w:rPr>
                <w:rFonts w:ascii="宋体" w:eastAsia="宋体" w:hAnsi="宋体"/>
                <w:kern w:val="0"/>
                <w:sz w:val="21"/>
                <w:szCs w:val="21"/>
              </w:rPr>
            </w:pPr>
            <w:r>
              <w:rPr>
                <w:rFonts w:ascii="宋体" w:eastAsia="宋体" w:hAnsi="宋体" w:hint="eastAsia"/>
                <w:kern w:val="0"/>
                <w:sz w:val="21"/>
                <w:szCs w:val="21"/>
              </w:rPr>
              <w:t>规划目标年</w:t>
            </w:r>
          </w:p>
        </w:tc>
        <w:tc>
          <w:tcPr>
            <w:tcW w:w="1620" w:type="dxa"/>
            <w:vMerge/>
            <w:tcBorders>
              <w:top w:val="single" w:sz="4" w:space="0" w:color="auto"/>
              <w:left w:val="single" w:sz="4" w:space="0" w:color="auto"/>
              <w:bottom w:val="single" w:sz="4" w:space="0" w:color="auto"/>
              <w:right w:val="single" w:sz="4" w:space="0" w:color="auto"/>
            </w:tcBorders>
            <w:noWrap/>
            <w:vAlign w:val="center"/>
          </w:tcPr>
          <w:p/>
        </w:tc>
      </w:tr>
      <w:tr>
        <w:trPr>
          <w:trHeight w:val="312"/>
        </w:trPr>
        <w:tc>
          <w:tcPr>
            <w:tcW w:w="1660" w:type="dxa"/>
            <w:tcBorders>
              <w:top w:val="nil"/>
              <w:left w:val="single" w:sz="4" w:space="0" w:color="auto"/>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hint="eastAsia"/>
                <w:kern w:val="0"/>
                <w:sz w:val="21"/>
                <w:szCs w:val="21"/>
              </w:rPr>
            </w:pPr>
            <w:r>
              <w:rPr>
                <w:rFonts w:ascii="宋体" w:eastAsia="宋体" w:hAnsi="宋体" w:hint="eastAsia"/>
                <w:kern w:val="0"/>
                <w:sz w:val="21"/>
                <w:szCs w:val="21"/>
              </w:rPr>
              <w:t>矿市街道</w:t>
            </w:r>
          </w:p>
        </w:tc>
        <w:tc>
          <w:tcPr>
            <w:tcW w:w="1760" w:type="dxa"/>
            <w:tcBorders>
              <w:top w:val="nil"/>
              <w:left w:val="nil"/>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hint="eastAsia"/>
                <w:kern w:val="0"/>
                <w:sz w:val="21"/>
                <w:szCs w:val="21"/>
              </w:rPr>
            </w:pPr>
            <w:r>
              <w:rPr>
                <w:rFonts w:ascii="宋体" w:eastAsia="宋体" w:hAnsi="宋体" w:hint="eastAsia"/>
                <w:kern w:val="0"/>
                <w:sz w:val="21"/>
                <w:szCs w:val="21"/>
              </w:rPr>
              <w:t>0.01</w:t>
            </w:r>
          </w:p>
        </w:tc>
        <w:tc>
          <w:tcPr>
            <w:tcW w:w="1931"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hint="eastAsia"/>
                <w:kern w:val="0"/>
                <w:sz w:val="21"/>
                <w:szCs w:val="21"/>
              </w:rPr>
            </w:pPr>
            <w:r>
              <w:rPr>
                <w:rFonts w:ascii="仿宋" w:cs="仿宋" w:hAnsi="仿宋" w:hint="eastAsia"/>
                <w:sz w:val="21"/>
                <w:szCs w:val="21"/>
              </w:rPr>
              <w:t>0.00</w:t>
            </w:r>
          </w:p>
        </w:tc>
        <w:tc>
          <w:tcPr>
            <w:tcW w:w="1389"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hint="eastAsia"/>
                <w:kern w:val="0"/>
                <w:sz w:val="21"/>
                <w:szCs w:val="21"/>
              </w:rPr>
            </w:pPr>
            <w:r>
              <w:rPr>
                <w:rFonts w:ascii="宋体" w:eastAsia="宋体" w:hAnsi="宋体" w:hint="eastAsia"/>
                <w:kern w:val="0"/>
                <w:sz w:val="21"/>
                <w:szCs w:val="21"/>
              </w:rPr>
              <w:t>0.00</w:t>
            </w:r>
          </w:p>
        </w:tc>
        <w:tc>
          <w:tcPr>
            <w:tcW w:w="1620"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hint="eastAsia"/>
                <w:kern w:val="0"/>
                <w:sz w:val="21"/>
                <w:szCs w:val="21"/>
              </w:rPr>
            </w:pPr>
            <w:r>
              <w:rPr>
                <w:rFonts w:ascii="仿宋" w:cs="仿宋" w:hAnsi="仿宋" w:hint="eastAsia"/>
                <w:sz w:val="21"/>
                <w:szCs w:val="21"/>
              </w:rPr>
              <w:t>0.00</w:t>
            </w:r>
          </w:p>
        </w:tc>
      </w:tr>
      <w:tr>
        <w:trPr>
          <w:trHeight w:val="312"/>
        </w:trPr>
        <w:tc>
          <w:tcPr>
            <w:tcW w:w="1660" w:type="dxa"/>
            <w:tcBorders>
              <w:top w:val="nil"/>
              <w:left w:val="single" w:sz="4" w:space="0" w:color="auto"/>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凤山镇</w:t>
            </w:r>
          </w:p>
        </w:tc>
        <w:tc>
          <w:tcPr>
            <w:tcW w:w="1760" w:type="dxa"/>
            <w:tcBorders>
              <w:top w:val="nil"/>
              <w:left w:val="nil"/>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4.40</w:t>
            </w:r>
          </w:p>
        </w:tc>
        <w:tc>
          <w:tcPr>
            <w:tcW w:w="1931"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5.42</w:t>
            </w:r>
          </w:p>
        </w:tc>
        <w:tc>
          <w:tcPr>
            <w:tcW w:w="1389"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5.34</w:t>
            </w:r>
          </w:p>
        </w:tc>
        <w:tc>
          <w:tcPr>
            <w:tcW w:w="1620"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2.76</w:t>
            </w:r>
          </w:p>
        </w:tc>
      </w:tr>
      <w:tr>
        <w:trPr>
          <w:trHeight w:val="312"/>
        </w:trPr>
        <w:tc>
          <w:tcPr>
            <w:tcW w:w="1660" w:type="dxa"/>
            <w:tcBorders>
              <w:top w:val="nil"/>
              <w:left w:val="single" w:sz="4" w:space="0" w:color="auto"/>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贾庄镇</w:t>
            </w:r>
          </w:p>
        </w:tc>
        <w:tc>
          <w:tcPr>
            <w:tcW w:w="1760" w:type="dxa"/>
            <w:tcBorders>
              <w:top w:val="nil"/>
              <w:left w:val="nil"/>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5.52</w:t>
            </w:r>
          </w:p>
        </w:tc>
        <w:tc>
          <w:tcPr>
            <w:tcW w:w="1931"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5.19</w:t>
            </w:r>
          </w:p>
        </w:tc>
        <w:tc>
          <w:tcPr>
            <w:tcW w:w="1389"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5.53</w:t>
            </w:r>
          </w:p>
        </w:tc>
        <w:tc>
          <w:tcPr>
            <w:tcW w:w="1620"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3.40</w:t>
            </w:r>
          </w:p>
        </w:tc>
      </w:tr>
      <w:tr>
        <w:trPr>
          <w:trHeight w:val="312"/>
        </w:trPr>
        <w:tc>
          <w:tcPr>
            <w:tcW w:w="1660" w:type="dxa"/>
            <w:tcBorders>
              <w:top w:val="nil"/>
              <w:left w:val="single" w:sz="4" w:space="0" w:color="auto"/>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横涧乡</w:t>
            </w:r>
          </w:p>
        </w:tc>
        <w:tc>
          <w:tcPr>
            <w:tcW w:w="1760" w:type="dxa"/>
            <w:tcBorders>
              <w:top w:val="nil"/>
              <w:left w:val="nil"/>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2.83</w:t>
            </w:r>
          </w:p>
        </w:tc>
        <w:tc>
          <w:tcPr>
            <w:tcW w:w="1931"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1.57</w:t>
            </w:r>
          </w:p>
        </w:tc>
        <w:tc>
          <w:tcPr>
            <w:tcW w:w="1389"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1.31</w:t>
            </w:r>
          </w:p>
        </w:tc>
        <w:tc>
          <w:tcPr>
            <w:tcW w:w="1620"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0.77</w:t>
            </w:r>
          </w:p>
        </w:tc>
      </w:tr>
      <w:tr>
        <w:trPr>
          <w:trHeight w:val="312"/>
        </w:trPr>
        <w:tc>
          <w:tcPr>
            <w:tcW w:w="1660" w:type="dxa"/>
            <w:tcBorders>
              <w:top w:val="nil"/>
              <w:left w:val="single" w:sz="4" w:space="0" w:color="auto"/>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国营苗圃场</w:t>
            </w:r>
          </w:p>
        </w:tc>
        <w:tc>
          <w:tcPr>
            <w:tcW w:w="1760" w:type="dxa"/>
            <w:tcBorders>
              <w:top w:val="nil"/>
              <w:left w:val="nil"/>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0.01</w:t>
            </w:r>
          </w:p>
        </w:tc>
        <w:tc>
          <w:tcPr>
            <w:tcW w:w="1931"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0.00</w:t>
            </w:r>
          </w:p>
        </w:tc>
        <w:tc>
          <w:tcPr>
            <w:tcW w:w="1389"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宋体" w:eastAsia="宋体" w:hAnsi="宋体" w:hint="eastAsia"/>
                <w:kern w:val="0"/>
                <w:sz w:val="21"/>
                <w:szCs w:val="21"/>
              </w:rPr>
              <w:t>0.00</w:t>
            </w:r>
          </w:p>
        </w:tc>
        <w:tc>
          <w:tcPr>
            <w:tcW w:w="1620"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0.00</w:t>
            </w:r>
          </w:p>
        </w:tc>
      </w:tr>
      <w:tr>
        <w:trPr>
          <w:trHeight w:val="312"/>
        </w:trPr>
        <w:tc>
          <w:tcPr>
            <w:tcW w:w="1660" w:type="dxa"/>
            <w:tcBorders>
              <w:top w:val="nil"/>
              <w:left w:val="single" w:sz="4" w:space="0" w:color="auto"/>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合计</w:t>
            </w:r>
          </w:p>
        </w:tc>
        <w:tc>
          <w:tcPr>
            <w:tcW w:w="1760" w:type="dxa"/>
            <w:tcBorders>
              <w:top w:val="nil"/>
              <w:left w:val="nil"/>
              <w:bottom w:val="single" w:sz="4" w:space="0" w:color="auto"/>
              <w:right w:val="single" w:sz="4" w:space="0" w:color="auto"/>
            </w:tcBorders>
            <w:noWrap/>
            <w:vAlign w:val="center"/>
          </w:tcPr>
          <w:p>
            <w:pPr>
              <w:autoSpaceDE w:val="0"/>
              <w:autoSpaceDN w:val="0"/>
              <w:spacing w:line="360" w:lineRule="auto"/>
              <w:ind w:firstLine="0"/>
              <w:jc w:val="center"/>
              <w:rPr>
                <w:rFonts w:ascii="宋体" w:eastAsia="宋体" w:hAnsi="宋体"/>
                <w:kern w:val="0"/>
                <w:sz w:val="21"/>
                <w:szCs w:val="21"/>
              </w:rPr>
            </w:pPr>
            <w:r>
              <w:rPr>
                <w:rFonts w:ascii="宋体" w:eastAsia="宋体" w:hAnsi="宋体" w:hint="eastAsia"/>
                <w:kern w:val="0"/>
                <w:sz w:val="21"/>
                <w:szCs w:val="21"/>
              </w:rPr>
              <w:t>12.77</w:t>
            </w:r>
          </w:p>
        </w:tc>
        <w:tc>
          <w:tcPr>
            <w:tcW w:w="1931"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12.18</w:t>
            </w:r>
          </w:p>
        </w:tc>
        <w:tc>
          <w:tcPr>
            <w:tcW w:w="1389"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12.18</w:t>
            </w:r>
          </w:p>
        </w:tc>
        <w:tc>
          <w:tcPr>
            <w:tcW w:w="1620" w:type="dxa"/>
            <w:tcBorders>
              <w:top w:val="nil"/>
              <w:left w:val="nil"/>
              <w:bottom w:val="single" w:sz="4" w:space="0" w:color="auto"/>
              <w:right w:val="single" w:sz="4" w:space="0" w:color="auto"/>
            </w:tcBorders>
            <w:noWrap/>
            <w:vAlign w:val="center"/>
          </w:tcPr>
          <w:p>
            <w:pPr>
              <w:adjustRightInd w:val="0"/>
              <w:spacing w:line="240" w:lineRule="auto"/>
              <w:ind w:firstLine="0"/>
              <w:jc w:val="center"/>
              <w:rPr>
                <w:rFonts w:ascii="宋体" w:eastAsia="宋体" w:hAnsi="宋体"/>
                <w:kern w:val="0"/>
                <w:sz w:val="21"/>
                <w:szCs w:val="21"/>
              </w:rPr>
            </w:pPr>
            <w:r>
              <w:rPr>
                <w:rFonts w:ascii="仿宋" w:cs="仿宋" w:hAnsi="仿宋" w:hint="eastAsia"/>
                <w:sz w:val="21"/>
                <w:szCs w:val="21"/>
              </w:rPr>
              <w:t>6.93</w:t>
            </w:r>
          </w:p>
        </w:tc>
      </w:tr>
    </w:tbl>
    <w:p>
      <w:pPr>
        <w:pStyle w:val="39"/>
        <w:rPr>
          <w:rFonts w:ascii="黑体" w:eastAsia="黑体" w:hAnsi="黑体"/>
          <w:sz w:val="32"/>
          <w:szCs w:val="32"/>
        </w:rPr>
      </w:pPr>
      <w:r>
        <w:rPr>
          <w:rFonts w:ascii="仿宋" w:eastAsia="仿宋" w:hAnsi="仿宋"/>
          <w:i/>
          <w:iCs/>
          <w:color w:val="0000FF"/>
          <w:sz w:val="28"/>
        </w:rPr>
        <w:br w:type="page"/>
      </w:r>
      <w:r>
        <w:rPr>
          <w:rFonts w:ascii="黑体" w:eastAsia="黑体" w:hAnsi="黑体" w:hint="eastAsia"/>
          <w:sz w:val="32"/>
          <w:szCs w:val="32"/>
        </w:rPr>
        <w:t>附表3</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生态保护红线规划指标分解表</w:t>
      </w:r>
    </w:p>
    <w:p>
      <w:pPr>
        <w:spacing w:before="120"/>
        <w:ind w:firstLine="480"/>
        <w:jc w:val="right"/>
        <w:rPr>
          <w:bCs/>
          <w:sz w:val="24"/>
        </w:rPr>
      </w:pPr>
      <w:r>
        <w:rPr>
          <w:bCs/>
          <w:sz w:val="24"/>
        </w:rPr>
        <w:t>单位：平方千米</w:t>
      </w:r>
    </w:p>
    <w:tbl>
      <w:tblPr>
        <w:jc w:val="cent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1"/>
        <w:gridCol w:w="4261"/>
      </w:tblGrid>
      <w:tr>
        <w:trPr>
          <w:trHeight w:val="247"/>
        </w:trPr>
        <w:tc>
          <w:tcPr>
            <w:tcW w:w="4261" w:type="dxa"/>
            <w:noWrap/>
            <w:vAlign w:val="center"/>
          </w:tcPr>
          <w:p>
            <w:pPr>
              <w:spacing w:line="240" w:lineRule="auto"/>
              <w:ind w:firstLine="0"/>
              <w:jc w:val="center"/>
              <w:rPr>
                <w:kern w:val="0"/>
                <w:sz w:val="24"/>
              </w:rPr>
            </w:pPr>
            <w:r>
              <w:rPr>
                <w:b/>
                <w:sz w:val="24"/>
              </w:rPr>
              <w:t>行政区</w:t>
            </w:r>
          </w:p>
        </w:tc>
        <w:tc>
          <w:tcPr>
            <w:tcW w:w="4261" w:type="dxa"/>
            <w:noWrap/>
            <w:vAlign w:val="center"/>
          </w:tcPr>
          <w:p>
            <w:pPr>
              <w:spacing w:line="240" w:lineRule="auto"/>
              <w:ind w:firstLine="0"/>
              <w:jc w:val="center"/>
              <w:rPr>
                <w:kern w:val="0"/>
                <w:sz w:val="24"/>
              </w:rPr>
            </w:pPr>
            <w:r>
              <w:rPr>
                <w:b/>
                <w:sz w:val="24"/>
              </w:rPr>
              <w:t>生态保护红线面积</w:t>
            </w:r>
          </w:p>
        </w:tc>
      </w:tr>
      <w:tr>
        <w:trPr>
          <w:trHeight w:val="247"/>
        </w:trPr>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贾庄镇</w:t>
            </w:r>
          </w:p>
        </w:tc>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4"/>
              </w:rPr>
            </w:pPr>
            <w:r>
              <w:rPr>
                <w:kern w:val="0"/>
                <w:sz w:val="24"/>
              </w:rPr>
              <w:t>5.16</w:t>
            </w:r>
          </w:p>
        </w:tc>
      </w:tr>
      <w:tr>
        <w:trPr>
          <w:trHeight w:val="247"/>
        </w:trPr>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凤山镇</w:t>
            </w:r>
          </w:p>
        </w:tc>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0.88</w:t>
            </w:r>
          </w:p>
        </w:tc>
      </w:tr>
      <w:tr>
        <w:trPr>
          <w:trHeight w:val="247"/>
        </w:trPr>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横涧乡</w:t>
            </w:r>
          </w:p>
        </w:tc>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2.46</w:t>
            </w:r>
          </w:p>
        </w:tc>
      </w:tr>
      <w:tr>
        <w:trPr>
          <w:trHeight w:val="247"/>
        </w:trPr>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合计</w:t>
            </w:r>
          </w:p>
        </w:tc>
        <w:tc>
          <w:tcPr>
            <w:tcW w:w="426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4"/>
              </w:rPr>
            </w:pPr>
            <w:r>
              <w:rPr>
                <w:kern w:val="0"/>
                <w:sz w:val="24"/>
              </w:rPr>
              <w:t>8.5</w:t>
            </w:r>
          </w:p>
        </w:tc>
      </w:tr>
    </w:tbl>
    <w:p>
      <w:pPr>
        <w:spacing w:before="120"/>
        <w:ind w:firstLine="640"/>
      </w:pPr>
    </w:p>
    <w:p>
      <w:pPr>
        <w:pStyle w:val="39"/>
        <w:rPr>
          <w:rFonts w:ascii="黑体" w:eastAsia="黑体" w:hAnsi="黑体"/>
          <w:sz w:val="32"/>
          <w:szCs w:val="32"/>
        </w:rPr>
      </w:pPr>
      <w:r>
        <w:br w:type="page"/>
      </w:r>
      <w:r>
        <w:rPr>
          <w:rFonts w:ascii="黑体" w:eastAsia="黑体" w:hAnsi="黑体" w:hint="eastAsia"/>
          <w:sz w:val="32"/>
          <w:szCs w:val="32"/>
        </w:rPr>
        <w:t>附表4</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城镇开发边界划定面积分解表</w:t>
      </w:r>
    </w:p>
    <w:p>
      <w:pPr>
        <w:spacing w:before="120"/>
        <w:ind w:firstLine="480"/>
        <w:jc w:val="right"/>
        <w:rPr>
          <w:bCs/>
          <w:sz w:val="24"/>
        </w:rPr>
      </w:pPr>
      <w:r>
        <w:rPr>
          <w:bCs/>
          <w:sz w:val="24"/>
        </w:rPr>
        <w:t>单位：平方千米</w:t>
      </w:r>
    </w:p>
    <w:tbl>
      <w:tblPr>
        <w:jc w:val="left"/>
        <w:tblInd w:w="0" w:type="dxa"/>
        <w:tblW w:w="8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809"/>
        <w:gridCol w:w="4606"/>
      </w:tblGrid>
      <w:tr>
        <w:trPr>
          <w:trHeight w:val="36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b/>
                <w:kern w:val="0"/>
                <w:sz w:val="24"/>
              </w:rPr>
            </w:pPr>
            <w:r>
              <w:rPr>
                <w:b/>
                <w:kern w:val="0"/>
                <w:sz w:val="24"/>
              </w:rPr>
              <w:t>行政区</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b/>
                <w:kern w:val="0"/>
                <w:sz w:val="24"/>
              </w:rPr>
            </w:pPr>
            <w:r>
              <w:rPr>
                <w:b/>
                <w:kern w:val="0"/>
                <w:sz w:val="24"/>
              </w:rPr>
              <w:t>城镇开发边界</w:t>
            </w:r>
          </w:p>
        </w:tc>
      </w:tr>
      <w:tr>
        <w:trPr>
          <w:trHeight w:val="36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矿市街道</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1.88</w:t>
            </w:r>
          </w:p>
        </w:tc>
      </w:tr>
      <w:tr>
        <w:trPr>
          <w:trHeight w:val="36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贾庄镇</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11.08</w:t>
            </w:r>
          </w:p>
        </w:tc>
      </w:tr>
      <w:tr>
        <w:trPr>
          <w:trHeight w:val="36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凤山镇</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4.42</w:t>
            </w:r>
          </w:p>
        </w:tc>
      </w:tr>
      <w:tr>
        <w:trPr>
          <w:trHeight w:val="36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横涧乡</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6.22</w:t>
            </w:r>
          </w:p>
        </w:tc>
      </w:tr>
      <w:tr>
        <w:trPr>
          <w:trHeight w:val="36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国营苗圃场</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rFonts w:hint="eastAsia"/>
                <w:kern w:val="0"/>
                <w:sz w:val="24"/>
              </w:rPr>
              <w:t>0.001</w:t>
            </w:r>
          </w:p>
        </w:tc>
      </w:tr>
      <w:tr>
        <w:trPr>
          <w:trHeight w:val="370"/>
        </w:trPr>
        <w:tc>
          <w:tcPr>
            <w:tcW w:w="3809"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rFonts w:hint="eastAsia"/>
                <w:kern w:val="0"/>
                <w:sz w:val="24"/>
              </w:rPr>
            </w:pPr>
            <w:r>
              <w:rPr>
                <w:rFonts w:hint="eastAsia"/>
                <w:kern w:val="0"/>
                <w:sz w:val="24"/>
              </w:rPr>
              <w:t>合计</w:t>
            </w:r>
          </w:p>
        </w:tc>
        <w:tc>
          <w:tcPr>
            <w:tcW w:w="4606" w:type="dxa"/>
            <w:tcBorders>
              <w:top w:val="single" w:sz="4" w:space="0" w:color="auto"/>
              <w:left w:val="single" w:sz="4" w:space="0" w:color="auto"/>
              <w:bottom w:val="single" w:sz="4" w:space="0" w:color="auto"/>
              <w:right w:val="single" w:sz="4" w:space="0" w:color="auto"/>
            </w:tcBorders>
            <w:noWrap/>
            <w:vAlign w:val="center"/>
          </w:tcPr>
          <w:p>
            <w:pPr>
              <w:spacing w:line="240" w:lineRule="auto"/>
              <w:ind w:firstLine="0"/>
              <w:jc w:val="center"/>
              <w:rPr>
                <w:kern w:val="0"/>
                <w:sz w:val="24"/>
              </w:rPr>
            </w:pPr>
            <w:r>
              <w:rPr>
                <w:kern w:val="0"/>
                <w:sz w:val="24"/>
              </w:rPr>
              <w:t>23.60</w:t>
            </w:r>
          </w:p>
        </w:tc>
      </w:tr>
    </w:tbl>
    <w:p>
      <w:pPr>
        <w:pStyle w:val="39"/>
        <w:rPr>
          <w:rFonts w:ascii="黑体" w:eastAsia="黑体" w:hAnsi="黑体"/>
          <w:sz w:val="32"/>
          <w:szCs w:val="32"/>
        </w:rPr>
      </w:pPr>
      <w:r>
        <w:br w:type="page"/>
      </w:r>
      <w:bookmarkStart w:id="127" w:name="_Toc6622"/>
      <w:bookmarkStart w:id="128" w:name="_Toc20978"/>
      <w:bookmarkStart w:id="129" w:name="_Toc7283"/>
      <w:bookmarkStart w:id="130" w:name="_Toc121826936"/>
      <w:bookmarkStart w:id="131" w:name="_Toc24137"/>
      <w:bookmarkStart w:id="132" w:name="_Toc120984771"/>
      <w:bookmarkStart w:id="133" w:name="_Toc120020946"/>
      <w:bookmarkStart w:id="134" w:name="_Toc19329"/>
      <w:bookmarkStart w:id="135" w:name="_Toc121645339"/>
      <w:bookmarkStart w:id="136" w:name="_Toc19736"/>
      <w:bookmarkStart w:id="137" w:name="_Toc24183"/>
      <w:bookmarkStart w:id="138" w:name="_Toc119849984"/>
      <w:bookmarkStart w:id="139" w:name="_Toc21238"/>
      <w:bookmarkStart w:id="140" w:name="_Toc120274935"/>
      <w:bookmarkStart w:id="141" w:name="_Toc5550"/>
      <w:bookmarkStart w:id="142" w:name="_Toc121059880"/>
      <w:bookmarkStart w:id="143" w:name="_Toc119519620"/>
      <w:bookmarkStart w:id="144" w:name="_Toc807"/>
      <w:bookmarkStart w:id="145" w:name="_Toc12297"/>
      <w:bookmarkStart w:id="146" w:name="_Toc26325"/>
      <w:bookmarkStart w:id="147" w:name="_Toc120522237"/>
      <w:bookmarkStart w:id="148" w:name="_Toc119418655"/>
      <w:bookmarkStart w:id="149" w:name="_Toc25165"/>
      <w:bookmarkStart w:id="150" w:name="_Toc120969309"/>
      <w:bookmarkStart w:id="151" w:name="_Toc16608"/>
      <w:bookmarkStart w:id="152" w:name="_Toc119848472"/>
      <w:bookmarkStart w:id="153" w:name="_Toc30448"/>
      <w:bookmarkStart w:id="154" w:name="_Toc26212"/>
      <w:bookmarkStart w:id="155" w:name="_Toc122359054"/>
      <w:bookmarkStart w:id="156" w:name="_Toc9268"/>
      <w:bookmarkStart w:id="157" w:name="_Toc120057130"/>
      <w:bookmarkStart w:id="158" w:name="_Toc122420519"/>
      <w:bookmarkStart w:id="159" w:name="_Toc29127"/>
      <w:bookmarkStart w:id="160" w:name="_Toc6126"/>
      <w:bookmarkStart w:id="161" w:name="_Toc20473"/>
      <w:bookmarkStart w:id="162" w:name="_Toc22111"/>
      <w:bookmarkStart w:id="163" w:name="_Toc10281"/>
      <w:r>
        <w:rPr>
          <w:rFonts w:ascii="黑体" w:eastAsia="黑体" w:hAnsi="黑体" w:hint="eastAsia"/>
          <w:sz w:val="32"/>
          <w:szCs w:val="32"/>
        </w:rPr>
        <w:t>附表5</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水资源平衡表</w:t>
      </w:r>
    </w:p>
    <w:p>
      <w:pPr>
        <w:spacing w:before="120" w:line="500" w:lineRule="exact"/>
        <w:ind w:firstLine="480"/>
        <w:jc w:val="right"/>
        <w:rPr>
          <w:rFonts w:ascii="宋体" w:eastAsia="宋体" w:hAnsi="Courier New"/>
          <w:sz w:val="24"/>
          <w:szCs w:val="20"/>
        </w:rPr>
      </w:pPr>
      <w:r>
        <w:rPr>
          <w:rFonts w:ascii="宋体" w:eastAsia="宋体" w:hAnsi="Courier New"/>
          <w:sz w:val="24"/>
          <w:szCs w:val="20"/>
        </w:rPr>
        <w:t>单位：万立方米</w:t>
      </w:r>
    </w:p>
    <w:tbl>
      <w:tblPr>
        <w:tblpPr w:leftFromText="180" w:rightFromText="180" w:vertAnchor="text" w:horzAnchor="margin" w:tblpXSpec="center" w:tblpY="145"/>
        <w:tblW w:w="83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Pr>
      <w:tblGrid>
        <w:gridCol w:w="327"/>
        <w:gridCol w:w="401"/>
        <w:gridCol w:w="375"/>
        <w:gridCol w:w="278"/>
        <w:gridCol w:w="304"/>
        <w:gridCol w:w="461"/>
        <w:gridCol w:w="367"/>
        <w:gridCol w:w="486"/>
        <w:gridCol w:w="617"/>
        <w:gridCol w:w="463"/>
        <w:gridCol w:w="474"/>
        <w:gridCol w:w="472"/>
        <w:gridCol w:w="278"/>
        <w:gridCol w:w="401"/>
        <w:gridCol w:w="459"/>
        <w:gridCol w:w="349"/>
        <w:gridCol w:w="446"/>
        <w:gridCol w:w="681"/>
        <w:gridCol w:w="670"/>
      </w:tblGrid>
      <w:tr>
        <w:trPr>
          <w:trHeight w:val="461"/>
        </w:trPr>
        <w:tc>
          <w:tcPr>
            <w:tcW w:w="327" w:type="dxa"/>
            <w:vMerge w:val="restart"/>
            <w:noWrap/>
            <w:vAlign w:val="center"/>
          </w:tcPr>
          <w:p>
            <w:pPr>
              <w:spacing w:before="120" w:line="500" w:lineRule="exact"/>
              <w:ind w:firstLine="0"/>
              <w:rPr>
                <w:rFonts w:ascii="宋体" w:eastAsia="宋体" w:hAnsi="Courier New"/>
                <w:sz w:val="22"/>
                <w:szCs w:val="18"/>
              </w:rPr>
            </w:pPr>
            <w:r>
              <w:rPr>
                <w:rFonts w:ascii="宋体" w:eastAsia="宋体" w:hAnsi="Courier New"/>
                <w:sz w:val="22"/>
                <w:szCs w:val="18"/>
              </w:rPr>
              <w:t>县</w:t>
            </w:r>
          </w:p>
        </w:tc>
        <w:tc>
          <w:tcPr>
            <w:tcW w:w="3752" w:type="dxa"/>
            <w:gridSpan w:val="9"/>
            <w:noWrap/>
            <w:vAlign w:val="center"/>
          </w:tcPr>
          <w:p>
            <w:pPr>
              <w:spacing w:before="120" w:line="500" w:lineRule="exact"/>
              <w:ind w:firstLine="0"/>
              <w:jc w:val="center"/>
              <w:rPr>
                <w:rFonts w:ascii="宋体" w:eastAsia="宋体" w:hAnsi="Courier New"/>
                <w:b/>
                <w:bCs/>
                <w:sz w:val="22"/>
                <w:szCs w:val="18"/>
              </w:rPr>
            </w:pPr>
            <w:r>
              <w:rPr>
                <w:rFonts w:ascii="宋体" w:eastAsia="宋体" w:hAnsi="Courier New"/>
                <w:b/>
                <w:bCs/>
                <w:sz w:val="22"/>
                <w:szCs w:val="18"/>
              </w:rPr>
              <w:t>规划基期年</w:t>
            </w:r>
          </w:p>
        </w:tc>
        <w:tc>
          <w:tcPr>
            <w:tcW w:w="4230" w:type="dxa"/>
            <w:gridSpan w:val="9"/>
            <w:noWrap/>
            <w:vAlign w:val="center"/>
          </w:tcPr>
          <w:p>
            <w:pPr>
              <w:spacing w:before="120" w:line="500" w:lineRule="exact"/>
              <w:ind w:firstLine="0"/>
              <w:jc w:val="center"/>
              <w:rPr>
                <w:rFonts w:ascii="宋体" w:eastAsia="宋体" w:hAnsi="Courier New"/>
                <w:b/>
                <w:bCs/>
                <w:sz w:val="22"/>
                <w:szCs w:val="18"/>
              </w:rPr>
            </w:pPr>
            <w:r>
              <w:rPr>
                <w:rFonts w:ascii="宋体" w:eastAsia="宋体" w:hAnsi="Courier New"/>
                <w:b/>
                <w:bCs/>
                <w:sz w:val="22"/>
                <w:szCs w:val="18"/>
              </w:rPr>
              <w:t>规划目标年</w:t>
            </w:r>
          </w:p>
        </w:tc>
      </w:tr>
      <w:tr>
        <w:trPr>
          <w:trHeight w:val="457"/>
        </w:trPr>
        <w:tc>
          <w:tcPr>
            <w:tcW w:w="327" w:type="dxa"/>
            <w:vMerge/>
            <w:tcBorders>
              <w:top w:val="nil"/>
            </w:tcBorders>
            <w:noWrap/>
            <w:vAlign w:val="center"/>
          </w:tcPr>
          <w:p/>
        </w:tc>
        <w:tc>
          <w:tcPr>
            <w:tcW w:w="1819" w:type="dxa"/>
            <w:gridSpan w:val="5"/>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供水量</w:t>
            </w:r>
          </w:p>
        </w:tc>
        <w:tc>
          <w:tcPr>
            <w:tcW w:w="1933" w:type="dxa"/>
            <w:gridSpan w:val="4"/>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需水量</w:t>
            </w:r>
          </w:p>
        </w:tc>
        <w:tc>
          <w:tcPr>
            <w:tcW w:w="2084" w:type="dxa"/>
            <w:gridSpan w:val="5"/>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供水量</w:t>
            </w:r>
          </w:p>
        </w:tc>
        <w:tc>
          <w:tcPr>
            <w:tcW w:w="2146" w:type="dxa"/>
            <w:gridSpan w:val="4"/>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需水量</w:t>
            </w:r>
          </w:p>
        </w:tc>
      </w:tr>
      <w:tr>
        <w:trPr>
          <w:trHeight w:val="1545"/>
        </w:trPr>
        <w:tc>
          <w:tcPr>
            <w:tcW w:w="327" w:type="dxa"/>
            <w:vMerge/>
            <w:tcBorders>
              <w:top w:val="nil"/>
            </w:tcBorders>
            <w:noWrap/>
            <w:vAlign w:val="center"/>
          </w:tcPr>
          <w:p/>
        </w:tc>
        <w:tc>
          <w:tcPr>
            <w:tcW w:w="401"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地表水</w:t>
            </w:r>
          </w:p>
        </w:tc>
        <w:tc>
          <w:tcPr>
            <w:tcW w:w="375"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地下水</w:t>
            </w:r>
          </w:p>
        </w:tc>
        <w:tc>
          <w:tcPr>
            <w:tcW w:w="278"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外调水</w:t>
            </w:r>
          </w:p>
        </w:tc>
        <w:tc>
          <w:tcPr>
            <w:tcW w:w="304"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其他水源</w:t>
            </w:r>
          </w:p>
        </w:tc>
        <w:tc>
          <w:tcPr>
            <w:tcW w:w="461"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小计</w:t>
            </w:r>
          </w:p>
        </w:tc>
        <w:tc>
          <w:tcPr>
            <w:tcW w:w="367"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生态</w:t>
            </w:r>
          </w:p>
        </w:tc>
        <w:tc>
          <w:tcPr>
            <w:tcW w:w="486"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农业</w:t>
            </w:r>
          </w:p>
        </w:tc>
        <w:tc>
          <w:tcPr>
            <w:tcW w:w="617" w:type="dxa"/>
            <w:tcBorders>
              <w:righ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城镇（工业+生活）</w:t>
            </w:r>
          </w:p>
        </w:tc>
        <w:tc>
          <w:tcPr>
            <w:tcW w:w="463" w:type="dxa"/>
            <w:tcBorders>
              <w:lef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小计</w:t>
            </w:r>
          </w:p>
        </w:tc>
        <w:tc>
          <w:tcPr>
            <w:tcW w:w="474"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地表水</w:t>
            </w:r>
          </w:p>
        </w:tc>
        <w:tc>
          <w:tcPr>
            <w:tcW w:w="472"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地下水</w:t>
            </w:r>
          </w:p>
        </w:tc>
        <w:tc>
          <w:tcPr>
            <w:tcW w:w="278"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外调水</w:t>
            </w:r>
          </w:p>
        </w:tc>
        <w:tc>
          <w:tcPr>
            <w:tcW w:w="401"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其他水源</w:t>
            </w:r>
          </w:p>
        </w:tc>
        <w:tc>
          <w:tcPr>
            <w:tcW w:w="459"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小计</w:t>
            </w:r>
          </w:p>
        </w:tc>
        <w:tc>
          <w:tcPr>
            <w:tcW w:w="349"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生态</w:t>
            </w:r>
          </w:p>
        </w:tc>
        <w:tc>
          <w:tcPr>
            <w:tcW w:w="446"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农业</w:t>
            </w:r>
          </w:p>
        </w:tc>
        <w:tc>
          <w:tcPr>
            <w:tcW w:w="681" w:type="dxa"/>
            <w:tcBorders>
              <w:righ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城镇</w:t>
            </w:r>
          </w:p>
          <w:p>
            <w:pPr>
              <w:spacing w:before="120" w:line="500" w:lineRule="exact"/>
              <w:ind w:firstLine="0"/>
              <w:jc w:val="center"/>
              <w:rPr>
                <w:rFonts w:ascii="宋体" w:eastAsia="宋体" w:hAnsi="Courier New"/>
                <w:sz w:val="22"/>
                <w:szCs w:val="18"/>
              </w:rPr>
            </w:pPr>
            <w:r>
              <w:rPr>
                <w:rFonts w:ascii="宋体" w:eastAsia="宋体" w:hAnsi="Courier New"/>
                <w:sz w:val="22"/>
                <w:szCs w:val="18"/>
              </w:rPr>
              <w:t>（工业</w:t>
            </w:r>
          </w:p>
          <w:p>
            <w:pPr>
              <w:spacing w:before="120" w:line="500" w:lineRule="exact"/>
              <w:ind w:firstLine="0"/>
              <w:jc w:val="center"/>
              <w:rPr>
                <w:rFonts w:ascii="宋体" w:eastAsia="宋体" w:hAnsi="Courier New"/>
                <w:sz w:val="22"/>
                <w:szCs w:val="18"/>
              </w:rPr>
            </w:pPr>
            <w:r>
              <w:rPr>
                <w:rFonts w:ascii="宋体" w:eastAsia="宋体" w:hAnsi="Courier New"/>
                <w:sz w:val="22"/>
                <w:szCs w:val="18"/>
              </w:rPr>
              <w:t>+生活）</w:t>
            </w:r>
          </w:p>
        </w:tc>
        <w:tc>
          <w:tcPr>
            <w:tcW w:w="670" w:type="dxa"/>
            <w:tcBorders>
              <w:lef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sz w:val="22"/>
                <w:szCs w:val="18"/>
              </w:rPr>
              <w:t>小计</w:t>
            </w:r>
          </w:p>
        </w:tc>
      </w:tr>
      <w:tr>
        <w:trPr>
          <w:trHeight w:val="486"/>
        </w:trPr>
        <w:tc>
          <w:tcPr>
            <w:tcW w:w="327" w:type="dxa"/>
            <w:tcBorders>
              <w:top w:val="single" w:sz="2" w:space="0" w:color="000000"/>
              <w:left w:val="single" w:sz="2" w:space="0" w:color="000000"/>
              <w:right w:val="single" w:sz="2" w:space="0" w:color="000000"/>
            </w:tcBorders>
            <w:noWrap/>
            <w:vAlign w:val="center"/>
          </w:tcPr>
          <w:p>
            <w:pPr>
              <w:spacing w:before="120" w:line="500" w:lineRule="exact"/>
              <w:ind w:firstLine="0"/>
              <w:rPr>
                <w:rFonts w:ascii="宋体" w:eastAsia="宋体" w:hAnsi="Courier New"/>
                <w:sz w:val="22"/>
                <w:szCs w:val="18"/>
              </w:rPr>
            </w:pPr>
            <w:r>
              <w:rPr>
                <w:rFonts w:ascii="宋体" w:eastAsia="宋体" w:hAnsi="Courier New" w:hint="eastAsia"/>
                <w:sz w:val="22"/>
                <w:szCs w:val="18"/>
              </w:rPr>
              <w:t>井陉</w:t>
            </w:r>
          </w:p>
          <w:p>
            <w:pPr>
              <w:spacing w:before="120" w:line="500" w:lineRule="exact"/>
              <w:ind w:firstLine="0"/>
              <w:rPr>
                <w:rFonts w:ascii="宋体" w:eastAsia="宋体" w:hAnsi="Courier New"/>
                <w:sz w:val="22"/>
                <w:szCs w:val="18"/>
              </w:rPr>
            </w:pPr>
            <w:r>
              <w:rPr>
                <w:rFonts w:ascii="宋体" w:eastAsia="宋体" w:hAnsi="Courier New" w:hint="eastAsia"/>
                <w:sz w:val="22"/>
                <w:szCs w:val="18"/>
              </w:rPr>
              <w:t>矿区</w:t>
            </w:r>
          </w:p>
        </w:tc>
        <w:tc>
          <w:tcPr>
            <w:tcW w:w="401"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1191</w:t>
            </w:r>
          </w:p>
        </w:tc>
        <w:tc>
          <w:tcPr>
            <w:tcW w:w="375"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621</w:t>
            </w:r>
          </w:p>
        </w:tc>
        <w:tc>
          <w:tcPr>
            <w:tcW w:w="278"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0</w:t>
            </w:r>
          </w:p>
        </w:tc>
        <w:tc>
          <w:tcPr>
            <w:tcW w:w="304"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0</w:t>
            </w:r>
          </w:p>
        </w:tc>
        <w:tc>
          <w:tcPr>
            <w:tcW w:w="461"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1812</w:t>
            </w:r>
          </w:p>
        </w:tc>
        <w:tc>
          <w:tcPr>
            <w:tcW w:w="367"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145</w:t>
            </w:r>
          </w:p>
        </w:tc>
        <w:tc>
          <w:tcPr>
            <w:tcW w:w="486"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1024</w:t>
            </w:r>
          </w:p>
        </w:tc>
        <w:tc>
          <w:tcPr>
            <w:tcW w:w="617" w:type="dxa"/>
            <w:tcBorders>
              <w:righ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643</w:t>
            </w:r>
          </w:p>
        </w:tc>
        <w:tc>
          <w:tcPr>
            <w:tcW w:w="463" w:type="dxa"/>
            <w:tcBorders>
              <w:lef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1812</w:t>
            </w:r>
          </w:p>
        </w:tc>
        <w:tc>
          <w:tcPr>
            <w:tcW w:w="474"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2570</w:t>
            </w:r>
          </w:p>
        </w:tc>
        <w:tc>
          <w:tcPr>
            <w:tcW w:w="472"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1400</w:t>
            </w:r>
          </w:p>
        </w:tc>
        <w:tc>
          <w:tcPr>
            <w:tcW w:w="278"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0</w:t>
            </w:r>
          </w:p>
        </w:tc>
        <w:tc>
          <w:tcPr>
            <w:tcW w:w="401"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912</w:t>
            </w:r>
          </w:p>
        </w:tc>
        <w:tc>
          <w:tcPr>
            <w:tcW w:w="459"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4882</w:t>
            </w:r>
          </w:p>
        </w:tc>
        <w:tc>
          <w:tcPr>
            <w:tcW w:w="349"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641</w:t>
            </w:r>
          </w:p>
        </w:tc>
        <w:tc>
          <w:tcPr>
            <w:tcW w:w="446" w:type="dxa"/>
            <w:tcBorders>
              <w:top w:val="single" w:sz="2" w:space="0" w:color="000000"/>
              <w:left w:val="single" w:sz="2" w:space="0" w:color="000000"/>
              <w:right w:val="single" w:sz="2"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1090</w:t>
            </w:r>
          </w:p>
        </w:tc>
        <w:tc>
          <w:tcPr>
            <w:tcW w:w="681" w:type="dxa"/>
            <w:tcBorders>
              <w:righ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2157.6</w:t>
            </w:r>
          </w:p>
        </w:tc>
        <w:tc>
          <w:tcPr>
            <w:tcW w:w="670" w:type="dxa"/>
            <w:tcBorders>
              <w:left w:val="single" w:sz="4" w:space="0" w:color="000000"/>
            </w:tcBorders>
            <w:noWrap/>
            <w:vAlign w:val="center"/>
          </w:tcPr>
          <w:p>
            <w:pPr>
              <w:spacing w:before="120" w:line="500" w:lineRule="exact"/>
              <w:ind w:firstLine="0"/>
              <w:jc w:val="center"/>
              <w:rPr>
                <w:rFonts w:ascii="宋体" w:eastAsia="宋体" w:hAnsi="Courier New"/>
                <w:sz w:val="22"/>
                <w:szCs w:val="18"/>
              </w:rPr>
            </w:pPr>
            <w:r>
              <w:rPr>
                <w:rFonts w:ascii="宋体" w:eastAsia="宋体" w:hAnsi="Courier New" w:hint="eastAsia"/>
                <w:sz w:val="22"/>
                <w:szCs w:val="18"/>
              </w:rPr>
              <w:t>3888.6</w:t>
            </w:r>
          </w:p>
        </w:tc>
      </w:tr>
    </w:tbl>
    <w:p>
      <w:pPr>
        <w:pStyle w:val="39"/>
        <w:rPr>
          <w:rFonts w:ascii="黑体" w:eastAsia="黑体" w:hAnsi="黑体" w:hint="eastAsia"/>
          <w:sz w:val="32"/>
          <w:szCs w:val="32"/>
        </w:rPr>
      </w:pPr>
      <w:r>
        <w:rPr>
          <w:rFonts w:ascii="方正小标宋简体" w:eastAsia="方正小标宋简体" w:cs="方正小标宋简体" w:hAnsi="方正小标宋简体" w:hint="eastAsia"/>
          <w:b/>
          <w:bCs/>
          <w:sz w:val="44"/>
          <w:szCs w:val="44"/>
        </w:rPr>
        <w:br w:type="page"/>
      </w:r>
      <w:r>
        <w:rPr>
          <w:rFonts w:ascii="黑体" w:eastAsia="黑体" w:hAnsi="黑体" w:hint="eastAsia"/>
          <w:sz w:val="32"/>
          <w:szCs w:val="32"/>
        </w:rPr>
        <w:t>附表6</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能源平衡表</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tbl>
      <w:tblPr>
        <w:jc w:val="left"/>
        <w:tblInd w:w="0" w:type="dxa"/>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57" w:type="dxa"/>
          <w:bottom w:w="0" w:type="dxa"/>
          <w:right w:w="57" w:type="dxa"/>
        </w:tblCellMar>
      </w:tblPr>
      <w:tblGrid>
        <w:gridCol w:w="1684"/>
        <w:gridCol w:w="1684"/>
        <w:gridCol w:w="1684"/>
        <w:gridCol w:w="1684"/>
        <w:gridCol w:w="1684"/>
      </w:tblGrid>
      <w:tr>
        <w:trPr>
          <w:trHeight w:val="313"/>
        </w:trPr>
        <w:tc>
          <w:tcPr>
            <w:tcW w:w="1684" w:type="dxa"/>
            <w:noWrap/>
            <w:vAlign w:val="center"/>
          </w:tcPr>
          <w:p>
            <w:pPr>
              <w:spacing w:line="240" w:lineRule="auto"/>
              <w:ind w:firstLine="0"/>
              <w:jc w:val="center"/>
              <w:rPr>
                <w:kern w:val="0"/>
                <w:sz w:val="21"/>
                <w:szCs w:val="21"/>
              </w:rPr>
            </w:pPr>
            <w:r>
              <w:rPr>
                <w:b/>
                <w:bCs/>
                <w:kern w:val="0"/>
                <w:sz w:val="21"/>
                <w:szCs w:val="21"/>
              </w:rPr>
              <w:t>能源名称</w:t>
            </w:r>
          </w:p>
        </w:tc>
        <w:tc>
          <w:tcPr>
            <w:tcW w:w="1684" w:type="dxa"/>
            <w:noWrap/>
            <w:vAlign w:val="center"/>
          </w:tcPr>
          <w:p>
            <w:pPr>
              <w:spacing w:line="240" w:lineRule="auto"/>
              <w:ind w:firstLine="0"/>
              <w:jc w:val="center"/>
              <w:rPr>
                <w:kern w:val="0"/>
                <w:sz w:val="21"/>
                <w:szCs w:val="21"/>
              </w:rPr>
            </w:pPr>
            <w:r>
              <w:rPr>
                <w:b/>
                <w:bCs/>
                <w:kern w:val="0"/>
                <w:sz w:val="21"/>
                <w:szCs w:val="21"/>
              </w:rPr>
              <w:t>实物量</w:t>
            </w:r>
          </w:p>
        </w:tc>
        <w:tc>
          <w:tcPr>
            <w:tcW w:w="1684" w:type="dxa"/>
            <w:noWrap/>
            <w:vAlign w:val="center"/>
          </w:tcPr>
          <w:p>
            <w:pPr>
              <w:spacing w:line="240" w:lineRule="auto"/>
              <w:ind w:firstLine="0"/>
              <w:jc w:val="center"/>
              <w:rPr>
                <w:b/>
                <w:bCs/>
                <w:kern w:val="0"/>
                <w:sz w:val="21"/>
                <w:szCs w:val="21"/>
              </w:rPr>
            </w:pPr>
            <w:r>
              <w:rPr>
                <w:b/>
                <w:bCs/>
                <w:kern w:val="0"/>
                <w:sz w:val="21"/>
                <w:szCs w:val="21"/>
              </w:rPr>
              <w:t>标准量</w:t>
            </w:r>
          </w:p>
          <w:p>
            <w:pPr>
              <w:spacing w:line="240" w:lineRule="auto"/>
              <w:ind w:firstLine="0"/>
              <w:jc w:val="center"/>
              <w:rPr>
                <w:kern w:val="0"/>
                <w:sz w:val="21"/>
                <w:szCs w:val="21"/>
              </w:rPr>
            </w:pPr>
            <w:r>
              <w:rPr>
                <w:b/>
                <w:bCs/>
                <w:kern w:val="0"/>
                <w:sz w:val="21"/>
                <w:szCs w:val="21"/>
              </w:rPr>
              <w:t xml:space="preserve"> (万吨标煤)</w:t>
            </w:r>
          </w:p>
        </w:tc>
        <w:tc>
          <w:tcPr>
            <w:tcW w:w="1684" w:type="dxa"/>
            <w:noWrap/>
            <w:vAlign w:val="center"/>
          </w:tcPr>
          <w:p>
            <w:pPr>
              <w:spacing w:line="240" w:lineRule="auto"/>
              <w:ind w:firstLine="0"/>
              <w:jc w:val="center"/>
              <w:rPr>
                <w:kern w:val="0"/>
                <w:sz w:val="21"/>
                <w:szCs w:val="21"/>
              </w:rPr>
            </w:pPr>
            <w:r>
              <w:rPr>
                <w:b/>
                <w:bCs/>
                <w:kern w:val="0"/>
                <w:sz w:val="21"/>
                <w:szCs w:val="21"/>
              </w:rPr>
              <w:t>占比（%）</w:t>
            </w:r>
          </w:p>
        </w:tc>
        <w:tc>
          <w:tcPr>
            <w:tcW w:w="1684" w:type="dxa"/>
            <w:noWrap/>
            <w:vAlign w:val="center"/>
          </w:tcPr>
          <w:p>
            <w:pPr>
              <w:spacing w:line="240" w:lineRule="auto"/>
              <w:ind w:firstLine="0"/>
              <w:jc w:val="center"/>
              <w:rPr>
                <w:kern w:val="0"/>
                <w:sz w:val="21"/>
                <w:szCs w:val="21"/>
              </w:rPr>
            </w:pPr>
            <w:r>
              <w:rPr>
                <w:b/>
                <w:bCs/>
                <w:kern w:val="0"/>
                <w:sz w:val="21"/>
                <w:szCs w:val="21"/>
              </w:rPr>
              <w:t>备 注</w:t>
            </w:r>
          </w:p>
        </w:tc>
      </w:tr>
      <w:tr>
        <w:trPr>
          <w:trHeight w:val="268"/>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煤炭</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2910万吨</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2078</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38.32</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r>
      <w:tr>
        <w:trPr>
          <w:trHeight w:val="268"/>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石油制品</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554万吨</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835</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15.40</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r>
      <w:tr>
        <w:trPr>
          <w:trHeight w:val="468"/>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天然气</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90.8亿立方米</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1102.33</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20.33</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其中液化天然气(LNG)18万吨</w:t>
            </w:r>
          </w:p>
        </w:tc>
      </w:tr>
      <w:tr>
        <w:trPr>
          <w:trHeight w:val="313"/>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其他气体燃料</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28</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0.52</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r>
      <w:tr>
        <w:trPr>
          <w:trHeight w:val="313"/>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新能源及</w:t>
            </w:r>
          </w:p>
          <w:p>
            <w:pPr>
              <w:spacing w:line="240" w:lineRule="auto"/>
              <w:ind w:firstLine="0"/>
              <w:jc w:val="center"/>
              <w:rPr>
                <w:kern w:val="0"/>
                <w:sz w:val="21"/>
                <w:szCs w:val="21"/>
              </w:rPr>
            </w:pPr>
            <w:r>
              <w:rPr>
                <w:kern w:val="0"/>
                <w:sz w:val="21"/>
                <w:szCs w:val="21"/>
              </w:rPr>
              <w:t>可再生能源</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666</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12.28</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r>
      <w:tr>
        <w:trPr>
          <w:trHeight w:val="268"/>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外来电力</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260亿千瓦时</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713.74</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13.16</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r>
      <w:tr>
        <w:trPr>
          <w:trHeight w:val="273"/>
        </w:trPr>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合</w:t>
            </w:r>
            <w:r>
              <w:rPr>
                <w:rFonts w:hint="eastAsia"/>
                <w:kern w:val="0"/>
                <w:sz w:val="21"/>
                <w:szCs w:val="21"/>
              </w:rPr>
              <w:t xml:space="preserve"> </w:t>
            </w:r>
            <w:r>
              <w:rPr>
                <w:kern w:val="0"/>
                <w:sz w:val="21"/>
                <w:szCs w:val="21"/>
              </w:rPr>
              <w:t>计</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5423.07</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100</w:t>
            </w:r>
          </w:p>
        </w:tc>
        <w:tc>
          <w:tcPr>
            <w:tcW w:w="1684"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p>
        </w:tc>
      </w:tr>
    </w:tbl>
    <w:p>
      <w:pPr>
        <w:pStyle w:val="16"/>
        <w:spacing w:before="120"/>
        <w:ind w:left="640"/>
      </w:pPr>
    </w:p>
    <w:p>
      <w:pPr>
        <w:pStyle w:val="39"/>
        <w:rPr>
          <w:rFonts w:ascii="黑体" w:eastAsia="黑体" w:hAnsi="黑体"/>
          <w:sz w:val="32"/>
          <w:szCs w:val="32"/>
        </w:rPr>
      </w:pPr>
      <w:r>
        <w:rPr>
          <w:rFonts w:ascii="仿宋" w:eastAsia="仿宋" w:hAnsi="仿宋"/>
          <w:sz w:val="28"/>
        </w:rPr>
        <w:br w:type="page"/>
      </w:r>
      <w:r>
        <w:rPr>
          <w:rFonts w:ascii="黑体" w:eastAsia="黑体" w:hAnsi="黑体" w:hint="eastAsia"/>
          <w:sz w:val="32"/>
          <w:szCs w:val="32"/>
        </w:rPr>
        <w:t>附表7</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自然保护地一览表</w:t>
      </w:r>
    </w:p>
    <w:p>
      <w:pPr>
        <w:jc w:val="right"/>
        <w:rPr>
          <w:rFonts w:hint="eastAsia"/>
        </w:rPr>
      </w:pPr>
      <w:r>
        <w:rPr>
          <w:bCs/>
          <w:sz w:val="24"/>
        </w:rPr>
        <w:t>单位：平方千米</w:t>
      </w:r>
    </w:p>
    <w:tbl>
      <w:tblPr>
        <w:jc w:val="left"/>
        <w:tblInd w:w="113" w:type="dxa"/>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49"/>
        <w:gridCol w:w="1308"/>
        <w:gridCol w:w="2219"/>
        <w:gridCol w:w="1604"/>
        <w:gridCol w:w="1279"/>
        <w:gridCol w:w="1563"/>
      </w:tblGrid>
      <w:tr>
        <w:tc>
          <w:tcPr>
            <w:tcW w:w="549" w:type="dxa"/>
            <w:noWrap/>
          </w:tcPr>
          <w:p>
            <w:pPr>
              <w:pStyle w:val="76"/>
              <w:widowControl w:val="0"/>
              <w:numPr>
                <w:ilvl w:val="0"/>
                <w:numId w:val="0"/>
              </w:numPr>
              <w:snapToGrid w:val="0"/>
              <w:spacing w:before="156" w:line="240" w:lineRule="atLeast"/>
              <w:rPr>
                <w:rFonts w:ascii="Times New Roman" w:eastAsia="仿宋_GB2312" w:hAnsi="Times New Roman"/>
                <w:b/>
                <w:kern w:val="2"/>
                <w:szCs w:val="21"/>
              </w:rPr>
            </w:pPr>
            <w:r>
              <w:rPr>
                <w:rFonts w:ascii="Times New Roman" w:eastAsia="仿宋_GB2312" w:hAnsi="Times New Roman" w:hint="eastAsia"/>
                <w:b/>
                <w:kern w:val="2"/>
                <w:szCs w:val="21"/>
              </w:rPr>
              <w:t>序号</w:t>
            </w:r>
          </w:p>
        </w:tc>
        <w:tc>
          <w:tcPr>
            <w:tcW w:w="1308" w:type="dxa"/>
            <w:noWrap/>
          </w:tcPr>
          <w:p>
            <w:pPr>
              <w:pStyle w:val="76"/>
              <w:widowControl w:val="0"/>
              <w:numPr>
                <w:ilvl w:val="0"/>
                <w:numId w:val="0"/>
              </w:numPr>
              <w:snapToGrid w:val="0"/>
              <w:spacing w:before="156" w:line="240" w:lineRule="atLeast"/>
              <w:rPr>
                <w:rFonts w:ascii="Times New Roman" w:eastAsia="仿宋_GB2312" w:hAnsi="Times New Roman"/>
                <w:b/>
                <w:kern w:val="2"/>
                <w:szCs w:val="21"/>
              </w:rPr>
            </w:pPr>
            <w:r>
              <w:rPr>
                <w:rFonts w:ascii="Times New Roman" w:eastAsia="仿宋_GB2312" w:hAnsi="Times New Roman" w:hint="eastAsia"/>
                <w:b/>
                <w:kern w:val="2"/>
                <w:szCs w:val="21"/>
              </w:rPr>
              <w:t>名称</w:t>
            </w:r>
          </w:p>
        </w:tc>
        <w:tc>
          <w:tcPr>
            <w:tcW w:w="2219" w:type="dxa"/>
            <w:noWrap/>
          </w:tcPr>
          <w:p>
            <w:pPr>
              <w:pStyle w:val="76"/>
              <w:widowControl w:val="0"/>
              <w:numPr>
                <w:ilvl w:val="0"/>
                <w:numId w:val="0"/>
              </w:numPr>
              <w:snapToGrid w:val="0"/>
              <w:spacing w:before="156" w:line="240" w:lineRule="atLeast"/>
              <w:rPr>
                <w:rFonts w:ascii="Times New Roman" w:eastAsia="仿宋_GB2312" w:hAnsi="Times New Roman"/>
                <w:b/>
                <w:kern w:val="2"/>
                <w:szCs w:val="21"/>
              </w:rPr>
            </w:pPr>
            <w:r>
              <w:rPr>
                <w:rFonts w:ascii="Times New Roman" w:eastAsia="仿宋_GB2312" w:hAnsi="Times New Roman" w:hint="eastAsia"/>
                <w:b/>
                <w:kern w:val="2"/>
                <w:szCs w:val="21"/>
              </w:rPr>
              <w:t>保护地范围所在行政区</w:t>
            </w:r>
          </w:p>
        </w:tc>
        <w:tc>
          <w:tcPr>
            <w:tcW w:w="1604" w:type="dxa"/>
            <w:noWrap/>
          </w:tcPr>
          <w:p>
            <w:pPr>
              <w:pStyle w:val="76"/>
              <w:widowControl w:val="0"/>
              <w:numPr>
                <w:ilvl w:val="0"/>
                <w:numId w:val="0"/>
              </w:numPr>
              <w:snapToGrid w:val="0"/>
              <w:spacing w:before="156" w:line="240" w:lineRule="atLeast"/>
              <w:rPr>
                <w:rFonts w:ascii="Times New Roman" w:eastAsia="仿宋_GB2312" w:hAnsi="Times New Roman" w:hint="eastAsia"/>
                <w:b/>
                <w:kern w:val="2"/>
                <w:szCs w:val="21"/>
                <w:lang w:eastAsia="zh-CN"/>
              </w:rPr>
            </w:pPr>
            <w:r>
              <w:rPr>
                <w:rFonts w:ascii="Times New Roman" w:eastAsia="仿宋_GB2312" w:hAnsi="Times New Roman" w:hint="eastAsia"/>
                <w:b/>
                <w:kern w:val="2"/>
                <w:szCs w:val="21"/>
              </w:rPr>
              <w:t>总面积</w:t>
            </w:r>
          </w:p>
        </w:tc>
        <w:tc>
          <w:tcPr>
            <w:tcW w:w="1279" w:type="dxa"/>
            <w:noWrap/>
          </w:tcPr>
          <w:p>
            <w:pPr>
              <w:pStyle w:val="76"/>
              <w:widowControl w:val="0"/>
              <w:numPr>
                <w:ilvl w:val="0"/>
                <w:numId w:val="0"/>
              </w:numPr>
              <w:snapToGrid w:val="0"/>
              <w:spacing w:before="156" w:line="240" w:lineRule="atLeast"/>
              <w:rPr>
                <w:rFonts w:ascii="Times New Roman" w:eastAsia="仿宋_GB2312" w:hAnsi="Times New Roman"/>
                <w:b/>
                <w:kern w:val="2"/>
                <w:szCs w:val="21"/>
              </w:rPr>
            </w:pPr>
            <w:r>
              <w:rPr>
                <w:rFonts w:ascii="Times New Roman" w:eastAsia="仿宋_GB2312" w:hAnsi="Times New Roman" w:hint="eastAsia"/>
                <w:b/>
                <w:kern w:val="2"/>
                <w:szCs w:val="21"/>
              </w:rPr>
              <w:t>保护地类型</w:t>
            </w:r>
          </w:p>
        </w:tc>
        <w:tc>
          <w:tcPr>
            <w:tcW w:w="1563" w:type="dxa"/>
            <w:noWrap/>
          </w:tcPr>
          <w:p>
            <w:pPr>
              <w:pStyle w:val="76"/>
              <w:widowControl w:val="0"/>
              <w:numPr>
                <w:ilvl w:val="0"/>
                <w:numId w:val="0"/>
              </w:numPr>
              <w:snapToGrid w:val="0"/>
              <w:spacing w:before="156" w:line="240" w:lineRule="atLeast"/>
              <w:rPr>
                <w:rFonts w:ascii="Times New Roman" w:eastAsia="仿宋_GB2312" w:hAnsi="Times New Roman"/>
                <w:b/>
                <w:kern w:val="2"/>
                <w:szCs w:val="21"/>
              </w:rPr>
            </w:pPr>
            <w:r>
              <w:rPr>
                <w:rFonts w:ascii="Times New Roman" w:eastAsia="仿宋_GB2312" w:hAnsi="Times New Roman" w:hint="eastAsia"/>
                <w:b/>
                <w:kern w:val="2"/>
                <w:szCs w:val="21"/>
              </w:rPr>
              <w:t>级别</w:t>
            </w:r>
          </w:p>
        </w:tc>
      </w:tr>
      <w:tr>
        <w:tc>
          <w:tcPr>
            <w:tcW w:w="549" w:type="dxa"/>
            <w:tcBorders>
              <w:top w:val="single" w:sz="4" w:space="0" w:color="auto"/>
              <w:left w:val="single" w:sz="4" w:space="0" w:color="auto"/>
              <w:right w:val="single" w:sz="4" w:space="0" w:color="auto"/>
            </w:tcBorders>
            <w:noWrap/>
            <w:vAlign w:val="center"/>
          </w:tcPr>
          <w:p>
            <w:pPr>
              <w:pStyle w:val="76"/>
              <w:widowControl w:val="0"/>
              <w:numPr>
                <w:ilvl w:val="0"/>
                <w:numId w:val="0"/>
              </w:numPr>
              <w:snapToGrid w:val="0"/>
              <w:spacing w:before="156" w:line="240" w:lineRule="atLeast"/>
              <w:rPr>
                <w:rFonts w:ascii="Times New Roman" w:eastAsia="仿宋_GB2312" w:hAnsi="Times New Roman" w:hint="eastAsia"/>
                <w:kern w:val="2"/>
                <w:szCs w:val="21"/>
              </w:rPr>
            </w:pPr>
            <w:r>
              <w:rPr>
                <w:rFonts w:ascii="Times New Roman" w:eastAsia="仿宋_GB2312" w:hAnsi="Times New Roman" w:hint="eastAsia"/>
                <w:kern w:val="2"/>
                <w:szCs w:val="21"/>
              </w:rPr>
              <w:t>1</w:t>
            </w:r>
          </w:p>
        </w:tc>
        <w:tc>
          <w:tcPr>
            <w:tcW w:w="1308" w:type="dxa"/>
            <w:tcBorders>
              <w:top w:val="single" w:sz="4" w:space="0" w:color="auto"/>
              <w:left w:val="single" w:sz="4" w:space="0" w:color="auto"/>
              <w:right w:val="single" w:sz="4" w:space="0" w:color="auto"/>
            </w:tcBorders>
            <w:noWrap/>
            <w:vAlign w:val="center"/>
          </w:tcPr>
          <w:p>
            <w:pPr>
              <w:pStyle w:val="76"/>
              <w:widowControl w:val="0"/>
              <w:numPr>
                <w:ilvl w:val="0"/>
                <w:numId w:val="0"/>
              </w:numPr>
              <w:snapToGrid w:val="0"/>
              <w:spacing w:before="156" w:line="240" w:lineRule="atLeast"/>
              <w:rPr>
                <w:rFonts w:ascii="Times New Roman" w:eastAsia="仿宋_GB2312" w:hAnsi="Times New Roman"/>
                <w:kern w:val="2"/>
                <w:szCs w:val="21"/>
              </w:rPr>
            </w:pPr>
            <w:r>
              <w:rPr>
                <w:rFonts w:ascii="Times New Roman" w:eastAsia="仿宋_GB2312" w:hAnsi="Times New Roman" w:hint="eastAsia"/>
                <w:kern w:val="2"/>
                <w:szCs w:val="21"/>
              </w:rPr>
              <w:t>清凉山</w:t>
            </w:r>
            <w:r>
              <w:rPr>
                <w:rFonts w:ascii="Times New Roman" w:eastAsia="仿宋_GB2312" w:hAnsi="Times New Roman" w:hint="eastAsia"/>
                <w:kern w:val="2"/>
                <w:szCs w:val="21"/>
                <w:lang w:val="en-US" w:eastAsia="zh-CN"/>
              </w:rPr>
              <w:t>省级</w:t>
            </w:r>
            <w:r>
              <w:rPr>
                <w:rFonts w:ascii="Times New Roman" w:eastAsia="仿宋_GB2312" w:hAnsi="Times New Roman" w:hint="eastAsia"/>
                <w:kern w:val="2"/>
                <w:szCs w:val="21"/>
              </w:rPr>
              <w:t>风景名胜区</w:t>
            </w:r>
          </w:p>
        </w:tc>
        <w:tc>
          <w:tcPr>
            <w:tcW w:w="2219" w:type="dxa"/>
            <w:tcBorders>
              <w:top w:val="single" w:sz="4" w:space="0" w:color="auto"/>
              <w:left w:val="single" w:sz="4" w:space="0" w:color="auto"/>
              <w:right w:val="single" w:sz="4" w:space="0" w:color="auto"/>
            </w:tcBorders>
            <w:noWrap/>
            <w:vAlign w:val="center"/>
          </w:tcPr>
          <w:p>
            <w:pPr>
              <w:pStyle w:val="76"/>
              <w:widowControl w:val="0"/>
              <w:numPr>
                <w:ilvl w:val="0"/>
                <w:numId w:val="0"/>
              </w:numPr>
              <w:snapToGrid w:val="0"/>
              <w:spacing w:before="156" w:line="240" w:lineRule="atLeast"/>
              <w:rPr>
                <w:rFonts w:ascii="Times New Roman" w:eastAsia="仿宋_GB2312" w:hAnsi="Times New Roman"/>
                <w:kern w:val="2"/>
                <w:szCs w:val="21"/>
                <w:lang w:val="en-US" w:eastAsia="zh-CN"/>
              </w:rPr>
            </w:pPr>
            <w:r>
              <w:rPr>
                <w:rFonts w:ascii="Times New Roman" w:eastAsia="仿宋_GB2312" w:hAnsi="Times New Roman" w:hint="eastAsia"/>
                <w:kern w:val="2"/>
                <w:szCs w:val="21"/>
              </w:rPr>
              <w:t>贾庄镇、凤山镇</w:t>
            </w:r>
            <w:r>
              <w:rPr>
                <w:rFonts w:ascii="Times New Roman" w:eastAsia="仿宋_GB2312" w:hAnsi="Times New Roman" w:hint="eastAsia"/>
                <w:kern w:val="2"/>
                <w:szCs w:val="21"/>
                <w:lang w:eastAsia="zh-CN"/>
              </w:rPr>
              <w:t>、</w:t>
            </w:r>
            <w:r>
              <w:rPr>
                <w:rFonts w:ascii="Times New Roman" w:eastAsia="仿宋_GB2312" w:hAnsi="Times New Roman" w:hint="eastAsia"/>
                <w:kern w:val="2"/>
                <w:szCs w:val="21"/>
                <w:lang w:val="en-US" w:eastAsia="zh-CN"/>
              </w:rPr>
              <w:t>横涧乡</w:t>
            </w:r>
          </w:p>
        </w:tc>
        <w:tc>
          <w:tcPr>
            <w:tcW w:w="1604" w:type="dxa"/>
            <w:tcBorders>
              <w:top w:val="single" w:sz="4" w:space="0" w:color="auto"/>
              <w:left w:val="single" w:sz="4" w:space="0" w:color="auto"/>
              <w:right w:val="single" w:sz="4" w:space="0" w:color="auto"/>
            </w:tcBorders>
            <w:noWrap/>
            <w:vAlign w:val="center"/>
          </w:tcPr>
          <w:p>
            <w:pPr>
              <w:pStyle w:val="76"/>
              <w:widowControl w:val="0"/>
              <w:numPr>
                <w:ilvl w:val="0"/>
                <w:numId w:val="0"/>
              </w:numPr>
              <w:snapToGrid w:val="0"/>
              <w:spacing w:before="156" w:line="240" w:lineRule="atLeast"/>
              <w:rPr>
                <w:rFonts w:ascii="Times New Roman" w:eastAsia="仿宋_GB2312" w:hAnsi="Times New Roman"/>
                <w:kern w:val="2"/>
                <w:szCs w:val="21"/>
              </w:rPr>
            </w:pPr>
            <w:r>
              <w:rPr>
                <w:rFonts w:ascii="Times New Roman" w:eastAsia="仿宋_GB2312" w:hAnsi="Times New Roman" w:hint="eastAsia"/>
                <w:kern w:val="2"/>
                <w:szCs w:val="21"/>
              </w:rPr>
              <w:t>8.62</w:t>
            </w:r>
          </w:p>
        </w:tc>
        <w:tc>
          <w:tcPr>
            <w:tcW w:w="1279" w:type="dxa"/>
            <w:tcBorders>
              <w:top w:val="single" w:sz="4" w:space="0" w:color="auto"/>
              <w:left w:val="single" w:sz="4" w:space="0" w:color="auto"/>
              <w:right w:val="single" w:sz="4" w:space="0" w:color="auto"/>
            </w:tcBorders>
            <w:noWrap/>
            <w:vAlign w:val="center"/>
          </w:tcPr>
          <w:p>
            <w:pPr>
              <w:pStyle w:val="76"/>
              <w:widowControl w:val="0"/>
              <w:numPr>
                <w:ilvl w:val="0"/>
                <w:numId w:val="0"/>
              </w:numPr>
              <w:snapToGrid w:val="0"/>
              <w:spacing w:before="156" w:line="240" w:lineRule="atLeast"/>
              <w:rPr>
                <w:rFonts w:ascii="Times New Roman" w:eastAsia="仿宋_GB2312" w:hAnsi="Times New Roman" w:hint="eastAsia"/>
                <w:kern w:val="2"/>
                <w:szCs w:val="21"/>
              </w:rPr>
            </w:pPr>
            <w:r>
              <w:rPr>
                <w:rFonts w:ascii="Times New Roman" w:eastAsia="仿宋_GB2312" w:hAnsi="Times New Roman" w:hint="eastAsia"/>
                <w:kern w:val="2"/>
                <w:szCs w:val="21"/>
              </w:rPr>
              <w:t>风景名胜区</w:t>
            </w:r>
          </w:p>
        </w:tc>
        <w:tc>
          <w:tcPr>
            <w:tcW w:w="1563" w:type="dxa"/>
            <w:tcBorders>
              <w:top w:val="single" w:sz="4" w:space="0" w:color="auto"/>
              <w:left w:val="single" w:sz="4" w:space="0" w:color="auto"/>
              <w:right w:val="single" w:sz="4" w:space="0" w:color="auto"/>
            </w:tcBorders>
            <w:noWrap/>
            <w:vAlign w:val="center"/>
          </w:tcPr>
          <w:p>
            <w:pPr>
              <w:pStyle w:val="76"/>
              <w:widowControl w:val="0"/>
              <w:numPr>
                <w:ilvl w:val="0"/>
                <w:numId w:val="0"/>
              </w:numPr>
              <w:snapToGrid w:val="0"/>
              <w:spacing w:before="156" w:line="240" w:lineRule="atLeast"/>
              <w:rPr>
                <w:rFonts w:ascii="Times New Roman" w:eastAsia="仿宋_GB2312" w:hAnsi="Times New Roman"/>
                <w:kern w:val="2"/>
                <w:szCs w:val="21"/>
              </w:rPr>
            </w:pPr>
            <w:r>
              <w:rPr>
                <w:rFonts w:ascii="Times New Roman" w:eastAsia="仿宋_GB2312" w:hAnsi="Times New Roman" w:hint="eastAsia"/>
                <w:kern w:val="2"/>
                <w:szCs w:val="21"/>
              </w:rPr>
              <w:t>省级</w:t>
            </w:r>
          </w:p>
        </w:tc>
      </w:tr>
    </w:tbl>
    <w:p>
      <w:pPr>
        <w:pStyle w:val="39"/>
        <w:rPr>
          <w:rFonts w:ascii="黑体" w:eastAsia="黑体" w:hAnsi="黑体"/>
          <w:sz w:val="32"/>
          <w:szCs w:val="32"/>
        </w:rPr>
      </w:pPr>
      <w:bookmarkStart w:id="164" w:name="_Toc49257012"/>
      <w:r>
        <w:rPr>
          <w:rFonts w:ascii="仿宋" w:eastAsia="仿宋" w:hAnsi="仿宋"/>
          <w:sz w:val="28"/>
        </w:rPr>
        <w:br w:type="page"/>
      </w:r>
      <w:r>
        <w:rPr>
          <w:rFonts w:ascii="黑体" w:eastAsia="黑体" w:hAnsi="黑体" w:hint="eastAsia"/>
          <w:sz w:val="32"/>
          <w:szCs w:val="32"/>
        </w:rPr>
        <w:t>附表8</w:t>
      </w:r>
    </w:p>
    <w:p>
      <w:pPr>
        <w:pStyle w:val="22"/>
        <w:adjustRightInd w:val="0"/>
        <w:spacing w:before="120" w:line="324" w:lineRule="auto"/>
        <w:ind w:firstLine="560"/>
        <w:jc w:val="center"/>
        <w:rPr>
          <w:rFonts w:ascii="黑体" w:cs="黑体" w:hAnsi="黑体" w:hint="eastAsia"/>
          <w:sz w:val="30"/>
          <w:szCs w:val="30"/>
        </w:rPr>
      </w:pPr>
      <w:r>
        <w:rPr>
          <w:rFonts w:ascii="黑体" w:cs="黑体" w:hAnsi="黑体" w:hint="eastAsia"/>
          <w:sz w:val="30"/>
          <w:szCs w:val="30"/>
        </w:rPr>
        <w:t>历史文化资源一览表</w:t>
      </w:r>
    </w:p>
    <w:tbl>
      <w:tblPr>
        <w:jc w:val="left"/>
        <w:tblInd w:w="0" w:type="dxa"/>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57"/>
        <w:gridCol w:w="3433"/>
        <w:gridCol w:w="1236"/>
        <w:gridCol w:w="1036"/>
        <w:gridCol w:w="1746"/>
        <w:gridCol w:w="738"/>
      </w:tblGrid>
      <w:tr>
        <w:trPr>
          <w:trHeight w:val="20"/>
          <w:tblHeader/>
        </w:trPr>
        <w:tc>
          <w:tcPr>
            <w:tcW w:w="457" w:type="dxa"/>
            <w:noWrap/>
            <w:vAlign w:val="center"/>
          </w:tcPr>
          <w:p>
            <w:pPr>
              <w:adjustRightInd w:val="0"/>
              <w:spacing w:line="240" w:lineRule="auto"/>
              <w:ind w:firstLine="0"/>
              <w:jc w:val="center"/>
              <w:rPr>
                <w:b/>
                <w:sz w:val="21"/>
                <w:szCs w:val="21"/>
              </w:rPr>
            </w:pPr>
            <w:r>
              <w:rPr>
                <w:b/>
                <w:sz w:val="21"/>
                <w:szCs w:val="21"/>
              </w:rPr>
              <w:t>序号</w:t>
            </w:r>
          </w:p>
        </w:tc>
        <w:tc>
          <w:tcPr>
            <w:tcW w:w="3433" w:type="dxa"/>
            <w:noWrap/>
            <w:vAlign w:val="center"/>
          </w:tcPr>
          <w:p>
            <w:pPr>
              <w:adjustRightInd w:val="0"/>
              <w:spacing w:line="240" w:lineRule="auto"/>
              <w:ind w:firstLine="0"/>
              <w:jc w:val="center"/>
              <w:rPr>
                <w:b/>
                <w:sz w:val="21"/>
                <w:szCs w:val="21"/>
              </w:rPr>
            </w:pPr>
            <w:r>
              <w:rPr>
                <w:b/>
                <w:sz w:val="21"/>
                <w:szCs w:val="21"/>
              </w:rPr>
              <w:t>名</w:t>
            </w:r>
            <w:r>
              <w:rPr>
                <w:rFonts w:hint="eastAsia"/>
                <w:b/>
                <w:sz w:val="21"/>
                <w:szCs w:val="21"/>
              </w:rPr>
              <w:t xml:space="preserve"> </w:t>
            </w:r>
            <w:r>
              <w:rPr>
                <w:b/>
                <w:sz w:val="21"/>
                <w:szCs w:val="21"/>
              </w:rPr>
              <w:t>称</w:t>
            </w:r>
          </w:p>
        </w:tc>
        <w:tc>
          <w:tcPr>
            <w:tcW w:w="1236" w:type="dxa"/>
            <w:noWrap/>
            <w:vAlign w:val="center"/>
          </w:tcPr>
          <w:p>
            <w:pPr>
              <w:adjustRightInd w:val="0"/>
              <w:spacing w:line="240" w:lineRule="auto"/>
              <w:ind w:firstLine="0"/>
              <w:jc w:val="center"/>
              <w:rPr>
                <w:b/>
                <w:sz w:val="21"/>
                <w:szCs w:val="21"/>
              </w:rPr>
            </w:pPr>
            <w:r>
              <w:rPr>
                <w:b/>
                <w:sz w:val="21"/>
                <w:szCs w:val="21"/>
              </w:rPr>
              <w:t>行政</w:t>
            </w:r>
          </w:p>
          <w:p>
            <w:pPr>
              <w:adjustRightInd w:val="0"/>
              <w:spacing w:line="240" w:lineRule="auto"/>
              <w:ind w:firstLine="0"/>
              <w:jc w:val="center"/>
              <w:rPr>
                <w:b/>
                <w:sz w:val="21"/>
                <w:szCs w:val="21"/>
              </w:rPr>
            </w:pPr>
            <w:r>
              <w:rPr>
                <w:b/>
                <w:sz w:val="21"/>
                <w:szCs w:val="21"/>
              </w:rPr>
              <w:t>辖区</w:t>
            </w:r>
          </w:p>
        </w:tc>
        <w:tc>
          <w:tcPr>
            <w:tcW w:w="1036" w:type="dxa"/>
            <w:noWrap/>
            <w:vAlign w:val="center"/>
          </w:tcPr>
          <w:p>
            <w:pPr>
              <w:adjustRightInd w:val="0"/>
              <w:spacing w:line="240" w:lineRule="auto"/>
              <w:ind w:firstLine="0"/>
              <w:jc w:val="center"/>
              <w:rPr>
                <w:b/>
                <w:sz w:val="21"/>
                <w:szCs w:val="21"/>
              </w:rPr>
            </w:pPr>
            <w:r>
              <w:rPr>
                <w:b/>
                <w:sz w:val="21"/>
                <w:szCs w:val="21"/>
              </w:rPr>
              <w:t>级别</w:t>
            </w:r>
          </w:p>
        </w:tc>
        <w:tc>
          <w:tcPr>
            <w:tcW w:w="1746" w:type="dxa"/>
            <w:noWrap/>
            <w:vAlign w:val="center"/>
          </w:tcPr>
          <w:p>
            <w:pPr>
              <w:adjustRightInd w:val="0"/>
              <w:spacing w:line="240" w:lineRule="auto"/>
              <w:ind w:firstLine="0"/>
              <w:jc w:val="center"/>
              <w:rPr>
                <w:b/>
                <w:sz w:val="21"/>
                <w:szCs w:val="21"/>
              </w:rPr>
            </w:pPr>
            <w:r>
              <w:rPr>
                <w:b/>
                <w:sz w:val="21"/>
                <w:szCs w:val="21"/>
              </w:rPr>
              <w:t>类别</w:t>
            </w:r>
          </w:p>
        </w:tc>
        <w:tc>
          <w:tcPr>
            <w:tcW w:w="738" w:type="dxa"/>
            <w:noWrap/>
            <w:vAlign w:val="center"/>
          </w:tcPr>
          <w:p>
            <w:pPr>
              <w:adjustRightInd w:val="0"/>
              <w:spacing w:line="240" w:lineRule="auto"/>
              <w:ind w:firstLine="0"/>
              <w:jc w:val="center"/>
              <w:rPr>
                <w:b/>
                <w:sz w:val="21"/>
                <w:szCs w:val="21"/>
              </w:rPr>
            </w:pPr>
            <w:r>
              <w:rPr>
                <w:b/>
                <w:sz w:val="21"/>
                <w:szCs w:val="21"/>
              </w:rPr>
              <w:t>备注</w:t>
            </w: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sz w:val="21"/>
                <w:szCs w:val="21"/>
              </w:rPr>
              <w:t>1</w:t>
            </w:r>
          </w:p>
        </w:tc>
        <w:tc>
          <w:tcPr>
            <w:tcW w:w="3433" w:type="dxa"/>
            <w:tcBorders>
              <w:top w:val="single" w:sz="4" w:space="0" w:color="auto"/>
              <w:left w:val="single" w:sz="4" w:space="0" w:color="auto"/>
              <w:right w:val="single" w:sz="4" w:space="0" w:color="auto"/>
            </w:tcBorders>
            <w:noWrap/>
          </w:tcPr>
          <w:p>
            <w:pPr>
              <w:adjustRightInd w:val="0"/>
              <w:spacing w:line="240" w:lineRule="auto"/>
              <w:ind w:firstLine="0"/>
              <w:jc w:val="center"/>
              <w:rPr>
                <w:sz w:val="21"/>
                <w:szCs w:val="21"/>
              </w:rPr>
            </w:pPr>
            <w:r>
              <w:rPr>
                <w:rFonts w:hint="eastAsia"/>
                <w:sz w:val="21"/>
                <w:szCs w:val="21"/>
              </w:rPr>
              <w:t>贾庄村</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贾庄镇</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w:t>
            </w:r>
            <w:r>
              <w:rPr>
                <w:sz w:val="21"/>
                <w:szCs w:val="21"/>
              </w:rPr>
              <w:t>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sz w:val="21"/>
                <w:szCs w:val="21"/>
              </w:rPr>
              <w:t>历史文化名</w:t>
            </w:r>
            <w:r>
              <w:rPr>
                <w:rFonts w:hint="eastAsia"/>
                <w:sz w:val="21"/>
                <w:szCs w:val="21"/>
              </w:rPr>
              <w:t>村</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9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sz w:val="21"/>
                <w:szCs w:val="21"/>
              </w:rPr>
              <w:t>2</w:t>
            </w:r>
          </w:p>
        </w:tc>
        <w:tc>
          <w:tcPr>
            <w:tcW w:w="3433" w:type="dxa"/>
            <w:tcBorders>
              <w:top w:val="single" w:sz="4" w:space="0" w:color="auto"/>
              <w:left w:val="single" w:sz="4" w:space="0" w:color="auto"/>
              <w:right w:val="single" w:sz="4" w:space="0" w:color="auto"/>
            </w:tcBorders>
            <w:noWrap/>
          </w:tcPr>
          <w:p>
            <w:pPr>
              <w:adjustRightInd w:val="0"/>
              <w:spacing w:line="240" w:lineRule="auto"/>
              <w:ind w:firstLine="0"/>
              <w:jc w:val="center"/>
              <w:rPr>
                <w:sz w:val="21"/>
                <w:szCs w:val="21"/>
              </w:rPr>
            </w:pPr>
            <w:r>
              <w:rPr>
                <w:rFonts w:hint="eastAsia"/>
                <w:sz w:val="21"/>
                <w:szCs w:val="21"/>
              </w:rPr>
              <w:t>南凤山村</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凤山镇</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w:t>
            </w:r>
            <w:r>
              <w:rPr>
                <w:sz w:val="21"/>
                <w:szCs w:val="21"/>
              </w:rPr>
              <w:t>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传统村落</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sz w:val="21"/>
                <w:szCs w:val="21"/>
              </w:rPr>
              <w:t>3</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天护陀罗尼经幢</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横涧乡</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国家级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4</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井陉古瓷窑冯家沟窑区遗址</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横涧乡</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国家级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5</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正丰矿工业建筑群</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凤山镇</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国家级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国家工业遗产</w:t>
            </w: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6</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中央人民广播电台旧址</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横涧乡</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19"/>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7</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南寨清凉阁</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贾庄镇</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8</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井陉煤矿总经理办公大楼</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矿市街道</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9</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井陉煤矿老井﹒皇冠塔</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矿市街道</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10</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井陉矿区南大沟万人坑遗址</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矿市街道</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省级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11</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垂虹桥</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横涧乡</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市县级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12</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朝阳寺</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贾庄镇</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市县级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r>
        <w:trPr>
          <w:trHeight w:val="20"/>
        </w:trPr>
        <w:tc>
          <w:tcPr>
            <w:tcW w:w="457"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13</w:t>
            </w:r>
          </w:p>
        </w:tc>
        <w:tc>
          <w:tcPr>
            <w:tcW w:w="3433"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天护古城遗址</w:t>
            </w:r>
          </w:p>
        </w:tc>
        <w:tc>
          <w:tcPr>
            <w:tcW w:w="12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横涧乡</w:t>
            </w:r>
          </w:p>
        </w:tc>
        <w:tc>
          <w:tcPr>
            <w:tcW w:w="103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r>
              <w:rPr>
                <w:rFonts w:hint="eastAsia"/>
                <w:sz w:val="21"/>
                <w:szCs w:val="21"/>
              </w:rPr>
              <w:t>市县级</w:t>
            </w:r>
          </w:p>
        </w:tc>
        <w:tc>
          <w:tcPr>
            <w:tcW w:w="1746"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sz w:val="21"/>
                <w:szCs w:val="21"/>
              </w:rPr>
            </w:pPr>
            <w:r>
              <w:rPr>
                <w:rFonts w:hint="eastAsia"/>
                <w:sz w:val="21"/>
                <w:szCs w:val="21"/>
              </w:rPr>
              <w:t>文物保护单位</w:t>
            </w:r>
          </w:p>
        </w:tc>
        <w:tc>
          <w:tcPr>
            <w:tcW w:w="738"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sz w:val="21"/>
                <w:szCs w:val="21"/>
              </w:rPr>
            </w:pPr>
          </w:p>
        </w:tc>
      </w:tr>
    </w:tbl>
    <w:p>
      <w:pPr>
        <w:pStyle w:val="22"/>
        <w:spacing w:before="120"/>
        <w:ind w:left="403" w:firstLine="0"/>
        <w:rPr>
          <w:rFonts w:ascii="仿宋" w:eastAsia="仿宋" w:hAnsi="仿宋"/>
          <w:sz w:val="28"/>
        </w:rPr>
      </w:pPr>
    </w:p>
    <w:p>
      <w:pPr>
        <w:pStyle w:val="39"/>
        <w:rPr>
          <w:rFonts w:ascii="黑体" w:eastAsia="黑体" w:hAnsi="黑体"/>
          <w:sz w:val="32"/>
          <w:szCs w:val="32"/>
        </w:rPr>
      </w:pPr>
      <w:r>
        <w:rPr>
          <w:rFonts w:ascii="仿宋" w:eastAsia="仿宋" w:hAnsi="仿宋"/>
          <w:sz w:val="28"/>
        </w:rPr>
        <w:br w:type="page"/>
      </w:r>
      <w:r>
        <w:rPr>
          <w:rFonts w:ascii="黑体" w:eastAsia="黑体" w:hAnsi="黑体" w:hint="eastAsia"/>
          <w:sz w:val="32"/>
          <w:szCs w:val="32"/>
        </w:rPr>
        <w:t>附表9</w:t>
      </w:r>
    </w:p>
    <w:p>
      <w:pPr>
        <w:pStyle w:val="22"/>
        <w:adjustRightInd w:val="0"/>
        <w:spacing w:before="120" w:line="324" w:lineRule="auto"/>
        <w:ind w:firstLine="560"/>
        <w:jc w:val="center"/>
        <w:rPr>
          <w:rFonts w:ascii="黑体" w:cs="黑体" w:hAnsi="黑体"/>
          <w:sz w:val="30"/>
          <w:szCs w:val="30"/>
        </w:rPr>
      </w:pPr>
      <w:r>
        <w:rPr>
          <w:rFonts w:ascii="黑体" w:cs="黑体" w:hAnsi="黑体" w:hint="eastAsia"/>
          <w:sz w:val="30"/>
          <w:szCs w:val="30"/>
        </w:rPr>
        <w:t>乡级行政区主体功能定位表</w:t>
      </w:r>
    </w:p>
    <w:tbl>
      <w:tblPr>
        <w:jc w:val="left"/>
        <w:tblInd w:w="113" w:type="dxa"/>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757"/>
        <w:gridCol w:w="5539"/>
      </w:tblGrid>
      <w:tr>
        <w:tc>
          <w:tcPr>
            <w:tcW w:w="2757" w:type="dxa"/>
            <w:tcBorders>
              <w:top w:val="single" w:sz="4" w:space="0" w:color="auto"/>
              <w:left w:val="single" w:sz="4" w:space="0" w:color="auto"/>
              <w:bottom w:val="single" w:sz="4" w:space="0" w:color="auto"/>
              <w:right w:val="single" w:sz="4" w:space="0" w:color="auto"/>
            </w:tcBorders>
            <w:noWrap/>
          </w:tcPr>
          <w:p>
            <w:pPr>
              <w:adjustRightInd w:val="0"/>
              <w:spacing w:line="240" w:lineRule="auto"/>
              <w:ind w:firstLine="0"/>
              <w:jc w:val="center"/>
              <w:rPr>
                <w:b/>
                <w:sz w:val="21"/>
                <w:szCs w:val="21"/>
              </w:rPr>
            </w:pPr>
            <w:bookmarkEnd w:id="164"/>
            <w:r>
              <w:rPr>
                <w:rFonts w:hint="eastAsia"/>
                <w:b/>
                <w:sz w:val="21"/>
                <w:szCs w:val="21"/>
              </w:rPr>
              <w:t>乡</w:t>
            </w:r>
            <w:r>
              <w:rPr>
                <w:b/>
                <w:sz w:val="21"/>
                <w:szCs w:val="21"/>
              </w:rPr>
              <w:t>级行政单元</w:t>
            </w:r>
          </w:p>
        </w:tc>
        <w:tc>
          <w:tcPr>
            <w:tcW w:w="5539" w:type="dxa"/>
            <w:tcBorders>
              <w:top w:val="single" w:sz="4" w:space="0" w:color="auto"/>
              <w:left w:val="single" w:sz="4" w:space="0" w:color="auto"/>
              <w:bottom w:val="single" w:sz="4" w:space="0" w:color="auto"/>
              <w:right w:val="single" w:sz="4" w:space="0" w:color="auto"/>
            </w:tcBorders>
            <w:noWrap/>
          </w:tcPr>
          <w:p>
            <w:pPr>
              <w:adjustRightInd w:val="0"/>
              <w:spacing w:line="240" w:lineRule="auto"/>
              <w:ind w:firstLine="0"/>
              <w:jc w:val="center"/>
              <w:rPr>
                <w:b/>
                <w:sz w:val="21"/>
                <w:szCs w:val="21"/>
              </w:rPr>
            </w:pPr>
            <w:r>
              <w:rPr>
                <w:b/>
                <w:sz w:val="21"/>
                <w:szCs w:val="21"/>
              </w:rPr>
              <w:t>主体功能定位</w:t>
            </w:r>
          </w:p>
        </w:tc>
      </w:tr>
      <w:tr>
        <w:tc>
          <w:tcPr>
            <w:tcW w:w="2757"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sz w:val="21"/>
                <w:szCs w:val="21"/>
              </w:rPr>
            </w:pPr>
            <w:r>
              <w:rPr>
                <w:rFonts w:hint="eastAsia"/>
                <w:sz w:val="21"/>
                <w:szCs w:val="21"/>
              </w:rPr>
              <w:t>矿市街道</w:t>
            </w:r>
          </w:p>
        </w:tc>
        <w:tc>
          <w:tcPr>
            <w:tcW w:w="5539"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rFonts w:hint="eastAsia"/>
                <w:sz w:val="21"/>
                <w:szCs w:val="21"/>
              </w:rPr>
            </w:pPr>
            <w:r>
              <w:rPr>
                <w:sz w:val="21"/>
                <w:szCs w:val="21"/>
              </w:rPr>
              <w:t>城市化地区</w:t>
            </w:r>
          </w:p>
        </w:tc>
      </w:tr>
      <w:tr>
        <w:tc>
          <w:tcPr>
            <w:tcW w:w="2757"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rFonts w:hint="eastAsia"/>
                <w:sz w:val="21"/>
                <w:szCs w:val="21"/>
              </w:rPr>
            </w:pPr>
            <w:r>
              <w:rPr>
                <w:rFonts w:hint="eastAsia"/>
                <w:sz w:val="21"/>
                <w:szCs w:val="21"/>
              </w:rPr>
              <w:t>贾庄镇</w:t>
            </w:r>
          </w:p>
        </w:tc>
        <w:tc>
          <w:tcPr>
            <w:tcW w:w="5539"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rFonts w:hint="eastAsia"/>
                <w:sz w:val="21"/>
                <w:szCs w:val="21"/>
              </w:rPr>
            </w:pPr>
            <w:r>
              <w:rPr>
                <w:sz w:val="21"/>
                <w:szCs w:val="21"/>
              </w:rPr>
              <w:t>城市化地区</w:t>
            </w:r>
          </w:p>
        </w:tc>
      </w:tr>
      <w:tr>
        <w:tc>
          <w:tcPr>
            <w:tcW w:w="2757"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rFonts w:hint="eastAsia"/>
                <w:sz w:val="21"/>
                <w:szCs w:val="21"/>
              </w:rPr>
            </w:pPr>
            <w:r>
              <w:rPr>
                <w:rFonts w:hint="eastAsia"/>
                <w:sz w:val="21"/>
                <w:szCs w:val="21"/>
              </w:rPr>
              <w:t>凤山镇</w:t>
            </w:r>
          </w:p>
        </w:tc>
        <w:tc>
          <w:tcPr>
            <w:tcW w:w="5539"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sz w:val="21"/>
                <w:szCs w:val="21"/>
              </w:rPr>
            </w:pPr>
            <w:r>
              <w:rPr>
                <w:sz w:val="21"/>
                <w:szCs w:val="21"/>
              </w:rPr>
              <w:t>城市化地区</w:t>
            </w:r>
          </w:p>
        </w:tc>
      </w:tr>
      <w:tr>
        <w:tc>
          <w:tcPr>
            <w:tcW w:w="2757"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sz w:val="21"/>
                <w:szCs w:val="21"/>
              </w:rPr>
            </w:pPr>
            <w:r>
              <w:rPr>
                <w:rFonts w:hint="eastAsia"/>
                <w:sz w:val="21"/>
                <w:szCs w:val="21"/>
              </w:rPr>
              <w:t>横涧乡</w:t>
            </w:r>
          </w:p>
        </w:tc>
        <w:tc>
          <w:tcPr>
            <w:tcW w:w="5539"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sz w:val="21"/>
                <w:szCs w:val="21"/>
              </w:rPr>
            </w:pPr>
            <w:r>
              <w:rPr>
                <w:sz w:val="21"/>
                <w:szCs w:val="21"/>
              </w:rPr>
              <w:t>城市化地区</w:t>
            </w:r>
          </w:p>
        </w:tc>
      </w:tr>
      <w:tr>
        <w:tc>
          <w:tcPr>
            <w:tcW w:w="2757"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rFonts w:hint="eastAsia"/>
                <w:sz w:val="21"/>
                <w:szCs w:val="21"/>
              </w:rPr>
            </w:pPr>
            <w:r>
              <w:rPr>
                <w:rFonts w:hint="eastAsia"/>
                <w:sz w:val="21"/>
                <w:szCs w:val="21"/>
              </w:rPr>
              <w:t>贾庄镇台阳村</w:t>
            </w:r>
          </w:p>
        </w:tc>
        <w:tc>
          <w:tcPr>
            <w:tcW w:w="5539"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sz w:val="21"/>
                <w:szCs w:val="21"/>
              </w:rPr>
            </w:pPr>
            <w:r>
              <w:rPr>
                <w:sz w:val="21"/>
                <w:szCs w:val="21"/>
              </w:rPr>
              <w:t>省级重点生态功能区</w:t>
            </w:r>
          </w:p>
        </w:tc>
      </w:tr>
      <w:tr>
        <w:tc>
          <w:tcPr>
            <w:tcW w:w="2757"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rFonts w:hint="eastAsia"/>
                <w:sz w:val="21"/>
                <w:szCs w:val="21"/>
              </w:rPr>
            </w:pPr>
            <w:r>
              <w:rPr>
                <w:rFonts w:hint="eastAsia"/>
                <w:sz w:val="21"/>
                <w:szCs w:val="21"/>
              </w:rPr>
              <w:t>凤山镇荆蒲兰村、南井沟村</w:t>
            </w:r>
          </w:p>
        </w:tc>
        <w:tc>
          <w:tcPr>
            <w:tcW w:w="5539" w:type="dxa"/>
            <w:tcBorders>
              <w:top w:val="single" w:sz="4" w:space="0" w:color="auto"/>
              <w:left w:val="single" w:sz="4" w:space="0" w:color="auto"/>
              <w:bottom w:val="single" w:sz="4" w:space="0" w:color="auto"/>
              <w:right w:val="single" w:sz="4" w:space="0" w:color="auto"/>
            </w:tcBorders>
            <w:shd w:val="clear" w:color="auto" w:fill="FFFFFF"/>
            <w:noWrap/>
          </w:tcPr>
          <w:p>
            <w:pPr>
              <w:adjustRightInd w:val="0"/>
              <w:spacing w:line="240" w:lineRule="auto"/>
              <w:ind w:firstLine="0"/>
              <w:jc w:val="center"/>
              <w:rPr>
                <w:sz w:val="21"/>
                <w:szCs w:val="21"/>
              </w:rPr>
            </w:pPr>
            <w:r>
              <w:rPr>
                <w:sz w:val="21"/>
                <w:szCs w:val="21"/>
              </w:rPr>
              <w:t>省级重点生态功能区</w:t>
            </w:r>
          </w:p>
        </w:tc>
      </w:tr>
    </w:tbl>
    <w:p>
      <w:pPr>
        <w:pStyle w:val="39"/>
        <w:rPr>
          <w:rFonts w:ascii="黑体" w:eastAsia="黑体" w:hAnsi="黑体"/>
          <w:sz w:val="32"/>
          <w:szCs w:val="32"/>
        </w:rPr>
      </w:pPr>
      <w:r>
        <w:rPr>
          <w:rFonts w:hAnsi="Courier New" w:hint="eastAsia"/>
          <w:sz w:val="24"/>
        </w:rPr>
        <w:br w:type="page"/>
      </w:r>
      <w:r>
        <w:rPr>
          <w:rFonts w:ascii="黑体" w:eastAsia="黑体" w:hAnsi="黑体" w:hint="eastAsia"/>
          <w:sz w:val="32"/>
          <w:szCs w:val="32"/>
        </w:rPr>
        <w:t>附表10</w:t>
      </w:r>
    </w:p>
    <w:p>
      <w:pPr>
        <w:pStyle w:val="22"/>
        <w:adjustRightInd w:val="0"/>
        <w:spacing w:before="120" w:line="324" w:lineRule="auto"/>
        <w:ind w:left="0" w:firstLine="0"/>
        <w:jc w:val="center"/>
        <w:rPr>
          <w:rFonts w:ascii="黑体" w:cs="黑体" w:hAnsi="黑体"/>
          <w:sz w:val="30"/>
          <w:szCs w:val="30"/>
        </w:rPr>
      </w:pPr>
      <w:r>
        <w:rPr>
          <w:rFonts w:ascii="黑体" w:cs="黑体" w:hAnsi="黑体" w:hint="eastAsia"/>
          <w:sz w:val="30"/>
          <w:szCs w:val="30"/>
        </w:rPr>
        <w:t>井陉矿区</w:t>
      </w:r>
      <w:r>
        <w:rPr>
          <w:rFonts w:ascii="黑体" w:cs="黑体" w:hAnsi="黑体"/>
          <w:sz w:val="30"/>
          <w:szCs w:val="30"/>
        </w:rPr>
        <w:t>国土空间用途结构调整表</w:t>
      </w:r>
    </w:p>
    <w:p>
      <w:pPr>
        <w:jc w:val="right"/>
        <w:rPr>
          <w:rFonts w:hint="eastAsia"/>
        </w:rPr>
      </w:pPr>
      <w:r>
        <w:rPr>
          <w:bCs/>
          <w:sz w:val="24"/>
        </w:rPr>
        <w:t>单位：平方千米</w:t>
      </w:r>
    </w:p>
    <w:tbl>
      <w:tblPr>
        <w:jc w:val="left"/>
        <w:tblInd w:w="0" w:type="dxa"/>
        <w:tblW w:w="824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36"/>
        <w:gridCol w:w="3654"/>
        <w:gridCol w:w="3952"/>
      </w:tblGrid>
      <w:tr>
        <w:trPr>
          <w:cantSplit/>
          <w:trHeight w:val="330"/>
        </w:trPr>
        <w:tc>
          <w:tcPr>
            <w:tcW w:w="636"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代码</w:t>
            </w:r>
          </w:p>
        </w:tc>
        <w:tc>
          <w:tcPr>
            <w:tcW w:w="3654"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用地类型</w:t>
            </w:r>
          </w:p>
        </w:tc>
        <w:tc>
          <w:tcPr>
            <w:tcW w:w="3952"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规模</w:t>
            </w:r>
          </w:p>
        </w:tc>
      </w:tr>
      <w:tr>
        <w:trPr>
          <w:cantSplit/>
          <w:trHeight w:val="330"/>
        </w:trPr>
        <w:tc>
          <w:tcPr>
            <w:tcW w:w="636"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100</w:t>
            </w:r>
          </w:p>
        </w:tc>
        <w:tc>
          <w:tcPr>
            <w:tcW w:w="3654"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left"/>
              <w:rPr>
                <w:rFonts w:ascii="Times New Roman" w:cs="Times New Roman" w:hAnsi="Times New Roman" w:hint="eastAsia"/>
                <w:sz w:val="21"/>
                <w:szCs w:val="21"/>
              </w:rPr>
            </w:pPr>
            <w:r>
              <w:rPr>
                <w:rFonts w:ascii="Times New Roman" w:cs="Times New Roman" w:hAnsi="Times New Roman" w:hint="eastAsia"/>
                <w:b/>
                <w:bCs/>
                <w:sz w:val="21"/>
                <w:szCs w:val="21"/>
              </w:rPr>
              <w:t>农用地合计</w:t>
            </w:r>
          </w:p>
        </w:tc>
        <w:tc>
          <w:tcPr>
            <w:tcW w:w="3952"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b/>
                <w:bCs/>
                <w:sz w:val="21"/>
                <w:szCs w:val="21"/>
              </w:rPr>
              <w:t>40.66</w:t>
            </w:r>
          </w:p>
        </w:tc>
      </w:tr>
      <w:tr>
        <w:trPr>
          <w:cantSplit/>
          <w:trHeight w:val="330"/>
        </w:trPr>
        <w:tc>
          <w:tcPr>
            <w:tcW w:w="636"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101</w:t>
            </w:r>
          </w:p>
        </w:tc>
        <w:tc>
          <w:tcPr>
            <w:tcW w:w="3654"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耕地</w:t>
            </w:r>
          </w:p>
        </w:tc>
        <w:tc>
          <w:tcPr>
            <w:tcW w:w="3952"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11.97</w:t>
            </w:r>
          </w:p>
        </w:tc>
      </w:tr>
      <w:tr>
        <w:trPr>
          <w:cantSplit/>
          <w:trHeight w:val="330"/>
        </w:trPr>
        <w:tc>
          <w:tcPr>
            <w:tcW w:w="636"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102</w:t>
            </w:r>
          </w:p>
        </w:tc>
        <w:tc>
          <w:tcPr>
            <w:tcW w:w="3654"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园地</w:t>
            </w:r>
          </w:p>
        </w:tc>
        <w:tc>
          <w:tcPr>
            <w:tcW w:w="3952" w:type="dxa"/>
            <w:tcBorders>
              <w:top w:val="single" w:sz="4" w:space="0" w:color="auto"/>
              <w:left w:val="single" w:sz="4" w:space="0" w:color="auto"/>
              <w:bottom w:val="single" w:sz="4" w:space="0" w:color="auto"/>
              <w:right w:val="single" w:sz="4" w:space="0" w:color="auto"/>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4.4</w:t>
            </w:r>
          </w:p>
        </w:tc>
      </w:tr>
      <w:tr>
        <w:trPr>
          <w:cantSplit/>
          <w:trHeight w:val="330"/>
        </w:trPr>
        <w:tc>
          <w:tcPr>
            <w:tcW w:w="636" w:type="dxa"/>
            <w:tcBorders>
              <w:top w:val="single" w:sz="4" w:space="0" w:color="auto"/>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103</w:t>
            </w:r>
          </w:p>
        </w:tc>
        <w:tc>
          <w:tcPr>
            <w:tcW w:w="3654" w:type="dxa"/>
            <w:tcBorders>
              <w:top w:val="single" w:sz="4" w:space="0" w:color="auto"/>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林地</w:t>
            </w:r>
          </w:p>
        </w:tc>
        <w:tc>
          <w:tcPr>
            <w:tcW w:w="3952" w:type="dxa"/>
            <w:tcBorders>
              <w:top w:val="single" w:sz="4" w:space="0" w:color="auto"/>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22.9</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104</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草地</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1.39</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200</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left"/>
              <w:rPr>
                <w:rFonts w:ascii="Times New Roman" w:cs="Times New Roman" w:hAnsi="Times New Roman" w:hint="eastAsia"/>
                <w:sz w:val="21"/>
                <w:szCs w:val="21"/>
              </w:rPr>
            </w:pPr>
            <w:r>
              <w:rPr>
                <w:rFonts w:ascii="Times New Roman" w:cs="Times New Roman" w:hAnsi="Times New Roman" w:hint="eastAsia"/>
                <w:b/>
                <w:bCs/>
                <w:sz w:val="21"/>
                <w:szCs w:val="21"/>
              </w:rPr>
              <w:t>建设用地合计</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b/>
                <w:bCs/>
                <w:sz w:val="21"/>
                <w:szCs w:val="21"/>
              </w:rPr>
              <w:t>29.2</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210</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城乡建设用地</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26.4</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211</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城镇</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23.6</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212</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村庄</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0.9</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220</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区域基础设施用地</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2.2</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290</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其他建设用地</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0.6</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300</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left"/>
              <w:rPr>
                <w:rFonts w:ascii="Times New Roman" w:cs="Times New Roman" w:hAnsi="Times New Roman" w:hint="eastAsia"/>
                <w:sz w:val="21"/>
                <w:szCs w:val="21"/>
              </w:rPr>
            </w:pPr>
            <w:r>
              <w:rPr>
                <w:rFonts w:ascii="Times New Roman" w:cs="Times New Roman" w:hAnsi="Times New Roman" w:hint="eastAsia"/>
                <w:b/>
                <w:bCs/>
                <w:sz w:val="21"/>
                <w:szCs w:val="21"/>
              </w:rPr>
              <w:t>自然保护用地合计</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b/>
                <w:bCs/>
                <w:sz w:val="21"/>
                <w:szCs w:val="21"/>
              </w:rPr>
              <w:t>1.31</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305</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湿地</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0.07</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317</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陆地水域</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1.01</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900</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其他</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0.21</w:t>
            </w:r>
          </w:p>
        </w:tc>
      </w:tr>
      <w:tr>
        <w:trPr>
          <w:cantSplit/>
          <w:trHeight w:val="330"/>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923</w:t>
            </w: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其他土地</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0.02</w:t>
            </w:r>
          </w:p>
        </w:tc>
      </w:tr>
      <w:tr>
        <w:trPr>
          <w:cantSplit/>
          <w:trHeight w:val="359"/>
        </w:trPr>
        <w:tc>
          <w:tcPr>
            <w:tcW w:w="636"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p>
        </w:tc>
        <w:tc>
          <w:tcPr>
            <w:tcW w:w="3654"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总计</w:t>
            </w:r>
          </w:p>
        </w:tc>
        <w:tc>
          <w:tcPr>
            <w:tcW w:w="3952" w:type="dxa"/>
            <w:tcBorders>
              <w:top w:val="single" w:sz="4" w:space="0" w:color="000000"/>
              <w:left w:val="single" w:sz="4" w:space="0" w:color="000000"/>
              <w:bottom w:val="single" w:sz="4" w:space="0" w:color="000000"/>
              <w:right w:val="single" w:sz="4" w:space="0" w:color="000000"/>
            </w:tcBorders>
            <w:noWrap/>
            <w:vAlign w:val="center"/>
          </w:tcPr>
          <w:p>
            <w:pPr>
              <w:adjustRightInd w:val="0"/>
              <w:spacing w:line="240" w:lineRule="auto"/>
              <w:ind w:firstLine="0"/>
              <w:jc w:val="center"/>
              <w:rPr>
                <w:rFonts w:ascii="Times New Roman" w:cs="Times New Roman" w:hAnsi="Times New Roman" w:hint="eastAsia"/>
                <w:sz w:val="21"/>
                <w:szCs w:val="21"/>
              </w:rPr>
            </w:pPr>
            <w:r>
              <w:rPr>
                <w:rFonts w:ascii="Times New Roman" w:cs="Times New Roman" w:hAnsi="Times New Roman" w:hint="eastAsia"/>
                <w:sz w:val="21"/>
                <w:szCs w:val="21"/>
              </w:rPr>
              <w:t>71.15</w:t>
            </w:r>
          </w:p>
        </w:tc>
      </w:tr>
    </w:tbl>
    <w:p>
      <w:pPr>
        <w:spacing w:line="560" w:lineRule="exact"/>
        <w:ind w:firstLine="420"/>
        <w:rPr>
          <w:rFonts w:ascii="楷体" w:eastAsia="楷体" w:cs="仿宋" w:hAnsi="楷体"/>
          <w:kern w:val="0"/>
          <w:sz w:val="21"/>
          <w:szCs w:val="21"/>
        </w:rPr>
      </w:pPr>
      <w:r>
        <w:rPr>
          <w:rFonts w:ascii="楷体" w:eastAsia="楷体" w:cs="仿宋" w:hAnsi="楷体"/>
          <w:kern w:val="0"/>
          <w:sz w:val="21"/>
          <w:szCs w:val="21"/>
        </w:rPr>
        <w:t>注：参考《市级国土空间总体规划编制指南（试行）》。</w:t>
      </w:r>
    </w:p>
    <w:p>
      <w:pPr>
        <w:pStyle w:val="16"/>
        <w:ind w:firstLineChars="0" w:firstLine="0"/>
      </w:pPr>
      <w:r>
        <w:br w:type="page"/>
      </w:r>
    </w:p>
    <w:p>
      <w:pPr>
        <w:pStyle w:val="39"/>
        <w:rPr>
          <w:rFonts w:ascii="黑体" w:eastAsia="黑体" w:hAnsi="黑体"/>
          <w:sz w:val="32"/>
          <w:szCs w:val="32"/>
        </w:rPr>
      </w:pPr>
      <w:r>
        <w:rPr>
          <w:rFonts w:ascii="黑体" w:eastAsia="黑体" w:hAnsi="黑体" w:hint="eastAsia"/>
          <w:sz w:val="32"/>
          <w:szCs w:val="32"/>
        </w:rPr>
        <w:t>附表11</w:t>
      </w:r>
    </w:p>
    <w:p>
      <w:pPr>
        <w:pStyle w:val="22"/>
        <w:adjustRightInd w:val="0"/>
        <w:spacing w:before="120" w:line="324" w:lineRule="auto"/>
        <w:ind w:left="0" w:firstLine="0"/>
        <w:jc w:val="center"/>
        <w:rPr>
          <w:rFonts w:ascii="黑体" w:cs="黑体" w:hAnsi="黑体" w:hint="eastAsia"/>
          <w:sz w:val="30"/>
          <w:szCs w:val="30"/>
        </w:rPr>
      </w:pPr>
      <w:r>
        <w:rPr>
          <w:rFonts w:ascii="黑体" w:cs="黑体" w:hAnsi="黑体" w:hint="eastAsia"/>
          <w:sz w:val="30"/>
          <w:szCs w:val="30"/>
        </w:rPr>
        <w:t>城区建设用地结构</w:t>
      </w:r>
      <w:r>
        <w:rPr>
          <w:rFonts w:ascii="黑体" w:cs="黑体" w:hAnsi="黑体" w:hint="eastAsia"/>
          <w:sz w:val="30"/>
          <w:szCs w:val="30"/>
          <w:lang w:val="en-US" w:eastAsia="zh-CN"/>
        </w:rPr>
        <w:t>调整</w:t>
      </w:r>
      <w:r>
        <w:rPr>
          <w:rFonts w:ascii="黑体" w:cs="黑体" w:hAnsi="黑体" w:hint="eastAsia"/>
          <w:sz w:val="30"/>
          <w:szCs w:val="30"/>
        </w:rPr>
        <w:t>表</w:t>
      </w:r>
    </w:p>
    <w:p>
      <w:pPr>
        <w:jc w:val="right"/>
        <w:rPr>
          <w:rFonts w:eastAsia="仿宋_GB2312"/>
          <w:lang w:val="en-US" w:eastAsia="zh-CN"/>
        </w:rPr>
      </w:pPr>
      <w:r>
        <w:rPr>
          <w:bCs/>
          <w:sz w:val="24"/>
        </w:rPr>
        <w:t>单位：</w:t>
      </w:r>
      <w:r>
        <w:rPr>
          <w:rFonts w:hint="eastAsia"/>
          <w:bCs/>
          <w:sz w:val="24"/>
          <w:lang w:val="en-US" w:eastAsia="zh-CN"/>
        </w:rPr>
        <w:t>面积</w:t>
      </w:r>
      <w:r>
        <w:rPr>
          <w:bCs/>
          <w:sz w:val="24"/>
        </w:rPr>
        <w:t>平方千米</w:t>
      </w:r>
      <w:r>
        <w:rPr>
          <w:rFonts w:hint="eastAsia"/>
          <w:bCs/>
          <w:sz w:val="24"/>
          <w:lang w:eastAsia="zh-CN"/>
        </w:rPr>
        <w:t>；</w:t>
      </w:r>
      <w:r>
        <w:rPr>
          <w:rFonts w:hint="eastAsia"/>
          <w:bCs/>
          <w:sz w:val="24"/>
          <w:lang w:val="en-US" w:eastAsia="zh-CN"/>
        </w:rPr>
        <w:t>比例%；人均平方米</w:t>
      </w:r>
    </w:p>
    <w:tbl>
      <w:tblPr>
        <w:jc w:val="center"/>
        <w:tblW w:w="8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26"/>
        <w:gridCol w:w="1030"/>
        <w:gridCol w:w="1030"/>
        <w:gridCol w:w="1032"/>
        <w:gridCol w:w="1030"/>
        <w:gridCol w:w="1030"/>
        <w:gridCol w:w="991"/>
      </w:tblGrid>
      <w:tr>
        <w:trPr>
          <w:trHeight w:val="90"/>
        </w:trPr>
        <w:tc>
          <w:tcPr>
            <w:tcW w:w="2426" w:type="dxa"/>
            <w:vMerge w:val="restart"/>
            <w:noWrap/>
            <w:vAlign w:val="center"/>
          </w:tcPr>
          <w:p>
            <w:pPr>
              <w:spacing w:line="240" w:lineRule="auto"/>
              <w:ind w:firstLine="0"/>
              <w:jc w:val="center"/>
              <w:rPr>
                <w:b/>
                <w:bCs/>
                <w:kern w:val="0"/>
                <w:sz w:val="21"/>
                <w:szCs w:val="21"/>
              </w:rPr>
            </w:pPr>
            <w:r>
              <w:rPr>
                <w:b/>
                <w:bCs/>
                <w:kern w:val="0"/>
                <w:sz w:val="21"/>
                <w:szCs w:val="21"/>
              </w:rPr>
              <w:t>名称</w:t>
            </w:r>
          </w:p>
        </w:tc>
        <w:tc>
          <w:tcPr>
            <w:tcW w:w="3092" w:type="dxa"/>
            <w:gridSpan w:val="3"/>
            <w:noWrap/>
            <w:vAlign w:val="center"/>
          </w:tcPr>
          <w:p>
            <w:pPr>
              <w:spacing w:line="240" w:lineRule="auto"/>
              <w:ind w:firstLine="0"/>
              <w:jc w:val="center"/>
              <w:rPr>
                <w:b/>
                <w:bCs/>
                <w:kern w:val="0"/>
                <w:sz w:val="21"/>
                <w:szCs w:val="21"/>
              </w:rPr>
            </w:pPr>
            <w:r>
              <w:rPr>
                <w:b/>
                <w:bCs/>
                <w:kern w:val="0"/>
                <w:sz w:val="21"/>
                <w:szCs w:val="21"/>
              </w:rPr>
              <w:t>2020年</w:t>
            </w:r>
          </w:p>
        </w:tc>
        <w:tc>
          <w:tcPr>
            <w:tcW w:w="3051" w:type="dxa"/>
            <w:gridSpan w:val="3"/>
            <w:noWrap/>
            <w:vAlign w:val="center"/>
          </w:tcPr>
          <w:p>
            <w:pPr>
              <w:spacing w:line="240" w:lineRule="auto"/>
              <w:ind w:firstLine="0"/>
              <w:jc w:val="center"/>
              <w:rPr>
                <w:b/>
                <w:bCs/>
                <w:kern w:val="0"/>
                <w:sz w:val="21"/>
                <w:szCs w:val="21"/>
              </w:rPr>
            </w:pPr>
            <w:r>
              <w:rPr>
                <w:b/>
                <w:bCs/>
                <w:kern w:val="0"/>
                <w:sz w:val="21"/>
                <w:szCs w:val="21"/>
              </w:rPr>
              <w:t>2035年</w:t>
            </w:r>
          </w:p>
        </w:tc>
      </w:tr>
      <w:tr>
        <w:trPr>
          <w:trHeight w:val="139"/>
        </w:trPr>
        <w:tc>
          <w:tcPr>
            <w:tcW w:w="2426" w:type="dxa"/>
            <w:vMerge/>
            <w:tcBorders>
              <w:top w:val="single" w:sz="4" w:space="0" w:color="auto"/>
              <w:left w:val="single" w:sz="4" w:space="0" w:color="auto"/>
              <w:right w:val="single" w:sz="4" w:space="0" w:color="auto"/>
            </w:tcBorders>
            <w:noWrap/>
            <w:vAlign w:val="center"/>
          </w:tcPr>
          <w:p/>
        </w:tc>
        <w:tc>
          <w:tcPr>
            <w:tcW w:w="1030"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hint="eastAsia"/>
                <w:b/>
                <w:bCs/>
                <w:kern w:val="0"/>
                <w:sz w:val="21"/>
                <w:szCs w:val="21"/>
              </w:rPr>
            </w:pPr>
            <w:r>
              <w:rPr>
                <w:b/>
                <w:bCs/>
                <w:kern w:val="0"/>
                <w:sz w:val="21"/>
                <w:szCs w:val="21"/>
              </w:rPr>
              <w:t>面积</w:t>
            </w:r>
          </w:p>
        </w:tc>
        <w:tc>
          <w:tcPr>
            <w:tcW w:w="1030"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ascii="Times New Roman" w:eastAsia="仿宋_GB2312" w:hAnsi="Times New Roman"/>
                <w:b/>
                <w:bCs/>
                <w:kern w:val="0"/>
                <w:sz w:val="21"/>
                <w:szCs w:val="21"/>
              </w:rPr>
            </w:pPr>
            <w:r>
              <w:rPr>
                <w:b/>
                <w:bCs/>
                <w:kern w:val="0"/>
                <w:sz w:val="21"/>
                <w:szCs w:val="21"/>
              </w:rPr>
              <w:t>比例</w:t>
            </w:r>
          </w:p>
        </w:tc>
        <w:tc>
          <w:tcPr>
            <w:tcW w:w="1032"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eastAsia="仿宋_GB2312"/>
                <w:b/>
                <w:bCs/>
                <w:kern w:val="0"/>
                <w:sz w:val="21"/>
                <w:szCs w:val="21"/>
              </w:rPr>
            </w:pPr>
            <w:r>
              <w:rPr>
                <w:b/>
                <w:bCs/>
                <w:kern w:val="0"/>
                <w:sz w:val="21"/>
                <w:szCs w:val="21"/>
              </w:rPr>
              <w:t>人均</w:t>
            </w:r>
          </w:p>
        </w:tc>
        <w:tc>
          <w:tcPr>
            <w:tcW w:w="1030"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b/>
                <w:bCs/>
                <w:kern w:val="0"/>
                <w:sz w:val="21"/>
                <w:szCs w:val="21"/>
              </w:rPr>
            </w:pPr>
            <w:r>
              <w:rPr>
                <w:b/>
                <w:bCs/>
                <w:kern w:val="0"/>
                <w:sz w:val="21"/>
                <w:szCs w:val="21"/>
              </w:rPr>
              <w:t>面积</w:t>
            </w:r>
          </w:p>
        </w:tc>
        <w:tc>
          <w:tcPr>
            <w:tcW w:w="1030"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ascii="Times New Roman" w:eastAsia="仿宋_GB2312" w:hAnsi="Times New Roman"/>
                <w:b/>
                <w:bCs/>
                <w:kern w:val="0"/>
                <w:sz w:val="21"/>
                <w:szCs w:val="21"/>
              </w:rPr>
            </w:pPr>
            <w:r>
              <w:rPr>
                <w:b/>
                <w:bCs/>
                <w:kern w:val="0"/>
                <w:sz w:val="21"/>
                <w:szCs w:val="21"/>
              </w:rPr>
              <w:t>比例</w:t>
            </w:r>
          </w:p>
        </w:tc>
        <w:tc>
          <w:tcPr>
            <w:tcW w:w="991" w:type="dxa"/>
            <w:tcBorders>
              <w:top w:val="single" w:sz="4" w:space="0" w:color="auto"/>
              <w:left w:val="single" w:sz="4" w:space="0" w:color="auto"/>
              <w:right w:val="single" w:sz="4" w:space="0" w:color="auto"/>
            </w:tcBorders>
            <w:noWrap/>
            <w:vAlign w:val="center"/>
          </w:tcPr>
          <w:p>
            <w:pPr>
              <w:adjustRightInd w:val="0"/>
              <w:spacing w:line="240" w:lineRule="auto"/>
              <w:ind w:firstLine="0"/>
              <w:jc w:val="center"/>
              <w:rPr>
                <w:rFonts w:eastAsia="仿宋_GB2312"/>
                <w:b/>
                <w:bCs/>
                <w:kern w:val="0"/>
                <w:sz w:val="21"/>
                <w:szCs w:val="21"/>
              </w:rPr>
            </w:pPr>
            <w:r>
              <w:rPr>
                <w:b/>
                <w:bCs/>
                <w:kern w:val="0"/>
                <w:sz w:val="21"/>
                <w:szCs w:val="21"/>
              </w:rPr>
              <w:t>人均</w:t>
            </w:r>
          </w:p>
        </w:tc>
      </w:tr>
      <w:tr>
        <w:trPr>
          <w:trHeight w:val="297"/>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居住用地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4.6</w:t>
            </w:r>
            <w:r>
              <w:rPr>
                <w:kern w:val="0"/>
                <w:sz w:val="21"/>
                <w:szCs w:val="21"/>
              </w:rPr>
              <w:t>1</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28.4</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68.</w:t>
            </w:r>
            <w:r>
              <w:rPr>
                <w:kern w:val="0"/>
                <w:sz w:val="21"/>
                <w:szCs w:val="21"/>
              </w:rPr>
              <w:t>35</w:t>
            </w:r>
            <w:r>
              <w:rPr>
                <w:rFonts w:hint="eastAsia"/>
                <w:kern w:val="0"/>
                <w:sz w:val="21"/>
                <w:szCs w:val="21"/>
              </w:rPr>
              <w:t xml:space="preserve">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6.</w:t>
            </w:r>
            <w:r>
              <w:rPr>
                <w:rFonts w:hint="eastAsia"/>
                <w:kern w:val="0"/>
                <w:sz w:val="21"/>
                <w:szCs w:val="21"/>
                <w:lang w:val="en-US" w:eastAsia="zh-CN"/>
              </w:rPr>
              <w:t>08</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2</w:t>
            </w:r>
            <w:r>
              <w:rPr>
                <w:rFonts w:hint="eastAsia"/>
                <w:kern w:val="0"/>
                <w:sz w:val="21"/>
                <w:szCs w:val="21"/>
                <w:lang w:val="en-US" w:eastAsia="zh-CN"/>
              </w:rPr>
              <w:t>5.8</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5</w:t>
            </w:r>
            <w:r>
              <w:rPr>
                <w:rFonts w:hint="eastAsia"/>
                <w:kern w:val="0"/>
                <w:sz w:val="21"/>
                <w:szCs w:val="21"/>
                <w:lang w:val="en-US" w:eastAsia="zh-CN"/>
              </w:rPr>
              <w:t>2.00</w:t>
            </w:r>
          </w:p>
        </w:tc>
      </w:tr>
      <w:tr>
        <w:trPr>
          <w:trHeight w:val="350"/>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公共管理与公共</w:t>
            </w:r>
          </w:p>
          <w:p>
            <w:pPr>
              <w:spacing w:line="240" w:lineRule="auto"/>
              <w:ind w:firstLine="0"/>
              <w:jc w:val="center"/>
              <w:rPr>
                <w:kern w:val="0"/>
                <w:sz w:val="21"/>
                <w:szCs w:val="21"/>
              </w:rPr>
            </w:pPr>
            <w:r>
              <w:rPr>
                <w:kern w:val="0"/>
                <w:sz w:val="21"/>
                <w:szCs w:val="21"/>
              </w:rPr>
              <w:t>服务用地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0.6</w:t>
            </w:r>
            <w:r>
              <w:rPr>
                <w:kern w:val="0"/>
                <w:sz w:val="21"/>
                <w:szCs w:val="21"/>
              </w:rPr>
              <w:t>3</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3.</w:t>
            </w:r>
            <w:r>
              <w:rPr>
                <w:kern w:val="0"/>
                <w:sz w:val="21"/>
                <w:szCs w:val="21"/>
              </w:rPr>
              <w:t>8</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9.</w:t>
            </w:r>
            <w:r>
              <w:rPr>
                <w:kern w:val="0"/>
                <w:sz w:val="21"/>
                <w:szCs w:val="21"/>
              </w:rPr>
              <w:t>2</w:t>
            </w:r>
            <w:r>
              <w:rPr>
                <w:rFonts w:hint="eastAsia"/>
                <w:kern w:val="0"/>
                <w:sz w:val="21"/>
                <w:szCs w:val="21"/>
              </w:rPr>
              <w:t xml:space="preserve">7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1.</w:t>
            </w:r>
            <w:r>
              <w:rPr>
                <w:rFonts w:hint="eastAsia"/>
                <w:kern w:val="0"/>
                <w:sz w:val="21"/>
                <w:szCs w:val="21"/>
                <w:lang w:val="en-US" w:eastAsia="zh-CN"/>
              </w:rPr>
              <w:t>33</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hint="eastAsia"/>
                <w:kern w:val="0"/>
                <w:sz w:val="21"/>
                <w:szCs w:val="21"/>
                <w:lang w:eastAsia="zh-CN"/>
              </w:rPr>
            </w:pPr>
            <w:r>
              <w:rPr>
                <w:rFonts w:hint="eastAsia"/>
                <w:kern w:val="0"/>
                <w:sz w:val="21"/>
                <w:szCs w:val="21"/>
              </w:rPr>
              <w:t>5.</w:t>
            </w:r>
            <w:r>
              <w:rPr>
                <w:rFonts w:hint="eastAsia"/>
                <w:kern w:val="0"/>
                <w:sz w:val="21"/>
                <w:szCs w:val="21"/>
                <w:lang w:val="en-US" w:eastAsia="zh-CN"/>
              </w:rPr>
              <w:t>6</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kern w:val="0"/>
                <w:sz w:val="21"/>
                <w:szCs w:val="21"/>
              </w:rPr>
              <w:t>1</w:t>
            </w:r>
            <w:r>
              <w:rPr>
                <w:rFonts w:hint="eastAsia"/>
                <w:kern w:val="0"/>
                <w:sz w:val="21"/>
                <w:szCs w:val="21"/>
                <w:lang w:val="en-US" w:eastAsia="zh-CN"/>
              </w:rPr>
              <w:t>1.38</w:t>
            </w:r>
          </w:p>
        </w:tc>
      </w:tr>
      <w:tr>
        <w:trPr>
          <w:trHeight w:val="188"/>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商业服务业用地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0.8</w:t>
            </w:r>
            <w:r>
              <w:rPr>
                <w:kern w:val="0"/>
                <w:sz w:val="21"/>
                <w:szCs w:val="21"/>
              </w:rPr>
              <w:t>9</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5.</w:t>
            </w:r>
            <w:r>
              <w:rPr>
                <w:kern w:val="0"/>
                <w:sz w:val="21"/>
                <w:szCs w:val="21"/>
              </w:rPr>
              <w:t>5</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1</w:t>
            </w:r>
            <w:r>
              <w:rPr>
                <w:kern w:val="0"/>
                <w:sz w:val="21"/>
                <w:szCs w:val="21"/>
              </w:rPr>
              <w:t>3.12</w:t>
            </w:r>
            <w:r>
              <w:rPr>
                <w:rFonts w:hint="eastAsia"/>
                <w:kern w:val="0"/>
                <w:sz w:val="21"/>
                <w:szCs w:val="21"/>
              </w:rPr>
              <w:t xml:space="preserve">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2.</w:t>
            </w:r>
            <w:r>
              <w:rPr>
                <w:rFonts w:hint="eastAsia"/>
                <w:kern w:val="0"/>
                <w:sz w:val="21"/>
                <w:szCs w:val="21"/>
                <w:lang w:val="en-US" w:eastAsia="zh-CN"/>
              </w:rPr>
              <w:t>50</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kern w:val="0"/>
                <w:sz w:val="21"/>
                <w:szCs w:val="21"/>
              </w:rPr>
              <w:t>1</w:t>
            </w:r>
            <w:r>
              <w:rPr>
                <w:rFonts w:hint="eastAsia"/>
                <w:kern w:val="0"/>
                <w:sz w:val="21"/>
                <w:szCs w:val="21"/>
                <w:lang w:val="en-US" w:eastAsia="zh-CN"/>
              </w:rPr>
              <w:t>0.6</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lang w:val="en-US" w:eastAsia="zh-CN"/>
              </w:rPr>
              <w:t>21.40</w:t>
            </w:r>
            <w:r>
              <w:rPr>
                <w:rFonts w:hint="eastAsia"/>
                <w:kern w:val="0"/>
                <w:sz w:val="21"/>
                <w:szCs w:val="21"/>
              </w:rPr>
              <w:t xml:space="preserve"> </w:t>
            </w:r>
          </w:p>
        </w:tc>
      </w:tr>
      <w:tr>
        <w:trPr>
          <w:trHeight w:val="306"/>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工业用地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8.5</w:t>
            </w:r>
            <w:r>
              <w:rPr>
                <w:kern w:val="0"/>
                <w:sz w:val="21"/>
                <w:szCs w:val="21"/>
              </w:rPr>
              <w:t>3</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5</w:t>
            </w:r>
            <w:r>
              <w:rPr>
                <w:kern w:val="0"/>
                <w:sz w:val="21"/>
                <w:szCs w:val="21"/>
              </w:rPr>
              <w:t>2.5</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126.</w:t>
            </w:r>
            <w:r>
              <w:rPr>
                <w:kern w:val="0"/>
                <w:sz w:val="21"/>
                <w:szCs w:val="21"/>
              </w:rPr>
              <w:t>38</w:t>
            </w:r>
            <w:r>
              <w:rPr>
                <w:rFonts w:hint="eastAsia"/>
                <w:kern w:val="0"/>
                <w:sz w:val="21"/>
                <w:szCs w:val="21"/>
              </w:rPr>
              <w:t xml:space="preserve">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lang w:val="en-US" w:eastAsia="zh-CN"/>
              </w:rPr>
              <w:t>9.08</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lang w:val="en-US" w:eastAsia="zh-CN"/>
              </w:rPr>
              <w:t>38.5</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lang w:val="en-US" w:eastAsia="zh-CN"/>
              </w:rPr>
              <w:t>77.59</w:t>
            </w:r>
          </w:p>
        </w:tc>
      </w:tr>
      <w:tr>
        <w:trPr>
          <w:trHeight w:val="287"/>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仓储用地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0.23</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1.</w:t>
            </w:r>
            <w:r>
              <w:rPr>
                <w:kern w:val="0"/>
                <w:sz w:val="21"/>
                <w:szCs w:val="21"/>
              </w:rPr>
              <w:t>4</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3.</w:t>
            </w:r>
            <w:r>
              <w:rPr>
                <w:kern w:val="0"/>
                <w:sz w:val="21"/>
                <w:szCs w:val="21"/>
              </w:rPr>
              <w:t>35</w:t>
            </w:r>
            <w:r>
              <w:rPr>
                <w:rFonts w:hint="eastAsia"/>
                <w:kern w:val="0"/>
                <w:sz w:val="21"/>
                <w:szCs w:val="21"/>
              </w:rPr>
              <w:t xml:space="preserve">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 xml:space="preserve">— </w:t>
            </w:r>
          </w:p>
        </w:tc>
      </w:tr>
      <w:tr>
        <w:trPr>
          <w:trHeight w:val="233"/>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交通运输用地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w:t>
            </w:r>
            <w:r>
              <w:rPr>
                <w:kern w:val="0"/>
                <w:sz w:val="21"/>
                <w:szCs w:val="21"/>
              </w:rPr>
              <w:t>56</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3.</w:t>
            </w:r>
            <w:r>
              <w:rPr>
                <w:kern w:val="0"/>
                <w:sz w:val="21"/>
                <w:szCs w:val="21"/>
              </w:rPr>
              <w:t>4</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8.28</w:t>
            </w:r>
            <w:r>
              <w:rPr>
                <w:rFonts w:hint="eastAsia"/>
                <w:kern w:val="0"/>
                <w:sz w:val="21"/>
                <w:szCs w:val="21"/>
              </w:rPr>
              <w:t xml:space="preserve">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2.</w:t>
            </w:r>
            <w:r>
              <w:rPr>
                <w:rFonts w:hint="eastAsia"/>
                <w:kern w:val="0"/>
                <w:sz w:val="21"/>
                <w:szCs w:val="21"/>
                <w:lang w:val="en-US" w:eastAsia="zh-CN"/>
              </w:rPr>
              <w:t>37</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kern w:val="0"/>
                <w:sz w:val="21"/>
                <w:szCs w:val="21"/>
              </w:rPr>
              <w:t>1</w:t>
            </w:r>
            <w:r>
              <w:rPr>
                <w:rFonts w:hint="eastAsia"/>
                <w:kern w:val="0"/>
                <w:sz w:val="21"/>
                <w:szCs w:val="21"/>
                <w:lang w:val="en-US" w:eastAsia="zh-CN"/>
              </w:rPr>
              <w:t>0.0</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w:t>
            </w:r>
            <w:r>
              <w:rPr>
                <w:rFonts w:hint="eastAsia"/>
                <w:kern w:val="0"/>
                <w:sz w:val="21"/>
                <w:szCs w:val="21"/>
                <w:lang w:val="en-US" w:eastAsia="zh-CN"/>
              </w:rPr>
              <w:t>0.23</w:t>
            </w:r>
            <w:r>
              <w:rPr>
                <w:rFonts w:hint="eastAsia"/>
                <w:kern w:val="0"/>
                <w:sz w:val="21"/>
                <w:szCs w:val="21"/>
              </w:rPr>
              <w:t xml:space="preserve"> </w:t>
            </w:r>
          </w:p>
        </w:tc>
      </w:tr>
      <w:tr>
        <w:trPr>
          <w:trHeight w:val="188"/>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公用设施用地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0.11</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0.7</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1.</w:t>
            </w:r>
            <w:r>
              <w:rPr>
                <w:kern w:val="0"/>
                <w:sz w:val="21"/>
                <w:szCs w:val="21"/>
              </w:rPr>
              <w:t>66</w:t>
            </w:r>
            <w:r>
              <w:rPr>
                <w:rFonts w:hint="eastAsia"/>
                <w:kern w:val="0"/>
                <w:sz w:val="21"/>
                <w:szCs w:val="21"/>
              </w:rPr>
              <w:t xml:space="preserve"> </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hint="eastAsia"/>
                <w:kern w:val="0"/>
                <w:sz w:val="21"/>
                <w:szCs w:val="21"/>
                <w:lang w:eastAsia="zh-CN"/>
              </w:rPr>
            </w:pPr>
            <w:r>
              <w:rPr>
                <w:rFonts w:hint="eastAsia"/>
                <w:kern w:val="0"/>
                <w:sz w:val="21"/>
                <w:szCs w:val="21"/>
              </w:rPr>
              <w:t>0.1</w:t>
            </w:r>
            <w:r>
              <w:rPr>
                <w:rFonts w:hint="eastAsia"/>
                <w:kern w:val="0"/>
                <w:sz w:val="21"/>
                <w:szCs w:val="21"/>
                <w:lang w:val="en-US" w:eastAsia="zh-CN"/>
              </w:rPr>
              <w:t>8</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hint="eastAsia"/>
                <w:kern w:val="0"/>
                <w:sz w:val="21"/>
                <w:szCs w:val="21"/>
                <w:lang w:eastAsia="zh-CN"/>
              </w:rPr>
            </w:pPr>
            <w:r>
              <w:rPr>
                <w:rFonts w:hint="eastAsia"/>
                <w:kern w:val="0"/>
                <w:sz w:val="21"/>
                <w:szCs w:val="21"/>
              </w:rPr>
              <w:t>0.</w:t>
            </w:r>
            <w:r>
              <w:rPr>
                <w:rFonts w:hint="eastAsia"/>
                <w:kern w:val="0"/>
                <w:sz w:val="21"/>
                <w:szCs w:val="21"/>
                <w:lang w:val="en-US" w:eastAsia="zh-CN"/>
              </w:rPr>
              <w:t>8</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1.</w:t>
            </w:r>
            <w:r>
              <w:rPr>
                <w:rFonts w:hint="eastAsia"/>
                <w:kern w:val="0"/>
                <w:sz w:val="21"/>
                <w:szCs w:val="21"/>
                <w:lang w:val="en-US" w:eastAsia="zh-CN"/>
              </w:rPr>
              <w:t>53</w:t>
            </w:r>
          </w:p>
        </w:tc>
      </w:tr>
      <w:tr>
        <w:trPr>
          <w:trHeight w:val="161"/>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绿地与开敞空间用地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0.22</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1.3</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3.19</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1.</w:t>
            </w:r>
            <w:r>
              <w:rPr>
                <w:rFonts w:hint="eastAsia"/>
                <w:kern w:val="0"/>
                <w:sz w:val="21"/>
                <w:szCs w:val="21"/>
                <w:lang w:val="en-US" w:eastAsia="zh-CN"/>
              </w:rPr>
              <w:t>54</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hint="eastAsia"/>
                <w:kern w:val="0"/>
                <w:sz w:val="21"/>
                <w:szCs w:val="21"/>
                <w:lang w:eastAsia="zh-CN"/>
              </w:rPr>
            </w:pPr>
            <w:r>
              <w:rPr>
                <w:rFonts w:hint="eastAsia"/>
                <w:kern w:val="0"/>
                <w:sz w:val="21"/>
                <w:szCs w:val="21"/>
                <w:lang w:val="en-US" w:eastAsia="zh-CN"/>
              </w:rPr>
              <w:t>6</w:t>
            </w:r>
            <w:r>
              <w:rPr>
                <w:rFonts w:hint="eastAsia"/>
                <w:kern w:val="0"/>
                <w:sz w:val="21"/>
                <w:szCs w:val="21"/>
              </w:rPr>
              <w:t>.</w:t>
            </w:r>
            <w:r>
              <w:rPr>
                <w:rFonts w:hint="eastAsia"/>
                <w:kern w:val="0"/>
                <w:sz w:val="21"/>
                <w:szCs w:val="21"/>
                <w:lang w:val="en-US" w:eastAsia="zh-CN"/>
              </w:rPr>
              <w:t>5</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1</w:t>
            </w:r>
            <w:r>
              <w:rPr>
                <w:rFonts w:hint="eastAsia"/>
                <w:kern w:val="0"/>
                <w:sz w:val="21"/>
                <w:szCs w:val="21"/>
                <w:lang w:val="en-US" w:eastAsia="zh-CN"/>
              </w:rPr>
              <w:t>3.20</w:t>
            </w:r>
          </w:p>
        </w:tc>
      </w:tr>
      <w:tr>
        <w:trPr>
          <w:trHeight w:val="261"/>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特殊用地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0.1</w:t>
            </w:r>
            <w:r>
              <w:rPr>
                <w:kern w:val="0"/>
                <w:sz w:val="21"/>
                <w:szCs w:val="21"/>
              </w:rPr>
              <w:t>5</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w:t>
            </w:r>
            <w:r>
              <w:rPr>
                <w:kern w:val="0"/>
                <w:sz w:val="21"/>
                <w:szCs w:val="21"/>
              </w:rPr>
              <w:t>9</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kern w:val="0"/>
                <w:sz w:val="21"/>
                <w:szCs w:val="21"/>
              </w:rPr>
              <w:t>2.23</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hint="eastAsia"/>
                <w:kern w:val="0"/>
                <w:sz w:val="21"/>
                <w:szCs w:val="21"/>
                <w:lang w:eastAsia="zh-CN"/>
              </w:rPr>
            </w:pPr>
            <w:r>
              <w:rPr>
                <w:rFonts w:hint="eastAsia"/>
                <w:kern w:val="0"/>
                <w:sz w:val="21"/>
                <w:szCs w:val="21"/>
              </w:rPr>
              <w:t>0.2</w:t>
            </w:r>
            <w:r>
              <w:rPr>
                <w:rFonts w:hint="eastAsia"/>
                <w:kern w:val="0"/>
                <w:sz w:val="21"/>
                <w:szCs w:val="21"/>
                <w:lang w:val="en-US" w:eastAsia="zh-CN"/>
              </w:rPr>
              <w:t>1</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0.9</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1.8</w:t>
            </w:r>
            <w:r>
              <w:rPr>
                <w:rFonts w:hint="eastAsia"/>
                <w:kern w:val="0"/>
                <w:sz w:val="21"/>
                <w:szCs w:val="21"/>
                <w:lang w:val="en-US" w:eastAsia="zh-CN"/>
              </w:rPr>
              <w:t>2</w:t>
            </w:r>
            <w:r>
              <w:rPr>
                <w:rFonts w:hint="eastAsia"/>
                <w:kern w:val="0"/>
                <w:sz w:val="21"/>
                <w:szCs w:val="21"/>
              </w:rPr>
              <w:t xml:space="preserve"> </w:t>
            </w:r>
          </w:p>
        </w:tc>
      </w:tr>
      <w:tr>
        <w:trPr>
          <w:trHeight w:val="315"/>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留白用地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rPr>
              <w:t>—</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rPr>
              <w:t>0.</w:t>
            </w:r>
            <w:r>
              <w:rPr>
                <w:rFonts w:hint="eastAsia"/>
                <w:kern w:val="0"/>
                <w:sz w:val="21"/>
                <w:szCs w:val="21"/>
                <w:lang w:val="en-US" w:eastAsia="zh-CN"/>
              </w:rPr>
              <w:t>22</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kern w:val="0"/>
                <w:sz w:val="21"/>
                <w:szCs w:val="21"/>
                <w:lang w:val="en-US" w:eastAsia="zh-CN"/>
              </w:rPr>
            </w:pPr>
            <w:r>
              <w:rPr>
                <w:rFonts w:hint="eastAsia"/>
                <w:kern w:val="0"/>
                <w:sz w:val="21"/>
                <w:szCs w:val="21"/>
                <w:lang w:val="en-US" w:eastAsia="zh-CN"/>
              </w:rPr>
              <w:t>0.9</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kern w:val="0"/>
                <w:sz w:val="21"/>
                <w:szCs w:val="21"/>
              </w:rPr>
            </w:pPr>
            <w:r>
              <w:rPr>
                <w:rFonts w:hint="eastAsia"/>
                <w:kern w:val="0"/>
                <w:sz w:val="21"/>
                <w:szCs w:val="21"/>
                <w:lang w:val="en-US" w:eastAsia="zh-CN"/>
              </w:rPr>
              <w:t>1.89</w:t>
            </w:r>
            <w:r>
              <w:rPr>
                <w:rFonts w:hint="eastAsia"/>
                <w:kern w:val="0"/>
                <w:sz w:val="21"/>
                <w:szCs w:val="21"/>
              </w:rPr>
              <w:t xml:space="preserve"> </w:t>
            </w:r>
          </w:p>
        </w:tc>
      </w:tr>
      <w:tr>
        <w:trPr>
          <w:trHeight w:val="90"/>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其他用地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0</w:t>
            </w:r>
            <w:r>
              <w:rPr>
                <w:kern w:val="0"/>
                <w:sz w:val="21"/>
                <w:szCs w:val="21"/>
              </w:rPr>
              <w:t>.33</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2</w:t>
            </w:r>
            <w:r>
              <w:rPr>
                <w:kern w:val="0"/>
                <w:sz w:val="21"/>
                <w:szCs w:val="21"/>
              </w:rPr>
              <w:t>.0</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4</w:t>
            </w:r>
            <w:r>
              <w:rPr>
                <w:kern w:val="0"/>
                <w:sz w:val="21"/>
                <w:szCs w:val="21"/>
              </w:rPr>
              <w:t>.88</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hint="eastAsia"/>
                <w:kern w:val="0"/>
                <w:sz w:val="21"/>
                <w:szCs w:val="21"/>
              </w:rPr>
            </w:pPr>
            <w:r>
              <w:rPr>
                <w:rFonts w:hint="eastAsia"/>
                <w:kern w:val="0"/>
                <w:sz w:val="21"/>
                <w:szCs w:val="21"/>
              </w:rPr>
              <w:t>—</w:t>
            </w:r>
          </w:p>
        </w:tc>
      </w:tr>
      <w:tr>
        <w:trPr>
          <w:trHeight w:val="415"/>
        </w:trPr>
        <w:tc>
          <w:tcPr>
            <w:tcW w:w="2426" w:type="dxa"/>
            <w:tcBorders>
              <w:top w:val="single" w:sz="4" w:space="0" w:color="auto"/>
              <w:left w:val="single" w:sz="4" w:space="0" w:color="auto"/>
              <w:right w:val="single" w:sz="4" w:space="0" w:color="auto"/>
            </w:tcBorders>
            <w:noWrap/>
            <w:vAlign w:val="center"/>
          </w:tcPr>
          <w:p>
            <w:pPr>
              <w:spacing w:line="240" w:lineRule="auto"/>
              <w:ind w:firstLine="0"/>
              <w:jc w:val="center"/>
              <w:rPr>
                <w:b/>
                <w:bCs/>
                <w:kern w:val="0"/>
                <w:sz w:val="21"/>
                <w:szCs w:val="21"/>
              </w:rPr>
            </w:pPr>
            <w:r>
              <w:rPr>
                <w:b/>
                <w:bCs/>
                <w:kern w:val="0"/>
                <w:sz w:val="21"/>
                <w:szCs w:val="21"/>
              </w:rPr>
              <w:t>城镇建设用地</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b/>
                <w:bCs/>
                <w:kern w:val="0"/>
                <w:sz w:val="21"/>
                <w:szCs w:val="21"/>
              </w:rPr>
            </w:pPr>
            <w:r>
              <w:rPr>
                <w:rFonts w:hint="eastAsia"/>
                <w:b/>
                <w:bCs/>
                <w:kern w:val="0"/>
                <w:sz w:val="21"/>
                <w:szCs w:val="21"/>
              </w:rPr>
              <w:t>16.25</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b/>
                <w:bCs/>
                <w:kern w:val="0"/>
                <w:sz w:val="21"/>
                <w:szCs w:val="21"/>
              </w:rPr>
            </w:pPr>
            <w:r>
              <w:rPr>
                <w:rFonts w:hint="eastAsia"/>
                <w:b/>
                <w:bCs/>
                <w:kern w:val="0"/>
                <w:sz w:val="21"/>
                <w:szCs w:val="21"/>
              </w:rPr>
              <w:t>100</w:t>
            </w:r>
          </w:p>
        </w:tc>
        <w:tc>
          <w:tcPr>
            <w:tcW w:w="1032" w:type="dxa"/>
            <w:tcBorders>
              <w:top w:val="single" w:sz="4" w:space="0" w:color="auto"/>
              <w:left w:val="single" w:sz="4" w:space="0" w:color="auto"/>
              <w:right w:val="single" w:sz="4" w:space="0" w:color="auto"/>
            </w:tcBorders>
            <w:noWrap/>
            <w:vAlign w:val="center"/>
          </w:tcPr>
          <w:p>
            <w:pPr>
              <w:spacing w:line="240" w:lineRule="auto"/>
              <w:ind w:firstLine="0"/>
              <w:jc w:val="center"/>
              <w:rPr>
                <w:b/>
                <w:bCs/>
                <w:kern w:val="0"/>
                <w:sz w:val="21"/>
                <w:szCs w:val="21"/>
              </w:rPr>
            </w:pPr>
            <w:r>
              <w:rPr>
                <w:rFonts w:hint="eastAsia"/>
                <w:b/>
                <w:bCs/>
                <w:kern w:val="0"/>
                <w:sz w:val="21"/>
                <w:szCs w:val="21"/>
              </w:rPr>
              <w:t>240.71</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b/>
                <w:bCs/>
                <w:kern w:val="0"/>
                <w:sz w:val="21"/>
                <w:szCs w:val="21"/>
                <w:lang w:val="en-US" w:eastAsia="zh-CN"/>
              </w:rPr>
            </w:pPr>
            <w:r>
              <w:rPr>
                <w:rFonts w:hint="eastAsia"/>
                <w:b/>
                <w:bCs/>
                <w:kern w:val="0"/>
                <w:sz w:val="21"/>
                <w:szCs w:val="21"/>
              </w:rPr>
              <w:t>23.</w:t>
            </w:r>
            <w:r>
              <w:rPr>
                <w:rFonts w:hint="eastAsia"/>
                <w:b/>
                <w:bCs/>
                <w:kern w:val="0"/>
                <w:sz w:val="21"/>
                <w:szCs w:val="21"/>
                <w:lang w:val="en-US" w:eastAsia="zh-CN"/>
              </w:rPr>
              <w:t>52</w:t>
            </w:r>
          </w:p>
        </w:tc>
        <w:tc>
          <w:tcPr>
            <w:tcW w:w="1030"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b/>
                <w:bCs/>
                <w:kern w:val="0"/>
                <w:sz w:val="21"/>
                <w:szCs w:val="21"/>
                <w:lang w:val="en-US" w:eastAsia="zh-CN"/>
              </w:rPr>
            </w:pPr>
            <w:r>
              <w:rPr>
                <w:rFonts w:hint="eastAsia"/>
                <w:b/>
                <w:bCs/>
                <w:kern w:val="0"/>
                <w:sz w:val="21"/>
                <w:szCs w:val="21"/>
                <w:lang w:val="en-US" w:eastAsia="zh-CN"/>
              </w:rPr>
              <w:t>100</w:t>
            </w:r>
          </w:p>
        </w:tc>
        <w:tc>
          <w:tcPr>
            <w:tcW w:w="991" w:type="dxa"/>
            <w:tcBorders>
              <w:top w:val="single" w:sz="4" w:space="0" w:color="auto"/>
              <w:left w:val="single" w:sz="4" w:space="0" w:color="auto"/>
              <w:right w:val="single" w:sz="4" w:space="0" w:color="auto"/>
            </w:tcBorders>
            <w:noWrap/>
            <w:vAlign w:val="center"/>
          </w:tcPr>
          <w:p>
            <w:pPr>
              <w:spacing w:line="240" w:lineRule="auto"/>
              <w:ind w:firstLine="0"/>
              <w:jc w:val="center"/>
              <w:rPr>
                <w:rFonts w:eastAsia="仿宋_GB2312"/>
                <w:b/>
                <w:bCs/>
                <w:kern w:val="0"/>
                <w:sz w:val="21"/>
                <w:szCs w:val="21"/>
                <w:lang w:val="en-US" w:eastAsia="zh-CN"/>
              </w:rPr>
            </w:pPr>
            <w:r>
              <w:rPr>
                <w:rFonts w:hint="eastAsia"/>
                <w:b/>
                <w:bCs/>
                <w:kern w:val="0"/>
                <w:sz w:val="21"/>
                <w:szCs w:val="21"/>
              </w:rPr>
              <w:t>20</w:t>
            </w:r>
            <w:r>
              <w:rPr>
                <w:rFonts w:hint="eastAsia"/>
                <w:b/>
                <w:bCs/>
                <w:kern w:val="0"/>
                <w:sz w:val="21"/>
                <w:szCs w:val="21"/>
                <w:lang w:val="en-US" w:eastAsia="zh-CN"/>
              </w:rPr>
              <w:t>0</w:t>
            </w:r>
            <w:r>
              <w:rPr>
                <w:rFonts w:hint="eastAsia"/>
                <w:b/>
                <w:bCs/>
                <w:kern w:val="0"/>
                <w:sz w:val="21"/>
                <w:szCs w:val="21"/>
              </w:rPr>
              <w:t>.</w:t>
            </w:r>
            <w:r>
              <w:rPr>
                <w:rFonts w:hint="eastAsia"/>
                <w:b/>
                <w:bCs/>
                <w:kern w:val="0"/>
                <w:sz w:val="21"/>
                <w:szCs w:val="21"/>
                <w:lang w:val="en-US" w:eastAsia="zh-CN"/>
              </w:rPr>
              <w:t>99</w:t>
            </w:r>
          </w:p>
        </w:tc>
      </w:tr>
    </w:tbl>
    <w:p>
      <w:pPr>
        <w:pStyle w:val="22"/>
        <w:spacing w:before="120"/>
        <w:ind w:left="403" w:firstLine="0"/>
        <w:rPr>
          <w:rFonts w:ascii="仿宋" w:eastAsia="仿宋" w:hAnsi="仿宋" w:hint="eastAsia"/>
          <w:sz w:val="28"/>
        </w:rPr>
      </w:pPr>
    </w:p>
    <w:p>
      <w:pPr>
        <w:pStyle w:val="39"/>
        <w:rPr>
          <w:rFonts w:ascii="黑体" w:eastAsia="黑体" w:hAnsi="黑体" w:hint="eastAsia"/>
          <w:sz w:val="32"/>
          <w:szCs w:val="32"/>
        </w:rPr>
      </w:pPr>
      <w:r>
        <w:rPr>
          <w:rFonts w:ascii="仿宋" w:eastAsia="仿宋" w:hAnsi="仿宋" w:hint="eastAsia"/>
          <w:sz w:val="28"/>
        </w:rPr>
        <w:br w:type="page"/>
      </w:r>
      <w:r>
        <w:rPr>
          <w:rFonts w:ascii="黑体" w:eastAsia="黑体" w:hAnsi="黑体" w:hint="eastAsia"/>
          <w:sz w:val="32"/>
          <w:szCs w:val="32"/>
        </w:rPr>
        <w:t>附表1</w:t>
      </w:r>
      <w:r>
        <w:rPr>
          <w:rFonts w:ascii="黑体" w:eastAsia="黑体" w:hAnsi="黑体"/>
          <w:sz w:val="32"/>
          <w:szCs w:val="32"/>
        </w:rPr>
        <w:t>2</w:t>
      </w:r>
    </w:p>
    <w:p>
      <w:pPr>
        <w:pStyle w:val="22"/>
        <w:adjustRightInd w:val="0"/>
        <w:spacing w:before="120" w:line="324" w:lineRule="auto"/>
        <w:ind w:left="0" w:firstLine="0"/>
        <w:jc w:val="center"/>
        <w:rPr>
          <w:rFonts w:ascii="黑体" w:cs="黑体" w:hAnsi="黑体" w:hint="eastAsia"/>
          <w:sz w:val="30"/>
          <w:szCs w:val="30"/>
        </w:rPr>
      </w:pPr>
      <w:r>
        <w:rPr>
          <w:rFonts w:ascii="黑体" w:cs="黑体" w:hAnsi="黑体" w:hint="eastAsia"/>
          <w:sz w:val="30"/>
          <w:szCs w:val="30"/>
        </w:rPr>
        <w:t>“十四五”重点建设项目一览表</w:t>
      </w:r>
    </w:p>
    <w:p>
      <w:pPr>
        <w:jc w:val="right"/>
        <w:rPr>
          <w:rFonts w:hint="eastAsia"/>
        </w:rPr>
      </w:pPr>
      <w:r>
        <w:rPr>
          <w:bCs/>
          <w:sz w:val="24"/>
        </w:rPr>
        <w:t>单位：平方米</w:t>
      </w:r>
    </w:p>
    <w:tbl>
      <w:tblPr>
        <w:jc w:val="left"/>
        <w:tblInd w:w="0" w:type="dxa"/>
        <w:tblW w:w="852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42"/>
        <w:gridCol w:w="929"/>
        <w:gridCol w:w="1880"/>
        <w:gridCol w:w="799"/>
        <w:gridCol w:w="1156"/>
        <w:gridCol w:w="900"/>
        <w:gridCol w:w="943"/>
        <w:gridCol w:w="1473"/>
      </w:tblGrid>
      <w:tr>
        <w:trPr>
          <w:trHeight w:val="615"/>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color w:val="000000"/>
                <w:sz w:val="21"/>
                <w:szCs w:val="21"/>
              </w:rPr>
            </w:pPr>
            <w:r>
              <w:rPr>
                <w:rFonts w:ascii="黑体" w:eastAsia="黑体" w:cs="黑体" w:hAnsi="宋体" w:hint="eastAsia"/>
                <w:color w:val="000000"/>
                <w:kern w:val="0"/>
                <w:sz w:val="21"/>
                <w:szCs w:val="21"/>
              </w:rPr>
              <w:t>序号</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项目类型</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项目名称</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建设性质</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建设年限</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用地规模</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新增建设用地</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黑体" w:eastAsia="黑体" w:cs="黑体" w:hAnsi="宋体" w:hint="eastAsia"/>
                <w:color w:val="000000"/>
                <w:sz w:val="21"/>
                <w:szCs w:val="21"/>
              </w:rPr>
            </w:pPr>
            <w:r>
              <w:rPr>
                <w:rFonts w:ascii="黑体" w:eastAsia="黑体" w:cs="黑体" w:hAnsi="宋体" w:hint="eastAsia"/>
                <w:color w:val="000000"/>
                <w:kern w:val="0"/>
                <w:sz w:val="21"/>
                <w:szCs w:val="21"/>
              </w:rPr>
              <w:t>所在位置</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电力设施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矿峰风电项目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23310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23310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西王舍村西</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电力设施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储能发电项目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53280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53280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原神池洗煤厂</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智能康复创新科技园项目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86580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86580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丰达二期</w:t>
            </w:r>
          </w:p>
        </w:tc>
      </w:tr>
      <w:tr>
        <w:trPr>
          <w:trHeight w:val="92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豫和电器成套电器项目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33300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33300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白彪村西（加气站西）或冯家沟村原清源洗煤厂</w:t>
            </w:r>
          </w:p>
        </w:tc>
      </w:tr>
      <w:tr>
        <w:trPr>
          <w:trHeight w:val="78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电力设施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矿区冶金新材料工业园线路新建工程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2023年</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冶金新材料工业园园区内</w:t>
            </w:r>
          </w:p>
        </w:tc>
      </w:tr>
      <w:tr>
        <w:trPr>
          <w:trHeight w:val="52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电力设施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南北寨571线路南寨村低压线路改造工程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2023年</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南寨村</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7</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乐淇高端装备智造未来城  </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35.3公顷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8</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教育设施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石家庄数字经济职业学院</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33.3公顷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26公顷</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6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9</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公园绿地</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河北泰运生态农业发展有限责任公司太阳花园生态农业旅游休闲康养项目 </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21.7公顷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10公顷</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10</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公园绿地</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清凉山提档升级 </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11</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商业商务设施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贾庄镇菊花文旅产业示范区建设项目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36.6公顷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5公顷</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12</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鑫鸿二期</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10公顷</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13</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商业商务设施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太古清溪商业街运行，民宿建设</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14</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排涝设施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小作河支流改造</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15</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建豪物流园</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5.86公顷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3公顷</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16</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新王舍储煤基地</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24公顷</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_</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17</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乐淇高端装备智造未来城</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333000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333000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贾凤路以东、北纬西路以北</w:t>
            </w:r>
          </w:p>
        </w:tc>
      </w:tr>
      <w:tr>
        <w:trPr>
          <w:trHeight w:val="96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18</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新晶地块引进项目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贾凤路与鑫跃路交叉路口东南侧</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19</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宏煅（河北）机械装备制造有限公司机械零部件智能一体化生产项目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40000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40000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工业园区东区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井陉矿区装备产业园基础设施项目（常恒）</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666000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446220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工业园区西区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21</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鑫跃地块引进项目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339488</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贾凤路西侧工业大道南侧</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22</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神池地块引进项目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66654</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61136</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贾凤路西侧工业大道北侧</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23</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石家庄骁隆物业管理有限责任公司冶金材料资源化利用项目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40000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40000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工业园区西区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24</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工业园区东区基础设施建设项目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215244.61</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149332</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工业园区东区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25</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工业园区综合服务中心(保障性住房）</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19980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19980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贾凤路以东、北纬西路以北</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26</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河北晟昊新材料科技有限公司新型节能系统装配材料生产项目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2022</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61570.26</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工业园区东区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27</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石家庄市矿区丰旺机械有限公司机械设备及配件智能化生产加工项目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2022</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15994.41</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区工业园区东区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28</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石家庄煜工精密科技有限公司工业母机精密零部件生产加工项目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2022</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34554.01</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工业园区东区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29</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石家庄赛澳泵业有限公司高耐磨材料渣浆泵及配件项目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续建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2022</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13108.23</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工业园区东区</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0</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商业商务设施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冀中能源井矿集团中纬路文化综合体项目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2025</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2027</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9505.21</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0.00 </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中纬东路北</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1</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省级煤炭应急保障储运中心提升项目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2024</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184488.91</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0.00 </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中王舍村北</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2</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冀中能源井矿集团高端装备制造项目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2024</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239708.62</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0.00 </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中王舍村北</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3</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冀中能源井矿集团硝酸盐研发中心</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2024</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120946.19</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71635.00 </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凤山镇凤凰路两侧</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4</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工业和物流产业</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波纹钢制造生产线搬迁项目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93560.00 </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 xml:space="preserve">60505.00 </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西环旅游路东侧</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5</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商业商务设施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山东北仁汇智能源有限公司智慧消防城市BOF项目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2023年</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2025年</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97亩（64667</w:t>
            </w:r>
            <w:r>
              <w:rPr>
                <w:rStyle w:val="77"/>
                <w:sz w:val="21"/>
                <w:szCs w:val="21"/>
              </w:rPr>
              <w:t>平方米</w:t>
            </w:r>
            <w:r>
              <w:rPr>
                <w:rStyle w:val="78"/>
                <w:rFonts w:hAnsi="宋体"/>
                <w:sz w:val="21"/>
                <w:szCs w:val="21"/>
              </w:rPr>
              <w:t>）</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原公立医院地块</w:t>
            </w:r>
          </w:p>
        </w:tc>
      </w:tr>
      <w:tr>
        <w:trPr>
          <w:trHeight w:val="6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6</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商业商务设施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天津鲁际国际贸易有限公司商务酒店项目</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2023年</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2025年</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28.58亩（19053</w:t>
            </w:r>
            <w:r>
              <w:rPr>
                <w:rStyle w:val="77"/>
                <w:sz w:val="21"/>
                <w:szCs w:val="21"/>
              </w:rPr>
              <w:t>平方米</w:t>
            </w:r>
            <w:r>
              <w:rPr>
                <w:rStyle w:val="78"/>
                <w:rFonts w:hAnsi="宋体"/>
                <w:sz w:val="21"/>
                <w:szCs w:val="21"/>
              </w:rPr>
              <w:t>）</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电力局西侧地块</w:t>
            </w:r>
          </w:p>
        </w:tc>
      </w:tr>
      <w:tr>
        <w:trPr>
          <w:trHeight w:val="1115"/>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7</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消防设施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矿区二站</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2025</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6800</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6800</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color w:val="000000"/>
                <w:sz w:val="21"/>
                <w:szCs w:val="21"/>
                <w:lang w:val="en-US" w:eastAsia="zh-CN"/>
              </w:rPr>
            </w:pPr>
            <w:r>
              <w:rPr>
                <w:rFonts w:ascii="仿宋_GB2312" w:cs="仿宋_GB2312" w:hAnsi="宋体" w:hint="eastAsia"/>
                <w:color w:val="000000"/>
                <w:kern w:val="0"/>
                <w:sz w:val="21"/>
                <w:szCs w:val="21"/>
                <w:lang w:val="en-US" w:eastAsia="zh-CN"/>
              </w:rPr>
              <w:t>神池洗煤厂西侧</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3</w:t>
            </w:r>
            <w:r>
              <w:rPr>
                <w:rFonts w:ascii="仿宋_GB2312" w:cs="仿宋_GB2312" w:hAnsi="宋体" w:hint="eastAsia"/>
                <w:color w:val="000000"/>
                <w:kern w:val="0"/>
                <w:sz w:val="21"/>
                <w:szCs w:val="21"/>
                <w:lang w:val="en-US" w:eastAsia="zh-CN"/>
              </w:rPr>
              <w:t>8</w:t>
            </w:r>
          </w:p>
        </w:tc>
        <w:tc>
          <w:tcPr>
            <w:tcW w:w="929" w:type="dxa"/>
            <w:vMerge w:val="restart"/>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vMerge w:val="restart"/>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井陉矿区北环物流通道(东段) 工程</w:t>
            </w:r>
          </w:p>
        </w:tc>
        <w:tc>
          <w:tcPr>
            <w:tcW w:w="799" w:type="dxa"/>
            <w:vMerge w:val="restart"/>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vMerge w:val="restart"/>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2021</w:t>
            </w:r>
          </w:p>
        </w:tc>
        <w:tc>
          <w:tcPr>
            <w:tcW w:w="900" w:type="dxa"/>
            <w:vMerge w:val="restart"/>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131554</w:t>
            </w:r>
          </w:p>
        </w:tc>
        <w:tc>
          <w:tcPr>
            <w:tcW w:w="943" w:type="dxa"/>
            <w:vMerge w:val="restart"/>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131554</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横涧乡</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color w:val="000000"/>
                <w:sz w:val="21"/>
                <w:szCs w:val="21"/>
                <w:lang w:val="en-US" w:eastAsia="zh-CN"/>
              </w:rPr>
            </w:pPr>
            <w:r>
              <w:rPr>
                <w:rFonts w:ascii="仿宋_GB2312" w:cs="仿宋_GB2312" w:hAnsi="宋体" w:hint="eastAsia"/>
                <w:color w:val="000000"/>
                <w:kern w:val="0"/>
                <w:sz w:val="21"/>
                <w:szCs w:val="21"/>
                <w:lang w:val="en-US" w:eastAsia="zh-CN"/>
              </w:rPr>
              <w:t>39</w:t>
            </w:r>
          </w:p>
        </w:tc>
        <w:tc>
          <w:tcPr>
            <w:tcW w:w="929" w:type="dxa"/>
            <w:vMerge/>
            <w:tcBorders>
              <w:top w:val="single" w:sz="4" w:space="0" w:color="000000"/>
              <w:left w:val="single" w:sz="4" w:space="0" w:color="000000"/>
              <w:bottom w:val="single" w:sz="4" w:space="0" w:color="000000"/>
              <w:right w:val="single" w:sz="4" w:space="0" w:color="000000"/>
            </w:tcBorders>
            <w:noWrap/>
            <w:vAlign w:val="center"/>
          </w:tcPr>
          <w:p/>
        </w:tc>
        <w:tc>
          <w:tcPr>
            <w:tcW w:w="1880" w:type="dxa"/>
            <w:vMerge/>
            <w:tcBorders>
              <w:top w:val="single" w:sz="4" w:space="0" w:color="000000"/>
              <w:left w:val="single" w:sz="4" w:space="0" w:color="000000"/>
              <w:bottom w:val="single" w:sz="4" w:space="0" w:color="000000"/>
              <w:right w:val="single" w:sz="4" w:space="0" w:color="000000"/>
            </w:tcBorders>
            <w:noWrap/>
            <w:vAlign w:val="center"/>
          </w:tcPr>
          <w:p/>
        </w:tc>
        <w:tc>
          <w:tcPr>
            <w:tcW w:w="799" w:type="dxa"/>
            <w:vMerge/>
            <w:tcBorders>
              <w:top w:val="single" w:sz="4" w:space="0" w:color="000000"/>
              <w:left w:val="single" w:sz="4" w:space="0" w:color="000000"/>
              <w:bottom w:val="single" w:sz="4" w:space="0" w:color="000000"/>
              <w:right w:val="single" w:sz="4" w:space="0" w:color="000000"/>
            </w:tcBorders>
            <w:noWrap/>
            <w:vAlign w:val="center"/>
          </w:tcPr>
          <w:p/>
        </w:tc>
        <w:tc>
          <w:tcPr>
            <w:tcW w:w="1156" w:type="dxa"/>
            <w:vMerge/>
            <w:tcBorders>
              <w:top w:val="single" w:sz="4" w:space="0" w:color="000000"/>
              <w:left w:val="single" w:sz="4" w:space="0" w:color="000000"/>
              <w:bottom w:val="single" w:sz="4" w:space="0" w:color="000000"/>
              <w:right w:val="single" w:sz="4" w:space="0" w:color="000000"/>
            </w:tcBorders>
            <w:noWrap/>
            <w:vAlign w:val="center"/>
          </w:tcPr>
          <w:p/>
        </w:tc>
        <w:tc>
          <w:tcPr>
            <w:tcW w:w="900" w:type="dxa"/>
            <w:vMerge/>
            <w:tcBorders>
              <w:top w:val="single" w:sz="4" w:space="0" w:color="000000"/>
              <w:left w:val="single" w:sz="4" w:space="0" w:color="000000"/>
              <w:bottom w:val="single" w:sz="4" w:space="0" w:color="000000"/>
              <w:right w:val="single" w:sz="4" w:space="0" w:color="000000"/>
            </w:tcBorders>
            <w:noWrap/>
            <w:vAlign w:val="center"/>
          </w:tcPr>
          <w:p/>
        </w:tc>
        <w:tc>
          <w:tcPr>
            <w:tcW w:w="943" w:type="dxa"/>
            <w:vMerge/>
            <w:tcBorders>
              <w:top w:val="single" w:sz="4" w:space="0" w:color="000000"/>
              <w:left w:val="single" w:sz="4" w:space="0" w:color="000000"/>
              <w:bottom w:val="single" w:sz="4" w:space="0" w:color="000000"/>
              <w:right w:val="single" w:sz="4" w:space="0" w:color="000000"/>
            </w:tcBorders>
            <w:noWrap/>
            <w:vAlign w:val="center"/>
          </w:tc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0</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井陉矿区北环物流通道(贾庄段)工程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2021</w:t>
            </w:r>
            <w:r>
              <w:rPr>
                <w:rFonts w:ascii="仿宋_GB2312" w:cs="仿宋_GB2312" w:hAnsi="宋体" w:hint="eastAsia"/>
                <w:color w:val="000000"/>
                <w:kern w:val="0"/>
                <w:sz w:val="21"/>
                <w:szCs w:val="21"/>
              </w:rPr>
              <w:t>—</w:t>
            </w:r>
            <w:r>
              <w:rPr>
                <w:rFonts w:ascii="仿宋_GB2312" w:cs="仿宋_GB2312" w:hAnsi="宋体"/>
                <w:color w:val="000000"/>
                <w:kern w:val="0"/>
                <w:sz w:val="21"/>
                <w:szCs w:val="21"/>
              </w:rPr>
              <w:t>2022</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54635.3</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54635.3</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1</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贾天线及支线路面改造工程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改造</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2021</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43527</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凤山镇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2</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工业大道大修提升工程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改造</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2020</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4352.7</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3</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井陉矿区贾凤路南延工程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2021</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27905</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26932</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凤山镇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4</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井陉矿区新王舍、北寨村农村公路改造工程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改造</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9574</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5</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井陉矿区石钢路北延工程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新建</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110547.2</w:t>
            </w: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110547.2</w:t>
            </w: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贾庄镇</w:t>
            </w:r>
          </w:p>
        </w:tc>
      </w:tr>
      <w:tr>
        <w:trPr>
          <w:trHeight w:val="300"/>
        </w:trPr>
        <w:tc>
          <w:tcPr>
            <w:tcW w:w="442"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eastAsia="仿宋_GB2312" w:cs="仿宋_GB2312" w:hAnsi="宋体" w:hint="eastAsia"/>
                <w:color w:val="000000"/>
                <w:sz w:val="21"/>
                <w:szCs w:val="21"/>
                <w:lang w:eastAsia="zh-CN"/>
              </w:rPr>
            </w:pPr>
            <w:r>
              <w:rPr>
                <w:rFonts w:ascii="仿宋_GB2312" w:cs="仿宋_GB2312" w:hAnsi="宋体"/>
                <w:color w:val="000000"/>
                <w:kern w:val="0"/>
                <w:sz w:val="21"/>
                <w:szCs w:val="21"/>
              </w:rPr>
              <w:t>4</w:t>
            </w:r>
            <w:r>
              <w:rPr>
                <w:rFonts w:ascii="仿宋_GB2312" w:cs="仿宋_GB2312" w:hAnsi="宋体" w:hint="eastAsia"/>
                <w:color w:val="000000"/>
                <w:kern w:val="0"/>
                <w:sz w:val="21"/>
                <w:szCs w:val="21"/>
                <w:lang w:val="en-US" w:eastAsia="zh-CN"/>
              </w:rPr>
              <w:t>6</w:t>
            </w:r>
          </w:p>
        </w:tc>
        <w:tc>
          <w:tcPr>
            <w:tcW w:w="92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交通设施</w:t>
            </w:r>
          </w:p>
        </w:tc>
        <w:tc>
          <w:tcPr>
            <w:tcW w:w="188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textAlignment w:val="center"/>
              <w:rPr>
                <w:rFonts w:ascii="仿宋_GB2312" w:cs="仿宋_GB2312" w:hAnsi="宋体"/>
                <w:color w:val="000000"/>
                <w:sz w:val="21"/>
                <w:szCs w:val="21"/>
              </w:rPr>
            </w:pPr>
            <w:r>
              <w:rPr>
                <w:rFonts w:ascii="仿宋_GB2312" w:cs="仿宋_GB2312" w:hAnsi="宋体"/>
                <w:color w:val="000000"/>
                <w:kern w:val="0"/>
                <w:sz w:val="21"/>
                <w:szCs w:val="21"/>
              </w:rPr>
              <w:t>云凤路道路改造工程</w:t>
            </w:r>
          </w:p>
        </w:tc>
        <w:tc>
          <w:tcPr>
            <w:tcW w:w="799"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改造</w:t>
            </w:r>
          </w:p>
        </w:tc>
        <w:tc>
          <w:tcPr>
            <w:tcW w:w="1156"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2023</w:t>
            </w:r>
          </w:p>
        </w:tc>
        <w:tc>
          <w:tcPr>
            <w:tcW w:w="900"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94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rPr>
                <w:rFonts w:ascii="仿宋_GB2312" w:cs="仿宋_GB2312" w:hAnsi="宋体"/>
                <w:color w:val="000000"/>
                <w:sz w:val="21"/>
                <w:szCs w:val="21"/>
              </w:rPr>
            </w:pPr>
          </w:p>
        </w:tc>
        <w:tc>
          <w:tcPr>
            <w:tcW w:w="1473" w:type="dxa"/>
            <w:tcBorders>
              <w:top w:val="single" w:sz="4" w:space="0" w:color="000000"/>
              <w:left w:val="single" w:sz="4" w:space="0" w:color="000000"/>
              <w:bottom w:val="single" w:sz="4" w:space="0" w:color="000000"/>
              <w:right w:val="single" w:sz="4" w:space="0" w:color="000000"/>
            </w:tcBorders>
            <w:noWrap/>
            <w:vAlign w:val="center"/>
          </w:tcPr>
          <w:p>
            <w:pPr>
              <w:spacing w:line="240" w:lineRule="auto"/>
              <w:ind w:firstLine="0"/>
              <w:jc w:val="center"/>
              <w:textAlignment w:val="center"/>
              <w:rPr>
                <w:rFonts w:ascii="仿宋_GB2312" w:cs="仿宋_GB2312" w:hAnsi="宋体"/>
                <w:color w:val="000000"/>
                <w:sz w:val="21"/>
                <w:szCs w:val="21"/>
              </w:rPr>
            </w:pPr>
            <w:r>
              <w:rPr>
                <w:rFonts w:ascii="仿宋_GB2312" w:cs="仿宋_GB2312" w:hAnsi="宋体"/>
                <w:color w:val="000000"/>
                <w:kern w:val="0"/>
                <w:sz w:val="21"/>
                <w:szCs w:val="21"/>
              </w:rPr>
              <w:t>凤山镇</w:t>
            </w:r>
          </w:p>
        </w:tc>
      </w:tr>
    </w:tbl>
    <w:p>
      <w:pPr>
        <w:spacing w:before="120"/>
        <w:ind w:firstLine="640"/>
        <w:rPr>
          <w:rFonts w:hint="eastAsia"/>
        </w:rPr>
      </w:pPr>
    </w:p>
    <w:p>
      <w:pPr>
        <w:pStyle w:val="39"/>
        <w:rPr>
          <w:rFonts w:ascii="黑体" w:eastAsia="黑体" w:hAnsi="黑体"/>
          <w:sz w:val="32"/>
          <w:szCs w:val="32"/>
        </w:rPr>
      </w:pPr>
    </w:p>
    <w:p>
      <w:pPr>
        <w:rPr>
          <w:rFonts w:hint="eastAsia"/>
        </w:rPr>
      </w:pPr>
      <w:bookmarkEnd w:id="126"/>
    </w:p>
    <w:p>
      <w:pPr>
        <w:pStyle w:val="19"/>
        <w:rPr>
          <w:rFonts w:hint="eastAsia"/>
        </w:rPr>
      </w:pPr>
    </w:p>
    <w:sectPr>
      <w:footerReference w:type="default" r:id="rId3"/>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auto"/>
    <w:pitch w:val="variable"/>
    <w:sig w:usb0="00000001" w:usb1="080E0000" w:usb2="00000000" w:usb3="00000000" w:csb0="00040000" w:csb1="00000000"/>
  </w:font>
  <w:font w:name="黑体">
    <w:panose1 w:val="02010600030101010101"/>
    <w:charset w:val="86"/>
    <w:family w:val="auto"/>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等线">
    <w:altName w:val="Arial Unicode MS"/>
    <w:panose1 w:val="02010600030101010101"/>
    <w:charset w:val="86"/>
    <w:family w:val="auto"/>
    <w:pitch w:val="variable"/>
    <w:sig w:usb0="00000000" w:usb1="00000000" w:usb2="00000016" w:usb3="00000000" w:csb0="0004000F" w:csb1="00000000"/>
  </w:font>
  <w:font w:name="Times New Roman">
    <w:panose1 w:val="02020603050405020304"/>
    <w:charset w:val="86"/>
    <w:family w:val="auto"/>
    <w:pitch w:val="variable"/>
    <w:sig w:usb0="E0002AFF" w:usb1="C0007841" w:usb2="00000009" w:usb3="00000000" w:csb0="400001FF" w:csb1="FFFF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00" w:usb3="00000000" w:csb0="00040000" w:csb1="00000000"/>
  </w:font>
  <w:font w:name="华文细黑">
    <w:panose1 w:val="02010600040101010101"/>
    <w:charset w:val="86"/>
    <w:family w:val="auto"/>
    <w:pitch w:val="variable"/>
    <w:sig w:usb0="00000287" w:usb1="080F0000" w:usb2="00000000" w:usb3="00000000" w:csb0="0004009F" w:csb1="DFD70000"/>
  </w:font>
  <w:font w:name="宋体">
    <w:panose1 w:val="02010600030101010101"/>
    <w:charset w:val="7A"/>
    <w:family w:val="auto"/>
    <w:pitch w:val="variable"/>
    <w:sig w:usb0="00000003" w:usb1="288F0000" w:usb2="00000006" w:usb3="00000000" w:csb0="00040001" w:csb1="00000000"/>
  </w:font>
  <w:font w:name="Courier New">
    <w:panose1 w:val="02070309020205020404"/>
    <w:charset w:val="01"/>
    <w:family w:val="modern"/>
    <w:pitch w:val="variable"/>
    <w:sig w:usb0="E0002AFF" w:usb1="C0007843" w:usb2="00000009" w:usb3="00000000" w:csb0="400001FF" w:csb1="FFFF0000"/>
  </w:font>
  <w:font w:name="Arial">
    <w:panose1 w:val="020B0604020202020204"/>
    <w:charset w:val="01"/>
    <w:family w:val="swiss"/>
    <w:pitch w:val="variable"/>
    <w:sig w:usb0="E0002AFF" w:usb1="C0007843" w:usb2="00000009" w:usb3="00000000" w:csb0="400001FF" w:csb1="FFFF0000"/>
  </w:font>
  <w:font w:name="Calibri Light">
    <w:panose1 w:val="020F0302020204030204"/>
    <w:charset w:val="00"/>
    <w:family w:val="swiss"/>
    <w:pitch w:val="variable"/>
    <w:sig w:usb0="A00002EF" w:usb1="4000207B" w:usb2="00000000" w:usb3="00000000" w:csb0="2000019F" w:csb1="00000000"/>
  </w:font>
  <w:font w:name="Calibri">
    <w:panose1 w:val="020F0502020204030204"/>
    <w:charset w:val="00"/>
    <w:family w:val="swiss"/>
    <w:pitch w:val="variable"/>
    <w:sig w:usb0="E00002FF" w:usb1="4000ACFF" w:usb2="00000001" w:usb3="00000000" w:csb0="2000019F" w:csb1="00000000"/>
  </w:font>
  <w:font w:name="华文中宋">
    <w:panose1 w:val="02010600040101010101"/>
    <w:charset w:val="86"/>
    <w:family w:val="auto"/>
    <w:pitch w:val="variable"/>
    <w:sig w:usb0="00000287" w:usb1="080F0000" w:usb2="00000000" w:usb3="00000000" w:csb0="0004009F" w:csb1="DFD70000"/>
  </w:font>
  <w:font w:name="Cambria">
    <w:panose1 w:val="02040503050406030204"/>
    <w:charset w:val="00"/>
    <w:family w:val="roman"/>
    <w:pitch w:val="variable"/>
    <w:sig w:usb0="E00002FF" w:usb1="400004FF" w:usb2="00000000" w:usb3="00000000" w:csb0="2000019F" w:csb1="00000000"/>
  </w:font>
  <w:font w:name="等线 Light">
    <w:altName w:val="宋体"/>
    <w:panose1 w:val="02010600030101010101"/>
    <w:charset w:val="86"/>
    <w:family w:val="auto"/>
    <w:pitch w:val="variable"/>
    <w:sig w:usb0="00000000" w:usb1="00000000" w:usb2="00000016" w:usb3="00000000" w:csb0="0004000F"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33"/>
      <w:tabs>
        <w:tab w:val="center" w:pos="4153"/>
        <w:tab w:val="center" w:pos="4680"/>
        <w:tab w:val="right" w:pos="8306"/>
        <w:tab w:val="right" w:pos="9360"/>
      </w:tabs>
    </w:pPr>
    <w:r>
      <mc:AlternateContent>
        <mc:Choice Requires="wps">
          <w:drawing>
            <wp:anchor distT="0" distB="0" distL="114298" distR="114298" simplePos="0" relativeHeight="15" behindDoc="0" locked="0" layoutInCell="1" hidden="0" allowOverlap="1">
              <wp:simplePos x="0" y="0"/>
              <wp:positionH relativeFrom="margin">
                <wp:align>outside</wp:align>
              </wp:positionH>
              <wp:positionV relativeFrom="paragraph">
                <wp:posOffset>0</wp:posOffset>
              </wp:positionV>
              <wp:extent cx="647700" cy="233883"/>
              <wp:effectExtent l="0" t="0" r="0" b="0"/>
              <wp:wrapNone/>
              <wp:docPr id="1" name="文本框 4"/>
              <wp:cNvGraphicFramePr>
                <a:graphicFrameLocks noChangeAspect="0"/>
              </wp:cNvGraphicFramePr>
              <a:graphic>
                <a:graphicData uri="http://schemas.microsoft.com/office/word/2010/wordprocessingShape">
                  <wps:wsp>
                    <wps:cNvSpPr/>
                    <wps:spPr>
                      <a:xfrm rot="0">
                        <a:off x="0" y="0"/>
                        <a:ext cx="647700" cy="233883"/>
                      </a:xfrm>
                      <a:prstGeom prst="rect"/>
                      <a:noFill/>
                      <a:ln w="9525" cmpd="sng" cap="flat">
                        <a:noFill/>
                        <a:prstDash val="solid"/>
                        <a:round/>
                      </a:ln>
                    </wps:spPr>
                    <wps:txbx id="2">
                      <w:txbxContent>
                        <w:p>
                          <w:pPr>
                            <w:pStyle w:val="33"/>
                            <w:tabs>
                              <w:tab w:val="center" w:pos="4153"/>
                              <w:tab w:val="center" w:pos="4680"/>
                              <w:tab w:val="right" w:pos="8306"/>
                              <w:tab w:val="right" w:pos="9360"/>
                            </w:tabs>
                            <w:rPr>
                              <w:sz w:val="28"/>
                              <w:szCs w:val="28"/>
                            </w:rPr>
                          </w:pPr>
                          <w:r>
                            <w:rPr>
                              <w:sz w:val="28"/>
                              <w:szCs w:val="28"/>
                            </w:rPr>
                            <w:t>—</w:t>
                          </w:r>
                          <w:r>
                            <w:t xml:space="preserve"> </w:t>
                          </w:r>
                          <w:r>
                            <w:fldChar w:fldCharType="begin"/>
                          </w:r>
                          <w:r>
                            <w:instrText xml:space="preserve"> PAGE  \* MERGEFORMAT </w:instrText>
                          </w:r>
                          <w:r>
                            <w:fldChar w:fldCharType="separate"/>
                          </w:r>
                          <w:r>
                            <w:t>1</w:t>
                          </w:r>
                          <w:r>
                            <w:fldChar w:fldCharType="end"/>
                          </w:r>
                          <w:r>
                            <w:rPr>
                              <w:sz w:val="28"/>
                              <w:szCs w:val="28"/>
                            </w:rPr>
                            <w:t xml:space="preserve"> —</w:t>
                          </w:r>
                        </w:p>
                      </w:txbxContent>
                    </wps:txbx>
                    <wps:bodyPr vert="horz" wrap="none" lIns="0" tIns="0" rIns="0" bIns="0" anchor="t" anchorCtr="0" upright="0">
                      <a:spAutoFit/>
                    </wps:bodyPr>
                  </wps:wsp>
                </a:graphicData>
              </a:graphic>
            </wp:anchor>
          </w:drawing>
        </mc:Choice>
        <mc:Fallback>
          <w:pict>
            <v:shape type="#_x0000_t202" id="文本框 4 3" o:spid="_x0000_s3" filled="f" stroked="f" style="position:absolute;margin-left:0.0pt;margin-top:0.0pt;width:51.0pt;height:18.415998pt;z-index:15;mso-position-horizontal:outside;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33"/>
                      <w:tabs>
                        <w:tab w:val="center" w:pos="4153"/>
                        <w:tab w:val="center" w:pos="4680"/>
                        <w:tab w:val="right" w:pos="8306"/>
                        <w:tab w:val="right" w:pos="9360"/>
                      </w:tabs>
                      <w:rPr>
                        <w:sz w:val="28"/>
                        <w:szCs w:val="28"/>
                      </w:rPr>
                    </w:pPr>
                    <w:r>
                      <w:rPr>
                        <w:sz w:val="28"/>
                        <w:szCs w:val="28"/>
                      </w:rPr>
                      <w:t>—</w:t>
                    </w:r>
                    <w:r>
                      <w:t xml:space="preserve"> </w:t>
                    </w:r>
                    <w:r>
                      <w:fldChar w:fldCharType="begin"/>
                    </w:r>
                    <w:r>
                      <w:instrText xml:space="preserve"> PAGE  \* MERGEFORMAT </w:instrText>
                    </w:r>
                    <w:r>
                      <w:fldChar w:fldCharType="separate"/>
                    </w:r>
                    <w:r>
                      <w:t>1</w:t>
                    </w:r>
                    <w:r>
                      <w:fldChar w:fldCharType="end"/>
                    </w:r>
                    <w:r>
                      <w:rPr>
                        <w:sz w:val="28"/>
                        <w:szCs w:val="28"/>
                      </w:rPr>
                      <w:t xml:space="preserve"> —</w:t>
                    </w:r>
                  </w:p>
                </w:txbxContent>
              </v:textbox>
            </v:shape>
          </w:pict>
        </mc:Fallback>
      </mc:AlternateContent>
    </w:r>
  </w:p>
  <w:p>
    <w:pPr>
      <w:pStyle w:val="33"/>
      <w:tabs>
        <w:tab w:val="center" w:pos="4153"/>
        <w:tab w:val="center" w:pos="4680"/>
        <w:tab w:val="right" w:pos="8306"/>
        <w:tab w:val="right" w:pos="9360"/>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33"/>
      <w:tabs>
        <w:tab w:val="center" w:pos="4153"/>
        <w:tab w:val="center" w:pos="4680"/>
        <w:tab w:val="right" w:pos="8306"/>
        <w:tab w:val="right" w:pos="9360"/>
      </w:tabs>
    </w:pPr>
    <w:r>
      <mc:AlternateContent>
        <mc:Choice Requires="wps">
          <w:drawing>
            <wp:anchor distT="0" distB="0" distL="114298" distR="114298" simplePos="0" relativeHeight="13" behindDoc="0" locked="0" layoutInCell="1" hidden="0" allowOverlap="1">
              <wp:simplePos x="0" y="0"/>
              <wp:positionH relativeFrom="margin">
                <wp:align>outside</wp:align>
              </wp:positionH>
              <wp:positionV relativeFrom="paragraph">
                <wp:posOffset>0</wp:posOffset>
              </wp:positionV>
              <wp:extent cx="812799" cy="233883"/>
              <wp:effectExtent l="0" t="0" r="0" b="0"/>
              <wp:wrapNone/>
              <wp:docPr id="4" name="文本框 3"/>
              <wp:cNvGraphicFramePr>
                <a:graphicFrameLocks noChangeAspect="0"/>
              </wp:cNvGraphicFramePr>
              <a:graphic>
                <a:graphicData uri="http://schemas.microsoft.com/office/word/2010/wordprocessingShape">
                  <wps:wsp>
                    <wps:cNvSpPr/>
                    <wps:spPr>
                      <a:xfrm rot="0">
                        <a:off x="0" y="0"/>
                        <a:ext cx="812799" cy="233883"/>
                      </a:xfrm>
                      <a:prstGeom prst="rect"/>
                      <a:noFill/>
                      <a:ln w="9525" cmpd="sng" cap="flat">
                        <a:noFill/>
                        <a:prstDash val="solid"/>
                        <a:round/>
                      </a:ln>
                    </wps:spPr>
                    <wps:txbx id="5">
                      <w:txbxContent>
                        <w:p>
                          <w:pPr>
                            <w:pStyle w:val="33"/>
                            <w:tabs>
                              <w:tab w:val="center" w:pos="4153"/>
                              <w:tab w:val="center" w:pos="4680"/>
                              <w:tab w:val="right" w:pos="8306"/>
                              <w:tab w:val="right" w:pos="9360"/>
                            </w:tabs>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type="#_x0000_t202" id="文本框 3 6" o:spid="_x0000_s6" filled="f" stroked="f" style="position:absolute;margin-left:0.0pt;margin-top:0.0pt;width:63.999973pt;height:18.41601pt;z-index:13;mso-position-horizontal:outside;mso-position-horizontal-relative:margin;mso-position-vertical:absolute;mso-wrap-distance-left:8.999863pt;mso-wrap-distance-right:8.999863pt;mso-wrap-style:none;">
              <v:stroke color="#000000"/>
              <v:textbox id="849" inset="0mm,0mm,0mm,0mm" o:insetmode="custom" style="layout-flow:horizontal;v-text-anchor:top;mso-fit-shape-to-text:t;">
                <w:txbxContent>
                  <w:p>
                    <w:pPr>
                      <w:pStyle w:val="33"/>
                      <w:tabs>
                        <w:tab w:val="center" w:pos="4153"/>
                        <w:tab w:val="center" w:pos="4680"/>
                        <w:tab w:val="right" w:pos="8306"/>
                        <w:tab w:val="right" w:pos="9360"/>
                      </w:tabs>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33"/>
      <w:tabs>
        <w:tab w:val="center" w:pos="4153"/>
        <w:tab w:val="center" w:pos="4680"/>
        <w:tab w:val="right" w:pos="8306"/>
        <w:tab w:val="right" w:pos="9360"/>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2B05C2C"/>
    <w:multiLevelType w:val="multilevel"/>
    <w:tmpl w:val="02B05C2C"/>
    <w:lvl w:ilvl="0">
      <w:start w:val="1"/>
      <w:numFmt w:val="decimal"/>
      <w:lvlRestart w:val="0"/>
      <w:lvlText w:val="第%1条"/>
      <w:lvlJc w:val="left"/>
      <w:pPr>
        <w:ind w:left="420" w:hanging="420"/>
      </w:pPr>
      <w:rPr>
        <w:rFonts w:ascii="仿宋" w:hAnsi="仿宋" w:eastAsia="仿宋" w:hint="default"/>
      </w:rPr>
    </w:lvl>
    <w:lvl w:ilvl="1">
      <w:start w:val="1"/>
      <w:numFmt w:val="lowerLetter"/>
      <w:lvlText w:val="%2)"/>
      <w:lvlJc w:val="left"/>
      <w:pPr>
        <w:ind w:left="840" w:hanging="420"/>
      </w:pPr>
    </w:lvl>
    <w:lvl w:ilvl="2">
      <w:start w:val="1"/>
      <w:numFmt w:val="decimal"/>
      <w:suff w:val="nothing"/>
      <w:lvlText w:val="%3."/>
      <w:lvlJc w:val="left"/>
      <w:pPr>
        <w:ind w:left="0" w:firstLine="4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0D75D84"/>
    <w:multiLevelType w:val="multilevel"/>
    <w:tmpl w:val="20D75D84"/>
    <w:lvl w:ilvl="0">
      <w:start w:val="1"/>
      <w:numFmt w:val="chineseCounting"/>
      <w:lvlRestart w:val="0"/>
      <w:suff w:val="nothing"/>
      <w:lvlText w:val="第%1章　"/>
      <w:lvlJc w:val="left"/>
      <w:pPr>
        <w:tabs>
          <w:tab w:val="num" w:pos="0"/>
        </w:tabs>
        <w:ind w:left="0" w:firstLine="402"/>
      </w:pPr>
      <w:rPr>
        <w:rFonts w:ascii="方正小标宋简体" w:hAnsi="方正小标宋简体" w:eastAsia="方正小标宋简体" w:cs="方正小标宋简体" w:hint="eastAsia"/>
        <w:sz w:val="32"/>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2">
    <w:nsid w:val="96716B79"/>
    <w:multiLevelType w:val="multilevel"/>
    <w:tmpl w:val="96716B79"/>
    <w:lvl w:ilvl="0">
      <w:start w:val="1"/>
      <w:numFmt w:val="chineseCounting"/>
      <w:lvlRestart w:val="0"/>
      <w:suff w:val="nothing"/>
      <w:lvlText w:val="第%1章　"/>
      <w:lvlJc w:val="left"/>
      <w:pPr>
        <w:tabs>
          <w:tab w:val="num" w:pos="0"/>
        </w:tabs>
        <w:ind w:left="0" w:firstLine="402"/>
      </w:pPr>
      <w:rPr>
        <w:rFonts w:ascii="方正小标宋简体" w:hAnsi="方正小标宋简体" w:eastAsia="方正小标宋简体" w:cs="方正小标宋简体" w:hint="eastAsia"/>
        <w:sz w:val="32"/>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3">
    <w:nsid w:val="9C09D5DF"/>
    <w:multiLevelType w:val="multilevel"/>
    <w:tmpl w:val="9C09D5DF"/>
    <w:lvl w:ilvl="0">
      <w:start w:val="1"/>
      <w:numFmt w:val="chineseCounting"/>
      <w:lvlRestart w:val="0"/>
      <w:suff w:val="nothing"/>
      <w:lvlText w:val="第%1章　"/>
      <w:lvlJc w:val="left"/>
      <w:pPr>
        <w:tabs>
          <w:tab w:val="num" w:pos="0"/>
        </w:tabs>
        <w:ind w:left="0" w:firstLine="402"/>
      </w:pPr>
      <w:rPr>
        <w:rFonts w:ascii="方正小标宋简体" w:hAnsi="方正小标宋简体" w:eastAsia="方正小标宋简体" w:cs="方正小标宋简体" w:hint="eastAsia"/>
        <w:sz w:val="32"/>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4">
    <w:nsid w:val="A6FFA285"/>
    <w:multiLevelType w:val="multilevel"/>
    <w:tmpl w:val="A6FFA285"/>
    <w:lvl w:ilvl="0">
      <w:start w:val="1"/>
      <w:numFmt w:val="chineseCounting"/>
      <w:lvlRestart w:val="0"/>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5">
    <w:nsid w:val="B940399A"/>
    <w:multiLevelType w:val="multilevel"/>
    <w:tmpl w:val="B940399A"/>
    <w:lvl w:ilvl="0">
      <w:start w:val="1"/>
      <w:numFmt w:val="chineseCounting"/>
      <w:lvlRestart w:val="0"/>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6">
    <w:nsid w:val="F1BC6E45"/>
    <w:multiLevelType w:val="multilevel"/>
    <w:tmpl w:val="F1BC6E45"/>
    <w:lvl w:ilvl="0">
      <w:start w:val="1"/>
      <w:numFmt w:val="chineseCounting"/>
      <w:lvlRestart w:val="0"/>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7">
    <w:nsid w:val="A496E4A5"/>
    <w:multiLevelType w:val="multilevel"/>
    <w:tmpl w:val="A496E4A5"/>
    <w:lvl w:ilvl="0">
      <w:start w:val="1"/>
      <w:numFmt w:val="chineseCounting"/>
      <w:lvlRestart w:val="0"/>
      <w:suff w:val="nothing"/>
      <w:lvlText w:val="第%1章　"/>
      <w:lvlJc w:val="left"/>
      <w:pPr>
        <w:tabs>
          <w:tab w:val="num" w:pos="0"/>
        </w:tabs>
        <w:ind w:left="0" w:firstLine="402"/>
      </w:pPr>
      <w:rPr>
        <w:rFonts w:ascii="方正小标宋简体" w:hAnsi="方正小标宋简体" w:eastAsia="方正小标宋简体" w:cs="方正小标宋简体" w:hint="eastAsia"/>
        <w:sz w:val="32"/>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8">
    <w:nsid w:val="73A4240B"/>
    <w:multiLevelType w:val="multilevel"/>
    <w:tmpl w:val="73A4240B"/>
    <w:lvl w:ilvl="0">
      <w:start w:val="103"/>
      <w:numFmt w:val="decimal"/>
      <w:lvlRestart w:val="0"/>
      <w:suff w:val="nothing"/>
      <w:lvlText w:val="第%1条　"/>
      <w:lvlJc w:val="left"/>
      <w:pPr>
        <w:ind w:left="308"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9">
    <w:nsid w:val="57E8CCFB"/>
    <w:multiLevelType w:val="multilevel"/>
    <w:tmpl w:val="05376C6A"/>
    <w:lvl w:ilvl="0">
      <w:start w:val="1"/>
      <w:numFmt w:val="chineseCounting"/>
      <w:lvlRestart w:val="0"/>
      <w:pStyle w:val="1"/>
      <w:suff w:val="nothing"/>
      <w:lvlText w:val="第%1章　"/>
      <w:lvlJc w:val="left"/>
      <w:pPr>
        <w:tabs>
          <w:tab w:val="num" w:pos="0"/>
        </w:tabs>
        <w:ind w:left="0" w:firstLine="402"/>
      </w:p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10">
    <w:nsid w:val="1FEAC09B"/>
    <w:multiLevelType w:val="multilevel"/>
    <w:tmpl w:val="DEA36257"/>
    <w:lvl w:ilvl="0">
      <w:start w:val="1"/>
      <w:numFmt w:val="chineseCounting"/>
      <w:lvlRestart w:val="0"/>
      <w:suff w:val="nothing"/>
      <w:lvlText w:val="第%1章　"/>
      <w:lvlJc w:val="left"/>
      <w:pPr>
        <w:tabs>
          <w:tab w:val="num" w:pos="0"/>
        </w:tabs>
        <w:ind w:left="0" w:firstLine="402"/>
      </w:pPr>
      <w:rPr>
        <w:rFonts w:ascii="方正小标宋简体" w:hAnsi="方正小标宋简体" w:eastAsia="方正小标宋简体" w:cs="方正小标宋简体" w:hint="eastAsia"/>
        <w:sz w:val="32"/>
      </w:rPr>
    </w:lvl>
    <w:lvl w:ilvl="1">
      <w:start w:val="1"/>
      <w:numFmt w:val="chineseCounting"/>
      <w:pStyle w:val="2"/>
      <w:suff w:val="nothing"/>
      <w:lvlText w:val="第%2节　"/>
      <w:lvlJc w:val="left"/>
      <w:pPr>
        <w:ind w:left="0" w:firstLine="402"/>
      </w:p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11">
    <w:nsid w:val="470306D0"/>
    <w:multiLevelType w:val="multilevel"/>
    <w:tmpl w:val="0A9F2BA6"/>
    <w:lvl w:ilvl="0">
      <w:start w:val="1"/>
      <w:numFmt w:val="decimal"/>
      <w:lvlRestart w:val="0"/>
      <w:pStyle w:val="3"/>
      <w:lvlText w:val="第%1条"/>
      <w:lvlJc w:val="left"/>
      <w:pPr>
        <w:ind w:left="1554"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243CAFAF"/>
    <w:multiLevelType w:val="multilevel"/>
    <w:tmpl w:val="86571AFB"/>
    <w:lvl w:ilvl="0">
      <w:start w:val="1"/>
      <w:numFmt w:val="decimal"/>
      <w:lvlRestart w:val="0"/>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13">
    <w:nsid w:val="24B54317"/>
    <w:multiLevelType w:val="singleLevel"/>
    <w:tmpl w:val="24B54317"/>
    <w:lvl w:ilvl="0">
      <w:start w:val="1"/>
      <w:numFmt w:val="bullet"/>
      <w:lvlRestart w:val="0"/>
      <w:pStyle w:val="23"/>
      <w:lvlText w:val=""/>
      <w:lvlJc w:val="left"/>
      <w:pPr>
        <w:tabs>
          <w:tab w:val="num" w:pos="360"/>
        </w:tabs>
        <w:ind w:left="360" w:hanging="360"/>
      </w:pPr>
      <w:rPr>
        <w:rFonts w:ascii="Wingdings" w:hAnsi="Wingdings" w:hint="default"/>
      </w:rPr>
    </w:lvl>
  </w:abstractNum>
  <w:abstractNum w:abstractNumId="14">
    <w:nsid w:val="4D9A6AB0"/>
    <w:multiLevelType w:val="multilevel"/>
    <w:tmpl w:val="4D9A6AB0"/>
    <w:lvl w:ilvl="0">
      <w:start w:val="1"/>
      <w:numFmt w:val="decimal"/>
      <w:lvlRestart w:val="0"/>
      <w:pStyle w:val="54"/>
      <w:lvlText w:val="%1."/>
      <w:lvlJc w:val="left"/>
      <w:pPr>
        <w:ind w:left="425" w:hanging="425"/>
      </w:pPr>
      <w:rPr>
        <w:rFonts w:hint="default"/>
      </w:rPr>
    </w:lvl>
    <w:lvl w:ilvl="1">
      <w:start w:val="1"/>
      <w:numFmt w:val="decimal"/>
      <w:isLgl/>
      <w:suff w:val="space"/>
      <w:lvlText w:val="%1.%2."/>
      <w:lvlJc w:val="left"/>
      <w:pPr>
        <w:tabs>
          <w:tab w:val="num" w:pos="420"/>
        </w:tabs>
        <w:ind w:left="567" w:hanging="567"/>
      </w:pPr>
      <w:rPr>
        <w:rFonts w:ascii="宋体" w:hAnsi="宋体" w:eastAsia="宋体" w:cs="宋体"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5">
    <w:nsid w:val="F2E471C0"/>
    <w:multiLevelType w:val="multilevel"/>
    <w:tmpl w:val="F2E471C0"/>
    <w:lvl w:ilvl="0">
      <w:start w:val="1"/>
      <w:numFmt w:val="decimal"/>
      <w:lvlRestart w:val="0"/>
      <w:pStyle w:val="55"/>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6">
    <w:nsid w:val="00000003"/>
    <w:multiLevelType w:val="multilevel"/>
    <w:tmpl w:val="00000003"/>
    <w:lvl w:ilvl="0">
      <w:start w:val="1"/>
      <w:numFmt w:val="none"/>
      <w:lvlRestart w:val="0"/>
      <w:pStyle w:val="76"/>
      <w:lvlText w:val="表"/>
      <w:lvlJc w:val="left"/>
      <w:pPr>
        <w:tabs>
          <w:tab w:val="num" w:pos="360"/>
        </w:tabs>
        <w:ind w:left="0" w:hanging="0"/>
      </w:pPr>
      <w:rPr>
        <w:rFonts w:ascii="黑体" w:hAnsi="黑体" w:eastAsia="黑体" w:hint="eastAsia"/>
        <w:b w:val="0"/>
        <w:i w:val="0"/>
        <w:sz w:val="21"/>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val="0"/>
  <w:bordersDoNotSurroundFooter w:val="0"/>
  <w:documentProtection w:edit="readOnly" w:enforcement="0"/>
  <w:defaultTabStop w:val="442"/>
  <w:drawingGridHorizontalSpacing w:val="160"/>
  <w:drawingGridVerticalSpacing w:val="218"/>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ZmJmYWQzM2EwZTQ5YzA2MGQ2OWNlZTQwOTBhMTU2NGU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next w:val="16"/>
    <w:pPr>
      <w:spacing w:line="600" w:lineRule="exact"/>
      <w:ind w:firstLine="680"/>
      <w:jc w:val="both"/>
    </w:pPr>
    <w:rPr>
      <w:rFonts w:ascii="Times New Roman" w:eastAsia="仿宋_GB2312" w:cs="Times New Roman" w:hAnsi="Times New Roman"/>
      <w:kern w:val="2"/>
      <w:sz w:val="32"/>
      <w:szCs w:val="24"/>
      <w:lang w:val="en-US" w:eastAsia="zh-CN" w:bidi="ar-SA"/>
    </w:rPr>
  </w:style>
  <w:style w:type="paragraph" w:styleId="1">
    <w:name w:val="heading 1"/>
    <w:basedOn w:val="0"/>
    <w:next w:val="0"/>
    <w:pPr>
      <w:keepNext/>
      <w:keepLines/>
      <w:numPr>
        <w:ilvl w:val="0"/>
        <w:numId w:val="10"/>
      </w:numPr>
      <w:spacing w:beforeLines="200" w:before="200" w:afterLines="200" w:after="200"/>
      <w:jc w:val="center"/>
      <w:outlineLvl w:val="0"/>
    </w:pPr>
    <w:rPr>
      <w:rFonts w:eastAsia="方正小标宋简体"/>
      <w:bCs/>
      <w:kern w:val="44"/>
      <w:sz w:val="36"/>
      <w:szCs w:val="36"/>
    </w:rPr>
  </w:style>
  <w:style w:type="paragraph" w:styleId="2">
    <w:name w:val="heading 2"/>
    <w:basedOn w:val="0"/>
    <w:next w:val="0"/>
    <w:pPr>
      <w:keepNext/>
      <w:keepLines/>
      <w:numPr>
        <w:ilvl w:val="1"/>
        <w:numId w:val="11"/>
      </w:numPr>
      <w:tabs>
        <w:tab w:val="left" w:pos="320"/>
      </w:tabs>
      <w:spacing w:beforeLines="100" w:before="100" w:line="560" w:lineRule="exact"/>
      <w:jc w:val="center"/>
      <w:outlineLvl w:val="1"/>
    </w:pPr>
    <w:rPr>
      <w:rFonts w:ascii="黑体" w:eastAsia="黑体" w:cs="仿宋" w:hAnsi="黑体"/>
      <w:bCs/>
      <w:kern w:val="0"/>
      <w:szCs w:val="32"/>
    </w:rPr>
  </w:style>
  <w:style w:type="paragraph" w:styleId="3">
    <w:name w:val="heading 3"/>
    <w:basedOn w:val="0"/>
    <w:next w:val="0"/>
    <w:pPr>
      <w:keepNext/>
      <w:keepLines/>
      <w:numPr>
        <w:ilvl w:val="0"/>
        <w:numId w:val="12"/>
      </w:numPr>
      <w:spacing w:line="640" w:lineRule="exact"/>
      <w:ind w:left="680" w:rightChars="200" w:right="200" w:firstLine="0"/>
      <w:outlineLvl w:val="2"/>
    </w:pPr>
    <w:rPr>
      <w:rFonts w:ascii="楷体" w:eastAsia="楷体" w:cs="仿宋" w:hAnsi="楷体"/>
      <w:kern w:val="0"/>
      <w:szCs w:val="32"/>
    </w:rPr>
  </w:style>
  <w:style w:type="paragraph" w:styleId="4">
    <w:name w:val="heading 4"/>
    <w:basedOn w:val="0"/>
    <w:next w:val="0"/>
    <w:pPr>
      <w:keepNext/>
      <w:keepLines/>
      <w:numPr>
        <w:ilvl w:val="3"/>
        <w:numId w:val="13"/>
      </w:numPr>
      <w:spacing w:before="280" w:after="290" w:line="377" w:lineRule="auto"/>
      <w:outlineLvl w:val="3"/>
    </w:pPr>
    <w:rPr>
      <w:rFonts w:ascii="Calibri Light" w:eastAsia="宋体" w:hAnsi="Calibri Light"/>
      <w:b/>
      <w:bCs/>
      <w:sz w:val="28"/>
      <w:szCs w:val="28"/>
    </w:rPr>
  </w:style>
  <w:style w:type="paragraph" w:styleId="5">
    <w:name w:val="heading 5"/>
    <w:basedOn w:val="0"/>
    <w:next w:val="0"/>
    <w:pPr>
      <w:keepNext/>
      <w:keepLines/>
      <w:numPr>
        <w:ilvl w:val="4"/>
        <w:numId w:val="13"/>
      </w:numPr>
      <w:spacing w:before="280" w:after="290" w:line="372" w:lineRule="auto"/>
      <w:outlineLvl w:val="4"/>
    </w:pPr>
    <w:rPr>
      <w:b/>
      <w:sz w:val="28"/>
    </w:rPr>
  </w:style>
  <w:style w:type="paragraph" w:styleId="6">
    <w:name w:val="heading 6"/>
    <w:basedOn w:val="0"/>
    <w:next w:val="0"/>
    <w:pPr>
      <w:keepNext/>
      <w:keepLines/>
      <w:numPr>
        <w:ilvl w:val="5"/>
        <w:numId w:val="13"/>
      </w:numPr>
      <w:spacing w:before="240" w:after="64" w:line="317" w:lineRule="auto"/>
      <w:outlineLvl w:val="5"/>
    </w:pPr>
    <w:rPr>
      <w:rFonts w:ascii="Arial" w:eastAsia="黑体" w:hAnsi="Arial"/>
      <w:b/>
      <w:sz w:val="24"/>
    </w:rPr>
  </w:style>
  <w:style w:type="paragraph" w:styleId="7">
    <w:name w:val="heading 7"/>
    <w:basedOn w:val="0"/>
    <w:next w:val="0"/>
    <w:pPr>
      <w:keepNext/>
      <w:keepLines/>
      <w:numPr>
        <w:ilvl w:val="6"/>
        <w:numId w:val="13"/>
      </w:numPr>
      <w:spacing w:before="240" w:after="64" w:line="317" w:lineRule="auto"/>
      <w:outlineLvl w:val="6"/>
    </w:pPr>
    <w:rPr>
      <w:b/>
      <w:sz w:val="24"/>
    </w:rPr>
  </w:style>
  <w:style w:type="paragraph" w:styleId="8">
    <w:name w:val="heading 8"/>
    <w:basedOn w:val="0"/>
    <w:next w:val="0"/>
    <w:pPr>
      <w:keepNext/>
      <w:keepLines/>
      <w:numPr>
        <w:ilvl w:val="7"/>
        <w:numId w:val="13"/>
      </w:numPr>
      <w:spacing w:before="240" w:after="64" w:line="317" w:lineRule="auto"/>
      <w:outlineLvl w:val="7"/>
    </w:pPr>
    <w:rPr>
      <w:rFonts w:ascii="Arial" w:eastAsia="黑体" w:hAnsi="Arial"/>
      <w:sz w:val="24"/>
    </w:rPr>
  </w:style>
  <w:style w:type="paragraph" w:styleId="9">
    <w:name w:val="heading 9"/>
    <w:basedOn w:val="0"/>
    <w:next w:val="0"/>
    <w:pPr>
      <w:keepNext/>
      <w:keepLines/>
      <w:numPr>
        <w:ilvl w:val="8"/>
        <w:numId w:val="13"/>
      </w:numPr>
      <w:spacing w:before="240" w:after="64" w:line="317" w:lineRule="auto"/>
      <w:outlineLvl w:val="8"/>
    </w:pPr>
    <w:rPr>
      <w:rFonts w:ascii="Arial" w:eastAsia="黑体" w:hAnsi="Arial"/>
      <w:sz w:val="21"/>
    </w:rPr>
  </w:style>
  <w:style w:type="character" w:default="1" w:styleId="10">
    <w:name w:val="Default Paragraph Font"/>
  </w:style>
  <w:style w:type="paragraph" w:styleId="15">
    <w:name w:val="Body Text Indent"/>
    <w:basedOn w:val="0"/>
    <w:next w:val="17"/>
    <w:pPr>
      <w:spacing w:after="120"/>
      <w:ind w:leftChars="200" w:left="200"/>
    </w:pPr>
  </w:style>
  <w:style w:type="paragraph" w:styleId="16">
    <w:name w:val="Body Text First Indent 2"/>
    <w:basedOn w:val="15"/>
    <w:next w:val="19"/>
    <w:pPr>
      <w:spacing w:after="0" w:line="360" w:lineRule="auto"/>
      <w:ind w:leftChars="0" w:left="0" w:firstLineChars="200" w:firstLine="200"/>
      <w:textAlignment w:val="baseline"/>
    </w:pPr>
    <w:rPr>
      <w:rFonts w:ascii="Calibri" w:eastAsia="宋体" w:cs="Times New Roman" w:hAnsi="Calibri"/>
      <w:sz w:val="24"/>
      <w:szCs w:val="24"/>
    </w:rPr>
  </w:style>
  <w:style w:type="paragraph" w:styleId="17">
    <w:name w:val="envelope return"/>
    <w:basedOn w:val="0"/>
    <w:rPr>
      <w:rFonts w:ascii="Arial" w:hAnsi="Arial"/>
    </w:rPr>
  </w:style>
  <w:style w:type="paragraph" w:styleId="18">
    <w:name w:val="Body Text"/>
    <w:basedOn w:val="0"/>
    <w:next w:val="19"/>
    <w:pPr>
      <w:spacing w:after="120" w:afterAutospacing="0"/>
    </w:pPr>
  </w:style>
  <w:style w:type="paragraph" w:styleId="19">
    <w:name w:val="Body Text First Indent"/>
    <w:basedOn w:val="18"/>
    <w:next w:val="16"/>
    <w:pPr>
      <w:autoSpaceDE/>
      <w:autoSpaceDN/>
      <w:ind w:left="0" w:firstLineChars="100" w:firstLine="100"/>
      <w:jc w:val="both"/>
    </w:pPr>
    <w:rPr>
      <w:rFonts w:ascii="Calibri" w:eastAsia="宋体" w:cs="Times New Roman" w:hAnsi="Calibri"/>
      <w:kern w:val="2"/>
      <w:sz w:val="21"/>
      <w:szCs w:val="24"/>
      <w:lang w:val="en-US" w:bidi="ar-SA"/>
    </w:rPr>
  </w:style>
  <w:style w:type="paragraph" w:styleId="20">
    <w:name w:val="toc 7"/>
    <w:basedOn w:val="0"/>
    <w:next w:val="0"/>
    <w:pPr>
      <w:snapToGrid/>
      <w:spacing w:before="0" w:line="240" w:lineRule="auto"/>
      <w:ind w:leftChars="1200" w:left="1200" w:firstLine="0"/>
      <w:jc w:val="both"/>
    </w:pPr>
    <w:rPr>
      <w:rFonts w:ascii="等线" w:eastAsia="等线" w:cs="Times New Roman" w:hAnsi="等线"/>
      <w:sz w:val="21"/>
      <w:szCs w:val="22"/>
    </w:rPr>
  </w:style>
  <w:style w:type="paragraph" w:styleId="21">
    <w:name w:val="Normal Indent"/>
    <w:basedOn w:val="0"/>
    <w:pPr>
      <w:keepNext w:val="0"/>
      <w:keepLines w:val="0"/>
      <w:widowControl w:val="0"/>
      <w:suppressLineNumbers w:val="0"/>
      <w:spacing w:before="0" w:beforeAutospacing="0" w:after="0" w:afterAutospacing="0"/>
      <w:ind w:left="0" w:right="0" w:firstLineChars="200" w:firstLine="200"/>
      <w:jc w:val="both"/>
    </w:pPr>
    <w:rPr>
      <w:rFonts w:ascii="Calibri" w:eastAsia="宋体" w:cs="Times New Roman" w:hAnsi="Calibri"/>
      <w:kern w:val="2"/>
      <w:sz w:val="21"/>
      <w:szCs w:val="24"/>
      <w:lang w:val="en-US" w:eastAsia="zh-CN"/>
    </w:rPr>
  </w:style>
  <w:style w:type="paragraph" w:styleId="22">
    <w:name w:val="caption"/>
    <w:basedOn w:val="0"/>
    <w:next w:val="0"/>
    <w:rPr>
      <w:rFonts w:ascii="Arial" w:eastAsia="黑体" w:hAnsi="Arial"/>
      <w:sz w:val="20"/>
    </w:rPr>
  </w:style>
  <w:style w:type="paragraph" w:styleId="23">
    <w:name w:val="List Bullet"/>
    <w:basedOn w:val="0"/>
    <w:pPr>
      <w:numPr>
        <w:ilvl w:val="0"/>
        <w:numId w:val="14"/>
      </w:numPr>
    </w:pPr>
  </w:style>
  <w:style w:type="paragraph" w:styleId="24">
    <w:name w:val="toa heading"/>
    <w:basedOn w:val="0"/>
    <w:next w:val="0"/>
    <w:rPr>
      <w:rFonts w:ascii="Arial" w:eastAsia="宋体" w:cs="Times New Roman" w:hAnsi="Arial"/>
      <w:sz w:val="24"/>
    </w:rPr>
  </w:style>
  <w:style w:type="paragraph" w:styleId="25">
    <w:name w:val="annotation text"/>
    <w:basedOn w:val="0"/>
  </w:style>
  <w:style w:type="paragraph" w:styleId="26">
    <w:name w:val="Block Text"/>
    <w:basedOn w:val="0"/>
    <w:pPr>
      <w:ind w:left="183" w:rightChars="12" w:right="12"/>
    </w:pPr>
  </w:style>
  <w:style w:type="paragraph" w:styleId="27">
    <w:name w:val="toc 5"/>
    <w:basedOn w:val="0"/>
    <w:next w:val="0"/>
    <w:pPr>
      <w:snapToGrid/>
      <w:spacing w:before="0" w:line="240" w:lineRule="auto"/>
      <w:ind w:leftChars="800" w:left="800" w:firstLine="0"/>
      <w:jc w:val="both"/>
    </w:pPr>
    <w:rPr>
      <w:rFonts w:ascii="等线" w:eastAsia="等线" w:cs="Times New Roman" w:hAnsi="等线"/>
      <w:sz w:val="21"/>
      <w:szCs w:val="22"/>
    </w:rPr>
  </w:style>
  <w:style w:type="paragraph" w:styleId="28">
    <w:name w:val="toc 3"/>
    <w:basedOn w:val="0"/>
    <w:next w:val="0"/>
    <w:pPr>
      <w:widowControl/>
      <w:snapToGrid/>
      <w:spacing w:before="0" w:after="100" w:line="259" w:lineRule="auto"/>
      <w:ind w:left="440" w:firstLine="0"/>
    </w:pPr>
    <w:rPr>
      <w:rFonts w:ascii="等线" w:eastAsia="等线" w:hAnsi="等线"/>
      <w:kern w:val="0"/>
      <w:sz w:val="22"/>
      <w:szCs w:val="22"/>
    </w:rPr>
  </w:style>
  <w:style w:type="paragraph" w:styleId="29">
    <w:name w:val="Plain Text"/>
    <w:basedOn w:val="0"/>
    <w:rPr>
      <w:rFonts w:ascii="宋体" w:hAnsi="Courier New"/>
    </w:rPr>
  </w:style>
  <w:style w:type="paragraph" w:styleId="30">
    <w:name w:val="toc 8"/>
    <w:basedOn w:val="0"/>
    <w:next w:val="0"/>
    <w:pPr>
      <w:snapToGrid/>
      <w:spacing w:before="0" w:line="240" w:lineRule="auto"/>
      <w:ind w:leftChars="1400" w:left="1400" w:firstLine="0"/>
      <w:jc w:val="both"/>
    </w:pPr>
    <w:rPr>
      <w:rFonts w:ascii="等线" w:eastAsia="等线" w:cs="Times New Roman" w:hAnsi="等线"/>
      <w:sz w:val="21"/>
      <w:szCs w:val="22"/>
    </w:rPr>
  </w:style>
  <w:style w:type="paragraph" w:styleId="31">
    <w:name w:val="Balloon Text"/>
    <w:basedOn w:val="0"/>
    <w:rPr>
      <w:rFonts w:ascii="Times New Roman" w:eastAsia="华文中宋" w:hAnsi="Times New Roman"/>
      <w:sz w:val="18"/>
      <w:szCs w:val="18"/>
    </w:rPr>
  </w:style>
  <w:style w:type="paragraph" w:styleId="32">
    <w:name w:val="header"/>
    <w:basedOn w:val="0"/>
    <w:pPr>
      <w:widowControl/>
      <w:tabs>
        <w:tab w:val="center" w:pos="4680"/>
        <w:tab w:val="right" w:pos="9360"/>
      </w:tabs>
      <w:snapToGrid/>
      <w:spacing w:before="0" w:line="240" w:lineRule="auto"/>
      <w:ind w:firstLine="0"/>
    </w:pPr>
    <w:rPr>
      <w:rFonts w:eastAsia="宋体"/>
      <w:kern w:val="0"/>
      <w:sz w:val="22"/>
      <w:szCs w:val="22"/>
    </w:rPr>
  </w:style>
  <w:style w:type="paragraph" w:styleId="33">
    <w:name w:val="footer"/>
    <w:basedOn w:val="32"/>
    <w:pPr>
      <w:tabs>
        <w:tab w:val="center" w:pos="4153"/>
        <w:tab w:val="center" w:pos="4680"/>
        <w:tab w:val="right" w:pos="8306"/>
        <w:tab w:val="right" w:pos="9360"/>
      </w:tabs>
      <w:snapToGrid w:val="0"/>
    </w:pPr>
    <w:rPr>
      <w:rFonts w:eastAsia="仿宋"/>
      <w:sz w:val="32"/>
      <w:szCs w:val="18"/>
    </w:rPr>
  </w:style>
  <w:style w:type="paragraph" w:styleId="34">
    <w:name w:val="toc 1"/>
    <w:basedOn w:val="0"/>
    <w:next w:val="0"/>
    <w:rPr>
      <w:rFonts w:eastAsia="黑体"/>
      <w:kern w:val="0"/>
      <w:szCs w:val="20"/>
    </w:rPr>
  </w:style>
  <w:style w:type="paragraph" w:styleId="35">
    <w:name w:val="toc 4"/>
    <w:basedOn w:val="0"/>
    <w:next w:val="0"/>
    <w:pPr>
      <w:snapToGrid/>
      <w:spacing w:before="0" w:line="240" w:lineRule="auto"/>
      <w:ind w:leftChars="600" w:left="600" w:firstLine="0"/>
      <w:jc w:val="both"/>
    </w:pPr>
    <w:rPr>
      <w:rFonts w:ascii="等线" w:eastAsia="等线" w:cs="Times New Roman" w:hAnsi="等线"/>
      <w:sz w:val="21"/>
      <w:szCs w:val="22"/>
    </w:rPr>
  </w:style>
  <w:style w:type="paragraph" w:styleId="36">
    <w:name w:val="toc 6"/>
    <w:basedOn w:val="0"/>
    <w:next w:val="0"/>
    <w:pPr>
      <w:snapToGrid/>
      <w:spacing w:before="0" w:line="240" w:lineRule="auto"/>
      <w:ind w:leftChars="1000" w:left="1000" w:firstLine="0"/>
      <w:jc w:val="both"/>
    </w:pPr>
    <w:rPr>
      <w:rFonts w:ascii="等线" w:eastAsia="等线" w:cs="Times New Roman" w:hAnsi="等线"/>
      <w:sz w:val="21"/>
      <w:szCs w:val="22"/>
    </w:rPr>
  </w:style>
  <w:style w:type="paragraph" w:styleId="37">
    <w:name w:val="toc 2"/>
    <w:basedOn w:val="0"/>
    <w:next w:val="0"/>
    <w:pPr>
      <w:ind w:left="420"/>
    </w:pPr>
  </w:style>
  <w:style w:type="paragraph" w:styleId="38">
    <w:name w:val="toc 9"/>
    <w:basedOn w:val="0"/>
    <w:next w:val="0"/>
    <w:pPr>
      <w:snapToGrid/>
      <w:spacing w:before="0" w:line="240" w:lineRule="auto"/>
      <w:ind w:leftChars="1600" w:left="1600" w:firstLine="0"/>
      <w:jc w:val="both"/>
    </w:pPr>
    <w:rPr>
      <w:rFonts w:ascii="等线" w:eastAsia="等线" w:cs="Times New Roman" w:hAnsi="等线"/>
      <w:sz w:val="21"/>
      <w:szCs w:val="22"/>
    </w:rPr>
  </w:style>
  <w:style w:type="paragraph" w:styleId="39">
    <w:name w:val="Normal (Web)"/>
    <w:basedOn w:val="0"/>
    <w:pPr>
      <w:spacing w:before="100" w:beforeAutospacing="1" w:after="100" w:afterAutospacing="1"/>
      <w:ind w:left="0"/>
    </w:pPr>
    <w:rPr>
      <w:rFonts w:ascii="宋体" w:eastAsia="宋体" w:hAnsi="宋体"/>
      <w:kern w:val="0"/>
      <w:sz w:val="20"/>
      <w:szCs w:val="20"/>
    </w:rPr>
  </w:style>
  <w:style w:type="paragraph" w:styleId="40">
    <w:name w:val="Title"/>
    <w:basedOn w:val="0"/>
    <w:next w:val="0"/>
    <w:pPr>
      <w:spacing w:before="240" w:after="60"/>
      <w:outlineLvl w:val="2"/>
    </w:pPr>
    <w:rPr>
      <w:rFonts w:ascii="Calibri Light" w:eastAsia="微软雅黑" w:hAnsi="Calibri Light"/>
      <w:b/>
      <w:bCs/>
      <w:sz w:val="30"/>
      <w:szCs w:val="32"/>
    </w:rPr>
  </w:style>
  <w:style w:type="paragraph" w:styleId="41">
    <w:name w:val="annotation subject"/>
    <w:basedOn w:val="25"/>
    <w:next w:val="25"/>
    <w:rPr>
      <w:b/>
      <w:bCs/>
    </w:rPr>
  </w:style>
  <w:style w:type="character" w:styleId="42">
    <w:name w:val="Strong"/>
    <w:rPr>
      <w:b/>
      <w:bCs/>
    </w:rPr>
  </w:style>
  <w:style w:type="character" w:styleId="43">
    <w:name w:val="FollowedHyperlink"/>
    <w:rPr>
      <w:color w:val="000000"/>
      <w:u w:val="none"/>
    </w:rPr>
  </w:style>
  <w:style w:type="character" w:styleId="44">
    <w:name w:val="Hyperlink"/>
    <w:rPr>
      <w:color w:val="0563C1"/>
      <w:u w:val="single"/>
    </w:rPr>
  </w:style>
  <w:style w:type="character" w:styleId="45">
    <w:name w:val="annotation reference"/>
    <w:rPr>
      <w:sz w:val="21"/>
      <w:szCs w:val="21"/>
    </w:rPr>
  </w:style>
  <w:style w:type="character" w:customStyle="1" w:styleId="46">
    <w:name w:val="bjh-p"/>
  </w:style>
  <w:style w:type="character" w:customStyle="1" w:styleId="47">
    <w:name w:val="页脚 字符"/>
    <w:rPr>
      <w:rFonts w:ascii="宋体" w:eastAsia="宋体" w:cs="Times New Roman" w:hAnsi="Courier New"/>
      <w:sz w:val="18"/>
      <w:szCs w:val="18"/>
    </w:rPr>
  </w:style>
  <w:style w:type="character" w:customStyle="1" w:styleId="48">
    <w:name w:val="正文文本 字符"/>
  </w:style>
  <w:style w:type="paragraph" w:customStyle="1" w:styleId="49">
    <w:name w:val="列出段落1"/>
    <w:basedOn w:val="0"/>
    <w:pPr>
      <w:ind w:firstLineChars="200" w:firstLine="200"/>
    </w:pPr>
  </w:style>
  <w:style w:type="character" w:customStyle="1" w:styleId="50">
    <w:name w:val="标题 2 字符"/>
    <w:rPr>
      <w:rFonts w:ascii="Cambria" w:eastAsia="楷体" w:hAnsi="Cambria"/>
      <w:b/>
      <w:sz w:val="32"/>
      <w:szCs w:val="32"/>
    </w:rPr>
  </w:style>
  <w:style w:type="character" w:customStyle="1" w:styleId="51">
    <w:name w:val="页眉 字符"/>
    <w:rPr>
      <w:rFonts w:ascii="宋体" w:eastAsia="宋体" w:cs="Times New Roman" w:hAnsi="Courier New"/>
      <w:sz w:val="18"/>
      <w:szCs w:val="18"/>
    </w:rPr>
  </w:style>
  <w:style w:type="paragraph" w:customStyle="1" w:styleId="52">
    <w:name w:val="标题4"/>
    <w:basedOn w:val="40"/>
    <w:pPr>
      <w:spacing w:before="120" w:line="0" w:lineRule="atLeast"/>
      <w:ind w:left="567"/>
      <w:outlineLvl w:val="3"/>
    </w:pPr>
    <w:rPr>
      <w:rFonts w:eastAsia="华文中宋"/>
      <w:sz w:val="28"/>
    </w:rPr>
  </w:style>
  <w:style w:type="character" w:customStyle="1" w:styleId="53">
    <w:name w:val="标题 1 字符"/>
    <w:rPr>
      <w:rFonts w:ascii="黑体" w:eastAsia="黑体" w:cs="Times New Roman" w:hAnsi="Courier New"/>
      <w:bCs/>
      <w:sz w:val="32"/>
      <w:szCs w:val="20"/>
    </w:rPr>
  </w:style>
  <w:style w:type="paragraph" w:customStyle="1" w:styleId="54">
    <w:name w:val="国标 1.1"/>
    <w:next w:val="18"/>
    <w:pPr>
      <w:numPr>
        <w:ilvl w:val="0"/>
        <w:numId w:val="15"/>
      </w:numPr>
    </w:pPr>
    <w:rPr>
      <w:rFonts w:ascii="Times New Roman" w:eastAsia="楷体" w:cs="Times New Roman" w:hAnsi="Times New Roman"/>
      <w:b/>
      <w:sz w:val="32"/>
      <w:szCs w:val="20"/>
      <w:lang w:val="en-US" w:eastAsia="zh-CN" w:bidi="ar-SA"/>
    </w:rPr>
  </w:style>
  <w:style w:type="paragraph" w:customStyle="1" w:styleId="55">
    <w:name w:val="国标 1"/>
    <w:next w:val="0"/>
    <w:pPr>
      <w:numPr>
        <w:ilvl w:val="0"/>
        <w:numId w:val="16"/>
      </w:numPr>
    </w:pPr>
    <w:rPr>
      <w:rFonts w:ascii="Times New Roman" w:eastAsia="黑体" w:cs="Times New Roman" w:hAnsi="Times New Roman"/>
      <w:sz w:val="32"/>
      <w:szCs w:val="20"/>
      <w:lang w:val="en-US" w:eastAsia="zh-CN" w:bidi="ar-SA"/>
    </w:rPr>
  </w:style>
  <w:style w:type="character" w:customStyle="1" w:styleId="56">
    <w:name w:val="标题 4 字符"/>
    <w:rPr>
      <w:rFonts w:ascii="Cambria" w:eastAsia="宋体" w:cs="Times New Roman" w:hAnsi="Cambria"/>
      <w:b/>
      <w:bCs/>
      <w:sz w:val="28"/>
      <w:szCs w:val="28"/>
    </w:rPr>
  </w:style>
  <w:style w:type="character" w:customStyle="1" w:styleId="57">
    <w:name w:val="纯文本 Char"/>
    <w:rPr>
      <w:rFonts w:ascii="宋体" w:eastAsia="宋体" w:cs="Courier New" w:hAnsi="Courier New"/>
      <w:szCs w:val="21"/>
    </w:rPr>
  </w:style>
  <w:style w:type="paragraph" w:customStyle="1" w:styleId="58">
    <w:name w:val="WPSOffice手动目录 1"/>
    <w:rPr>
      <w:rFonts w:ascii="Times New Roman" w:eastAsia="宋体" w:cs="Times New Roman" w:hAnsi="Times New Roman"/>
      <w:sz w:val="20"/>
      <w:szCs w:val="20"/>
      <w:lang w:val="en-US" w:eastAsia="zh-CN" w:bidi="ar-SA"/>
    </w:rPr>
  </w:style>
  <w:style w:type="character" w:customStyle="1" w:styleId="59">
    <w:name w:val="标题 3 字符"/>
    <w:rPr>
      <w:b/>
      <w:bCs/>
      <w:kern w:val="2"/>
      <w:sz w:val="32"/>
      <w:szCs w:val="32"/>
    </w:rPr>
  </w:style>
  <w:style w:type="character" w:customStyle="1" w:styleId="60">
    <w:name w:val="font61"/>
    <w:rPr>
      <w:rFonts w:ascii="宋体" w:eastAsia="宋体" w:cs="宋体" w:hAnsi="宋体"/>
      <w:color w:val="000000"/>
      <w:sz w:val="24"/>
      <w:szCs w:val="24"/>
      <w:u w:val="none"/>
    </w:rPr>
  </w:style>
  <w:style w:type="character" w:customStyle="1" w:styleId="61">
    <w:name w:val="样式 (符号) 宋体 四号"/>
    <w:rPr>
      <w:sz w:val="24"/>
    </w:rPr>
  </w:style>
  <w:style w:type="character" w:customStyle="1" w:styleId="62">
    <w:name w:val="批注框文本 字符"/>
    <w:rPr>
      <w:rFonts w:ascii="宋体" w:eastAsia="宋体" w:cs="Times New Roman" w:hAnsi="Courier New"/>
      <w:sz w:val="18"/>
      <w:szCs w:val="18"/>
    </w:rPr>
  </w:style>
  <w:style w:type="paragraph" w:customStyle="1" w:styleId="63">
    <w:name w:val="WPSOffice手动目录 2"/>
    <w:pPr>
      <w:ind w:leftChars="200" w:left="200"/>
    </w:pPr>
    <w:rPr>
      <w:rFonts w:ascii="Times New Roman" w:eastAsia="宋体" w:cs="Times New Roman" w:hAnsi="Times New Roman"/>
      <w:sz w:val="20"/>
      <w:szCs w:val="20"/>
      <w:lang w:val="en-US" w:eastAsia="zh-CN" w:bidi="ar-SA"/>
    </w:rPr>
  </w:style>
  <w:style w:type="paragraph" w:customStyle="1" w:styleId="64">
    <w:name w:val="表格内容"/>
    <w:basedOn w:val="0"/>
    <w:pPr>
      <w:spacing w:line="180" w:lineRule="atLeast"/>
      <w:ind w:left="0"/>
    </w:pPr>
    <w:rPr>
      <w:rFonts w:ascii="微软雅黑" w:eastAsia="微软雅黑" w:hAnsi="微软雅黑"/>
      <w:b/>
      <w:bCs/>
      <w:kern w:val="0"/>
      <w:sz w:val="21"/>
      <w:szCs w:val="20"/>
    </w:rPr>
  </w:style>
  <w:style w:type="character" w:customStyle="1" w:styleId="65">
    <w:name w:val="font71"/>
    <w:rPr>
      <w:rFonts w:ascii="宋体" w:eastAsia="宋体" w:cs="宋体" w:hAnsi="宋体"/>
      <w:color w:val="000000"/>
      <w:sz w:val="24"/>
      <w:szCs w:val="24"/>
      <w:u w:val="none"/>
    </w:rPr>
  </w:style>
  <w:style w:type="paragraph" w:styleId="66">
    <w:name w:val="List Paragraph"/>
    <w:basedOn w:val="0"/>
    <w:pPr>
      <w:widowControl w:val="0"/>
      <w:autoSpaceDE w:val="0"/>
      <w:autoSpaceDN w:val="0"/>
      <w:adjustRightInd w:val="0"/>
      <w:ind w:left="0"/>
    </w:pPr>
    <w:rPr>
      <w:rFonts w:eastAsia="宋体"/>
      <w:kern w:val="0"/>
      <w:sz w:val="20"/>
      <w:szCs w:val="20"/>
    </w:rPr>
  </w:style>
  <w:style w:type="character" w:customStyle="1" w:styleId="67">
    <w:name w:val="标题 3 字符1"/>
    <w:rPr>
      <w:rFonts w:eastAsia="仿宋"/>
      <w:b/>
      <w:bCs/>
      <w:sz w:val="32"/>
      <w:szCs w:val="32"/>
    </w:rPr>
  </w:style>
  <w:style w:type="paragraph" w:customStyle="1" w:styleId="68">
    <w:name w:val="表格"/>
    <w:basedOn w:val="0"/>
    <w:next w:val="29"/>
    <w:pPr>
      <w:adjustRightInd w:val="0"/>
      <w:spacing w:line="240" w:lineRule="auto"/>
      <w:ind w:firstLine="0"/>
    </w:pPr>
    <w:rPr>
      <w:rFonts w:eastAsia="宋体"/>
      <w:sz w:val="24"/>
    </w:rPr>
  </w:style>
  <w:style w:type="paragraph" w:customStyle="1" w:styleId="69">
    <w:name w:val="Table Paragraph"/>
    <w:basedOn w:val="0"/>
    <w:pPr>
      <w:widowControl w:val="0"/>
      <w:autoSpaceDE w:val="0"/>
      <w:autoSpaceDN w:val="0"/>
      <w:adjustRightInd w:val="0"/>
      <w:ind w:left="0"/>
    </w:pPr>
    <w:rPr>
      <w:rFonts w:ascii="黑体" w:eastAsia="黑体" w:cs="黑体"/>
      <w:kern w:val="0"/>
    </w:rPr>
  </w:style>
  <w:style w:type="paragraph" w:customStyle="1" w:styleId="70">
    <w:name w:val="正文缩进1"/>
    <w:basedOn w:val="0"/>
    <w:pPr>
      <w:snapToGrid/>
      <w:spacing w:before="0" w:line="240" w:lineRule="auto"/>
      <w:ind w:firstLine="420"/>
      <w:jc w:val="both"/>
    </w:pPr>
    <w:rPr>
      <w:rFonts w:eastAsia="宋体"/>
      <w:sz w:val="21"/>
      <w:szCs w:val="22"/>
    </w:rPr>
  </w:style>
  <w:style w:type="paragraph" w:customStyle="1" w:styleId="71">
    <w:name w:val="段"/>
    <w:pPr>
      <w:autoSpaceDE w:val="0"/>
      <w:autoSpaceDN w:val="0"/>
      <w:ind w:firstLineChars="200" w:firstLine="200"/>
      <w:jc w:val="both"/>
    </w:pPr>
    <w:rPr>
      <w:rFonts w:ascii="宋体" w:eastAsia="宋体" w:cs="Times New Roman" w:hAnsi="Times New Roman"/>
      <w:sz w:val="21"/>
      <w:szCs w:val="20"/>
      <w:lang w:val="en-US" w:eastAsia="zh-CN" w:bidi="ar-SA"/>
    </w:rPr>
  </w:style>
  <w:style w:type="paragraph" w:customStyle="1" w:styleId="72">
    <w:name w:val="_Style 37"/>
    <w:basedOn w:val="15"/>
    <w:next w:val="16"/>
    <w:pPr>
      <w:spacing w:after="0" w:line="360" w:lineRule="auto"/>
      <w:ind w:leftChars="0" w:left="0" w:firstLine="420"/>
      <w:textAlignment w:val="baseline"/>
    </w:pPr>
    <w:rPr>
      <w:rFonts w:eastAsia="宋体"/>
      <w:sz w:val="24"/>
    </w:rPr>
  </w:style>
  <w:style w:type="paragraph" w:customStyle="1" w:styleId="73">
    <w:name w:val="正文qrz"/>
    <w:basedOn w:val="0"/>
    <w:pPr>
      <w:tabs>
        <w:tab w:val="left" w:pos="4186"/>
      </w:tabs>
      <w:snapToGrid/>
      <w:spacing w:before="156" w:line="360" w:lineRule="auto"/>
      <w:ind w:firstLine="480"/>
    </w:pPr>
    <w:rPr>
      <w:rFonts w:ascii="宋体" w:eastAsia="宋体" w:hAnsi="宋体"/>
      <w:sz w:val="28"/>
      <w:szCs w:val="20"/>
    </w:rPr>
  </w:style>
  <w:style w:type="paragraph" w:customStyle="1" w:styleId="74">
    <w:name w:val="Default"/>
    <w:pPr>
      <w:widowControl w:val="0"/>
      <w:autoSpaceDE w:val="0"/>
      <w:autoSpaceDN w:val="0"/>
      <w:adjustRightInd w:val="0"/>
    </w:pPr>
    <w:rPr>
      <w:rFonts w:ascii="仿宋" w:eastAsia="仿宋" w:cs="仿宋" w:hAnsi="Times New Roman"/>
      <w:color w:val="000000"/>
      <w:sz w:val="24"/>
      <w:szCs w:val="24"/>
      <w:lang w:val="en-US" w:eastAsia="zh-CN" w:bidi="ar-SA"/>
    </w:rPr>
  </w:style>
  <w:style w:type="paragraph" w:customStyle="1" w:styleId="75">
    <w:name w:val="_Style 104"/>
    <w:basedOn w:val="1"/>
    <w:next w:val="0"/>
    <w:pPr>
      <w:keepNext/>
      <w:keepLines/>
      <w:widowControl/>
      <w:numPr>
        <w:ilvl w:val="0"/>
        <w:numId w:val="0"/>
      </w:numPr>
      <w:tabs>
        <w:tab w:val="clear" w:pos="0"/>
      </w:tabs>
      <w:snapToGrid/>
      <w:spacing w:beforeLines="0" w:before="240" w:line="259" w:lineRule="auto"/>
      <w:outlineLvl w:val="9"/>
    </w:pPr>
    <w:rPr>
      <w:rFonts w:ascii="等线 Light" w:eastAsia="等线 Light" w:cs="Times New Roman" w:hAnsi="等线 Light"/>
      <w:color w:val="2E74B5"/>
      <w:kern w:val="0"/>
      <w:szCs w:val="32"/>
    </w:rPr>
  </w:style>
  <w:style w:type="paragraph" w:customStyle="1" w:styleId="76">
    <w:name w:val="附录表标题"/>
    <w:next w:val="71"/>
    <w:pPr>
      <w:numPr>
        <w:ilvl w:val="0"/>
        <w:numId w:val="17"/>
      </w:numPr>
      <w:jc w:val="center"/>
      <w:textAlignment w:val="baseline"/>
    </w:pPr>
    <w:rPr>
      <w:rFonts w:ascii="黑体" w:eastAsia="黑体" w:cs="Times New Roman" w:hAnsi="Times New Roman"/>
      <w:kern w:val="21"/>
      <w:sz w:val="21"/>
      <w:szCs w:val="20"/>
      <w:lang w:val="en-US" w:eastAsia="zh-CN" w:bidi="ar-SA"/>
    </w:rPr>
  </w:style>
  <w:style w:type="character" w:customStyle="1" w:styleId="77">
    <w:name w:val="font01"/>
    <w:rPr>
      <w:rFonts w:ascii="宋体" w:eastAsia="宋体" w:cs="宋体" w:hAnsi="宋体"/>
      <w:color w:val="000000"/>
      <w:sz w:val="24"/>
      <w:szCs w:val="24"/>
      <w:u w:val="none"/>
    </w:rPr>
  </w:style>
  <w:style w:type="character" w:customStyle="1" w:styleId="78">
    <w:name w:val="font21"/>
    <w:rPr>
      <w:rFonts w:ascii="仿宋_GB2312" w:eastAsia="仿宋_GB2312" w:cs="仿宋_GB2312"/>
      <w:color w:val="000000"/>
      <w:sz w:val="24"/>
      <w:szCs w:val="24"/>
      <w:u w:val="none"/>
    </w:rPr>
  </w:style>
  <w:style w:type="character" w:customStyle="1" w:styleId="79">
    <w:name w:val="font31"/>
    <w:rPr>
      <w:rFonts w:ascii="Arial" w:cs="Arial" w:hAnsi="Arial"/>
      <w:color w:val="000000"/>
      <w:sz w:val="52"/>
      <w:szCs w:val="52"/>
      <w:u w:val="none"/>
    </w:rPr>
  </w:style>
  <w:style w:type="character" w:customStyle="1" w:styleId="80">
    <w:name w:val="font41"/>
    <w:rPr>
      <w:rFonts w:ascii="宋体" w:eastAsia="宋体" w:cs="宋体" w:hAnsi="宋体"/>
      <w:color w:val="000000"/>
      <w:sz w:val="52"/>
      <w:szCs w:val="52"/>
      <w:u w:val="none"/>
    </w:rPr>
  </w:style>
  <w:style w:type="paragraph" w:customStyle="1" w:styleId="81">
    <w:name w:val="正文1"/>
    <w:basedOn w:val="0"/>
    <w:pPr>
      <w:spacing w:line="300" w:lineRule="auto"/>
      <w:ind w:firstLine="200"/>
    </w:pPr>
    <w:rPr>
      <w:kern w:val="0"/>
      <w:sz w:val="28"/>
      <w:szCs w:val="20"/>
    </w:rPr>
  </w:style>
  <w:style w:type="paragraph" w:customStyle="1" w:styleId="82">
    <w:name w:val="_Style 2"/>
    <w:basedOn w:val="1"/>
    <w:next w:val="0"/>
    <w:pPr>
      <w:keepNext/>
      <w:keepLines/>
      <w:widowControl/>
      <w:numPr>
        <w:ilvl w:val="0"/>
        <w:numId w:val="0"/>
      </w:numPr>
      <w:tabs>
        <w:tab w:val="clear" w:pos="0"/>
      </w:tabs>
      <w:snapToGrid/>
      <w:spacing w:beforeLines="0" w:before="240" w:line="259" w:lineRule="auto"/>
      <w:outlineLvl w:val="9"/>
    </w:pPr>
    <w:rPr>
      <w:rFonts w:ascii="等线 Light" w:eastAsia="等线 Light" w:cs="Times New Roman" w:hAnsi="等线 Light"/>
      <w:color w:val="2E74B5"/>
      <w:kern w:val="0"/>
      <w:szCs w:val="3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DB3C406A-DF7D-437D-9AF6-9978B6B4819C}">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16</TotalTime>
  <Application>Yozo_Office27021597764231179</Application>
  <Pages>96</Pages>
  <Words>0</Words>
  <Characters>31659</Characters>
  <Lines>0</Lines>
  <Paragraphs>666</Paragraphs>
  <CharactersWithSpaces>42212</CharactersWithSpaces>
  <Company>caupd</Company>
</Properties>
</file>

<file path=docProps/core.xml><?xml version="1.0" encoding="utf-8"?>
<cp:coreProperties xmlns:cp="http://schemas.openxmlformats.org/package/2006/metadata/core-properties" xmlns:dc="http://purl.org/dc/elements/1.1/" xmlns:dcterms="http://purl.org/dc/terms/" xmlns:xsi="http://www.w3.org/2001/XMLSchema-instance">
  <dc:creator>sjx</dc:creator>
  <cp:lastModifiedBy>Administrator</cp:lastModifiedBy>
  <cp:revision>2</cp:revision>
  <cp:lastPrinted>2023-07-07T01:28:00Z</cp:lastPrinted>
  <dcterms:created xsi:type="dcterms:W3CDTF">2023-03-30T03:41:00Z</dcterms:created>
  <dcterms:modified xsi:type="dcterms:W3CDTF">2026-08-18T08:15:49Z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2052-12.1.0.21171</vt:lpwstr>
  </property>
  <property fmtid="{D5CDD505-2E9C-101B-9397-08002B2CF9AE}" pid="3" name="ICV">
    <vt:lpwstr>913641E497854274BA48FF2F130F9C80_13</vt:lpwstr>
  </property>
  <property fmtid="{D5CDD505-2E9C-101B-9397-08002B2CF9AE}" pid="4" name="KSOTemplateDocerSaveRecord">
    <vt:lpwstr>eyJoZGlkIjoiNjI1MWE0ZWFjMWNmZGMzMDg2ZDMzMzQxMTdmMzgzYTEiLCJ1c2VySWQiOiI0MzY0ODIzNTIifQ==</vt:lpwstr>
  </property>
</Properties>
</file>