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14:paraId="5A0CBBAB">
      <w:pPr>
        <w:pStyle w:val="171"/>
        <w:ind w:firstLine="480"/>
        <w:rPr>
          <w:rFonts w:hint="default" w:ascii="Times New Roman" w:hAnsi="Times New Roman" w:cs="Times New Roman"/>
          <w:smallCaps w:val="0"/>
          <w:color w:val="auto"/>
          <w:spacing w:val="0"/>
          <w:highlight w:val="none"/>
        </w:rPr>
      </w:pPr>
    </w:p>
    <w:p w14:paraId="421264D1">
      <w:pPr>
        <w:pStyle w:val="171"/>
        <w:ind w:firstLine="480"/>
        <w:rPr>
          <w:rFonts w:hint="default" w:ascii="Times New Roman" w:hAnsi="Times New Roman" w:cs="Times New Roman"/>
          <w:smallCaps w:val="0"/>
          <w:color w:val="auto"/>
          <w:spacing w:val="0"/>
          <w:highlight w:val="none"/>
        </w:rPr>
      </w:pPr>
    </w:p>
    <w:p w14:paraId="74E0F5CE">
      <w:pPr>
        <w:pStyle w:val="21"/>
        <w:rPr>
          <w:rFonts w:hint="default" w:ascii="Times New Roman" w:hAnsi="Times New Roman" w:cs="Times New Roman"/>
          <w:smallCaps w:val="0"/>
          <w:color w:val="auto"/>
          <w:spacing w:val="0"/>
          <w:highlight w:val="none"/>
        </w:rPr>
      </w:pPr>
    </w:p>
    <w:p w14:paraId="6483E86A">
      <w:pPr>
        <w:rPr>
          <w:rFonts w:hint="default" w:ascii="Times New Roman" w:hAnsi="Times New Roman" w:cs="Times New Roman"/>
          <w:smallCaps w:val="0"/>
          <w:color w:val="auto"/>
          <w:spacing w:val="0"/>
          <w:highlight w:val="none"/>
        </w:rPr>
      </w:pPr>
    </w:p>
    <w:p w14:paraId="771FC836">
      <w:pPr>
        <w:pStyle w:val="46"/>
        <w:ind w:firstLine="480"/>
        <w:rPr>
          <w:rFonts w:hint="default" w:ascii="Times New Roman" w:hAnsi="Times New Roman" w:cs="Times New Roman"/>
          <w:smallCaps w:val="0"/>
          <w:color w:val="auto"/>
          <w:spacing w:val="0"/>
          <w:highlight w:val="none"/>
        </w:rPr>
      </w:pPr>
    </w:p>
    <w:p w14:paraId="5285D654">
      <w:pPr>
        <w:adjustRightInd w:val="0"/>
        <w:snapToGrid w:val="0"/>
        <w:jc w:val="center"/>
        <w:outlineLvl w:val="0"/>
        <w:rPr>
          <w:rFonts w:hint="default" w:ascii="Times New Roman" w:hAnsi="Times New Roman" w:eastAsia="方正小标宋_GBK" w:cs="Times New Roman"/>
          <w:bCs/>
          <w:smallCaps w:val="0"/>
          <w:color w:val="auto"/>
          <w:spacing w:val="0"/>
          <w:sz w:val="72"/>
          <w:szCs w:val="72"/>
          <w:highlight w:val="none"/>
        </w:rPr>
      </w:pPr>
      <w:bookmarkStart w:id="0" w:name="_Toc116550324"/>
      <w:bookmarkStart w:id="1" w:name="_Toc14493"/>
      <w:r>
        <w:rPr>
          <w:rFonts w:hint="default" w:ascii="Times New Roman" w:hAnsi="Times New Roman" w:eastAsia="方正小标宋_GBK" w:cs="Times New Roman"/>
          <w:bCs/>
          <w:smallCaps w:val="0"/>
          <w:color w:val="auto"/>
          <w:spacing w:val="0"/>
          <w:sz w:val="72"/>
          <w:szCs w:val="72"/>
          <w:highlight w:val="none"/>
        </w:rPr>
        <w:t>建设项目环境影响报告表</w:t>
      </w:r>
      <w:bookmarkEnd w:id="0"/>
      <w:bookmarkEnd w:id="1"/>
    </w:p>
    <w:p w14:paraId="3EB20881">
      <w:pPr>
        <w:adjustRightInd w:val="0"/>
        <w:snapToGrid w:val="0"/>
        <w:spacing w:before="192" w:beforeLines="80"/>
        <w:jc w:val="center"/>
        <w:rPr>
          <w:rFonts w:hint="default" w:ascii="Times New Roman" w:hAnsi="Times New Roman" w:eastAsia="楷体_GB2312" w:cs="Times New Roman"/>
          <w:bCs/>
          <w:smallCaps w:val="0"/>
          <w:color w:val="auto"/>
          <w:spacing w:val="0"/>
          <w:sz w:val="48"/>
          <w:szCs w:val="48"/>
          <w:highlight w:val="none"/>
        </w:rPr>
      </w:pPr>
      <w:r>
        <w:rPr>
          <w:rFonts w:hint="default" w:ascii="Times New Roman" w:hAnsi="Times New Roman" w:eastAsia="楷体_GB2312" w:cs="Times New Roman"/>
          <w:bCs/>
          <w:smallCaps w:val="0"/>
          <w:color w:val="auto"/>
          <w:spacing w:val="0"/>
          <w:sz w:val="48"/>
          <w:szCs w:val="48"/>
          <w:highlight w:val="none"/>
        </w:rPr>
        <w:t>（污染影响类）</w:t>
      </w:r>
    </w:p>
    <w:p w14:paraId="55CB118B">
      <w:pPr>
        <w:pStyle w:val="171"/>
        <w:ind w:firstLine="480"/>
        <w:rPr>
          <w:rFonts w:hint="default" w:ascii="Times New Roman" w:hAnsi="Times New Roman" w:cs="Times New Roman"/>
          <w:smallCaps w:val="0"/>
          <w:color w:val="auto"/>
          <w:spacing w:val="0"/>
          <w:highlight w:val="none"/>
        </w:rPr>
      </w:pPr>
    </w:p>
    <w:p w14:paraId="600FCCDA">
      <w:pPr>
        <w:jc w:val="center"/>
        <w:rPr>
          <w:rFonts w:hint="default" w:ascii="Times New Roman" w:hAnsi="Times New Roman" w:eastAsia="仿宋" w:cs="Times New Roman"/>
          <w:smallCaps w:val="0"/>
          <w:color w:val="auto"/>
          <w:spacing w:val="0"/>
          <w:sz w:val="52"/>
          <w:szCs w:val="52"/>
          <w:highlight w:val="none"/>
        </w:rPr>
      </w:pPr>
    </w:p>
    <w:p w14:paraId="1D77D9C2">
      <w:pPr>
        <w:ind w:firstLine="1040"/>
        <w:rPr>
          <w:rFonts w:hint="default" w:ascii="Times New Roman" w:hAnsi="Times New Roman" w:eastAsia="仿宋" w:cs="Times New Roman"/>
          <w:smallCaps w:val="0"/>
          <w:color w:val="auto"/>
          <w:spacing w:val="0"/>
          <w:sz w:val="44"/>
          <w:szCs w:val="44"/>
          <w:highlight w:val="none"/>
        </w:rPr>
      </w:pPr>
    </w:p>
    <w:p w14:paraId="41B906A4">
      <w:pPr>
        <w:pStyle w:val="5"/>
        <w:rPr>
          <w:rFonts w:hint="default" w:ascii="Times New Roman" w:hAnsi="Times New Roman" w:eastAsia="仿宋" w:cs="Times New Roman"/>
          <w:smallCaps w:val="0"/>
          <w:color w:val="auto"/>
          <w:spacing w:val="0"/>
          <w:sz w:val="44"/>
          <w:szCs w:val="44"/>
          <w:highlight w:val="none"/>
        </w:rPr>
      </w:pPr>
    </w:p>
    <w:p w14:paraId="31296005">
      <w:pPr>
        <w:pStyle w:val="7"/>
        <w:rPr>
          <w:rFonts w:hint="default" w:ascii="Times New Roman" w:hAnsi="Times New Roman" w:cs="Times New Roman"/>
          <w:color w:val="auto"/>
          <w:highlight w:val="none"/>
        </w:rPr>
      </w:pPr>
    </w:p>
    <w:p w14:paraId="797DDE68">
      <w:pPr>
        <w:ind w:firstLine="1040"/>
        <w:rPr>
          <w:rFonts w:hint="default" w:ascii="Times New Roman" w:hAnsi="Times New Roman" w:cs="Times New Roman"/>
          <w:smallCaps w:val="0"/>
          <w:color w:val="auto"/>
          <w:spacing w:val="0"/>
          <w:sz w:val="44"/>
          <w:szCs w:val="44"/>
          <w:highlight w:val="none"/>
        </w:rPr>
      </w:pPr>
    </w:p>
    <w:p w14:paraId="332B8D51">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项目名称：</w:t>
      </w:r>
      <w:r>
        <w:rPr>
          <w:rFonts w:hint="eastAsia" w:cs="Times New Roman"/>
          <w:smallCaps w:val="0"/>
          <w:color w:val="auto"/>
          <w:spacing w:val="0"/>
          <w:sz w:val="36"/>
          <w:szCs w:val="36"/>
          <w:highlight w:val="none"/>
          <w:u w:val="single"/>
          <w:lang w:val="en-US" w:eastAsia="zh-CN"/>
        </w:rPr>
        <w:t>高铁接触网配件铸造生产线建设项目</w:t>
      </w:r>
    </w:p>
    <w:p w14:paraId="6CD8847F">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建设单位：</w:t>
      </w:r>
      <w:r>
        <w:rPr>
          <w:rFonts w:hint="default" w:ascii="Times New Roman" w:hAnsi="Times New Roman" w:cs="Times New Roman"/>
          <w:smallCaps w:val="0"/>
          <w:color w:val="auto"/>
          <w:spacing w:val="0"/>
          <w:sz w:val="36"/>
          <w:szCs w:val="36"/>
          <w:highlight w:val="none"/>
          <w:u w:val="single"/>
        </w:rPr>
        <w:t xml:space="preserve"> </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lang w:eastAsia="zh-CN"/>
        </w:rPr>
        <w:t>石家庄旭兰电气设备有限公司</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 xml:space="preserve">  </w:t>
      </w:r>
    </w:p>
    <w:p w14:paraId="724D6C85">
      <w:pPr>
        <w:keepNext w:val="0"/>
        <w:keepLines w:val="0"/>
        <w:pageBreakBefore w:val="0"/>
        <w:widowControl w:val="0"/>
        <w:kinsoku/>
        <w:wordWrap/>
        <w:overflowPunct/>
        <w:topLinePunct w:val="0"/>
        <w:autoSpaceDE/>
        <w:autoSpaceDN/>
        <w:bidi w:val="0"/>
        <w:adjustRightInd w:val="0"/>
        <w:snapToGrid w:val="0"/>
        <w:spacing w:line="288" w:lineRule="auto"/>
        <w:ind w:left="735" w:leftChars="350"/>
        <w:textAlignment w:val="auto"/>
        <w:rPr>
          <w:rFonts w:hint="default" w:ascii="Times New Roman" w:hAnsi="Times New Roman" w:cs="Times New Roman"/>
          <w:smallCaps w:val="0"/>
          <w:color w:val="auto"/>
          <w:spacing w:val="0"/>
          <w:sz w:val="36"/>
          <w:szCs w:val="36"/>
          <w:highlight w:val="none"/>
          <w:u w:val="single"/>
        </w:rPr>
      </w:pPr>
      <w:r>
        <w:rPr>
          <w:rFonts w:hint="default" w:ascii="Times New Roman" w:hAnsi="Times New Roman" w:cs="Times New Roman"/>
          <w:smallCaps w:val="0"/>
          <w:color w:val="auto"/>
          <w:spacing w:val="0"/>
          <w:sz w:val="36"/>
          <w:szCs w:val="36"/>
          <w:highlight w:val="none"/>
        </w:rPr>
        <w:t>编制日期：</w:t>
      </w:r>
      <w:r>
        <w:rPr>
          <w:rFonts w:hint="default" w:ascii="Times New Roman" w:hAnsi="Times New Roman" w:cs="Times New Roman"/>
          <w:smallCaps w:val="0"/>
          <w:color w:val="auto"/>
          <w:spacing w:val="0"/>
          <w:sz w:val="36"/>
          <w:szCs w:val="36"/>
          <w:highlight w:val="none"/>
          <w:u w:val="single"/>
        </w:rPr>
        <w:t xml:space="preserve">        </w:t>
      </w:r>
      <w:r>
        <w:rPr>
          <w:rFonts w:hint="eastAsia" w:cs="Times New Roman"/>
          <w:smallCaps w:val="0"/>
          <w:color w:val="auto"/>
          <w:spacing w:val="0"/>
          <w:sz w:val="36"/>
          <w:szCs w:val="36"/>
          <w:highlight w:val="none"/>
          <w:u w:val="single"/>
          <w:lang w:val="en-US" w:eastAsia="zh-CN"/>
        </w:rPr>
        <w:t xml:space="preserve"> </w:t>
      </w:r>
      <w:r>
        <w:rPr>
          <w:rFonts w:hint="default" w:ascii="Times New Roman" w:hAnsi="Times New Roman" w:cs="Times New Roman"/>
          <w:smallCaps w:val="0"/>
          <w:color w:val="auto"/>
          <w:spacing w:val="0"/>
          <w:sz w:val="36"/>
          <w:szCs w:val="36"/>
          <w:highlight w:val="none"/>
          <w:u w:val="single"/>
        </w:rPr>
        <w:t>202</w:t>
      </w:r>
      <w:r>
        <w:rPr>
          <w:rFonts w:hint="eastAsia" w:cs="Times New Roman"/>
          <w:smallCaps w:val="0"/>
          <w:color w:val="auto"/>
          <w:spacing w:val="0"/>
          <w:sz w:val="36"/>
          <w:szCs w:val="36"/>
          <w:highlight w:val="none"/>
          <w:u w:val="single"/>
          <w:lang w:val="en-US" w:eastAsia="zh-CN"/>
        </w:rPr>
        <w:t>6</w:t>
      </w:r>
      <w:r>
        <w:rPr>
          <w:rFonts w:hint="default" w:ascii="Times New Roman" w:hAnsi="Times New Roman" w:cs="Times New Roman"/>
          <w:smallCaps w:val="0"/>
          <w:color w:val="auto"/>
          <w:spacing w:val="0"/>
          <w:sz w:val="36"/>
          <w:szCs w:val="36"/>
          <w:highlight w:val="none"/>
          <w:u w:val="single"/>
        </w:rPr>
        <w:t>年</w:t>
      </w:r>
      <w:r>
        <w:rPr>
          <w:rFonts w:hint="eastAsia" w:cs="Times New Roman"/>
          <w:smallCaps w:val="0"/>
          <w:color w:val="auto"/>
          <w:spacing w:val="0"/>
          <w:sz w:val="36"/>
          <w:szCs w:val="36"/>
          <w:highlight w:val="none"/>
          <w:u w:val="single"/>
          <w:lang w:val="en-US" w:eastAsia="zh-CN"/>
        </w:rPr>
        <w:t>3</w:t>
      </w:r>
      <w:r>
        <w:rPr>
          <w:rFonts w:hint="default" w:ascii="Times New Roman" w:hAnsi="Times New Roman" w:cs="Times New Roman"/>
          <w:smallCaps w:val="0"/>
          <w:color w:val="auto"/>
          <w:spacing w:val="0"/>
          <w:sz w:val="36"/>
          <w:szCs w:val="36"/>
          <w:highlight w:val="none"/>
          <w:u w:val="single"/>
        </w:rPr>
        <w:t xml:space="preserve">月            </w:t>
      </w:r>
    </w:p>
    <w:p w14:paraId="56EFCC83">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u w:val="single"/>
        </w:rPr>
      </w:pPr>
      <w:bookmarkStart w:id="2" w:name="_Hlk57884087"/>
    </w:p>
    <w:p w14:paraId="5F45DE3C">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rPr>
      </w:pPr>
    </w:p>
    <w:p w14:paraId="42BF727A">
      <w:pPr>
        <w:adjustRightInd w:val="0"/>
        <w:snapToGrid w:val="0"/>
        <w:spacing w:line="288" w:lineRule="auto"/>
        <w:ind w:firstLine="1040"/>
        <w:rPr>
          <w:rFonts w:hint="default" w:ascii="Times New Roman" w:hAnsi="Times New Roman" w:eastAsia="仿宋_GB2312" w:cs="Times New Roman"/>
          <w:smallCaps w:val="0"/>
          <w:color w:val="auto"/>
          <w:spacing w:val="0"/>
          <w:sz w:val="36"/>
          <w:szCs w:val="36"/>
          <w:highlight w:val="none"/>
        </w:rPr>
      </w:pPr>
    </w:p>
    <w:p w14:paraId="14EBDCB7">
      <w:pPr>
        <w:adjustRightInd w:val="0"/>
        <w:snapToGrid w:val="0"/>
        <w:spacing w:line="288" w:lineRule="auto"/>
        <w:rPr>
          <w:rFonts w:hint="default" w:ascii="Times New Roman" w:hAnsi="Times New Roman" w:eastAsia="仿宋_GB2312" w:cs="Times New Roman"/>
          <w:smallCaps w:val="0"/>
          <w:color w:val="auto"/>
          <w:spacing w:val="0"/>
          <w:sz w:val="36"/>
          <w:szCs w:val="36"/>
          <w:highlight w:val="none"/>
        </w:rPr>
      </w:pPr>
    </w:p>
    <w:bookmarkEnd w:id="2"/>
    <w:p w14:paraId="24E95416">
      <w:pPr>
        <w:adjustRightInd w:val="0"/>
        <w:snapToGrid w:val="0"/>
        <w:spacing w:line="288" w:lineRule="auto"/>
        <w:jc w:val="center"/>
        <w:rPr>
          <w:rFonts w:hint="default" w:ascii="Times New Roman" w:hAnsi="Times New Roman" w:eastAsia="楷体_GB2312" w:cs="Times New Roman"/>
          <w:smallCaps w:val="0"/>
          <w:color w:val="auto"/>
          <w:spacing w:val="0"/>
          <w:sz w:val="36"/>
          <w:szCs w:val="36"/>
          <w:highlight w:val="none"/>
        </w:rPr>
      </w:pPr>
      <w:r>
        <w:rPr>
          <w:rFonts w:hint="default" w:ascii="Times New Roman" w:hAnsi="Times New Roman" w:eastAsia="楷体_GB2312" w:cs="Times New Roman"/>
          <w:smallCaps w:val="0"/>
          <w:color w:val="auto"/>
          <w:spacing w:val="0"/>
          <w:sz w:val="36"/>
          <w:szCs w:val="36"/>
          <w:highlight w:val="none"/>
        </w:rPr>
        <w:t>中华人民共和国生态环境部制</w:t>
      </w:r>
    </w:p>
    <w:p w14:paraId="08117750">
      <w:pPr>
        <w:pStyle w:val="46"/>
        <w:ind w:firstLine="480"/>
        <w:rPr>
          <w:rFonts w:hint="default" w:ascii="Times New Roman" w:hAnsi="Times New Roman" w:cs="Times New Roman"/>
          <w:smallCaps w:val="0"/>
          <w:color w:val="auto"/>
          <w:spacing w:val="0"/>
          <w:highlight w:val="none"/>
        </w:rPr>
        <w:sectPr>
          <w:footerReference r:id="rId3" w:type="default"/>
          <w:footerReference r:id="rId4" w:type="even"/>
          <w:pgSz w:w="11906" w:h="16838"/>
          <w:pgMar w:top="1701" w:right="1531" w:bottom="1701" w:left="1531" w:header="851" w:footer="1077" w:gutter="0"/>
          <w:pgNumType w:start="3"/>
          <w:cols w:space="720" w:num="1"/>
          <w:docGrid w:linePitch="312" w:charSpace="0"/>
        </w:sectPr>
      </w:pPr>
    </w:p>
    <w:p w14:paraId="766619E8">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3" w:name="_Toc11524"/>
      <w:r>
        <w:rPr>
          <w:rFonts w:hint="default" w:ascii="Times New Roman" w:hAnsi="Times New Roman" w:eastAsia="黑体" w:cs="Times New Roman"/>
          <w:smallCaps w:val="0"/>
          <w:snapToGrid w:val="0"/>
          <w:color w:val="auto"/>
          <w:spacing w:val="0"/>
          <w:sz w:val="30"/>
          <w:szCs w:val="30"/>
          <w:highlight w:val="none"/>
        </w:rPr>
        <w:t>一、建设项目基本情况</w:t>
      </w:r>
      <w:bookmarkEnd w:id="3"/>
    </w:p>
    <w:tbl>
      <w:tblPr>
        <w:tblStyle w:val="47"/>
        <w:tblW w:w="51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752"/>
        <w:gridCol w:w="2295"/>
        <w:gridCol w:w="1846"/>
        <w:gridCol w:w="3328"/>
      </w:tblGrid>
      <w:tr w14:paraId="289C01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6" w:hRule="atLeast"/>
          <w:jc w:val="center"/>
        </w:trPr>
        <w:tc>
          <w:tcPr>
            <w:tcW w:w="950" w:type="pct"/>
            <w:tcMar>
              <w:top w:w="16" w:type="dxa"/>
              <w:left w:w="16" w:type="dxa"/>
              <w:right w:w="16" w:type="dxa"/>
            </w:tcMar>
            <w:vAlign w:val="center"/>
          </w:tcPr>
          <w:p w14:paraId="37E545C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建设项目名称</w:t>
            </w:r>
          </w:p>
        </w:tc>
        <w:tc>
          <w:tcPr>
            <w:tcW w:w="4049" w:type="pct"/>
            <w:gridSpan w:val="3"/>
            <w:vAlign w:val="center"/>
          </w:tcPr>
          <w:p w14:paraId="5C458ADE">
            <w:pPr>
              <w:pStyle w:val="171"/>
              <w:keepNext w:val="0"/>
              <w:keepLines w:val="0"/>
              <w:suppressLineNumbers w:val="0"/>
              <w:spacing w:before="0" w:beforeAutospacing="0" w:after="0" w:afterAutospacing="0"/>
              <w:ind w:left="0" w:right="0" w:firstLine="480"/>
              <w:jc w:val="center"/>
              <w:rPr>
                <w:rFonts w:hint="default" w:ascii="Times New Roman" w:hAnsi="Times New Roman" w:eastAsia="宋体" w:cs="Times New Roman"/>
                <w:smallCaps w:val="0"/>
                <w:color w:val="auto"/>
                <w:spacing w:val="0"/>
                <w:highlight w:val="none"/>
                <w:lang w:eastAsia="zh-CN"/>
              </w:rPr>
            </w:pPr>
            <w:r>
              <w:rPr>
                <w:rFonts w:hint="eastAsia" w:cs="Times New Roman"/>
                <w:smallCaps w:val="0"/>
                <w:color w:val="auto"/>
                <w:spacing w:val="0"/>
                <w:highlight w:val="none"/>
                <w:lang w:eastAsia="zh-CN"/>
              </w:rPr>
              <w:t>高铁接触网配件铸造生产线建设项目</w:t>
            </w:r>
          </w:p>
        </w:tc>
      </w:tr>
      <w:tr w14:paraId="122DA0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54" w:hRule="atLeast"/>
          <w:jc w:val="center"/>
        </w:trPr>
        <w:tc>
          <w:tcPr>
            <w:tcW w:w="950" w:type="pct"/>
            <w:tcMar>
              <w:top w:w="16" w:type="dxa"/>
              <w:left w:w="16" w:type="dxa"/>
              <w:right w:w="16" w:type="dxa"/>
            </w:tcMar>
            <w:vAlign w:val="center"/>
          </w:tcPr>
          <w:p w14:paraId="1013132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项目代码</w:t>
            </w:r>
          </w:p>
        </w:tc>
        <w:tc>
          <w:tcPr>
            <w:tcW w:w="4049" w:type="pct"/>
            <w:gridSpan w:val="3"/>
          </w:tcPr>
          <w:p w14:paraId="4950A096">
            <w:pPr>
              <w:pStyle w:val="171"/>
              <w:keepNext w:val="0"/>
              <w:keepLines w:val="0"/>
              <w:suppressLineNumbers w:val="0"/>
              <w:spacing w:before="0" w:beforeAutospacing="0" w:after="0" w:afterAutospacing="0"/>
              <w:ind w:left="0" w:right="0" w:firstLine="48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2510-130107-89-01-553351</w:t>
            </w:r>
          </w:p>
        </w:tc>
      </w:tr>
      <w:tr w14:paraId="05BB54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01" w:hRule="atLeast"/>
          <w:jc w:val="center"/>
        </w:trPr>
        <w:tc>
          <w:tcPr>
            <w:tcW w:w="950" w:type="pct"/>
            <w:tcMar>
              <w:top w:w="16" w:type="dxa"/>
              <w:left w:w="16" w:type="dxa"/>
              <w:right w:w="16" w:type="dxa"/>
            </w:tcMar>
            <w:vAlign w:val="center"/>
          </w:tcPr>
          <w:p w14:paraId="47CF69C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i w:val="0"/>
                <w:iCs w:val="0"/>
                <w:smallCaps w:val="0"/>
                <w:color w:val="auto"/>
                <w:spacing w:val="0"/>
                <w:sz w:val="24"/>
                <w:szCs w:val="24"/>
                <w:highlight w:val="none"/>
              </w:rPr>
            </w:pPr>
            <w:r>
              <w:rPr>
                <w:rFonts w:hint="default" w:ascii="Times New Roman" w:hAnsi="Times New Roman" w:cs="Times New Roman"/>
                <w:i w:val="0"/>
                <w:iCs w:val="0"/>
                <w:smallCaps w:val="0"/>
                <w:color w:val="auto"/>
                <w:spacing w:val="0"/>
                <w:sz w:val="24"/>
                <w:szCs w:val="24"/>
                <w:highlight w:val="none"/>
              </w:rPr>
              <w:t>建设单位联系人</w:t>
            </w:r>
          </w:p>
        </w:tc>
        <w:tc>
          <w:tcPr>
            <w:tcW w:w="1244" w:type="pct"/>
            <w:vAlign w:val="center"/>
          </w:tcPr>
          <w:p w14:paraId="3748A17B">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i w:val="0"/>
                <w:iCs w:val="0"/>
                <w:smallCaps w:val="0"/>
                <w:color w:val="auto"/>
                <w:spacing w:val="0"/>
                <w:sz w:val="24"/>
                <w:szCs w:val="24"/>
                <w:highlight w:val="none"/>
                <w:lang w:val="en-US" w:eastAsia="zh-CN"/>
              </w:rPr>
            </w:pPr>
            <w:r>
              <w:rPr>
                <w:rFonts w:hint="eastAsia" w:cs="Times New Roman"/>
                <w:i w:val="0"/>
                <w:iCs w:val="0"/>
                <w:smallCaps w:val="0"/>
                <w:color w:val="auto"/>
                <w:spacing w:val="0"/>
                <w:sz w:val="24"/>
                <w:szCs w:val="24"/>
                <w:highlight w:val="none"/>
                <w:lang w:val="en-US" w:eastAsia="zh-CN"/>
              </w:rPr>
              <w:t>侯海飞</w:t>
            </w:r>
          </w:p>
        </w:tc>
        <w:tc>
          <w:tcPr>
            <w:tcW w:w="1001" w:type="pct"/>
            <w:vAlign w:val="center"/>
          </w:tcPr>
          <w:p w14:paraId="29594B6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i w:val="0"/>
                <w:iCs w:val="0"/>
                <w:smallCaps w:val="0"/>
                <w:color w:val="auto"/>
                <w:spacing w:val="0"/>
                <w:sz w:val="24"/>
                <w:szCs w:val="24"/>
                <w:highlight w:val="none"/>
              </w:rPr>
            </w:pPr>
            <w:r>
              <w:rPr>
                <w:rFonts w:hint="default" w:ascii="Times New Roman" w:hAnsi="Times New Roman" w:cs="Times New Roman"/>
                <w:i w:val="0"/>
                <w:iCs w:val="0"/>
                <w:smallCaps w:val="0"/>
                <w:color w:val="auto"/>
                <w:spacing w:val="0"/>
                <w:sz w:val="24"/>
                <w:szCs w:val="24"/>
                <w:highlight w:val="none"/>
              </w:rPr>
              <w:t>联系方式</w:t>
            </w:r>
          </w:p>
        </w:tc>
        <w:tc>
          <w:tcPr>
            <w:tcW w:w="1804" w:type="pct"/>
            <w:vAlign w:val="center"/>
          </w:tcPr>
          <w:p w14:paraId="642568F8">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i w:val="0"/>
                <w:iCs w:val="0"/>
                <w:smallCaps w:val="0"/>
                <w:color w:val="auto"/>
                <w:spacing w:val="0"/>
                <w:sz w:val="24"/>
                <w:szCs w:val="24"/>
                <w:highlight w:val="none"/>
                <w:lang w:eastAsia="zh-CN"/>
              </w:rPr>
            </w:pPr>
            <w:r>
              <w:rPr>
                <w:rFonts w:hint="eastAsia" w:ascii="Times New Roman" w:hAnsi="Times New Roman" w:eastAsia="宋体" w:cs="Times New Roman"/>
                <w:smallCaps w:val="0"/>
                <w:snapToGrid w:val="0"/>
                <w:color w:val="auto"/>
                <w:spacing w:val="0"/>
                <w:kern w:val="2"/>
                <w:sz w:val="24"/>
                <w:szCs w:val="24"/>
                <w:highlight w:val="none"/>
                <w:lang w:val="en-US" w:eastAsia="zh-CN" w:bidi="ar-SA"/>
              </w:rPr>
              <w:t>13613285166</w:t>
            </w:r>
          </w:p>
        </w:tc>
      </w:tr>
      <w:tr w14:paraId="059CD8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7" w:hRule="atLeast"/>
          <w:jc w:val="center"/>
        </w:trPr>
        <w:tc>
          <w:tcPr>
            <w:tcW w:w="950" w:type="pct"/>
            <w:tcMar>
              <w:top w:w="16" w:type="dxa"/>
              <w:left w:w="16" w:type="dxa"/>
              <w:right w:w="16" w:type="dxa"/>
            </w:tcMar>
            <w:vAlign w:val="center"/>
          </w:tcPr>
          <w:p w14:paraId="3F20B4E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建设地点</w:t>
            </w:r>
          </w:p>
        </w:tc>
        <w:tc>
          <w:tcPr>
            <w:tcW w:w="4049" w:type="pct"/>
            <w:gridSpan w:val="3"/>
            <w:vAlign w:val="center"/>
          </w:tcPr>
          <w:p w14:paraId="080A593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u w:val="single"/>
              </w:rPr>
              <w:t>河北</w:t>
            </w:r>
            <w:r>
              <w:rPr>
                <w:rFonts w:hint="default" w:ascii="Times New Roman" w:hAnsi="Times New Roman" w:cs="Times New Roman"/>
                <w:smallCaps w:val="0"/>
                <w:color w:val="auto"/>
                <w:spacing w:val="0"/>
                <w:sz w:val="24"/>
                <w:szCs w:val="24"/>
                <w:highlight w:val="none"/>
              </w:rPr>
              <w:t>省（自治区）</w:t>
            </w:r>
            <w:r>
              <w:rPr>
                <w:rFonts w:hint="default" w:ascii="Times New Roman" w:hAnsi="Times New Roman" w:cs="Times New Roman"/>
                <w:smallCaps w:val="0"/>
                <w:color w:val="auto"/>
                <w:spacing w:val="0"/>
                <w:sz w:val="24"/>
                <w:szCs w:val="24"/>
                <w:highlight w:val="none"/>
                <w:u w:val="single"/>
              </w:rPr>
              <w:t>石家庄</w:t>
            </w:r>
            <w:r>
              <w:rPr>
                <w:rFonts w:hint="default" w:ascii="Times New Roman" w:hAnsi="Times New Roman" w:cs="Times New Roman"/>
                <w:smallCaps w:val="0"/>
                <w:color w:val="auto"/>
                <w:spacing w:val="0"/>
                <w:sz w:val="24"/>
                <w:szCs w:val="24"/>
                <w:highlight w:val="none"/>
              </w:rPr>
              <w:t>市</w:t>
            </w:r>
            <w:r>
              <w:rPr>
                <w:rFonts w:hint="default" w:ascii="Times New Roman" w:hAnsi="Times New Roman" w:cs="Times New Roman"/>
                <w:smallCaps w:val="0"/>
                <w:color w:val="auto"/>
                <w:spacing w:val="0"/>
                <w:sz w:val="24"/>
                <w:szCs w:val="24"/>
                <w:highlight w:val="none"/>
                <w:u w:val="single"/>
                <w:lang w:val="en-US" w:eastAsia="zh-CN"/>
              </w:rPr>
              <w:t>井陉矿区</w:t>
            </w:r>
            <w:r>
              <w:rPr>
                <w:rFonts w:hint="default" w:ascii="Times New Roman" w:hAnsi="Times New Roman" w:cs="Times New Roman"/>
                <w:smallCaps w:val="0"/>
                <w:color w:val="auto"/>
                <w:spacing w:val="0"/>
                <w:sz w:val="24"/>
                <w:szCs w:val="24"/>
                <w:highlight w:val="none"/>
              </w:rPr>
              <w:t>县（区）</w:t>
            </w:r>
            <w:r>
              <w:rPr>
                <w:rFonts w:hint="default" w:ascii="Times New Roman" w:hAnsi="Times New Roman" w:cs="Times New Roman"/>
                <w:smallCaps w:val="0"/>
                <w:color w:val="auto"/>
                <w:spacing w:val="0"/>
                <w:sz w:val="24"/>
                <w:szCs w:val="24"/>
                <w:highlight w:val="none"/>
                <w:u w:val="single"/>
              </w:rPr>
              <w:t>鑫鸿产业园5号厂房</w:t>
            </w:r>
          </w:p>
        </w:tc>
      </w:tr>
      <w:tr w14:paraId="043E85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7" w:hRule="atLeast"/>
          <w:jc w:val="center"/>
        </w:trPr>
        <w:tc>
          <w:tcPr>
            <w:tcW w:w="950" w:type="pct"/>
            <w:tcMar>
              <w:top w:w="16" w:type="dxa"/>
              <w:left w:w="16" w:type="dxa"/>
              <w:right w:w="16" w:type="dxa"/>
            </w:tcMar>
            <w:vAlign w:val="center"/>
          </w:tcPr>
          <w:p w14:paraId="10EF282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地理坐标</w:t>
            </w:r>
          </w:p>
        </w:tc>
        <w:tc>
          <w:tcPr>
            <w:tcW w:w="4049" w:type="pct"/>
            <w:gridSpan w:val="3"/>
            <w:vAlign w:val="center"/>
          </w:tcPr>
          <w:p w14:paraId="4554DD9D">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 w:val="24"/>
                <w:szCs w:val="24"/>
                <w:highlight w:val="none"/>
                <w:lang w:eastAsia="zh-CN"/>
              </w:rPr>
            </w:pPr>
            <w:r>
              <w:rPr>
                <w:rFonts w:hint="default" w:ascii="Times New Roman" w:hAnsi="Times New Roman" w:cs="Times New Roman"/>
                <w:smallCaps w:val="0"/>
                <w:color w:val="auto"/>
                <w:spacing w:val="0"/>
                <w:sz w:val="24"/>
                <w:szCs w:val="24"/>
                <w:highlight w:val="none"/>
              </w:rPr>
              <w:t>东经</w:t>
            </w:r>
            <w:r>
              <w:rPr>
                <w:rFonts w:hint="default" w:ascii="Times New Roman" w:hAnsi="Times New Roman" w:cs="Times New Roman"/>
                <w:smallCaps w:val="0"/>
                <w:color w:val="auto"/>
                <w:spacing w:val="0"/>
                <w:sz w:val="24"/>
                <w:szCs w:val="24"/>
                <w:highlight w:val="none"/>
                <w:lang w:eastAsia="zh-CN"/>
              </w:rPr>
              <w:t>114°</w:t>
            </w:r>
            <w:r>
              <w:rPr>
                <w:rFonts w:hint="eastAsia" w:cs="Times New Roman"/>
                <w:smallCaps w:val="0"/>
                <w:color w:val="auto"/>
                <w:spacing w:val="0"/>
                <w:sz w:val="24"/>
                <w:szCs w:val="24"/>
                <w:highlight w:val="none"/>
                <w:lang w:val="en-US" w:eastAsia="zh-CN"/>
              </w:rPr>
              <w:t>2</w:t>
            </w:r>
            <w:r>
              <w:rPr>
                <w:rFonts w:hint="default" w:ascii="Times New Roman" w:hAnsi="Times New Roman" w:cs="Times New Roman"/>
                <w:smallCaps w:val="0"/>
                <w:color w:val="auto"/>
                <w:spacing w:val="0"/>
                <w:sz w:val="24"/>
                <w:szCs w:val="24"/>
                <w:highlight w:val="none"/>
                <w:lang w:eastAsia="zh-CN"/>
              </w:rPr>
              <w:t>′</w:t>
            </w:r>
            <w:r>
              <w:rPr>
                <w:rFonts w:hint="eastAsia" w:cs="Times New Roman"/>
                <w:smallCaps w:val="0"/>
                <w:color w:val="auto"/>
                <w:spacing w:val="0"/>
                <w:sz w:val="24"/>
                <w:szCs w:val="24"/>
                <w:highlight w:val="none"/>
                <w:lang w:val="en-US" w:eastAsia="zh-CN"/>
              </w:rPr>
              <w:t>34.111</w:t>
            </w:r>
            <w:r>
              <w:rPr>
                <w:rFonts w:hint="default" w:ascii="Times New Roman" w:hAnsi="Times New Roman"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北纬</w:t>
            </w:r>
            <w:r>
              <w:rPr>
                <w:rFonts w:hint="default" w:ascii="Times New Roman" w:hAnsi="Times New Roman" w:cs="Times New Roman"/>
                <w:smallCaps w:val="0"/>
                <w:color w:val="auto"/>
                <w:spacing w:val="0"/>
                <w:sz w:val="24"/>
                <w:szCs w:val="24"/>
                <w:highlight w:val="none"/>
                <w:lang w:eastAsia="zh-CN"/>
              </w:rPr>
              <w:t>38°</w:t>
            </w:r>
            <w:r>
              <w:rPr>
                <w:rFonts w:hint="eastAsia" w:cs="Times New Roman"/>
                <w:smallCaps w:val="0"/>
                <w:color w:val="auto"/>
                <w:spacing w:val="0"/>
                <w:sz w:val="24"/>
                <w:szCs w:val="24"/>
                <w:highlight w:val="none"/>
                <w:lang w:val="en-US" w:eastAsia="zh-CN"/>
              </w:rPr>
              <w:t>6</w:t>
            </w:r>
            <w:r>
              <w:rPr>
                <w:rFonts w:hint="default" w:ascii="Times New Roman" w:hAnsi="Times New Roman" w:cs="Times New Roman"/>
                <w:smallCaps w:val="0"/>
                <w:color w:val="auto"/>
                <w:spacing w:val="0"/>
                <w:sz w:val="24"/>
                <w:szCs w:val="24"/>
                <w:highlight w:val="none"/>
                <w:lang w:eastAsia="zh-CN"/>
              </w:rPr>
              <w:t>′</w:t>
            </w:r>
            <w:r>
              <w:rPr>
                <w:rFonts w:hint="eastAsia" w:cs="Times New Roman"/>
                <w:smallCaps w:val="0"/>
                <w:color w:val="auto"/>
                <w:spacing w:val="0"/>
                <w:sz w:val="24"/>
                <w:szCs w:val="24"/>
                <w:highlight w:val="none"/>
                <w:lang w:val="en-US" w:eastAsia="zh-CN"/>
              </w:rPr>
              <w:t>27.106</w:t>
            </w:r>
            <w:r>
              <w:rPr>
                <w:rFonts w:hint="default" w:ascii="Times New Roman" w:hAnsi="Times New Roman" w:cs="Times New Roman"/>
                <w:smallCaps w:val="0"/>
                <w:color w:val="auto"/>
                <w:spacing w:val="0"/>
                <w:sz w:val="24"/>
                <w:szCs w:val="24"/>
                <w:highlight w:val="none"/>
                <w:lang w:eastAsia="zh-CN"/>
              </w:rPr>
              <w:t>″</w:t>
            </w:r>
          </w:p>
        </w:tc>
      </w:tr>
      <w:tr w14:paraId="5034F4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1" w:hRule="atLeast"/>
          <w:jc w:val="center"/>
        </w:trPr>
        <w:tc>
          <w:tcPr>
            <w:tcW w:w="950" w:type="pct"/>
            <w:tcMar>
              <w:top w:w="16" w:type="dxa"/>
              <w:left w:w="16" w:type="dxa"/>
              <w:right w:w="16" w:type="dxa"/>
            </w:tcMar>
            <w:vAlign w:val="center"/>
          </w:tcPr>
          <w:p w14:paraId="5D81B70D">
            <w:pPr>
              <w:pStyle w:val="171"/>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国民经济行业类别</w:t>
            </w:r>
          </w:p>
        </w:tc>
        <w:tc>
          <w:tcPr>
            <w:tcW w:w="1244" w:type="pct"/>
            <w:vAlign w:val="center"/>
          </w:tcPr>
          <w:p w14:paraId="0AA29499">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C33</w:t>
            </w:r>
            <w:r>
              <w:rPr>
                <w:rFonts w:hint="eastAsia" w:cs="Times New Roman"/>
                <w:smallCaps w:val="0"/>
                <w:color w:val="auto"/>
                <w:spacing w:val="0"/>
                <w:highlight w:val="none"/>
                <w:lang w:val="en-US" w:eastAsia="zh-CN"/>
              </w:rPr>
              <w:t>91黑色金属铸造</w:t>
            </w:r>
          </w:p>
        </w:tc>
        <w:tc>
          <w:tcPr>
            <w:tcW w:w="1001" w:type="pct"/>
            <w:vAlign w:val="center"/>
          </w:tcPr>
          <w:p w14:paraId="528465F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bookmarkStart w:id="4" w:name="_Hlk49843745"/>
            <w:r>
              <w:rPr>
                <w:rFonts w:hint="default" w:ascii="Times New Roman" w:hAnsi="Times New Roman" w:cs="Times New Roman"/>
                <w:smallCaps w:val="0"/>
                <w:color w:val="auto"/>
                <w:spacing w:val="0"/>
                <w:sz w:val="24"/>
                <w:szCs w:val="24"/>
                <w:highlight w:val="none"/>
              </w:rPr>
              <w:t>建设项目</w:t>
            </w:r>
          </w:p>
          <w:p w14:paraId="3C4B884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行业类别</w:t>
            </w:r>
            <w:bookmarkEnd w:id="4"/>
          </w:p>
        </w:tc>
        <w:tc>
          <w:tcPr>
            <w:tcW w:w="1804" w:type="pct"/>
            <w:vAlign w:val="center"/>
          </w:tcPr>
          <w:p w14:paraId="33D76D67">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Times New Roman" w:hAnsi="Times New Roman" w:cs="Times New Roman"/>
                <w:smallCaps w:val="0"/>
                <w:color w:val="auto"/>
                <w:spacing w:val="0"/>
                <w:highlight w:val="none"/>
                <w:lang w:val="en-US"/>
              </w:rPr>
            </w:pPr>
            <w:r>
              <w:rPr>
                <w:rFonts w:hint="default" w:ascii="Times New Roman" w:hAnsi="Times New Roman" w:cs="Times New Roman"/>
                <w:smallCaps w:val="0"/>
                <w:color w:val="auto"/>
                <w:spacing w:val="0"/>
                <w:highlight w:val="none"/>
                <w:lang w:val="en-US" w:eastAsia="zh-CN"/>
              </w:rPr>
              <w:t>三十</w:t>
            </w:r>
            <w:r>
              <w:rPr>
                <w:rFonts w:hint="default" w:ascii="Times New Roman" w:hAnsi="Times New Roman" w:cs="Times New Roman"/>
                <w:smallCaps w:val="0"/>
                <w:color w:val="auto"/>
                <w:spacing w:val="0"/>
                <w:highlight w:val="none"/>
              </w:rPr>
              <w:t>、</w:t>
            </w:r>
            <w:r>
              <w:rPr>
                <w:rFonts w:hint="default" w:ascii="Times New Roman" w:hAnsi="Times New Roman" w:cs="Times New Roman"/>
                <w:smallCaps w:val="0"/>
                <w:color w:val="auto"/>
                <w:spacing w:val="0"/>
                <w:highlight w:val="none"/>
                <w:lang w:val="en-US" w:eastAsia="zh-CN"/>
              </w:rPr>
              <w:t>金属制品业33-6</w:t>
            </w:r>
            <w:r>
              <w:rPr>
                <w:rFonts w:hint="eastAsia" w:cs="Times New Roman"/>
                <w:smallCaps w:val="0"/>
                <w:color w:val="auto"/>
                <w:spacing w:val="0"/>
                <w:highlight w:val="none"/>
                <w:lang w:val="en-US" w:eastAsia="zh-CN"/>
              </w:rPr>
              <w:t>8</w:t>
            </w:r>
            <w:r>
              <w:rPr>
                <w:rFonts w:hint="default" w:ascii="Times New Roman" w:hAnsi="Times New Roman" w:cs="Times New Roman"/>
                <w:smallCaps w:val="0"/>
                <w:color w:val="auto"/>
                <w:spacing w:val="0"/>
                <w:highlight w:val="none"/>
                <w:lang w:val="en-US" w:eastAsia="zh-CN"/>
              </w:rPr>
              <w:t>、铸造及其他金属制品制造</w:t>
            </w:r>
          </w:p>
        </w:tc>
      </w:tr>
      <w:tr w14:paraId="716FB6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950" w:type="pct"/>
            <w:tcMar>
              <w:top w:w="16" w:type="dxa"/>
              <w:left w:w="16" w:type="dxa"/>
              <w:right w:w="16" w:type="dxa"/>
            </w:tcMar>
            <w:vAlign w:val="center"/>
          </w:tcPr>
          <w:p w14:paraId="5544A89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建设性质</w:t>
            </w:r>
          </w:p>
        </w:tc>
        <w:tc>
          <w:tcPr>
            <w:tcW w:w="1244" w:type="pct"/>
            <w:vAlign w:val="center"/>
          </w:tcPr>
          <w:p w14:paraId="3072D34E">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eastAsia"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新建（迁建）</w:t>
            </w:r>
          </w:p>
          <w:p w14:paraId="16466BE9">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改建</w:t>
            </w:r>
          </w:p>
          <w:p w14:paraId="71EAA03A">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扩建</w:t>
            </w:r>
          </w:p>
          <w:p w14:paraId="0725DA4D">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□技术改造</w:t>
            </w:r>
          </w:p>
        </w:tc>
        <w:tc>
          <w:tcPr>
            <w:tcW w:w="1001" w:type="pct"/>
            <w:vAlign w:val="center"/>
          </w:tcPr>
          <w:p w14:paraId="5CBB9E8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建设项目</w:t>
            </w:r>
          </w:p>
          <w:p w14:paraId="5A3CD82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申报情形</w:t>
            </w:r>
          </w:p>
        </w:tc>
        <w:tc>
          <w:tcPr>
            <w:tcW w:w="1804" w:type="pct"/>
            <w:vAlign w:val="center"/>
          </w:tcPr>
          <w:p w14:paraId="1B7E47B7">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eastAsia"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rPr>
              <w:t xml:space="preserve">首次申报项目             </w:t>
            </w:r>
          </w:p>
          <w:p w14:paraId="057E3233">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□不予批准后再次申报项目</w:t>
            </w:r>
          </w:p>
          <w:p w14:paraId="41014C89">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 xml:space="preserve">□超五年重新审核项目     </w:t>
            </w:r>
          </w:p>
          <w:p w14:paraId="30108E51">
            <w:pPr>
              <w:keepNext w:val="0"/>
              <w:keepLines w:val="0"/>
              <w:suppressLineNumbers w:val="0"/>
              <w:spacing w:before="0" w:beforeAutospacing="0" w:after="0" w:afterAutospacing="0"/>
              <w:ind w:left="0" w:right="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□重大变动重新报批项目</w:t>
            </w:r>
          </w:p>
        </w:tc>
      </w:tr>
      <w:tr w14:paraId="03BD9A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76" w:hRule="atLeast"/>
          <w:jc w:val="center"/>
        </w:trPr>
        <w:tc>
          <w:tcPr>
            <w:tcW w:w="950" w:type="pct"/>
            <w:tcMar>
              <w:top w:w="16" w:type="dxa"/>
              <w:left w:w="16" w:type="dxa"/>
              <w:right w:w="16" w:type="dxa"/>
            </w:tcMar>
            <w:vAlign w:val="center"/>
          </w:tcPr>
          <w:p w14:paraId="64485B0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项目审批（核准/备案）部门（选填）</w:t>
            </w:r>
          </w:p>
        </w:tc>
        <w:tc>
          <w:tcPr>
            <w:tcW w:w="1244" w:type="pct"/>
            <w:vAlign w:val="center"/>
          </w:tcPr>
          <w:p w14:paraId="020627BC">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smallCaps w:val="0"/>
                <w:color w:val="auto"/>
                <w:spacing w:val="0"/>
                <w:sz w:val="24"/>
                <w:szCs w:val="24"/>
                <w:highlight w:val="none"/>
                <w:lang w:val="en-US" w:eastAsia="zh-CN"/>
              </w:rPr>
            </w:pPr>
            <w:r>
              <w:rPr>
                <w:rFonts w:hint="eastAsia" w:cs="Times New Roman"/>
                <w:smallCaps w:val="0"/>
                <w:color w:val="auto"/>
                <w:spacing w:val="0"/>
                <w:sz w:val="24"/>
                <w:szCs w:val="24"/>
                <w:highlight w:val="none"/>
                <w:lang w:eastAsia="zh-CN"/>
              </w:rPr>
              <w:t>石家庄市井陉矿区</w:t>
            </w:r>
            <w:r>
              <w:rPr>
                <w:rFonts w:hint="eastAsia" w:cs="Times New Roman"/>
                <w:smallCaps w:val="0"/>
                <w:color w:val="auto"/>
                <w:spacing w:val="0"/>
                <w:sz w:val="24"/>
                <w:szCs w:val="24"/>
                <w:highlight w:val="none"/>
                <w:lang w:val="en-US" w:eastAsia="zh-CN"/>
              </w:rPr>
              <w:t>数据和政务服务局</w:t>
            </w:r>
          </w:p>
        </w:tc>
        <w:tc>
          <w:tcPr>
            <w:tcW w:w="1001" w:type="pct"/>
            <w:vAlign w:val="center"/>
          </w:tcPr>
          <w:p w14:paraId="5F89A0B3">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项目审批（核准/</w:t>
            </w:r>
          </w:p>
          <w:p w14:paraId="0A63BE2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备案）文号（选填）</w:t>
            </w:r>
          </w:p>
        </w:tc>
        <w:tc>
          <w:tcPr>
            <w:tcW w:w="1804" w:type="pct"/>
            <w:vAlign w:val="center"/>
          </w:tcPr>
          <w:p w14:paraId="7BBF38EE">
            <w:pPr>
              <w:keepNext w:val="0"/>
              <w:keepLines w:val="0"/>
              <w:suppressLineNumbers w:val="0"/>
              <w:spacing w:before="0" w:beforeAutospacing="0" w:after="0" w:afterAutospacing="0"/>
              <w:ind w:left="0" w:right="0"/>
              <w:jc w:val="left"/>
              <w:rPr>
                <w:rFonts w:hint="default" w:ascii="Times New Roman" w:hAnsi="Times New Roman" w:eastAsia="宋体" w:cs="Times New Roman"/>
                <w:smallCaps w:val="0"/>
                <w:color w:val="auto"/>
                <w:spacing w:val="0"/>
                <w:sz w:val="24"/>
                <w:szCs w:val="24"/>
                <w:highlight w:val="none"/>
                <w:lang w:eastAsia="zh-CN"/>
              </w:rPr>
            </w:pPr>
            <w:r>
              <w:rPr>
                <w:rFonts w:hint="eastAsia" w:ascii="Times New Roman" w:hAnsi="Times New Roman" w:cs="Times New Roman"/>
                <w:smallCaps w:val="0"/>
                <w:color w:val="auto"/>
                <w:spacing w:val="0"/>
                <w:sz w:val="24"/>
                <w:szCs w:val="24"/>
                <w:highlight w:val="none"/>
              </w:rPr>
              <w:t>矿数政投资备字〔2025〕135号</w:t>
            </w:r>
          </w:p>
        </w:tc>
      </w:tr>
      <w:tr w14:paraId="46E964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50" w:type="pct"/>
            <w:tcMar>
              <w:top w:w="16" w:type="dxa"/>
              <w:left w:w="16" w:type="dxa"/>
              <w:right w:w="16" w:type="dxa"/>
            </w:tcMar>
            <w:vAlign w:val="center"/>
          </w:tcPr>
          <w:p w14:paraId="5A9C41F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总投资（万元）</w:t>
            </w:r>
          </w:p>
        </w:tc>
        <w:tc>
          <w:tcPr>
            <w:tcW w:w="1244" w:type="pct"/>
            <w:vAlign w:val="center"/>
          </w:tcPr>
          <w:p w14:paraId="2BE37C10">
            <w:pPr>
              <w:pStyle w:val="171"/>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600</w:t>
            </w:r>
          </w:p>
        </w:tc>
        <w:tc>
          <w:tcPr>
            <w:tcW w:w="1001" w:type="pct"/>
            <w:tcMar>
              <w:top w:w="16" w:type="dxa"/>
              <w:left w:w="16" w:type="dxa"/>
              <w:right w:w="16" w:type="dxa"/>
            </w:tcMar>
            <w:vAlign w:val="center"/>
          </w:tcPr>
          <w:p w14:paraId="7176531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环保投资（万元）</w:t>
            </w:r>
          </w:p>
        </w:tc>
        <w:tc>
          <w:tcPr>
            <w:tcW w:w="1804" w:type="pct"/>
            <w:vAlign w:val="center"/>
          </w:tcPr>
          <w:p w14:paraId="249FE101">
            <w:pPr>
              <w:pStyle w:val="171"/>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30</w:t>
            </w:r>
          </w:p>
        </w:tc>
      </w:tr>
      <w:tr w14:paraId="6A0088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34" w:hRule="atLeast"/>
          <w:jc w:val="center"/>
        </w:trPr>
        <w:tc>
          <w:tcPr>
            <w:tcW w:w="950" w:type="pct"/>
            <w:tcMar>
              <w:top w:w="16" w:type="dxa"/>
              <w:left w:w="16" w:type="dxa"/>
              <w:right w:w="16" w:type="dxa"/>
            </w:tcMar>
            <w:vAlign w:val="center"/>
          </w:tcPr>
          <w:p w14:paraId="4277FC6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环保投资占比（%）</w:t>
            </w:r>
          </w:p>
        </w:tc>
        <w:tc>
          <w:tcPr>
            <w:tcW w:w="1244" w:type="pct"/>
            <w:vAlign w:val="center"/>
          </w:tcPr>
          <w:p w14:paraId="2D1FA9FF">
            <w:pPr>
              <w:pStyle w:val="171"/>
              <w:keepNext w:val="0"/>
              <w:keepLines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5.00</w:t>
            </w:r>
          </w:p>
        </w:tc>
        <w:tc>
          <w:tcPr>
            <w:tcW w:w="1001" w:type="pct"/>
            <w:tcMar>
              <w:top w:w="16" w:type="dxa"/>
              <w:left w:w="16" w:type="dxa"/>
              <w:right w:w="16" w:type="dxa"/>
            </w:tcMar>
            <w:vAlign w:val="center"/>
          </w:tcPr>
          <w:p w14:paraId="01DAE39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施工工期</w:t>
            </w:r>
          </w:p>
        </w:tc>
        <w:tc>
          <w:tcPr>
            <w:tcW w:w="1804" w:type="pct"/>
            <w:vAlign w:val="center"/>
          </w:tcPr>
          <w:p w14:paraId="4184E0F7">
            <w:pPr>
              <w:pStyle w:val="171"/>
              <w:keepNext w:val="0"/>
              <w:keepLines w:val="0"/>
              <w:suppressLineNumbers w:val="0"/>
              <w:spacing w:before="0" w:beforeAutospacing="0" w:after="0" w:afterAutospacing="0"/>
              <w:ind w:left="0" w:leftChars="0" w:right="0" w:firstLine="0" w:firstLineChars="0"/>
              <w:jc w:val="center"/>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1</w:t>
            </w:r>
            <w:r>
              <w:rPr>
                <w:rFonts w:hint="default" w:ascii="Times New Roman" w:hAnsi="Times New Roman" w:cs="Times New Roman"/>
                <w:smallCaps w:val="0"/>
                <w:color w:val="auto"/>
                <w:spacing w:val="0"/>
                <w:highlight w:val="none"/>
              </w:rPr>
              <w:t>个月</w:t>
            </w:r>
          </w:p>
        </w:tc>
      </w:tr>
      <w:tr w14:paraId="425157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50" w:type="pct"/>
            <w:shd w:val="clear" w:color="auto" w:fill="auto"/>
            <w:tcMar>
              <w:top w:w="16" w:type="dxa"/>
              <w:left w:w="16" w:type="dxa"/>
              <w:right w:w="16" w:type="dxa"/>
            </w:tcMar>
            <w:vAlign w:val="center"/>
          </w:tcPr>
          <w:p w14:paraId="31B37082">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是否开工建设</w:t>
            </w:r>
          </w:p>
        </w:tc>
        <w:tc>
          <w:tcPr>
            <w:tcW w:w="1244" w:type="pct"/>
            <w:shd w:val="clear" w:color="auto" w:fill="auto"/>
            <w:vAlign w:val="center"/>
          </w:tcPr>
          <w:p w14:paraId="0BF150A6">
            <w:pPr>
              <w:keepNext w:val="0"/>
              <w:keepLines w:val="0"/>
              <w:suppressLineNumbers w:val="0"/>
              <w:adjustRightInd w:val="0"/>
              <w:snapToGrid w:val="0"/>
              <w:spacing w:before="0" w:beforeAutospacing="0" w:after="0" w:afterAutospacing="0"/>
              <w:ind w:left="0" w:right="0"/>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☑否</w:t>
            </w:r>
          </w:p>
          <w:p w14:paraId="40191DB2">
            <w:pPr>
              <w:keepNext w:val="0"/>
              <w:keepLines w:val="0"/>
              <w:suppressLineNumbers w:val="0"/>
              <w:adjustRightInd w:val="0"/>
              <w:snapToGrid w:val="0"/>
              <w:spacing w:before="0" w:beforeAutospacing="0" w:after="0" w:afterAutospacing="0"/>
              <w:ind w:left="0" w:right="0"/>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□是</w:t>
            </w:r>
          </w:p>
        </w:tc>
        <w:tc>
          <w:tcPr>
            <w:tcW w:w="1001" w:type="pct"/>
            <w:tcMar>
              <w:top w:w="16" w:type="dxa"/>
              <w:left w:w="16" w:type="dxa"/>
              <w:right w:w="16" w:type="dxa"/>
            </w:tcMar>
            <w:vAlign w:val="center"/>
          </w:tcPr>
          <w:p w14:paraId="1A3C419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用地（用海）</w:t>
            </w:r>
          </w:p>
          <w:p w14:paraId="63C22FD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sz w:val="24"/>
                <w:szCs w:val="24"/>
                <w:highlight w:val="none"/>
              </w:rPr>
              <w:t>面积（m</w:t>
            </w:r>
            <w:r>
              <w:rPr>
                <w:rFonts w:hint="default" w:ascii="Times New Roman" w:hAnsi="Times New Roman" w:cs="Times New Roman"/>
                <w:smallCaps w:val="0"/>
                <w:color w:val="auto"/>
                <w:spacing w:val="0"/>
                <w:sz w:val="24"/>
                <w:szCs w:val="24"/>
                <w:highlight w:val="none"/>
                <w:vertAlign w:val="superscript"/>
              </w:rPr>
              <w:t>2</w:t>
            </w:r>
            <w:r>
              <w:rPr>
                <w:rFonts w:hint="default" w:ascii="Times New Roman" w:hAnsi="Times New Roman" w:cs="Times New Roman"/>
                <w:smallCaps w:val="0"/>
                <w:color w:val="auto"/>
                <w:spacing w:val="0"/>
                <w:sz w:val="24"/>
                <w:szCs w:val="24"/>
                <w:highlight w:val="none"/>
              </w:rPr>
              <w:t>）</w:t>
            </w:r>
          </w:p>
        </w:tc>
        <w:tc>
          <w:tcPr>
            <w:tcW w:w="1804" w:type="pct"/>
            <w:vAlign w:val="center"/>
          </w:tcPr>
          <w:p w14:paraId="4B4B3871">
            <w:pPr>
              <w:pStyle w:val="171"/>
              <w:keepNext w:val="0"/>
              <w:keepLines w:val="0"/>
              <w:suppressLineNumbers w:val="0"/>
              <w:spacing w:before="0" w:beforeAutospacing="0" w:after="0" w:afterAutospacing="0"/>
              <w:ind w:left="0" w:leftChars="0" w:right="0" w:firstLine="0" w:firstLineChars="0"/>
              <w:jc w:val="center"/>
              <w:rPr>
                <w:rFonts w:hint="eastAsia" w:ascii="Times New Roman" w:hAnsi="Times New Roman" w:eastAsia="宋体" w:cs="Times New Roman"/>
                <w:smallCaps w:val="0"/>
                <w:color w:val="auto"/>
                <w:spacing w:val="0"/>
                <w:highlight w:val="none"/>
                <w:lang w:val="en-US" w:eastAsia="zh-CN"/>
              </w:rPr>
            </w:pPr>
            <w:r>
              <w:rPr>
                <w:rFonts w:hint="eastAsia"/>
                <w:highlight w:val="none"/>
              </w:rPr>
              <w:t>6291</w:t>
            </w:r>
            <w:r>
              <w:rPr>
                <w:rFonts w:hint="eastAsia"/>
                <w:highlight w:val="none"/>
                <w:lang w:eastAsia="zh-CN"/>
              </w:rPr>
              <w:t>（</w:t>
            </w:r>
            <w:r>
              <w:rPr>
                <w:rFonts w:hint="eastAsia"/>
                <w:highlight w:val="none"/>
                <w:lang w:val="en-US" w:eastAsia="zh-CN"/>
              </w:rPr>
              <w:t>租赁现有厂房</w:t>
            </w:r>
            <w:r>
              <w:rPr>
                <w:rFonts w:hint="eastAsia"/>
                <w:highlight w:val="none"/>
                <w:lang w:eastAsia="zh-CN"/>
              </w:rPr>
              <w:t>）</w:t>
            </w:r>
          </w:p>
        </w:tc>
      </w:tr>
      <w:tr w14:paraId="06B93B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950" w:type="pct"/>
            <w:vAlign w:val="center"/>
          </w:tcPr>
          <w:p w14:paraId="0B5B9B73">
            <w:pPr>
              <w:keepNext w:val="0"/>
              <w:keepLines w:val="0"/>
              <w:suppressLineNumbers w:val="0"/>
              <w:autoSpaceDE w:val="0"/>
              <w:autoSpaceDN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4"/>
                <w:highlight w:val="none"/>
              </w:rPr>
            </w:pPr>
            <w:r>
              <w:rPr>
                <w:rFonts w:hint="default" w:ascii="Times New Roman" w:hAnsi="Times New Roman" w:cs="Times New Roman"/>
                <w:smallCaps w:val="0"/>
                <w:color w:val="auto"/>
                <w:spacing w:val="0"/>
                <w:kern w:val="0"/>
                <w:sz w:val="24"/>
                <w:szCs w:val="24"/>
                <w:highlight w:val="none"/>
              </w:rPr>
              <w:t>专项评价设置情况</w:t>
            </w:r>
          </w:p>
        </w:tc>
        <w:tc>
          <w:tcPr>
            <w:tcW w:w="4049" w:type="pct"/>
            <w:gridSpan w:val="3"/>
            <w:vAlign w:val="center"/>
          </w:tcPr>
          <w:p w14:paraId="04C47ED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exact"/>
              <w:ind w:left="0" w:right="0" w:firstLine="480" w:firstLineChars="200"/>
              <w:jc w:val="both"/>
              <w:textAlignment w:val="auto"/>
              <w:rPr>
                <w:rFonts w:hint="default" w:ascii="Times New Roman" w:hAnsi="Times New Roman" w:cs="Times New Roman"/>
                <w:smallCaps w:val="0"/>
                <w:color w:val="auto"/>
                <w:spacing w:val="0"/>
                <w:kern w:val="0"/>
                <w:sz w:val="24"/>
                <w:szCs w:val="24"/>
                <w:highlight w:val="none"/>
              </w:rPr>
            </w:pPr>
            <w:r>
              <w:rPr>
                <w:rFonts w:hint="eastAsia"/>
                <w:color w:val="000000"/>
                <w:kern w:val="0"/>
                <w:sz w:val="24"/>
                <w:szCs w:val="24"/>
                <w:highlight w:val="none"/>
                <w:lang w:eastAsia="zh-CN"/>
              </w:rPr>
              <w:t>根据《建设项目环境影响报告表编制技术指南（污染影响类）（试行）》中表</w:t>
            </w:r>
            <w:r>
              <w:rPr>
                <w:rFonts w:hint="eastAsia"/>
                <w:color w:val="000000"/>
                <w:kern w:val="0"/>
                <w:sz w:val="24"/>
                <w:szCs w:val="24"/>
                <w:highlight w:val="none"/>
                <w:lang w:val="en-US" w:eastAsia="zh-CN"/>
              </w:rPr>
              <w:t>1专项评价设置原则表，本项目排放废气中含有有毒有害大气污染物甲醛，且本项目厂界周</w:t>
            </w:r>
            <w:bookmarkStart w:id="22" w:name="_GoBack"/>
            <w:bookmarkEnd w:id="22"/>
            <w:r>
              <w:rPr>
                <w:rFonts w:hint="eastAsia"/>
                <w:color w:val="000000"/>
                <w:kern w:val="0"/>
                <w:sz w:val="24"/>
                <w:szCs w:val="24"/>
                <w:highlight w:val="none"/>
                <w:lang w:val="en-US" w:eastAsia="zh-CN"/>
              </w:rPr>
              <w:t>边500m范围内有环境空气保护目标--</w:t>
            </w:r>
            <w:r>
              <w:rPr>
                <w:rFonts w:hint="eastAsia" w:ascii="Times New Roman" w:hAnsi="Times New Roman" w:cs="Times New Roman"/>
                <w:color w:val="auto"/>
                <w:sz w:val="24"/>
                <w:szCs w:val="24"/>
                <w:highlight w:val="none"/>
                <w:lang w:val="en-US" w:eastAsia="zh-CN"/>
              </w:rPr>
              <w:t>贾庄村</w:t>
            </w:r>
            <w:r>
              <w:rPr>
                <w:rFonts w:hint="eastAsia"/>
                <w:color w:val="000000"/>
                <w:kern w:val="0"/>
                <w:sz w:val="24"/>
                <w:szCs w:val="24"/>
                <w:highlight w:val="none"/>
                <w:lang w:val="en-US" w:eastAsia="zh-CN"/>
              </w:rPr>
              <w:t>，</w:t>
            </w:r>
            <w:r>
              <w:rPr>
                <w:rFonts w:hint="eastAsia"/>
                <w:b/>
                <w:bCs/>
                <w:color w:val="000000"/>
                <w:kern w:val="0"/>
                <w:sz w:val="24"/>
                <w:szCs w:val="24"/>
                <w:highlight w:val="none"/>
                <w:lang w:val="en-US" w:eastAsia="zh-CN"/>
              </w:rPr>
              <w:t>因此，需设置大气专项评价</w:t>
            </w:r>
            <w:r>
              <w:rPr>
                <w:rFonts w:hint="eastAsia"/>
                <w:color w:val="000000"/>
                <w:kern w:val="0"/>
                <w:sz w:val="24"/>
                <w:szCs w:val="24"/>
                <w:highlight w:val="none"/>
                <w:lang w:val="en-US" w:eastAsia="zh-CN"/>
              </w:rPr>
              <w:t>。</w:t>
            </w:r>
          </w:p>
        </w:tc>
      </w:tr>
      <w:tr w14:paraId="7067A1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50" w:type="pct"/>
            <w:vAlign w:val="center"/>
          </w:tcPr>
          <w:p w14:paraId="075C5218">
            <w:pPr>
              <w:pStyle w:val="171"/>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kern w:val="0"/>
                <w:highlight w:val="none"/>
              </w:rPr>
            </w:pPr>
            <w:r>
              <w:rPr>
                <w:rFonts w:hint="default" w:ascii="Times New Roman" w:hAnsi="Times New Roman" w:cs="Times New Roman"/>
                <w:smallCaps w:val="0"/>
                <w:color w:val="auto"/>
                <w:spacing w:val="0"/>
                <w:highlight w:val="none"/>
              </w:rPr>
              <w:t>规划情况</w:t>
            </w:r>
          </w:p>
        </w:tc>
        <w:tc>
          <w:tcPr>
            <w:tcW w:w="4049" w:type="pct"/>
            <w:gridSpan w:val="3"/>
            <w:vAlign w:val="center"/>
          </w:tcPr>
          <w:p w14:paraId="1A92E0BE">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480" w:firstLineChars="200"/>
              <w:jc w:val="left"/>
              <w:textAlignment w:val="auto"/>
              <w:rPr>
                <w:rFonts w:hint="default" w:ascii="Times New Roman" w:hAnsi="Times New Roman" w:cs="Times New Roman"/>
                <w:smallCaps w:val="0"/>
                <w:color w:val="auto"/>
                <w:spacing w:val="0"/>
                <w:kern w:val="0"/>
                <w:highlight w:val="none"/>
                <w:lang w:eastAsia="zh-CN"/>
              </w:rPr>
            </w:pPr>
            <w:r>
              <w:rPr>
                <w:rFonts w:hint="default" w:ascii="Times New Roman" w:hAnsi="Times New Roman" w:cs="Times New Roman"/>
                <w:smallCaps w:val="0"/>
                <w:color w:val="auto"/>
                <w:spacing w:val="0"/>
                <w:kern w:val="0"/>
                <w:highlight w:val="none"/>
                <w:lang w:val="en-US" w:eastAsia="zh-CN"/>
              </w:rPr>
              <w:t>规划名称：</w:t>
            </w:r>
            <w:r>
              <w:rPr>
                <w:rFonts w:hint="eastAsia" w:cs="Times New Roman"/>
                <w:smallCaps w:val="0"/>
                <w:color w:val="auto"/>
                <w:spacing w:val="0"/>
                <w:kern w:val="0"/>
                <w:highlight w:val="none"/>
                <w:lang w:val="en-US" w:eastAsia="zh-CN"/>
              </w:rPr>
              <w:t>《</w:t>
            </w:r>
            <w:r>
              <w:rPr>
                <w:rFonts w:hint="default" w:ascii="Times New Roman" w:hAnsi="Times New Roman" w:cs="Times New Roman"/>
                <w:smallCaps w:val="0"/>
                <w:color w:val="auto"/>
                <w:spacing w:val="0"/>
                <w:kern w:val="0"/>
                <w:highlight w:val="none"/>
                <w:lang w:eastAsia="zh-CN"/>
              </w:rPr>
              <w:t>河北石家庄矿区工业园区总体发展规划（2022-2030年）》</w:t>
            </w:r>
          </w:p>
          <w:p w14:paraId="7E456093">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480" w:firstLineChars="200"/>
              <w:jc w:val="left"/>
              <w:textAlignment w:val="auto"/>
              <w:rPr>
                <w:rFonts w:hint="default" w:ascii="Times New Roman" w:hAnsi="Times New Roman" w:cs="Times New Roman"/>
                <w:smallCaps w:val="0"/>
                <w:color w:val="auto"/>
                <w:spacing w:val="0"/>
                <w:kern w:val="0"/>
                <w:highlight w:val="none"/>
                <w:lang w:val="en-US" w:eastAsia="zh-CN"/>
              </w:rPr>
            </w:pPr>
            <w:r>
              <w:rPr>
                <w:rFonts w:hint="default" w:ascii="Times New Roman" w:hAnsi="Times New Roman" w:cs="Times New Roman"/>
                <w:smallCaps w:val="0"/>
                <w:color w:val="auto"/>
                <w:spacing w:val="0"/>
                <w:kern w:val="0"/>
                <w:highlight w:val="none"/>
                <w:lang w:val="en-US" w:eastAsia="zh-CN"/>
              </w:rPr>
              <w:t>审批机关：石家庄市人民政府；</w:t>
            </w:r>
          </w:p>
          <w:p w14:paraId="19BDE579">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480" w:firstLineChars="200"/>
              <w:jc w:val="left"/>
              <w:textAlignment w:val="auto"/>
              <w:rPr>
                <w:rFonts w:hint="default" w:ascii="Times New Roman" w:hAnsi="Times New Roman" w:eastAsia="宋体" w:cs="Times New Roman"/>
                <w:smallCaps w:val="0"/>
                <w:color w:val="auto"/>
                <w:spacing w:val="0"/>
                <w:highlight w:val="none"/>
                <w:lang w:eastAsia="zh-CN" w:bidi="ar"/>
              </w:rPr>
            </w:pPr>
            <w:r>
              <w:rPr>
                <w:rFonts w:hint="default" w:ascii="Times New Roman" w:hAnsi="Times New Roman" w:cs="Times New Roman"/>
                <w:smallCaps w:val="0"/>
                <w:color w:val="auto"/>
                <w:spacing w:val="0"/>
                <w:kern w:val="0"/>
                <w:highlight w:val="none"/>
                <w:lang w:val="en-US" w:eastAsia="zh-CN"/>
              </w:rPr>
              <w:t>审批文号：无</w:t>
            </w:r>
          </w:p>
        </w:tc>
      </w:tr>
      <w:tr w14:paraId="0D4E4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0" w:type="pct"/>
            <w:vAlign w:val="center"/>
          </w:tcPr>
          <w:p w14:paraId="1E0FE0D6">
            <w:pPr>
              <w:pStyle w:val="171"/>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规划环境影响评价情况</w:t>
            </w:r>
          </w:p>
        </w:tc>
        <w:tc>
          <w:tcPr>
            <w:tcW w:w="4049" w:type="pct"/>
            <w:gridSpan w:val="3"/>
            <w:vAlign w:val="center"/>
          </w:tcPr>
          <w:p w14:paraId="32857E3B">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360" w:lineRule="exact"/>
              <w:ind w:left="0" w:right="0" w:firstLine="480" w:firstLineChars="200"/>
              <w:textAlignment w:val="auto"/>
              <w:rPr>
                <w:rFonts w:hint="eastAsia" w:ascii="Times New Roman" w:hAnsi="Times New Roman" w:eastAsia="宋体" w:cs="Times New Roman"/>
                <w:color w:val="auto"/>
                <w:sz w:val="24"/>
                <w:szCs w:val="20"/>
                <w:highlight w:val="none"/>
                <w:lang w:eastAsia="zh-CN"/>
              </w:rPr>
            </w:pPr>
            <w:r>
              <w:rPr>
                <w:rFonts w:hint="default" w:ascii="Times New Roman" w:hAnsi="Times New Roman" w:cs="Times New Roman"/>
                <w:color w:val="auto"/>
                <w:sz w:val="24"/>
                <w:szCs w:val="20"/>
                <w:highlight w:val="none"/>
              </w:rPr>
              <w:t>规划环境影响评价文件名称：《河北石家庄矿区工业园区总体发展规划</w:t>
            </w:r>
            <w:r>
              <w:rPr>
                <w:rFonts w:hint="eastAsia" w:ascii="Times New Roman" w:hAnsi="Times New Roman" w:cs="Times New Roman"/>
                <w:color w:val="auto"/>
                <w:sz w:val="24"/>
                <w:szCs w:val="20"/>
                <w:highlight w:val="none"/>
                <w:lang w:eastAsia="zh-CN"/>
              </w:rPr>
              <w:t>（</w:t>
            </w:r>
            <w:r>
              <w:rPr>
                <w:rFonts w:hint="eastAsia" w:ascii="Times New Roman" w:hAnsi="Times New Roman" w:cs="Times New Roman"/>
                <w:color w:val="auto"/>
                <w:sz w:val="24"/>
                <w:szCs w:val="20"/>
                <w:highlight w:val="none"/>
                <w:lang w:val="en-US" w:eastAsia="zh-CN"/>
              </w:rPr>
              <w:t>2022-2030</w:t>
            </w:r>
            <w:r>
              <w:rPr>
                <w:rFonts w:hint="eastAsia" w:ascii="Times New Roman" w:hAnsi="Times New Roman" w:cs="Times New Roman"/>
                <w:color w:val="auto"/>
                <w:sz w:val="24"/>
                <w:szCs w:val="20"/>
                <w:highlight w:val="none"/>
                <w:lang w:eastAsia="zh-CN"/>
              </w:rPr>
              <w:t>）</w:t>
            </w:r>
            <w:r>
              <w:rPr>
                <w:rFonts w:hint="default" w:ascii="Times New Roman" w:hAnsi="Times New Roman" w:cs="Times New Roman"/>
                <w:color w:val="auto"/>
                <w:sz w:val="24"/>
                <w:szCs w:val="20"/>
                <w:highlight w:val="none"/>
              </w:rPr>
              <w:t>环境影响报告书》</w:t>
            </w:r>
            <w:r>
              <w:rPr>
                <w:rFonts w:hint="eastAsia" w:cs="Times New Roman"/>
                <w:color w:val="auto"/>
                <w:sz w:val="24"/>
                <w:szCs w:val="20"/>
                <w:highlight w:val="none"/>
                <w:lang w:eastAsia="zh-CN"/>
              </w:rPr>
              <w:t>；</w:t>
            </w:r>
          </w:p>
          <w:p w14:paraId="2666D608">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360" w:lineRule="exact"/>
              <w:ind w:left="0" w:right="0" w:firstLine="480" w:firstLineChars="200"/>
              <w:textAlignment w:val="auto"/>
              <w:rPr>
                <w:rFonts w:hint="eastAsia" w:ascii="Times New Roman" w:hAnsi="Times New Roman" w:eastAsia="宋体" w:cs="Times New Roman"/>
                <w:color w:val="auto"/>
                <w:sz w:val="24"/>
                <w:szCs w:val="20"/>
                <w:highlight w:val="none"/>
                <w:lang w:eastAsia="zh-CN"/>
              </w:rPr>
            </w:pPr>
            <w:r>
              <w:rPr>
                <w:rFonts w:hint="default" w:ascii="Times New Roman" w:hAnsi="Times New Roman" w:cs="Times New Roman"/>
                <w:color w:val="auto"/>
                <w:sz w:val="24"/>
                <w:szCs w:val="20"/>
                <w:highlight w:val="none"/>
              </w:rPr>
              <w:t>召集审查机关：河北省</w:t>
            </w:r>
            <w:r>
              <w:rPr>
                <w:rFonts w:hint="eastAsia" w:ascii="Times New Roman" w:hAnsi="Times New Roman" w:cs="Times New Roman"/>
                <w:color w:val="auto"/>
                <w:sz w:val="24"/>
                <w:szCs w:val="20"/>
                <w:highlight w:val="none"/>
                <w:lang w:val="en-US" w:eastAsia="zh-CN"/>
              </w:rPr>
              <w:t>生态环境</w:t>
            </w:r>
            <w:r>
              <w:rPr>
                <w:rFonts w:hint="default" w:ascii="Times New Roman" w:hAnsi="Times New Roman" w:cs="Times New Roman"/>
                <w:color w:val="auto"/>
                <w:sz w:val="24"/>
                <w:szCs w:val="20"/>
                <w:highlight w:val="none"/>
              </w:rPr>
              <w:t>厅</w:t>
            </w:r>
            <w:r>
              <w:rPr>
                <w:rFonts w:hint="eastAsia" w:cs="Times New Roman"/>
                <w:color w:val="auto"/>
                <w:sz w:val="24"/>
                <w:szCs w:val="20"/>
                <w:highlight w:val="none"/>
                <w:lang w:eastAsia="zh-CN"/>
              </w:rPr>
              <w:t>；</w:t>
            </w:r>
          </w:p>
          <w:p w14:paraId="6BEDF5B6">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360" w:lineRule="exact"/>
              <w:ind w:left="0" w:right="0" w:firstLine="480" w:firstLineChars="200"/>
              <w:textAlignment w:val="auto"/>
              <w:rPr>
                <w:rFonts w:hint="eastAsia" w:ascii="Times New Roman" w:hAnsi="Times New Roman" w:eastAsia="宋体" w:cs="Times New Roman"/>
                <w:smallCaps w:val="0"/>
                <w:color w:val="auto"/>
                <w:spacing w:val="0"/>
                <w:kern w:val="2"/>
                <w:sz w:val="24"/>
                <w:szCs w:val="20"/>
                <w:highlight w:val="none"/>
                <w:lang w:val="en-US" w:eastAsia="zh-CN" w:bidi="ar-SA"/>
              </w:rPr>
            </w:pPr>
            <w:r>
              <w:rPr>
                <w:rFonts w:hint="default" w:ascii="Times New Roman" w:hAnsi="Times New Roman" w:cs="Times New Roman"/>
                <w:color w:val="auto"/>
                <w:sz w:val="24"/>
                <w:szCs w:val="20"/>
                <w:highlight w:val="none"/>
              </w:rPr>
              <w:t>审查文件名称及文号：《关于河北石家庄矿区工业园区总体发展规划</w:t>
            </w:r>
            <w:r>
              <w:rPr>
                <w:rFonts w:hint="eastAsia" w:ascii="Times New Roman" w:hAnsi="Times New Roman" w:cs="Times New Roman"/>
                <w:color w:val="auto"/>
                <w:sz w:val="24"/>
                <w:szCs w:val="20"/>
                <w:highlight w:val="none"/>
                <w:lang w:eastAsia="zh-CN"/>
              </w:rPr>
              <w:t>（</w:t>
            </w:r>
            <w:r>
              <w:rPr>
                <w:rFonts w:hint="eastAsia" w:ascii="Times New Roman" w:hAnsi="Times New Roman" w:cs="Times New Roman"/>
                <w:color w:val="auto"/>
                <w:sz w:val="24"/>
                <w:szCs w:val="20"/>
                <w:highlight w:val="none"/>
                <w:lang w:val="en-US" w:eastAsia="zh-CN"/>
              </w:rPr>
              <w:t>2022-2030</w:t>
            </w:r>
            <w:r>
              <w:rPr>
                <w:rFonts w:hint="eastAsia" w:ascii="Times New Roman" w:hAnsi="Times New Roman" w:cs="Times New Roman"/>
                <w:color w:val="auto"/>
                <w:sz w:val="24"/>
                <w:szCs w:val="20"/>
                <w:highlight w:val="none"/>
                <w:lang w:eastAsia="zh-CN"/>
              </w:rPr>
              <w:t>）</w:t>
            </w:r>
            <w:r>
              <w:rPr>
                <w:rFonts w:hint="default" w:ascii="Times New Roman" w:hAnsi="Times New Roman" w:cs="Times New Roman"/>
                <w:color w:val="auto"/>
                <w:sz w:val="24"/>
                <w:szCs w:val="20"/>
                <w:highlight w:val="none"/>
              </w:rPr>
              <w:t>环境影响报告书</w:t>
            </w:r>
            <w:r>
              <w:rPr>
                <w:rFonts w:hint="eastAsia" w:ascii="Times New Roman" w:hAnsi="Times New Roman" w:cs="Times New Roman"/>
                <w:color w:val="auto"/>
                <w:sz w:val="24"/>
                <w:szCs w:val="20"/>
                <w:highlight w:val="none"/>
                <w:lang w:val="en-US" w:eastAsia="zh-CN"/>
              </w:rPr>
              <w:t>的审查意见</w:t>
            </w:r>
            <w:r>
              <w:rPr>
                <w:rFonts w:hint="default" w:ascii="Times New Roman" w:hAnsi="Times New Roman" w:cs="Times New Roman"/>
                <w:color w:val="auto"/>
                <w:sz w:val="24"/>
                <w:szCs w:val="20"/>
                <w:highlight w:val="none"/>
              </w:rPr>
              <w:t>》（冀环</w:t>
            </w:r>
            <w:r>
              <w:rPr>
                <w:rFonts w:hint="eastAsia" w:ascii="Times New Roman" w:hAnsi="Times New Roman" w:cs="Times New Roman"/>
                <w:color w:val="auto"/>
                <w:sz w:val="24"/>
                <w:szCs w:val="20"/>
                <w:highlight w:val="none"/>
                <w:lang w:val="en-US" w:eastAsia="zh-CN"/>
              </w:rPr>
              <w:t>环</w:t>
            </w:r>
            <w:r>
              <w:rPr>
                <w:rFonts w:hint="default" w:ascii="Times New Roman" w:hAnsi="Times New Roman" w:cs="Times New Roman"/>
                <w:color w:val="auto"/>
                <w:sz w:val="24"/>
                <w:szCs w:val="20"/>
                <w:highlight w:val="none"/>
              </w:rPr>
              <w:t>评函[20</w:t>
            </w:r>
            <w:r>
              <w:rPr>
                <w:rFonts w:hint="eastAsia" w:ascii="Times New Roman" w:hAnsi="Times New Roman" w:cs="Times New Roman"/>
                <w:color w:val="auto"/>
                <w:sz w:val="24"/>
                <w:szCs w:val="20"/>
                <w:highlight w:val="none"/>
                <w:lang w:val="en-US" w:eastAsia="zh-CN"/>
              </w:rPr>
              <w:t>25</w:t>
            </w:r>
            <w:r>
              <w:rPr>
                <w:rFonts w:hint="default" w:ascii="Times New Roman" w:hAnsi="Times New Roman" w:cs="Times New Roman"/>
                <w:color w:val="auto"/>
                <w:sz w:val="24"/>
                <w:szCs w:val="20"/>
                <w:highlight w:val="none"/>
              </w:rPr>
              <w:t>]1</w:t>
            </w:r>
            <w:r>
              <w:rPr>
                <w:rFonts w:hint="eastAsia" w:ascii="Times New Roman" w:hAnsi="Times New Roman" w:cs="Times New Roman"/>
                <w:color w:val="auto"/>
                <w:sz w:val="24"/>
                <w:szCs w:val="20"/>
                <w:highlight w:val="none"/>
                <w:lang w:val="en-US" w:eastAsia="zh-CN"/>
              </w:rPr>
              <w:t>318</w:t>
            </w:r>
            <w:r>
              <w:rPr>
                <w:rFonts w:hint="default" w:ascii="Times New Roman" w:hAnsi="Times New Roman" w:cs="Times New Roman"/>
                <w:color w:val="auto"/>
                <w:sz w:val="24"/>
                <w:szCs w:val="20"/>
                <w:highlight w:val="none"/>
              </w:rPr>
              <w:t>号）</w:t>
            </w:r>
            <w:r>
              <w:rPr>
                <w:rFonts w:hint="eastAsia" w:cs="Times New Roman"/>
                <w:color w:val="auto"/>
                <w:sz w:val="24"/>
                <w:szCs w:val="20"/>
                <w:highlight w:val="none"/>
                <w:lang w:eastAsia="zh-CN"/>
              </w:rPr>
              <w:t>。</w:t>
            </w:r>
          </w:p>
        </w:tc>
      </w:tr>
      <w:tr w14:paraId="6EC619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950" w:type="pct"/>
            <w:vAlign w:val="center"/>
          </w:tcPr>
          <w:p w14:paraId="048B82EF">
            <w:pPr>
              <w:pStyle w:val="171"/>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规划及规划环境影响评价符合性分析</w:t>
            </w:r>
          </w:p>
        </w:tc>
        <w:tc>
          <w:tcPr>
            <w:tcW w:w="4049" w:type="pct"/>
            <w:gridSpan w:val="3"/>
            <w:vAlign w:val="center"/>
          </w:tcPr>
          <w:p w14:paraId="6990AD2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b/>
                <w:smallCaps w:val="0"/>
                <w:color w:val="auto"/>
                <w:spacing w:val="0"/>
                <w:kern w:val="0"/>
                <w:sz w:val="24"/>
                <w:szCs w:val="20"/>
                <w:highlight w:val="none"/>
              </w:rPr>
            </w:pPr>
            <w:r>
              <w:rPr>
                <w:rFonts w:hint="default" w:ascii="Times New Roman" w:hAnsi="Times New Roman" w:cs="Times New Roman"/>
                <w:b/>
                <w:smallCaps w:val="0"/>
                <w:color w:val="auto"/>
                <w:spacing w:val="0"/>
                <w:kern w:val="0"/>
                <w:sz w:val="24"/>
                <w:szCs w:val="20"/>
                <w:highlight w:val="none"/>
              </w:rPr>
              <w:t>1、规划符合性分析</w:t>
            </w:r>
          </w:p>
          <w:p w14:paraId="2E2E3D5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b w:val="0"/>
                <w:bCs/>
                <w:smallCaps w:val="0"/>
                <w:color w:val="auto"/>
                <w:spacing w:val="0"/>
                <w:kern w:val="0"/>
                <w:sz w:val="24"/>
                <w:szCs w:val="20"/>
                <w:highlight w:val="none"/>
                <w:lang w:val="en-US" w:eastAsia="zh-CN"/>
              </w:rPr>
            </w:pPr>
            <w:r>
              <w:rPr>
                <w:rFonts w:hint="default" w:ascii="Times New Roman" w:hAnsi="Times New Roman" w:cs="Times New Roman"/>
                <w:b w:val="0"/>
                <w:bCs/>
                <w:smallCaps w:val="0"/>
                <w:color w:val="auto"/>
                <w:spacing w:val="0"/>
                <w:kern w:val="0"/>
                <w:sz w:val="24"/>
                <w:szCs w:val="20"/>
                <w:highlight w:val="none"/>
              </w:rPr>
              <w:t>（1）规划</w:t>
            </w:r>
            <w:r>
              <w:rPr>
                <w:rFonts w:hint="eastAsia" w:cs="Times New Roman"/>
                <w:b w:val="0"/>
                <w:bCs/>
                <w:smallCaps w:val="0"/>
                <w:color w:val="auto"/>
                <w:spacing w:val="0"/>
                <w:kern w:val="0"/>
                <w:sz w:val="24"/>
                <w:szCs w:val="20"/>
                <w:highlight w:val="none"/>
                <w:lang w:val="en-US" w:eastAsia="zh-CN"/>
              </w:rPr>
              <w:t>概况及产业定位</w:t>
            </w:r>
          </w:p>
          <w:p w14:paraId="512C593A">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32"/>
                <w:szCs w:val="22"/>
                <w:highlight w:val="none"/>
              </w:rPr>
            </w:pPr>
            <w:r>
              <w:rPr>
                <w:rFonts w:hint="default"/>
                <w:color w:val="auto"/>
                <w:sz w:val="24"/>
                <w:szCs w:val="22"/>
                <w:highlight w:val="none"/>
              </w:rPr>
              <w:t>河北石家庄矿区工业园区总体发展规划（2022-2030）</w:t>
            </w:r>
            <w:r>
              <w:rPr>
                <w:rFonts w:hint="eastAsia"/>
                <w:color w:val="auto"/>
                <w:sz w:val="24"/>
                <w:szCs w:val="22"/>
                <w:highlight w:val="none"/>
                <w:lang w:eastAsia="zh-CN"/>
              </w:rPr>
              <w:t>。将园区现有钢铁和水泥行业规模设置为产能上限：年产钢坯200万吨、年产钢材192万吨；年产水泥熟料240万吨，年产水泥151万吨。本版规划产业定位调整为以特钢上下游、高端装备制造、新材料为主导产业，着眼各主导产业全生命周期，大力发展循环经济。本次规划</w:t>
            </w:r>
            <w:r>
              <w:rPr>
                <w:rFonts w:hint="eastAsia"/>
                <w:color w:val="auto"/>
                <w:sz w:val="24"/>
                <w:szCs w:val="22"/>
                <w:highlight w:val="none"/>
                <w:lang w:val="en-US" w:eastAsia="zh-CN"/>
              </w:rPr>
              <w:t>将园区分为</w:t>
            </w:r>
            <w:r>
              <w:rPr>
                <w:rFonts w:hint="eastAsia"/>
                <w:color w:val="auto"/>
                <w:sz w:val="24"/>
                <w:szCs w:val="22"/>
                <w:highlight w:val="none"/>
                <w:lang w:eastAsia="zh-CN"/>
              </w:rPr>
              <w:t>石钢片区</w:t>
            </w:r>
            <w:r>
              <w:rPr>
                <w:rFonts w:hint="eastAsia"/>
                <w:color w:val="auto"/>
                <w:sz w:val="24"/>
                <w:szCs w:val="22"/>
                <w:highlight w:val="none"/>
                <w:lang w:val="en-US" w:eastAsia="zh-CN"/>
              </w:rPr>
              <w:t>、</w:t>
            </w:r>
            <w:r>
              <w:rPr>
                <w:rFonts w:hint="eastAsia"/>
                <w:color w:val="auto"/>
                <w:sz w:val="24"/>
                <w:szCs w:val="22"/>
                <w:highlight w:val="none"/>
                <w:lang w:eastAsia="zh-CN"/>
              </w:rPr>
              <w:t>天汇片区</w:t>
            </w:r>
            <w:r>
              <w:rPr>
                <w:rFonts w:hint="eastAsia"/>
                <w:color w:val="auto"/>
                <w:sz w:val="24"/>
                <w:szCs w:val="22"/>
                <w:highlight w:val="none"/>
                <w:lang w:val="en-US" w:eastAsia="zh-CN"/>
              </w:rPr>
              <w:t>、</w:t>
            </w:r>
            <w:r>
              <w:rPr>
                <w:rFonts w:hint="eastAsia"/>
                <w:color w:val="auto"/>
                <w:sz w:val="24"/>
                <w:szCs w:val="22"/>
                <w:highlight w:val="none"/>
                <w:lang w:eastAsia="zh-CN"/>
              </w:rPr>
              <w:t>丰达片区和融合片区</w:t>
            </w:r>
            <w:r>
              <w:rPr>
                <w:rFonts w:hint="eastAsia"/>
                <w:color w:val="auto"/>
                <w:sz w:val="24"/>
                <w:szCs w:val="22"/>
                <w:highlight w:val="none"/>
                <w:lang w:val="en-US" w:eastAsia="zh-CN"/>
              </w:rPr>
              <w:t>四个园区；</w:t>
            </w:r>
            <w:r>
              <w:rPr>
                <w:rFonts w:hint="eastAsia"/>
                <w:b/>
                <w:bCs/>
                <w:color w:val="auto"/>
                <w:sz w:val="24"/>
                <w:szCs w:val="22"/>
                <w:highlight w:val="none"/>
                <w:lang w:eastAsia="zh-CN"/>
              </w:rPr>
              <w:t>石钢片区重点依托石钢特钢项目，重点发展特钢棒材深加工、关键核心零部件等特种钢产业和通用零部件产业；</w:t>
            </w:r>
            <w:r>
              <w:rPr>
                <w:rFonts w:hint="eastAsia"/>
                <w:color w:val="auto"/>
                <w:sz w:val="24"/>
                <w:szCs w:val="22"/>
                <w:highlight w:val="none"/>
                <w:lang w:eastAsia="zh-CN"/>
              </w:rPr>
              <w:t>天汇片区依托矿峰水泥，以发展新材料为主；丰达片区和融合片区重点布局发展高端装备制造产业。同时全面推进园区能源资源的梯级利用和系统优化，加强园区内产业循环耦合，推动园区各产业跨行业废旧资源综合利用融合发展、集聚发展，围绕各产业生产工艺以及配套公辅工程等环节产生的废旧资源进行回收利用，</w:t>
            </w:r>
            <w:r>
              <w:rPr>
                <w:rFonts w:hint="eastAsia"/>
                <w:b w:val="0"/>
                <w:bCs w:val="0"/>
                <w:color w:val="auto"/>
                <w:sz w:val="24"/>
                <w:szCs w:val="22"/>
                <w:highlight w:val="none"/>
                <w:lang w:eastAsia="zh-CN"/>
              </w:rPr>
              <w:t>为特钢、高端装备制造、新材料等产业生产提供废钢资源、稀有金属辅配料、特钢材料等原材料，实现物质流循环，推动园区产业结构转型升级。</w:t>
            </w:r>
          </w:p>
          <w:p w14:paraId="37CDA86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val="0"/>
                <w:smallCaps w:val="0"/>
                <w:color w:val="auto"/>
                <w:spacing w:val="0"/>
                <w:sz w:val="24"/>
                <w:szCs w:val="20"/>
                <w:highlight w:val="none"/>
                <w:lang w:val="en-US" w:eastAsia="zh-CN"/>
              </w:rPr>
            </w:pPr>
            <w:r>
              <w:rPr>
                <w:rFonts w:hint="default" w:ascii="Times New Roman" w:hAnsi="Times New Roman" w:cs="Times New Roman"/>
                <w:b/>
                <w:bCs w:val="0"/>
                <w:smallCaps w:val="0"/>
                <w:color w:val="auto"/>
                <w:spacing w:val="0"/>
                <w:sz w:val="24"/>
                <w:szCs w:val="20"/>
                <w:highlight w:val="none"/>
              </w:rPr>
              <w:t>本项目位于</w:t>
            </w:r>
            <w:r>
              <w:rPr>
                <w:rFonts w:hint="default" w:ascii="Times New Roman" w:hAnsi="Times New Roman" w:cs="Times New Roman"/>
                <w:b/>
                <w:bCs w:val="0"/>
                <w:smallCaps w:val="0"/>
                <w:color w:val="auto"/>
                <w:spacing w:val="0"/>
                <w:sz w:val="24"/>
                <w:szCs w:val="20"/>
                <w:highlight w:val="none"/>
                <w:lang w:eastAsia="zh-CN"/>
              </w:rPr>
              <w:t>河北省石家庄市井陉矿区鑫鸿产业园5号厂房</w:t>
            </w:r>
            <w:r>
              <w:rPr>
                <w:rFonts w:hint="eastAsia" w:cs="Times New Roman"/>
                <w:b/>
                <w:bCs w:val="0"/>
                <w:smallCaps w:val="0"/>
                <w:color w:val="auto"/>
                <w:spacing w:val="0"/>
                <w:sz w:val="24"/>
                <w:szCs w:val="20"/>
                <w:highlight w:val="none"/>
                <w:lang w:eastAsia="zh-CN"/>
              </w:rPr>
              <w:t>，</w:t>
            </w:r>
            <w:r>
              <w:rPr>
                <w:rFonts w:hint="eastAsia" w:cs="Times New Roman"/>
                <w:b/>
                <w:bCs w:val="0"/>
                <w:smallCaps w:val="0"/>
                <w:color w:val="auto"/>
                <w:spacing w:val="0"/>
                <w:sz w:val="24"/>
                <w:szCs w:val="20"/>
                <w:highlight w:val="none"/>
                <w:lang w:val="en-US" w:eastAsia="zh-CN"/>
              </w:rPr>
              <w:t>属于</w:t>
            </w:r>
            <w:r>
              <w:rPr>
                <w:rFonts w:hint="eastAsia"/>
                <w:b/>
                <w:bCs/>
                <w:color w:val="auto"/>
                <w:sz w:val="24"/>
                <w:szCs w:val="22"/>
                <w:highlight w:val="none"/>
                <w:lang w:eastAsia="zh-CN"/>
              </w:rPr>
              <w:t>石钢片区</w:t>
            </w:r>
            <w:r>
              <w:rPr>
                <w:rFonts w:hint="default" w:ascii="Times New Roman" w:hAnsi="Times New Roman" w:cs="Times New Roman"/>
                <w:b/>
                <w:bCs w:val="0"/>
                <w:smallCaps w:val="0"/>
                <w:color w:val="auto"/>
                <w:spacing w:val="0"/>
                <w:sz w:val="24"/>
                <w:szCs w:val="20"/>
                <w:highlight w:val="none"/>
              </w:rPr>
              <w:t>规划范围</w:t>
            </w:r>
            <w:r>
              <w:rPr>
                <w:rFonts w:hint="default" w:ascii="Times New Roman" w:hAnsi="Times New Roman" w:eastAsia="宋体" w:cs="Times New Roman"/>
                <w:b/>
                <w:bCs w:val="0"/>
                <w:smallCaps w:val="0"/>
                <w:color w:val="auto"/>
                <w:spacing w:val="0"/>
                <w:sz w:val="24"/>
                <w:szCs w:val="20"/>
                <w:highlight w:val="none"/>
                <w:lang w:eastAsia="zh-CN"/>
              </w:rPr>
              <w:t>内</w:t>
            </w:r>
            <w:r>
              <w:rPr>
                <w:rFonts w:hint="eastAsia" w:ascii="Times New Roman" w:hAnsi="Times New Roman" w:eastAsia="宋体" w:cs="Times New Roman"/>
                <w:b/>
                <w:bCs w:val="0"/>
                <w:smallCaps w:val="0"/>
                <w:color w:val="auto"/>
                <w:spacing w:val="0"/>
                <w:sz w:val="24"/>
                <w:szCs w:val="20"/>
                <w:highlight w:val="none"/>
                <w:lang w:eastAsia="zh-CN"/>
              </w:rPr>
              <w:t>；</w:t>
            </w:r>
            <w:r>
              <w:rPr>
                <w:rFonts w:hint="eastAsia" w:ascii="Times New Roman" w:hAnsi="Times New Roman" w:eastAsia="宋体" w:cs="Times New Roman"/>
                <w:b/>
                <w:bCs w:val="0"/>
                <w:smallCaps w:val="0"/>
                <w:color w:val="auto"/>
                <w:spacing w:val="0"/>
                <w:sz w:val="24"/>
                <w:szCs w:val="20"/>
                <w:highlight w:val="none"/>
                <w:lang w:val="en-US" w:eastAsia="zh-CN"/>
              </w:rPr>
              <w:t>本项目主要采用</w:t>
            </w:r>
            <w:r>
              <w:rPr>
                <w:rFonts w:hint="eastAsia" w:cs="Times New Roman"/>
                <w:b/>
                <w:bCs w:val="0"/>
                <w:smallCaps w:val="0"/>
                <w:color w:val="auto"/>
                <w:spacing w:val="0"/>
                <w:sz w:val="24"/>
                <w:szCs w:val="20"/>
                <w:highlight w:val="none"/>
                <w:lang w:val="en-US" w:eastAsia="zh-CN"/>
              </w:rPr>
              <w:t>米铁</w:t>
            </w:r>
            <w:r>
              <w:rPr>
                <w:rFonts w:hint="eastAsia" w:ascii="Times New Roman" w:hAnsi="Times New Roman" w:eastAsia="宋体" w:cs="Times New Roman"/>
                <w:b/>
                <w:bCs w:val="0"/>
                <w:smallCaps w:val="0"/>
                <w:color w:val="auto"/>
                <w:spacing w:val="0"/>
                <w:sz w:val="24"/>
                <w:szCs w:val="20"/>
                <w:highlight w:val="none"/>
                <w:lang w:val="en-US" w:eastAsia="zh-CN"/>
              </w:rPr>
              <w:t>、废钢等铸造</w:t>
            </w:r>
            <w:r>
              <w:rPr>
                <w:rFonts w:hint="eastAsia" w:ascii="Times New Roman" w:hAnsi="Times New Roman" w:eastAsia="宋体" w:cs="Times New Roman"/>
                <w:b/>
                <w:bCs w:val="0"/>
                <w:smallCaps w:val="0"/>
                <w:color w:val="auto"/>
                <w:spacing w:val="0"/>
                <w:sz w:val="24"/>
                <w:szCs w:val="20"/>
                <w:highlight w:val="none"/>
                <w:lang w:eastAsia="zh-CN"/>
              </w:rPr>
              <w:t>高铁接触网配件，</w:t>
            </w:r>
            <w:r>
              <w:rPr>
                <w:rFonts w:hint="eastAsia" w:ascii="Times New Roman" w:hAnsi="Times New Roman" w:eastAsia="宋体" w:cs="Times New Roman"/>
                <w:b/>
                <w:bCs w:val="0"/>
                <w:smallCaps w:val="0"/>
                <w:color w:val="auto"/>
                <w:spacing w:val="0"/>
                <w:sz w:val="24"/>
                <w:szCs w:val="20"/>
                <w:highlight w:val="none"/>
                <w:lang w:val="en-US" w:eastAsia="zh-CN"/>
              </w:rPr>
              <w:t>石钢片区废钢资源充足，本项目可进行废旧资源回收利用，符合园区产业政策要求。</w:t>
            </w:r>
            <w:r>
              <w:rPr>
                <w:rFonts w:hint="eastAsia" w:cs="Times New Roman"/>
                <w:b/>
                <w:bCs w:val="0"/>
                <w:smallCaps w:val="0"/>
                <w:color w:val="auto"/>
                <w:spacing w:val="0"/>
                <w:sz w:val="24"/>
                <w:szCs w:val="20"/>
                <w:highlight w:val="none"/>
                <w:lang w:val="en-US" w:eastAsia="zh-CN"/>
              </w:rPr>
              <w:t>2025年10月6日，河北石家庄矿区工业园区管理委员会出具该项目的选址意见，该项目符合园区产业发展，同意选址。</w:t>
            </w:r>
          </w:p>
          <w:p w14:paraId="0C10124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b w:val="0"/>
                <w:bCs/>
                <w:smallCaps w:val="0"/>
                <w:color w:val="auto"/>
                <w:spacing w:val="0"/>
                <w:sz w:val="24"/>
                <w:szCs w:val="20"/>
                <w:highlight w:val="none"/>
              </w:rPr>
            </w:pPr>
            <w:r>
              <w:rPr>
                <w:rFonts w:hint="default" w:ascii="Times New Roman" w:hAnsi="Times New Roman" w:cs="Times New Roman"/>
                <w:b w:val="0"/>
                <w:bCs/>
                <w:smallCaps w:val="0"/>
                <w:color w:val="auto"/>
                <w:spacing w:val="0"/>
                <w:sz w:val="24"/>
                <w:szCs w:val="20"/>
                <w:highlight w:val="none"/>
              </w:rPr>
              <w:t>（2）用地布局</w:t>
            </w:r>
          </w:p>
          <w:p w14:paraId="03883DE5">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kern w:val="0"/>
                <w:sz w:val="24"/>
                <w:szCs w:val="22"/>
                <w:highlight w:val="none"/>
              </w:rPr>
            </w:pPr>
            <w:r>
              <w:rPr>
                <w:rFonts w:hint="default" w:ascii="Times New Roman" w:hAnsi="Times New Roman" w:cs="Times New Roman"/>
                <w:smallCaps w:val="0"/>
                <w:color w:val="auto"/>
                <w:spacing w:val="0"/>
                <w:kern w:val="0"/>
                <w:sz w:val="24"/>
                <w:szCs w:val="22"/>
                <w:highlight w:val="none"/>
              </w:rPr>
              <w:t>河北石家庄矿区工业园区总体发展规划（2022-2030），规划总面积1775.19公顷，其中城镇开发边界内用地1224.03公顷，城镇开发边界外用地551.16公顷。</w:t>
            </w:r>
          </w:p>
          <w:p w14:paraId="7D30E0AD">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kern w:val="0"/>
                <w:sz w:val="24"/>
                <w:szCs w:val="22"/>
                <w:highlight w:val="none"/>
              </w:rPr>
            </w:pPr>
            <w:r>
              <w:rPr>
                <w:rFonts w:hint="default" w:ascii="Times New Roman" w:hAnsi="Times New Roman" w:cs="Times New Roman"/>
                <w:smallCaps w:val="0"/>
                <w:color w:val="auto"/>
                <w:spacing w:val="0"/>
                <w:kern w:val="0"/>
                <w:sz w:val="24"/>
                <w:szCs w:val="22"/>
                <w:highlight w:val="none"/>
              </w:rPr>
              <w:t>石钢片区：东至南寨村、新王舍村及西岗头社区西侧，南至世纪大道、张家井村北侧，西至西环旅游路，北至西四排，规划面积880.52公顷，其中城镇开发边界内683.68公顷，城镇开发边界外用地196.84公顷。本次规划范围在省政府批复范围836公顷的基础上外延44.52公顷。</w:t>
            </w:r>
          </w:p>
          <w:p w14:paraId="75D51FE9">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kern w:val="0"/>
                <w:sz w:val="24"/>
                <w:szCs w:val="22"/>
                <w:highlight w:val="none"/>
              </w:rPr>
            </w:pPr>
            <w:r>
              <w:rPr>
                <w:rFonts w:hint="default" w:ascii="Times New Roman" w:hAnsi="Times New Roman" w:cs="Times New Roman"/>
                <w:smallCaps w:val="0"/>
                <w:color w:val="auto"/>
                <w:spacing w:val="0"/>
                <w:kern w:val="0"/>
                <w:sz w:val="24"/>
                <w:szCs w:val="22"/>
                <w:highlight w:val="none"/>
              </w:rPr>
              <w:t>天汇片区：东至矿区垃圾填埋场西侧，南至冯家沟村北侧，西至南寨村东侧、南寨水库西侧，北至峰矿水泥厂采石场，规划面积184.13公顷，其中城镇开发边界内116.67公顷，城镇开发边界外用地67.46公顷。本次规划范围在省政府批复范围180公顷的基础上外延4.13公顷，外延部分全部在城镇开发边界内。</w:t>
            </w:r>
          </w:p>
          <w:p w14:paraId="35286440">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kern w:val="0"/>
                <w:sz w:val="24"/>
                <w:szCs w:val="22"/>
                <w:highlight w:val="none"/>
              </w:rPr>
            </w:pPr>
            <w:r>
              <w:rPr>
                <w:rFonts w:hint="default" w:ascii="Times New Roman" w:hAnsi="Times New Roman" w:cs="Times New Roman"/>
                <w:smallCaps w:val="0"/>
                <w:color w:val="auto"/>
                <w:spacing w:val="0"/>
                <w:kern w:val="0"/>
                <w:sz w:val="24"/>
                <w:szCs w:val="22"/>
                <w:highlight w:val="none"/>
              </w:rPr>
              <w:t>丰达片区：东至冶金新材料装备产业园，南至秋树坡村北侧，西至赵村店东侧及古桥北街，北至赵村铺南侧，规划面积210.23公顷，其中城镇开发边界内141.87公顷，城镇开发边界外用地68.36公顷。本次规划范围在省政府批复范围133公顷的基础上外延77.23公顷。</w:t>
            </w:r>
          </w:p>
          <w:p w14:paraId="287E3660">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smallCaps w:val="0"/>
                <w:color w:val="auto"/>
                <w:spacing w:val="0"/>
                <w:kern w:val="0"/>
                <w:sz w:val="24"/>
                <w:szCs w:val="22"/>
                <w:highlight w:val="none"/>
              </w:rPr>
              <w:t>融合片区分为一区和二区：一区东至绵左支渠东侧，南至贾天公路南侧，西至红星路西侧，北至北清线，规划面积409.51公顷，其中城镇开发边界内240.37公顷，城镇开发边界外用地169.14公顷。本次规划范围在省政府批复范围405公顷的基础上外延4.51公顷，外延部分全部在城镇开发边界内。二区东至西南正村西侧，南至井矿快速路北侧，西至青泉村东侧，北至北清线、古桥南街，规划面积71.16公顷，与省政府批复范围一致，其中城镇开发边界内21.80公顷，城镇开发边界外用地49.36公顷。</w:t>
            </w:r>
          </w:p>
          <w:p w14:paraId="3FAED29B">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2" w:firstLineChars="200"/>
              <w:textAlignment w:val="auto"/>
              <w:rPr>
                <w:rFonts w:hint="default" w:ascii="Times New Roman" w:hAnsi="Times New Roman" w:eastAsia="宋体" w:cs="Times New Roman"/>
                <w:b/>
                <w:bCs/>
                <w:smallCaps w:val="0"/>
                <w:color w:val="auto"/>
                <w:spacing w:val="0"/>
                <w:kern w:val="0"/>
                <w:sz w:val="24"/>
                <w:szCs w:val="22"/>
                <w:highlight w:val="none"/>
              </w:rPr>
            </w:pPr>
            <w:r>
              <w:rPr>
                <w:rFonts w:hint="default" w:ascii="Times New Roman" w:hAnsi="Times New Roman" w:cs="Times New Roman"/>
                <w:b/>
                <w:bCs w:val="0"/>
                <w:smallCaps w:val="0"/>
                <w:color w:val="auto"/>
                <w:spacing w:val="0"/>
                <w:sz w:val="24"/>
                <w:szCs w:val="20"/>
                <w:highlight w:val="none"/>
              </w:rPr>
              <w:t>本项目位于</w:t>
            </w:r>
            <w:r>
              <w:rPr>
                <w:rFonts w:hint="default" w:ascii="Times New Roman" w:hAnsi="Times New Roman" w:cs="Times New Roman"/>
                <w:b/>
                <w:bCs w:val="0"/>
                <w:smallCaps w:val="0"/>
                <w:color w:val="auto"/>
                <w:spacing w:val="0"/>
                <w:sz w:val="24"/>
                <w:szCs w:val="20"/>
                <w:highlight w:val="none"/>
                <w:lang w:eastAsia="zh-CN"/>
              </w:rPr>
              <w:t>河北省石家庄市井陉矿区鑫鸿产业园5号厂房</w:t>
            </w:r>
            <w:r>
              <w:rPr>
                <w:rFonts w:hint="eastAsia" w:cs="Times New Roman"/>
                <w:b/>
                <w:bCs w:val="0"/>
                <w:smallCaps w:val="0"/>
                <w:color w:val="auto"/>
                <w:spacing w:val="0"/>
                <w:sz w:val="24"/>
                <w:szCs w:val="20"/>
                <w:highlight w:val="none"/>
                <w:lang w:eastAsia="zh-CN"/>
              </w:rPr>
              <w:t>，</w:t>
            </w:r>
            <w:r>
              <w:rPr>
                <w:rFonts w:hint="eastAsia" w:cs="Times New Roman"/>
                <w:b/>
                <w:bCs w:val="0"/>
                <w:smallCaps w:val="0"/>
                <w:color w:val="auto"/>
                <w:spacing w:val="0"/>
                <w:sz w:val="24"/>
                <w:szCs w:val="20"/>
                <w:highlight w:val="none"/>
                <w:lang w:val="en-US" w:eastAsia="zh-CN"/>
              </w:rPr>
              <w:t>属于</w:t>
            </w:r>
            <w:r>
              <w:rPr>
                <w:rFonts w:hint="eastAsia"/>
                <w:b/>
                <w:bCs/>
                <w:color w:val="auto"/>
                <w:sz w:val="24"/>
                <w:szCs w:val="22"/>
                <w:highlight w:val="none"/>
                <w:lang w:eastAsia="zh-CN"/>
              </w:rPr>
              <w:t>石钢片区</w:t>
            </w:r>
            <w:r>
              <w:rPr>
                <w:rFonts w:hint="default" w:ascii="Times New Roman" w:hAnsi="Times New Roman" w:cs="Times New Roman"/>
                <w:b/>
                <w:bCs w:val="0"/>
                <w:smallCaps w:val="0"/>
                <w:color w:val="auto"/>
                <w:spacing w:val="0"/>
                <w:sz w:val="24"/>
                <w:szCs w:val="20"/>
                <w:highlight w:val="none"/>
              </w:rPr>
              <w:t>规划范围</w:t>
            </w:r>
            <w:r>
              <w:rPr>
                <w:rFonts w:hint="default" w:ascii="Times New Roman" w:hAnsi="Times New Roman" w:eastAsia="宋体" w:cs="Times New Roman"/>
                <w:b/>
                <w:bCs w:val="0"/>
                <w:smallCaps w:val="0"/>
                <w:color w:val="auto"/>
                <w:spacing w:val="0"/>
                <w:sz w:val="24"/>
                <w:szCs w:val="20"/>
                <w:highlight w:val="none"/>
                <w:lang w:eastAsia="zh-CN"/>
              </w:rPr>
              <w:t>内</w:t>
            </w:r>
            <w:r>
              <w:rPr>
                <w:rFonts w:hint="eastAsia" w:ascii="Times New Roman" w:hAnsi="Times New Roman" w:eastAsia="宋体" w:cs="Times New Roman"/>
                <w:b/>
                <w:bCs w:val="0"/>
                <w:smallCaps w:val="0"/>
                <w:color w:val="auto"/>
                <w:spacing w:val="0"/>
                <w:sz w:val="24"/>
                <w:szCs w:val="20"/>
                <w:highlight w:val="none"/>
                <w:lang w:eastAsia="zh-CN"/>
              </w:rPr>
              <w:t>；</w:t>
            </w:r>
            <w:r>
              <w:rPr>
                <w:rFonts w:hint="default" w:ascii="Times New Roman" w:hAnsi="Times New Roman" w:eastAsia="宋体" w:cs="Times New Roman"/>
                <w:b/>
                <w:bCs/>
                <w:smallCaps w:val="0"/>
                <w:color w:val="auto"/>
                <w:spacing w:val="0"/>
                <w:kern w:val="0"/>
                <w:sz w:val="24"/>
                <w:szCs w:val="22"/>
                <w:highlight w:val="none"/>
              </w:rPr>
              <w:t>根据园区规划图可知，</w:t>
            </w:r>
            <w:r>
              <w:rPr>
                <w:rFonts w:hint="eastAsia" w:ascii="Times New Roman" w:hAnsi="Times New Roman" w:eastAsia="宋体" w:cs="Times New Roman"/>
                <w:b/>
                <w:bCs/>
                <w:smallCaps w:val="0"/>
                <w:color w:val="auto"/>
                <w:spacing w:val="0"/>
                <w:kern w:val="0"/>
                <w:sz w:val="24"/>
                <w:szCs w:val="22"/>
                <w:highlight w:val="none"/>
                <w:lang w:val="en-US" w:eastAsia="zh-CN"/>
              </w:rPr>
              <w:t>项目</w:t>
            </w:r>
            <w:r>
              <w:rPr>
                <w:rFonts w:hint="default" w:ascii="Times New Roman" w:hAnsi="Times New Roman" w:eastAsia="宋体" w:cs="Times New Roman"/>
                <w:b/>
                <w:bCs/>
                <w:smallCaps w:val="0"/>
                <w:color w:val="auto"/>
                <w:spacing w:val="0"/>
                <w:kern w:val="0"/>
                <w:sz w:val="24"/>
                <w:szCs w:val="22"/>
                <w:highlight w:val="none"/>
              </w:rPr>
              <w:t>用地为</w:t>
            </w:r>
            <w:r>
              <w:rPr>
                <w:rFonts w:hint="eastAsia" w:ascii="Times New Roman" w:hAnsi="Times New Roman" w:eastAsia="宋体" w:cs="Times New Roman"/>
                <w:b/>
                <w:bCs/>
                <w:smallCaps w:val="0"/>
                <w:color w:val="auto"/>
                <w:spacing w:val="0"/>
                <w:kern w:val="0"/>
                <w:sz w:val="24"/>
                <w:szCs w:val="22"/>
                <w:highlight w:val="none"/>
                <w:lang w:val="en-US" w:eastAsia="zh-CN"/>
              </w:rPr>
              <w:t>园区发展备用地</w:t>
            </w:r>
            <w:r>
              <w:rPr>
                <w:rFonts w:hint="eastAsia" w:ascii="Times New Roman" w:hAnsi="Times New Roman" w:eastAsia="宋体" w:cs="Times New Roman"/>
                <w:b/>
                <w:bCs/>
                <w:smallCaps w:val="0"/>
                <w:color w:val="auto"/>
                <w:spacing w:val="0"/>
                <w:kern w:val="0"/>
                <w:sz w:val="24"/>
                <w:szCs w:val="22"/>
                <w:highlight w:val="none"/>
                <w:lang w:eastAsia="zh-CN"/>
              </w:rPr>
              <w:t>；</w:t>
            </w:r>
            <w:r>
              <w:rPr>
                <w:rFonts w:hint="eastAsia" w:ascii="Times New Roman" w:hAnsi="Times New Roman" w:eastAsia="宋体" w:cs="Times New Roman"/>
                <w:b/>
                <w:bCs/>
                <w:smallCaps w:val="0"/>
                <w:color w:val="auto"/>
                <w:spacing w:val="0"/>
                <w:kern w:val="0"/>
                <w:sz w:val="24"/>
                <w:szCs w:val="22"/>
                <w:highlight w:val="none"/>
                <w:lang w:val="en-US" w:eastAsia="zh-CN"/>
              </w:rPr>
              <w:t>并且，已与河北鑫鸿工业园建设发展有限公司签订了厂房租赁协议，并提供了不动产权证（冀[2019]</w:t>
            </w:r>
            <w:r>
              <w:rPr>
                <w:rFonts w:hint="eastAsia" w:ascii="Times New Roman" w:hAnsi="Times New Roman" w:eastAsia="宋体" w:cs="Times New Roman"/>
                <w:b/>
                <w:bCs/>
                <w:smallCaps w:val="0"/>
                <w:color w:val="auto"/>
                <w:spacing w:val="0"/>
                <w:kern w:val="0"/>
                <w:sz w:val="24"/>
                <w:szCs w:val="22"/>
                <w:highlight w:val="none"/>
                <w:u w:val="single"/>
                <w:lang w:val="en-US" w:eastAsia="zh-CN"/>
              </w:rPr>
              <w:t>石家庄矿区</w:t>
            </w:r>
            <w:r>
              <w:rPr>
                <w:rFonts w:hint="eastAsia" w:ascii="Times New Roman" w:hAnsi="Times New Roman" w:eastAsia="宋体" w:cs="Times New Roman"/>
                <w:b/>
                <w:bCs/>
                <w:smallCaps w:val="0"/>
                <w:color w:val="auto"/>
                <w:spacing w:val="0"/>
                <w:kern w:val="0"/>
                <w:sz w:val="24"/>
                <w:szCs w:val="22"/>
                <w:highlight w:val="none"/>
                <w:lang w:val="en-US" w:eastAsia="zh-CN"/>
              </w:rPr>
              <w:t>不动产权第0000607号），占地用途为工业用地，选址符合园区用地规划</w:t>
            </w:r>
            <w:r>
              <w:rPr>
                <w:rFonts w:hint="default" w:ascii="Times New Roman" w:hAnsi="Times New Roman" w:eastAsia="宋体" w:cs="Times New Roman"/>
                <w:b/>
                <w:bCs/>
                <w:smallCaps w:val="0"/>
                <w:color w:val="auto"/>
                <w:spacing w:val="0"/>
                <w:kern w:val="0"/>
                <w:sz w:val="24"/>
                <w:szCs w:val="22"/>
                <w:highlight w:val="none"/>
              </w:rPr>
              <w:t>。</w:t>
            </w:r>
          </w:p>
          <w:p w14:paraId="2C7C30E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b w:val="0"/>
                <w:bCs/>
                <w:smallCaps w:val="0"/>
                <w:color w:val="auto"/>
                <w:spacing w:val="0"/>
                <w:kern w:val="0"/>
                <w:sz w:val="24"/>
                <w:szCs w:val="20"/>
                <w:highlight w:val="none"/>
              </w:rPr>
            </w:pPr>
            <w:r>
              <w:rPr>
                <w:rFonts w:hint="default" w:ascii="Times New Roman" w:hAnsi="Times New Roman" w:cs="Times New Roman"/>
                <w:b w:val="0"/>
                <w:bCs/>
                <w:smallCaps w:val="0"/>
                <w:color w:val="auto"/>
                <w:spacing w:val="0"/>
                <w:kern w:val="0"/>
                <w:sz w:val="24"/>
                <w:szCs w:val="20"/>
                <w:highlight w:val="none"/>
              </w:rPr>
              <w:t>（</w:t>
            </w:r>
            <w:r>
              <w:rPr>
                <w:rFonts w:hint="eastAsia" w:cs="Times New Roman"/>
                <w:b w:val="0"/>
                <w:bCs/>
                <w:smallCaps w:val="0"/>
                <w:color w:val="auto"/>
                <w:spacing w:val="0"/>
                <w:kern w:val="0"/>
                <w:sz w:val="24"/>
                <w:szCs w:val="20"/>
                <w:highlight w:val="none"/>
                <w:lang w:val="en-US" w:eastAsia="zh-CN"/>
              </w:rPr>
              <w:t>3</w:t>
            </w:r>
            <w:r>
              <w:rPr>
                <w:rFonts w:hint="default" w:ascii="Times New Roman" w:hAnsi="Times New Roman" w:cs="Times New Roman"/>
                <w:b w:val="0"/>
                <w:bCs/>
                <w:smallCaps w:val="0"/>
                <w:color w:val="auto"/>
                <w:spacing w:val="0"/>
                <w:kern w:val="0"/>
                <w:sz w:val="24"/>
                <w:szCs w:val="20"/>
                <w:highlight w:val="none"/>
              </w:rPr>
              <w:t>）基础设施</w:t>
            </w:r>
          </w:p>
          <w:p w14:paraId="234A2A5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fldChar w:fldCharType="begin"/>
            </w:r>
            <w:r>
              <w:rPr>
                <w:rFonts w:hint="default" w:ascii="Times New Roman" w:hAnsi="Times New Roman" w:cs="Times New Roman"/>
                <w:smallCaps w:val="0"/>
                <w:color w:val="auto"/>
                <w:spacing w:val="0"/>
                <w:sz w:val="24"/>
                <w:szCs w:val="20"/>
                <w:highlight w:val="none"/>
              </w:rPr>
              <w:instrText xml:space="preserve"> = 1 \* GB3 </w:instrText>
            </w:r>
            <w:r>
              <w:rPr>
                <w:rFonts w:hint="default" w:ascii="Times New Roman" w:hAnsi="Times New Roman" w:cs="Times New Roman"/>
                <w:smallCaps w:val="0"/>
                <w:color w:val="auto"/>
                <w:spacing w:val="0"/>
                <w:sz w:val="24"/>
                <w:szCs w:val="20"/>
                <w:highlight w:val="none"/>
              </w:rPr>
              <w:fldChar w:fldCharType="separate"/>
            </w:r>
            <w:r>
              <w:rPr>
                <w:rFonts w:hint="default" w:ascii="Times New Roman" w:hAnsi="Times New Roman" w:cs="Times New Roman"/>
                <w:smallCaps w:val="0"/>
                <w:color w:val="auto"/>
                <w:spacing w:val="0"/>
                <w:sz w:val="24"/>
                <w:szCs w:val="20"/>
                <w:highlight w:val="none"/>
              </w:rPr>
              <w:t>①</w:t>
            </w:r>
            <w:r>
              <w:rPr>
                <w:rFonts w:hint="default" w:ascii="Times New Roman" w:hAnsi="Times New Roman" w:cs="Times New Roman"/>
                <w:smallCaps w:val="0"/>
                <w:color w:val="auto"/>
                <w:spacing w:val="0"/>
                <w:sz w:val="24"/>
                <w:szCs w:val="20"/>
                <w:highlight w:val="none"/>
              </w:rPr>
              <w:fldChar w:fldCharType="end"/>
            </w:r>
            <w:r>
              <w:rPr>
                <w:rFonts w:hint="default" w:ascii="Times New Roman" w:hAnsi="Times New Roman" w:cs="Times New Roman"/>
                <w:smallCaps w:val="0"/>
                <w:color w:val="auto"/>
                <w:spacing w:val="0"/>
                <w:sz w:val="24"/>
                <w:szCs w:val="20"/>
                <w:highlight w:val="none"/>
              </w:rPr>
              <w:t>供水设施规划：</w:t>
            </w:r>
          </w:p>
          <w:p w14:paraId="3A7F60D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spacing w:val="0"/>
                <w:sz w:val="24"/>
                <w:szCs w:val="24"/>
                <w:highlight w:val="none"/>
              </w:rPr>
            </w:pPr>
            <w:r>
              <w:rPr>
                <w:rFonts w:hint="default" w:ascii="Times New Roman" w:hAnsi="Times New Roman" w:eastAsia="宋体" w:cs="Times New Roman"/>
                <w:color w:val="auto"/>
                <w:spacing w:val="0"/>
                <w:sz w:val="24"/>
                <w:szCs w:val="24"/>
                <w:highlight w:val="none"/>
              </w:rPr>
              <w:t>规划园区水源以地表水和再生水为主，地下水作为紧急备用水源。园区的用水结构为地表水优先供应生活用水；再生水优先供应石钢公司工业用水，其次供应其他企业工业用水、景观用水、浇洒道路、市政用水。</w:t>
            </w:r>
          </w:p>
          <w:p w14:paraId="4510C8CB">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4"/>
                <w:highlight w:val="none"/>
              </w:rPr>
            </w:pPr>
            <w:r>
              <w:rPr>
                <w:rFonts w:hint="default" w:ascii="Times New Roman" w:hAnsi="Times New Roman" w:eastAsia="宋体" w:cs="Times New Roman"/>
                <w:color w:val="auto"/>
                <w:spacing w:val="0"/>
                <w:sz w:val="24"/>
                <w:szCs w:val="24"/>
                <w:highlight w:val="none"/>
              </w:rPr>
              <w:t>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eastAsia="宋体" w:cs="Times New Roman"/>
                <w:color w:val="auto"/>
                <w:spacing w:val="0"/>
                <w:sz w:val="24"/>
                <w:szCs w:val="24"/>
                <w:highlight w:val="none"/>
                <w:vertAlign w:val="superscript"/>
              </w:rPr>
              <w:t>3</w:t>
            </w:r>
            <w:r>
              <w:rPr>
                <w:rFonts w:hint="default" w:ascii="Times New Roman" w:hAnsi="Times New Roman" w:eastAsia="宋体" w:cs="Times New Roman"/>
                <w:color w:val="auto"/>
                <w:spacing w:val="0"/>
                <w:sz w:val="24"/>
                <w:szCs w:val="24"/>
                <w:highlight w:val="none"/>
              </w:rPr>
              <w:t>/d；贾庄再生水厂位于石钢片区北侧，设计规模为1500m</w:t>
            </w:r>
            <w:r>
              <w:rPr>
                <w:rFonts w:hint="default" w:ascii="Times New Roman" w:hAnsi="Times New Roman" w:eastAsia="宋体" w:cs="Times New Roman"/>
                <w:color w:val="auto"/>
                <w:spacing w:val="0"/>
                <w:sz w:val="24"/>
                <w:szCs w:val="24"/>
                <w:highlight w:val="none"/>
                <w:vertAlign w:val="superscript"/>
              </w:rPr>
              <w:t>3</w:t>
            </w:r>
            <w:r>
              <w:rPr>
                <w:rFonts w:hint="default" w:ascii="Times New Roman" w:hAnsi="Times New Roman" w:eastAsia="宋体" w:cs="Times New Roman"/>
                <w:color w:val="auto"/>
                <w:spacing w:val="0"/>
                <w:sz w:val="24"/>
                <w:szCs w:val="24"/>
                <w:highlight w:val="none"/>
              </w:rPr>
              <w:t>/d，可满足园区乃至整个矿区的工业用水和生活用水。</w:t>
            </w:r>
          </w:p>
          <w:p w14:paraId="21721BE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2" w:firstLineChars="200"/>
              <w:textAlignment w:val="auto"/>
              <w:rPr>
                <w:rFonts w:hint="default" w:ascii="Times New Roman" w:hAnsi="Times New Roman" w:cs="Times New Roman"/>
                <w:b/>
                <w:bCs/>
                <w:smallCaps w:val="0"/>
                <w:color w:val="auto"/>
                <w:spacing w:val="0"/>
                <w:sz w:val="24"/>
                <w:szCs w:val="20"/>
                <w:highlight w:val="none"/>
              </w:rPr>
            </w:pPr>
            <w:r>
              <w:rPr>
                <w:rFonts w:hint="default" w:ascii="Times New Roman" w:hAnsi="Times New Roman" w:cs="Times New Roman"/>
                <w:b/>
                <w:bCs/>
                <w:smallCaps w:val="0"/>
                <w:color w:val="auto"/>
                <w:spacing w:val="0"/>
                <w:kern w:val="0"/>
                <w:sz w:val="24"/>
                <w:szCs w:val="20"/>
                <w:highlight w:val="none"/>
              </w:rPr>
              <w:t>本项目用水主要为</w:t>
            </w:r>
            <w:r>
              <w:rPr>
                <w:rFonts w:hint="eastAsia" w:cs="Times New Roman"/>
                <w:b/>
                <w:bCs/>
                <w:smallCaps w:val="0"/>
                <w:color w:val="auto"/>
                <w:spacing w:val="0"/>
                <w:kern w:val="0"/>
                <w:sz w:val="24"/>
                <w:szCs w:val="20"/>
                <w:highlight w:val="none"/>
                <w:lang w:val="en-US" w:eastAsia="zh-CN"/>
              </w:rPr>
              <w:t>循环冷却水、生活用水、雾炮喷淋用水</w:t>
            </w:r>
            <w:r>
              <w:rPr>
                <w:rFonts w:hint="default" w:ascii="Times New Roman" w:hAnsi="Times New Roman" w:cs="Times New Roman"/>
                <w:b/>
                <w:bCs/>
                <w:smallCaps w:val="0"/>
                <w:color w:val="auto"/>
                <w:spacing w:val="0"/>
                <w:kern w:val="0"/>
                <w:sz w:val="24"/>
                <w:szCs w:val="20"/>
                <w:highlight w:val="none"/>
              </w:rPr>
              <w:t>，</w:t>
            </w:r>
            <w:r>
              <w:rPr>
                <w:rFonts w:hint="eastAsia" w:cs="Times New Roman"/>
                <w:b/>
                <w:bCs/>
                <w:smallCaps w:val="0"/>
                <w:color w:val="auto"/>
                <w:spacing w:val="0"/>
                <w:kern w:val="0"/>
                <w:sz w:val="24"/>
                <w:szCs w:val="20"/>
                <w:highlight w:val="none"/>
                <w:lang w:val="en-US" w:eastAsia="zh-CN"/>
              </w:rPr>
              <w:t>新鲜水</w:t>
            </w:r>
            <w:r>
              <w:rPr>
                <w:rFonts w:hint="default" w:ascii="Times New Roman" w:hAnsi="Times New Roman" w:cs="Times New Roman"/>
                <w:b/>
                <w:bCs/>
                <w:smallCaps w:val="0"/>
                <w:color w:val="auto"/>
                <w:spacing w:val="0"/>
                <w:kern w:val="0"/>
                <w:sz w:val="24"/>
                <w:szCs w:val="20"/>
                <w:highlight w:val="none"/>
              </w:rPr>
              <w:t>总用水量为</w:t>
            </w:r>
            <w:r>
              <w:rPr>
                <w:rFonts w:hint="eastAsia" w:cs="Times New Roman"/>
                <w:b/>
                <w:bCs/>
                <w:smallCaps w:val="0"/>
                <w:color w:val="auto"/>
                <w:spacing w:val="0"/>
                <w:kern w:val="0"/>
                <w:sz w:val="24"/>
                <w:szCs w:val="20"/>
                <w:highlight w:val="none"/>
                <w:lang w:val="en-US" w:eastAsia="zh-CN"/>
              </w:rPr>
              <w:t>2310</w:t>
            </w:r>
            <w:r>
              <w:rPr>
                <w:rFonts w:hint="default" w:ascii="Times New Roman" w:hAnsi="Times New Roman" w:cs="Times New Roman"/>
                <w:b/>
                <w:bCs/>
                <w:smallCaps w:val="0"/>
                <w:color w:val="auto"/>
                <w:spacing w:val="0"/>
                <w:kern w:val="0"/>
                <w:sz w:val="24"/>
                <w:szCs w:val="20"/>
                <w:highlight w:val="none"/>
              </w:rPr>
              <w:t>m</w:t>
            </w:r>
            <w:r>
              <w:rPr>
                <w:rFonts w:hint="default" w:ascii="Times New Roman" w:hAnsi="Times New Roman" w:cs="Times New Roman"/>
                <w:b/>
                <w:bCs/>
                <w:smallCaps w:val="0"/>
                <w:color w:val="auto"/>
                <w:spacing w:val="0"/>
                <w:kern w:val="0"/>
                <w:sz w:val="24"/>
                <w:szCs w:val="20"/>
                <w:highlight w:val="none"/>
                <w:vertAlign w:val="superscript"/>
              </w:rPr>
              <w:t>3</w:t>
            </w:r>
            <w:r>
              <w:rPr>
                <w:rFonts w:hint="default" w:ascii="Times New Roman" w:hAnsi="Times New Roman" w:cs="Times New Roman"/>
                <w:b/>
                <w:bCs/>
                <w:smallCaps w:val="0"/>
                <w:color w:val="auto"/>
                <w:spacing w:val="0"/>
                <w:kern w:val="0"/>
                <w:sz w:val="24"/>
                <w:szCs w:val="20"/>
                <w:highlight w:val="none"/>
              </w:rPr>
              <w:t>/a</w:t>
            </w:r>
            <w:r>
              <w:rPr>
                <w:rFonts w:hint="default" w:ascii="Times New Roman" w:hAnsi="Times New Roman" w:cs="Times New Roman"/>
                <w:b/>
                <w:bCs/>
                <w:smallCaps w:val="0"/>
                <w:snapToGrid w:val="0"/>
                <w:color w:val="auto"/>
                <w:spacing w:val="0"/>
                <w:sz w:val="24"/>
                <w:szCs w:val="20"/>
                <w:highlight w:val="none"/>
                <w:lang w:eastAsia="zh-CN"/>
              </w:rPr>
              <w:t>，</w:t>
            </w:r>
            <w:r>
              <w:rPr>
                <w:rFonts w:hint="eastAsia" w:cs="Times New Roman"/>
                <w:b/>
                <w:bCs/>
                <w:smallCaps w:val="0"/>
                <w:snapToGrid w:val="0"/>
                <w:color w:val="auto"/>
                <w:spacing w:val="0"/>
                <w:sz w:val="24"/>
                <w:szCs w:val="20"/>
                <w:highlight w:val="none"/>
                <w:lang w:val="en-US" w:eastAsia="zh-CN"/>
              </w:rPr>
              <w:t>用量较小，</w:t>
            </w:r>
            <w:r>
              <w:rPr>
                <w:rFonts w:hint="default" w:ascii="Times New Roman" w:hAnsi="Times New Roman" w:cs="Times New Roman"/>
                <w:b/>
                <w:bCs/>
                <w:smallCaps w:val="0"/>
                <w:color w:val="auto"/>
                <w:spacing w:val="0"/>
                <w:kern w:val="0"/>
                <w:sz w:val="24"/>
                <w:szCs w:val="20"/>
                <w:highlight w:val="none"/>
                <w:lang w:eastAsia="zh-CN"/>
              </w:rPr>
              <w:t>由园区供水管网提供，</w:t>
            </w:r>
            <w:r>
              <w:rPr>
                <w:rFonts w:hint="default" w:ascii="Times New Roman" w:hAnsi="Times New Roman" w:cs="Times New Roman"/>
                <w:b/>
                <w:bCs/>
                <w:smallCaps w:val="0"/>
                <w:color w:val="auto"/>
                <w:spacing w:val="0"/>
                <w:kern w:val="0"/>
                <w:sz w:val="24"/>
                <w:szCs w:val="20"/>
                <w:highlight w:val="none"/>
              </w:rPr>
              <w:t>能够满足项目生产用水需求。</w:t>
            </w:r>
          </w:p>
          <w:p w14:paraId="2DC345D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fldChar w:fldCharType="begin"/>
            </w:r>
            <w:r>
              <w:rPr>
                <w:rFonts w:hint="default" w:ascii="Times New Roman" w:hAnsi="Times New Roman" w:cs="Times New Roman"/>
                <w:smallCaps w:val="0"/>
                <w:color w:val="auto"/>
                <w:spacing w:val="0"/>
                <w:sz w:val="24"/>
                <w:szCs w:val="20"/>
                <w:highlight w:val="none"/>
              </w:rPr>
              <w:instrText xml:space="preserve"> = 2 \* GB3 </w:instrText>
            </w:r>
            <w:r>
              <w:rPr>
                <w:rFonts w:hint="default" w:ascii="Times New Roman" w:hAnsi="Times New Roman" w:cs="Times New Roman"/>
                <w:smallCaps w:val="0"/>
                <w:color w:val="auto"/>
                <w:spacing w:val="0"/>
                <w:sz w:val="24"/>
                <w:szCs w:val="20"/>
                <w:highlight w:val="none"/>
              </w:rPr>
              <w:fldChar w:fldCharType="separate"/>
            </w:r>
            <w:r>
              <w:rPr>
                <w:rFonts w:hint="default" w:ascii="Times New Roman" w:hAnsi="Times New Roman" w:cs="Times New Roman"/>
                <w:smallCaps w:val="0"/>
                <w:color w:val="auto"/>
                <w:spacing w:val="0"/>
                <w:sz w:val="24"/>
                <w:szCs w:val="20"/>
                <w:highlight w:val="none"/>
              </w:rPr>
              <w:t>②</w:t>
            </w:r>
            <w:r>
              <w:rPr>
                <w:rFonts w:hint="default" w:ascii="Times New Roman" w:hAnsi="Times New Roman" w:cs="Times New Roman"/>
                <w:smallCaps w:val="0"/>
                <w:color w:val="auto"/>
                <w:spacing w:val="0"/>
                <w:sz w:val="24"/>
                <w:szCs w:val="20"/>
                <w:highlight w:val="none"/>
              </w:rPr>
              <w:fldChar w:fldCharType="end"/>
            </w:r>
            <w:r>
              <w:rPr>
                <w:rFonts w:hint="default" w:ascii="Times New Roman" w:hAnsi="Times New Roman" w:cs="Times New Roman"/>
                <w:smallCaps w:val="0"/>
                <w:color w:val="auto"/>
                <w:spacing w:val="0"/>
                <w:sz w:val="24"/>
                <w:szCs w:val="20"/>
                <w:highlight w:val="none"/>
              </w:rPr>
              <w:t>排水：</w:t>
            </w:r>
          </w:p>
          <w:p w14:paraId="1B1C2FA8">
            <w:pPr>
              <w:pStyle w:val="16"/>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auto"/>
                <w:spacing w:val="0"/>
                <w:sz w:val="24"/>
                <w:szCs w:val="24"/>
                <w:highlight w:val="none"/>
              </w:rPr>
            </w:pPr>
            <w:r>
              <w:rPr>
                <w:rFonts w:hint="default" w:ascii="Times New Roman" w:hAnsi="Times New Roman" w:eastAsia="宋体" w:cs="Times New Roman"/>
                <w:color w:val="auto"/>
                <w:spacing w:val="0"/>
                <w:sz w:val="24"/>
                <w:szCs w:val="24"/>
                <w:highlight w:val="none"/>
              </w:rPr>
              <w:t>①</w:t>
            </w:r>
            <w:r>
              <w:rPr>
                <w:rFonts w:hint="eastAsia" w:ascii="Times New Roman" w:hAnsi="Times New Roman" w:eastAsia="宋体" w:cs="Times New Roman"/>
                <w:color w:val="auto"/>
                <w:spacing w:val="0"/>
                <w:sz w:val="24"/>
                <w:szCs w:val="24"/>
                <w:highlight w:val="none"/>
                <w:lang w:val="en-US" w:eastAsia="zh-CN"/>
              </w:rPr>
              <w:t>污水工程</w:t>
            </w:r>
          </w:p>
          <w:p w14:paraId="516C5200">
            <w:pPr>
              <w:pStyle w:val="16"/>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auto"/>
                <w:spacing w:val="0"/>
                <w:sz w:val="24"/>
                <w:szCs w:val="24"/>
                <w:highlight w:val="none"/>
              </w:rPr>
            </w:pPr>
            <w:r>
              <w:rPr>
                <w:rFonts w:hint="default" w:ascii="Times New Roman" w:hAnsi="Times New Roman" w:eastAsia="宋体" w:cs="Times New Roman"/>
                <w:color w:val="auto"/>
                <w:spacing w:val="0"/>
                <w:sz w:val="24"/>
                <w:szCs w:val="24"/>
                <w:highlight w:val="none"/>
              </w:rPr>
              <w:t>规划排水体制采用雨污分流制。遵守水源保护地准保护区政策，生产污水处理采用企业自行处理方式，实现生产污水处理零排放，后期对企业进行跟踪，严令禁止排放污水。生活污水由污水管道排入矿区绿洁污水处理厂和贾庄污水处理厂。</w:t>
            </w:r>
          </w:p>
          <w:p w14:paraId="6185D059">
            <w:pPr>
              <w:pStyle w:val="16"/>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auto"/>
                <w:spacing w:val="0"/>
                <w:sz w:val="24"/>
                <w:szCs w:val="24"/>
                <w:highlight w:val="none"/>
              </w:rPr>
            </w:pPr>
            <w:r>
              <w:rPr>
                <w:rFonts w:hint="default" w:ascii="Times New Roman" w:hAnsi="Times New Roman" w:eastAsia="宋体" w:cs="Times New Roman"/>
                <w:color w:val="auto"/>
                <w:spacing w:val="0"/>
                <w:sz w:val="24"/>
                <w:szCs w:val="24"/>
                <w:highlight w:val="none"/>
              </w:rPr>
              <w:t>矿区绿洁污水处理厂位于城区东南侧，设计规模为2万m</w:t>
            </w:r>
            <w:r>
              <w:rPr>
                <w:rFonts w:hint="default" w:ascii="Times New Roman" w:hAnsi="Times New Roman" w:eastAsia="宋体" w:cs="Times New Roman"/>
                <w:color w:val="auto"/>
                <w:spacing w:val="0"/>
                <w:sz w:val="24"/>
                <w:szCs w:val="24"/>
                <w:highlight w:val="none"/>
                <w:vertAlign w:val="superscript"/>
              </w:rPr>
              <w:t>3</w:t>
            </w:r>
            <w:r>
              <w:rPr>
                <w:rFonts w:hint="default" w:ascii="Times New Roman" w:hAnsi="Times New Roman" w:eastAsia="宋体" w:cs="Times New Roman"/>
                <w:color w:val="auto"/>
                <w:spacing w:val="0"/>
                <w:sz w:val="24"/>
                <w:szCs w:val="24"/>
                <w:highlight w:val="none"/>
              </w:rPr>
              <w:t>/d；贾庄污水处理厂位于石钢片区北侧，设计规模为1500m</w:t>
            </w:r>
            <w:r>
              <w:rPr>
                <w:rFonts w:hint="default" w:ascii="Times New Roman" w:hAnsi="Times New Roman" w:eastAsia="宋体" w:cs="Times New Roman"/>
                <w:color w:val="auto"/>
                <w:spacing w:val="0"/>
                <w:sz w:val="24"/>
                <w:szCs w:val="24"/>
                <w:highlight w:val="none"/>
                <w:vertAlign w:val="superscript"/>
              </w:rPr>
              <w:t>3</w:t>
            </w:r>
            <w:r>
              <w:rPr>
                <w:rFonts w:hint="default" w:ascii="Times New Roman" w:hAnsi="Times New Roman" w:eastAsia="宋体" w:cs="Times New Roman"/>
                <w:color w:val="auto"/>
                <w:spacing w:val="0"/>
                <w:sz w:val="24"/>
                <w:szCs w:val="24"/>
                <w:highlight w:val="none"/>
              </w:rPr>
              <w:t>/d。污水处理厂出水达到国家《城镇污水处理厂污染物排放标准》中一级标准中A标准，为节约用水，污水</w:t>
            </w:r>
            <w:r>
              <w:rPr>
                <w:rFonts w:hint="eastAsia" w:cs="Times New Roman"/>
                <w:color w:val="auto"/>
                <w:spacing w:val="0"/>
                <w:sz w:val="24"/>
                <w:szCs w:val="24"/>
                <w:highlight w:val="none"/>
                <w:lang w:val="en-US" w:eastAsia="zh-CN"/>
              </w:rPr>
              <w:t>处理</w:t>
            </w:r>
            <w:r>
              <w:rPr>
                <w:rFonts w:hint="default" w:ascii="Times New Roman" w:hAnsi="Times New Roman" w:eastAsia="宋体" w:cs="Times New Roman"/>
                <w:color w:val="auto"/>
                <w:spacing w:val="0"/>
                <w:sz w:val="24"/>
                <w:szCs w:val="24"/>
                <w:highlight w:val="none"/>
              </w:rPr>
              <w:t>厂处理后的中水主要用于工业普通用水、城市道路喷洒、洗车、绿化、景观用水等。</w:t>
            </w:r>
          </w:p>
          <w:p w14:paraId="2E6A49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spacing w:val="0"/>
                <w:sz w:val="24"/>
                <w:szCs w:val="24"/>
                <w:highlight w:val="none"/>
                <w:lang w:val="en-US" w:eastAsia="zh-CN"/>
              </w:rPr>
            </w:pPr>
            <w:r>
              <w:rPr>
                <w:rFonts w:hint="eastAsia" w:ascii="Times New Roman" w:hAnsi="Times New Roman" w:eastAsia="宋体" w:cs="Times New Roman"/>
                <w:color w:val="auto"/>
                <w:spacing w:val="0"/>
                <w:sz w:val="24"/>
                <w:szCs w:val="24"/>
                <w:highlight w:val="none"/>
                <w:lang w:val="en-US" w:eastAsia="zh-CN"/>
              </w:rPr>
              <w:t>②雨水管网</w:t>
            </w:r>
          </w:p>
          <w:p w14:paraId="7E526B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b/>
                <w:bCs w:val="0"/>
                <w:smallCaps w:val="0"/>
                <w:color w:val="auto"/>
                <w:spacing w:val="0"/>
                <w:sz w:val="24"/>
                <w:szCs w:val="24"/>
                <w:highlight w:val="none"/>
                <w:lang w:val="en-US" w:eastAsia="zh-CN"/>
              </w:rPr>
            </w:pPr>
            <w:r>
              <w:rPr>
                <w:rFonts w:hint="default" w:ascii="Times New Roman" w:hAnsi="Times New Roman" w:eastAsia="宋体" w:cs="Times New Roman"/>
                <w:color w:val="auto"/>
                <w:spacing w:val="0"/>
                <w:sz w:val="24"/>
                <w:szCs w:val="24"/>
                <w:highlight w:val="none"/>
              </w:rPr>
              <w:t>石钢片区：石钢片区分为四个雨水片区，北部片区雨水经过道路及边沟收集，就近排入红星水库和小作河；西部片区雨水经道路及边沟收集后沿西环旅游路、工业大道、石钢路排入排洪沟；东部片区雨水经道路及边沟收集后沿贾凤路、工业大道、纬一路等排入清凉湾湿地公园；南部片区雨水收集后沿世纪大道、贾凤路排入南侧的杏花沟生态公园。天汇片区：天汇片区用地布局紧凑，规划统一为一个雨水片区，雨水经过道路及边沟收集，向南排入排洪沟，沿排洪沟最终排入清凉湾湿地公园。丰达片区：丰达片区规划为两个雨水片区，北部片区雨水经道路及边沟收集后，沿丰达路排入排洪沟，沿排洪沟向南排入长岗沟；南部片区雨水经道路收集后，沿关圣路、刘赵街排入长岗沟。融合片区：一区以凤山镇区为界将片区分为东西两个雨水片区，东部片区雨水收集后沿贾天公路、矿市北街、矿市南街、金川路排至杏花沟生态公园；中部片区雨水收集后沿贾天公路、西环旅游路、云凤路排入凤山镇排水系统；西部片区雨水收集后沿贾凤路排至杏花沟生态公园。二区规划统一为一个雨水片区，雨水经道路及边沟收集后，沿红房街、金川路、凤中路、贾凤路排至古桥南街排洪沟，沿排洪沟排入东侧长岗沟。</w:t>
            </w:r>
          </w:p>
          <w:p w14:paraId="427D82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rPr>
                <w:rFonts w:hint="default" w:ascii="Times New Roman" w:hAnsi="Times New Roman" w:cs="Times New Roman"/>
                <w:b/>
                <w:bCs w:val="0"/>
                <w:smallCaps w:val="0"/>
                <w:color w:val="auto"/>
                <w:spacing w:val="0"/>
                <w:sz w:val="24"/>
                <w:szCs w:val="24"/>
                <w:highlight w:val="none"/>
                <w:lang w:val="en-US" w:eastAsia="zh-CN"/>
              </w:rPr>
            </w:pPr>
            <w:r>
              <w:rPr>
                <w:rFonts w:hint="default" w:ascii="Times New Roman" w:hAnsi="Times New Roman" w:cs="Times New Roman"/>
                <w:b/>
                <w:bCs w:val="0"/>
                <w:smallCaps w:val="0"/>
                <w:color w:val="auto"/>
                <w:spacing w:val="0"/>
                <w:sz w:val="24"/>
                <w:szCs w:val="24"/>
                <w:highlight w:val="none"/>
                <w:lang w:val="en-US" w:eastAsia="zh-CN"/>
              </w:rPr>
              <w:t>本项目</w:t>
            </w:r>
            <w:r>
              <w:rPr>
                <w:rFonts w:hint="eastAsia" w:cs="Times New Roman"/>
                <w:b/>
                <w:bCs w:val="0"/>
                <w:smallCaps w:val="0"/>
                <w:color w:val="auto"/>
                <w:spacing w:val="0"/>
                <w:sz w:val="24"/>
                <w:szCs w:val="24"/>
                <w:highlight w:val="none"/>
                <w:lang w:val="en-US" w:eastAsia="zh-CN"/>
              </w:rPr>
              <w:t>无生产废水；</w:t>
            </w:r>
            <w:r>
              <w:rPr>
                <w:rFonts w:hint="default" w:ascii="Times New Roman" w:hAnsi="Times New Roman" w:cs="Times New Roman"/>
                <w:b/>
                <w:bCs w:val="0"/>
                <w:smallCaps w:val="0"/>
                <w:color w:val="auto"/>
                <w:spacing w:val="0"/>
                <w:sz w:val="24"/>
                <w:szCs w:val="24"/>
                <w:highlight w:val="none"/>
                <w:lang w:val="en-US" w:eastAsia="zh-CN"/>
              </w:rPr>
              <w:t>废水主要为</w:t>
            </w:r>
            <w:r>
              <w:rPr>
                <w:rFonts w:hint="eastAsia" w:ascii="Times New Roman" w:hAnsi="Times New Roman" w:cs="Times New Roman"/>
                <w:b/>
                <w:bCs w:val="0"/>
                <w:smallCaps w:val="0"/>
                <w:color w:val="auto"/>
                <w:spacing w:val="0"/>
                <w:sz w:val="24"/>
                <w:szCs w:val="24"/>
                <w:highlight w:val="none"/>
                <w:lang w:val="en-US" w:eastAsia="zh-CN"/>
              </w:rPr>
              <w:t>生活污水，</w:t>
            </w:r>
            <w:r>
              <w:rPr>
                <w:rFonts w:hint="eastAsia" w:cs="Times New Roman"/>
                <w:b/>
                <w:bCs w:val="0"/>
                <w:smallCaps w:val="0"/>
                <w:color w:val="auto"/>
                <w:spacing w:val="0"/>
                <w:sz w:val="24"/>
                <w:szCs w:val="24"/>
                <w:highlight w:val="none"/>
                <w:lang w:val="en-US" w:eastAsia="zh-CN"/>
              </w:rPr>
              <w:t>由于项目所在区域尚未接通污水管网，并且生活污水</w:t>
            </w:r>
            <w:r>
              <w:rPr>
                <w:rFonts w:hint="eastAsia" w:ascii="Times New Roman" w:hAnsi="Times New Roman" w:cs="Times New Roman"/>
                <w:b/>
                <w:bCs w:val="0"/>
                <w:smallCaps w:val="0"/>
                <w:color w:val="auto"/>
                <w:spacing w:val="0"/>
                <w:sz w:val="24"/>
                <w:szCs w:val="24"/>
                <w:highlight w:val="none"/>
                <w:lang w:val="en-US" w:eastAsia="zh-CN"/>
              </w:rPr>
              <w:t>产生量较小，水质简单，</w:t>
            </w:r>
            <w:r>
              <w:rPr>
                <w:rFonts w:hint="eastAsia" w:cs="Times New Roman"/>
                <w:b/>
                <w:bCs w:val="0"/>
                <w:smallCaps w:val="0"/>
                <w:color w:val="auto"/>
                <w:spacing w:val="0"/>
                <w:sz w:val="24"/>
                <w:szCs w:val="24"/>
                <w:highlight w:val="none"/>
                <w:lang w:val="en-US" w:eastAsia="zh-CN"/>
              </w:rPr>
              <w:t>排入防渗旱厕，定期清掏用作农肥。</w:t>
            </w:r>
          </w:p>
          <w:p w14:paraId="48DCE8F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fldChar w:fldCharType="begin"/>
            </w:r>
            <w:r>
              <w:rPr>
                <w:rFonts w:hint="default" w:ascii="Times New Roman" w:hAnsi="Times New Roman" w:cs="Times New Roman"/>
                <w:smallCaps w:val="0"/>
                <w:color w:val="auto"/>
                <w:spacing w:val="0"/>
                <w:sz w:val="24"/>
                <w:szCs w:val="20"/>
                <w:highlight w:val="none"/>
              </w:rPr>
              <w:instrText xml:space="preserve"> = 3 \* GB3 </w:instrText>
            </w:r>
            <w:r>
              <w:rPr>
                <w:rFonts w:hint="default" w:ascii="Times New Roman" w:hAnsi="Times New Roman" w:cs="Times New Roman"/>
                <w:smallCaps w:val="0"/>
                <w:color w:val="auto"/>
                <w:spacing w:val="0"/>
                <w:sz w:val="24"/>
                <w:szCs w:val="20"/>
                <w:highlight w:val="none"/>
              </w:rPr>
              <w:fldChar w:fldCharType="separate"/>
            </w:r>
            <w:r>
              <w:rPr>
                <w:rFonts w:hint="default" w:ascii="Times New Roman" w:hAnsi="Times New Roman" w:cs="Times New Roman"/>
                <w:smallCaps w:val="0"/>
                <w:color w:val="auto"/>
                <w:spacing w:val="0"/>
                <w:sz w:val="24"/>
                <w:szCs w:val="20"/>
                <w:highlight w:val="none"/>
              </w:rPr>
              <w:t>③</w:t>
            </w:r>
            <w:r>
              <w:rPr>
                <w:rFonts w:hint="default" w:ascii="Times New Roman" w:hAnsi="Times New Roman" w:cs="Times New Roman"/>
                <w:smallCaps w:val="0"/>
                <w:color w:val="auto"/>
                <w:spacing w:val="0"/>
                <w:sz w:val="24"/>
                <w:szCs w:val="20"/>
                <w:highlight w:val="none"/>
              </w:rPr>
              <w:fldChar w:fldCharType="end"/>
            </w:r>
            <w:r>
              <w:rPr>
                <w:rFonts w:hint="default" w:ascii="Times New Roman" w:hAnsi="Times New Roman" w:cs="Times New Roman"/>
                <w:smallCaps w:val="0"/>
                <w:color w:val="auto"/>
                <w:spacing w:val="0"/>
                <w:sz w:val="24"/>
                <w:szCs w:val="20"/>
                <w:highlight w:val="none"/>
              </w:rPr>
              <w:t>供热规划</w:t>
            </w:r>
          </w:p>
          <w:p w14:paraId="23B94C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spacing w:val="0"/>
                <w:sz w:val="24"/>
                <w:szCs w:val="24"/>
                <w:highlight w:val="none"/>
              </w:rPr>
            </w:pPr>
            <w:r>
              <w:rPr>
                <w:rFonts w:hint="default" w:ascii="Times New Roman" w:hAnsi="Times New Roman" w:eastAsia="宋体" w:cs="Times New Roman"/>
                <w:color w:val="auto"/>
                <w:spacing w:val="0"/>
                <w:sz w:val="24"/>
                <w:szCs w:val="24"/>
                <w:highlight w:val="none"/>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w:t>
            </w:r>
            <w:r>
              <w:rPr>
                <w:rFonts w:hint="eastAsia" w:cs="Times New Roman"/>
                <w:color w:val="auto"/>
                <w:spacing w:val="0"/>
                <w:sz w:val="24"/>
                <w:szCs w:val="24"/>
                <w:highlight w:val="none"/>
                <w:lang w:val="en-US" w:eastAsia="zh-CN"/>
              </w:rPr>
              <w:t>以</w:t>
            </w:r>
            <w:r>
              <w:rPr>
                <w:rFonts w:hint="default" w:ascii="Times New Roman" w:hAnsi="Times New Roman" w:eastAsia="宋体" w:cs="Times New Roman"/>
                <w:color w:val="auto"/>
                <w:spacing w:val="0"/>
                <w:sz w:val="24"/>
                <w:szCs w:val="24"/>
                <w:highlight w:val="none"/>
              </w:rPr>
              <w:t>天然气、电能等清洁能源为补充，远期视园区发展情况而定。</w:t>
            </w:r>
          </w:p>
          <w:p w14:paraId="34A14300">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2" w:firstLineChars="200"/>
              <w:textAlignment w:val="auto"/>
              <w:rPr>
                <w:rFonts w:hint="default" w:ascii="Times New Roman" w:hAnsi="Times New Roman" w:cs="Times New Roman"/>
                <w:b/>
                <w:bCs w:val="0"/>
                <w:smallCaps w:val="0"/>
                <w:color w:val="auto"/>
                <w:spacing w:val="0"/>
                <w:sz w:val="24"/>
                <w:szCs w:val="20"/>
                <w:highlight w:val="none"/>
              </w:rPr>
            </w:pPr>
            <w:r>
              <w:rPr>
                <w:rFonts w:hint="default" w:ascii="Times New Roman" w:hAnsi="Times New Roman" w:cs="Times New Roman"/>
                <w:b/>
                <w:bCs w:val="0"/>
                <w:smallCaps w:val="0"/>
                <w:color w:val="auto"/>
                <w:spacing w:val="0"/>
                <w:sz w:val="24"/>
                <w:szCs w:val="20"/>
                <w:highlight w:val="none"/>
              </w:rPr>
              <w:t>本项目生产用热采用电加热</w:t>
            </w:r>
            <w:r>
              <w:rPr>
                <w:rFonts w:hint="default" w:ascii="Times New Roman" w:hAnsi="Times New Roman" w:cs="Times New Roman"/>
                <w:b/>
                <w:bCs w:val="0"/>
                <w:smallCaps w:val="0"/>
                <w:color w:val="auto"/>
                <w:spacing w:val="0"/>
                <w:sz w:val="24"/>
                <w:szCs w:val="20"/>
                <w:highlight w:val="none"/>
                <w:lang w:eastAsia="zh-CN"/>
              </w:rPr>
              <w:t>，</w:t>
            </w:r>
            <w:r>
              <w:rPr>
                <w:rFonts w:hint="default" w:ascii="Times New Roman" w:hAnsi="Times New Roman" w:cs="Times New Roman"/>
                <w:b/>
                <w:bCs w:val="0"/>
                <w:smallCaps w:val="0"/>
                <w:color w:val="auto"/>
                <w:spacing w:val="0"/>
                <w:sz w:val="24"/>
                <w:szCs w:val="20"/>
                <w:highlight w:val="none"/>
              </w:rPr>
              <w:t>夏季制冷、冬季采暖使用空调。</w:t>
            </w:r>
          </w:p>
          <w:p w14:paraId="3B643D1E">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④电力规划</w:t>
            </w:r>
          </w:p>
          <w:p w14:paraId="6B0FDDD6">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规划期末，园区年负荷预测为139.10MW。1.220kv变电站建设保留现状园区井矿220kV变电站。2.110kv变电站建设规划新增110千伏凤凰站一座，位于南区西南侧，规模为150MVA，占地0.52公顷。扩建升级现状35千伏洪州站为110千伏站，规模为100MVA，占地0.62公顷。保留现状110kv王舍、西王、清泉变电站。</w:t>
            </w:r>
          </w:p>
          <w:p w14:paraId="068F3F53">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2" w:firstLineChars="200"/>
              <w:textAlignment w:val="auto"/>
              <w:rPr>
                <w:rFonts w:hint="default" w:ascii="Times New Roman" w:hAnsi="Times New Roman" w:cs="Times New Roman"/>
                <w:b/>
                <w:bCs w:val="0"/>
                <w:smallCaps w:val="0"/>
                <w:color w:val="auto"/>
                <w:spacing w:val="0"/>
                <w:sz w:val="24"/>
                <w:szCs w:val="20"/>
                <w:highlight w:val="none"/>
              </w:rPr>
            </w:pPr>
            <w:r>
              <w:rPr>
                <w:rFonts w:hint="default" w:ascii="Times New Roman" w:hAnsi="Times New Roman" w:cs="Times New Roman"/>
                <w:b/>
                <w:bCs w:val="0"/>
                <w:smallCaps w:val="0"/>
                <w:color w:val="auto"/>
                <w:spacing w:val="0"/>
                <w:sz w:val="24"/>
                <w:szCs w:val="20"/>
                <w:highlight w:val="none"/>
              </w:rPr>
              <w:t>本项目年用电量</w:t>
            </w:r>
            <w:r>
              <w:rPr>
                <w:rFonts w:hint="eastAsia" w:cs="Times New Roman"/>
                <w:b/>
                <w:bCs w:val="0"/>
                <w:smallCaps w:val="0"/>
                <w:color w:val="auto"/>
                <w:spacing w:val="0"/>
                <w:sz w:val="24"/>
                <w:szCs w:val="20"/>
                <w:highlight w:val="none"/>
                <w:lang w:val="en-US" w:eastAsia="zh-CN"/>
              </w:rPr>
              <w:t>200万</w:t>
            </w:r>
            <w:r>
              <w:rPr>
                <w:rFonts w:hint="default" w:ascii="Times New Roman" w:hAnsi="Times New Roman" w:cs="Times New Roman"/>
                <w:b/>
                <w:bCs w:val="0"/>
                <w:smallCaps w:val="0"/>
                <w:color w:val="auto"/>
                <w:spacing w:val="0"/>
                <w:sz w:val="24"/>
                <w:szCs w:val="20"/>
                <w:highlight w:val="none"/>
              </w:rPr>
              <w:t>kW▪h</w:t>
            </w:r>
            <w:r>
              <w:rPr>
                <w:rFonts w:hint="default" w:ascii="Times New Roman" w:hAnsi="Times New Roman" w:cs="Times New Roman"/>
                <w:b/>
                <w:bCs w:val="0"/>
                <w:smallCaps w:val="0"/>
                <w:color w:val="auto"/>
                <w:spacing w:val="0"/>
                <w:sz w:val="24"/>
                <w:szCs w:val="20"/>
                <w:highlight w:val="none"/>
                <w:lang w:eastAsia="zh-CN"/>
              </w:rPr>
              <w:t>，</w:t>
            </w:r>
            <w:r>
              <w:rPr>
                <w:rFonts w:hint="default" w:ascii="Times New Roman" w:hAnsi="Times New Roman" w:cs="Times New Roman"/>
                <w:b/>
                <w:bCs w:val="0"/>
                <w:smallCaps w:val="0"/>
                <w:color w:val="auto"/>
                <w:spacing w:val="0"/>
                <w:sz w:val="24"/>
                <w:szCs w:val="20"/>
                <w:highlight w:val="none"/>
              </w:rPr>
              <w:t>用电由</w:t>
            </w:r>
            <w:r>
              <w:rPr>
                <w:rFonts w:hint="default" w:ascii="Times New Roman" w:hAnsi="Times New Roman" w:cs="Times New Roman"/>
                <w:b/>
                <w:bCs w:val="0"/>
                <w:smallCaps w:val="0"/>
                <w:color w:val="auto"/>
                <w:spacing w:val="0"/>
                <w:sz w:val="24"/>
                <w:szCs w:val="20"/>
                <w:highlight w:val="none"/>
                <w:lang w:val="en-US" w:eastAsia="zh-CN"/>
              </w:rPr>
              <w:t>园区供电管网提供</w:t>
            </w:r>
            <w:r>
              <w:rPr>
                <w:rFonts w:hint="default" w:ascii="Times New Roman" w:hAnsi="Times New Roman" w:cs="Times New Roman"/>
                <w:b/>
                <w:bCs w:val="0"/>
                <w:smallCaps w:val="0"/>
                <w:color w:val="auto"/>
                <w:spacing w:val="0"/>
                <w:sz w:val="24"/>
                <w:szCs w:val="20"/>
                <w:highlight w:val="none"/>
                <w:lang w:eastAsia="zh-CN"/>
              </w:rPr>
              <w:t>，</w:t>
            </w:r>
            <w:r>
              <w:rPr>
                <w:rFonts w:hint="default" w:ascii="Times New Roman" w:hAnsi="Times New Roman" w:cs="Times New Roman"/>
                <w:b/>
                <w:bCs w:val="0"/>
                <w:smallCaps w:val="0"/>
                <w:color w:val="auto"/>
                <w:spacing w:val="0"/>
                <w:sz w:val="24"/>
                <w:szCs w:val="20"/>
                <w:highlight w:val="none"/>
              </w:rPr>
              <w:t>满足本项目用电需求。</w:t>
            </w:r>
          </w:p>
          <w:p w14:paraId="654F037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⑤燃气规划</w:t>
            </w:r>
          </w:p>
          <w:p w14:paraId="2688A314">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远期园区年平均日用气量为79.5万标准立方米。根据矿区国土空间总体规划，保留现状矿区门站，续建贾庄门站，规模为12万m</w:t>
            </w:r>
            <w:r>
              <w:rPr>
                <w:rFonts w:hint="default" w:ascii="Times New Roman" w:hAnsi="Times New Roman" w:cs="Times New Roman"/>
                <w:smallCaps w:val="0"/>
                <w:color w:val="auto"/>
                <w:spacing w:val="0"/>
                <w:sz w:val="24"/>
                <w:szCs w:val="20"/>
                <w:highlight w:val="none"/>
                <w:vertAlign w:val="superscript"/>
              </w:rPr>
              <w:t>3</w:t>
            </w:r>
            <w:r>
              <w:rPr>
                <w:rFonts w:hint="default" w:ascii="Times New Roman" w:hAnsi="Times New Roman" w:cs="Times New Roman"/>
                <w:smallCaps w:val="0"/>
                <w:color w:val="auto"/>
                <w:spacing w:val="0"/>
                <w:sz w:val="24"/>
                <w:szCs w:val="20"/>
                <w:highlight w:val="none"/>
              </w:rPr>
              <w:t>/h。加强应急储气保障，规划结合贾庄门站新建LNG储配站1座。保留现状南石门分输站－贾庄门站、井陉门站-矿区门站高压管线；保留现状矿区门站，续建贾庄门站，规模12万方/时。加强应急储气保障，规划结合贾庄门站新建LNG储配站1座。加强高压输气线路安全防护管控，为燃气资源输配提供通道。</w:t>
            </w:r>
          </w:p>
          <w:p w14:paraId="0AF7D18D">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2" w:firstLineChars="200"/>
              <w:textAlignment w:val="auto"/>
              <w:rPr>
                <w:rFonts w:hint="default" w:ascii="Times New Roman" w:hAnsi="Times New Roman" w:cs="Times New Roman"/>
                <w:b/>
                <w:bCs w:val="0"/>
                <w:smallCaps w:val="0"/>
                <w:color w:val="auto"/>
                <w:spacing w:val="0"/>
                <w:sz w:val="24"/>
                <w:szCs w:val="20"/>
                <w:highlight w:val="none"/>
                <w:lang w:eastAsia="zh-CN"/>
              </w:rPr>
            </w:pPr>
            <w:r>
              <w:rPr>
                <w:rFonts w:hint="default" w:ascii="Times New Roman" w:hAnsi="Times New Roman" w:cs="Times New Roman"/>
                <w:b/>
                <w:bCs w:val="0"/>
                <w:smallCaps w:val="0"/>
                <w:color w:val="auto"/>
                <w:spacing w:val="0"/>
                <w:sz w:val="24"/>
                <w:szCs w:val="20"/>
                <w:highlight w:val="none"/>
              </w:rPr>
              <w:t>本项目用热工序采用电加热</w:t>
            </w:r>
            <w:r>
              <w:rPr>
                <w:rFonts w:hint="default" w:ascii="Times New Roman" w:hAnsi="Times New Roman" w:cs="Times New Roman"/>
                <w:b/>
                <w:bCs w:val="0"/>
                <w:smallCaps w:val="0"/>
                <w:color w:val="auto"/>
                <w:spacing w:val="0"/>
                <w:sz w:val="24"/>
                <w:szCs w:val="20"/>
                <w:highlight w:val="none"/>
                <w:lang w:eastAsia="zh-CN"/>
              </w:rPr>
              <w:t>，</w:t>
            </w:r>
            <w:r>
              <w:rPr>
                <w:rFonts w:hint="default" w:ascii="Times New Roman" w:hAnsi="Times New Roman" w:cs="Times New Roman"/>
                <w:b/>
                <w:bCs w:val="0"/>
                <w:smallCaps w:val="0"/>
                <w:color w:val="auto"/>
                <w:spacing w:val="0"/>
                <w:sz w:val="24"/>
                <w:szCs w:val="20"/>
                <w:highlight w:val="none"/>
              </w:rPr>
              <w:t>不使用天然气</w:t>
            </w:r>
            <w:r>
              <w:rPr>
                <w:rFonts w:hint="default" w:ascii="Times New Roman" w:hAnsi="Times New Roman" w:cs="Times New Roman"/>
                <w:b/>
                <w:bCs w:val="0"/>
                <w:smallCaps w:val="0"/>
                <w:color w:val="auto"/>
                <w:spacing w:val="0"/>
                <w:sz w:val="24"/>
                <w:szCs w:val="20"/>
                <w:highlight w:val="none"/>
                <w:lang w:eastAsia="zh-CN"/>
              </w:rPr>
              <w:t>。</w:t>
            </w:r>
          </w:p>
          <w:p w14:paraId="6D0C9095">
            <w:pPr>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440" w:lineRule="exact"/>
              <w:ind w:left="0" w:right="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b/>
                <w:smallCaps w:val="0"/>
                <w:color w:val="auto"/>
                <w:spacing w:val="0"/>
                <w:kern w:val="0"/>
                <w:sz w:val="24"/>
                <w:szCs w:val="20"/>
                <w:highlight w:val="none"/>
                <w:lang w:val="en-US" w:eastAsia="zh-CN" w:bidi="ar"/>
              </w:rPr>
              <w:t>2</w:t>
            </w:r>
            <w:r>
              <w:rPr>
                <w:rFonts w:hint="default" w:ascii="Times New Roman" w:hAnsi="Times New Roman" w:cs="Times New Roman"/>
                <w:b/>
                <w:smallCaps w:val="0"/>
                <w:color w:val="auto"/>
                <w:spacing w:val="0"/>
                <w:kern w:val="0"/>
                <w:sz w:val="24"/>
                <w:szCs w:val="20"/>
                <w:highlight w:val="none"/>
                <w:lang w:bidi="ar"/>
              </w:rPr>
              <w:t>、规划环评审查意见符合性分析</w:t>
            </w:r>
          </w:p>
          <w:p w14:paraId="634EF449">
            <w:pPr>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440" w:lineRule="exact"/>
              <w:ind w:left="0" w:right="0" w:firstLine="480" w:firstLineChars="20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根据河北省环境保护厅《关于河北石家庄矿区工业园区总体发展规划（2022-2030）环境影响报告书的审查意见》（冀环环评函[2025]1318号），本项目与园区规划环评审查意见的相符性见表1-</w:t>
            </w:r>
            <w:r>
              <w:rPr>
                <w:rFonts w:hint="default" w:ascii="Times New Roman" w:hAnsi="Times New Roman" w:cs="Times New Roman"/>
                <w:smallCaps w:val="0"/>
                <w:color w:val="auto"/>
                <w:spacing w:val="0"/>
                <w:sz w:val="24"/>
                <w:szCs w:val="20"/>
                <w:highlight w:val="none"/>
                <w:lang w:val="en-US" w:eastAsia="zh-CN"/>
              </w:rPr>
              <w:t>1</w:t>
            </w:r>
            <w:r>
              <w:rPr>
                <w:rFonts w:hint="default" w:ascii="Times New Roman" w:hAnsi="Times New Roman" w:cs="Times New Roman"/>
                <w:smallCaps w:val="0"/>
                <w:color w:val="auto"/>
                <w:spacing w:val="0"/>
                <w:sz w:val="24"/>
                <w:szCs w:val="20"/>
                <w:highlight w:val="none"/>
              </w:rPr>
              <w:t>。</w:t>
            </w:r>
          </w:p>
          <w:p w14:paraId="143DF1C2">
            <w:pPr>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440" w:lineRule="exact"/>
              <w:ind w:left="0" w:right="0"/>
              <w:jc w:val="center"/>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b/>
                <w:bCs/>
                <w:smallCaps w:val="0"/>
                <w:color w:val="auto"/>
                <w:spacing w:val="0"/>
                <w:sz w:val="24"/>
                <w:szCs w:val="20"/>
                <w:highlight w:val="none"/>
              </w:rPr>
              <w:t>表1</w:t>
            </w:r>
            <w:r>
              <w:rPr>
                <w:rFonts w:hint="default" w:ascii="Times New Roman" w:hAnsi="Times New Roman" w:cs="Times New Roman"/>
                <w:b/>
                <w:bCs/>
                <w:smallCaps w:val="0"/>
                <w:color w:val="auto"/>
                <w:spacing w:val="0"/>
                <w:sz w:val="24"/>
                <w:szCs w:val="20"/>
                <w:highlight w:val="none"/>
                <w:lang w:val="en-US" w:eastAsia="zh-CN"/>
              </w:rPr>
              <w:t xml:space="preserve">-1  </w:t>
            </w:r>
            <w:r>
              <w:rPr>
                <w:rFonts w:hint="default" w:ascii="Times New Roman" w:hAnsi="Times New Roman" w:cs="Times New Roman"/>
                <w:b/>
                <w:bCs/>
                <w:smallCaps w:val="0"/>
                <w:color w:val="auto"/>
                <w:spacing w:val="0"/>
                <w:sz w:val="24"/>
                <w:szCs w:val="20"/>
                <w:highlight w:val="none"/>
              </w:rPr>
              <w:t xml:space="preserve">  本项目与规划环评审查意见的相符性</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784"/>
              <w:gridCol w:w="1948"/>
              <w:gridCol w:w="507"/>
            </w:tblGrid>
            <w:tr w14:paraId="33D4E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304" w:type="pct"/>
                  <w:noWrap w:val="0"/>
                  <w:vAlign w:val="center"/>
                </w:tcPr>
                <w:p w14:paraId="310105DB">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园区环评批复要求</w:t>
                  </w:r>
                </w:p>
              </w:tc>
              <w:tc>
                <w:tcPr>
                  <w:tcW w:w="1345" w:type="pct"/>
                  <w:noWrap w:val="0"/>
                  <w:vAlign w:val="center"/>
                </w:tcPr>
                <w:p w14:paraId="6126F71C">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本项目情况</w:t>
                  </w:r>
                </w:p>
              </w:tc>
              <w:tc>
                <w:tcPr>
                  <w:tcW w:w="350" w:type="pct"/>
                  <w:noWrap w:val="0"/>
                  <w:vAlign w:val="center"/>
                </w:tcPr>
                <w:p w14:paraId="4B25461D">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相符性</w:t>
                  </w:r>
                </w:p>
              </w:tc>
            </w:tr>
            <w:tr w14:paraId="757CA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304" w:type="pct"/>
                  <w:noWrap w:val="0"/>
                  <w:vAlign w:val="center"/>
                </w:tcPr>
                <w:p w14:paraId="01D4F926">
                  <w:pPr>
                    <w:pStyle w:val="16"/>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河北石家庄矿区工业园区(以下简称园区)位于石家庄市井陉矿区，为省政府批准设立的省级开发区，批复面积16.25平方公里(城镇开发边界内10.95平方公里、城镇开发边界外5.30平方公里)。你单位编制了《河北石家庄矿区工业园区总体发展规划(2022-2030年)》(以下简称《规划》),《规划》总面积1775.19 公顷，其中省政府批复面积16.25平方公里，并延城镇开发边界内的范围适当外延150.19公顷，设置石钢片区、天汇片区、丰达片区和融合片区4个产业片区以及远景发展区，以特钢上下游、高端装备制造、新材料为主导产业。规划近期至2025年、远期至2030年。</w:t>
                  </w:r>
                </w:p>
              </w:tc>
              <w:tc>
                <w:tcPr>
                  <w:tcW w:w="1345" w:type="pct"/>
                  <w:noWrap w:val="0"/>
                  <w:vAlign w:val="center"/>
                </w:tcPr>
                <w:p w14:paraId="3A7C9AF2">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eastAsia="宋体" w:cs="Times New Roman"/>
                      <w:color w:val="auto"/>
                      <w:spacing w:val="0"/>
                      <w:sz w:val="21"/>
                      <w:szCs w:val="21"/>
                      <w:highlight w:val="none"/>
                      <w:lang w:val="en-US" w:eastAsia="zh-CN" w:bidi="ar"/>
                    </w:rPr>
                  </w:pPr>
                  <w:r>
                    <w:rPr>
                      <w:rFonts w:hint="default" w:ascii="Times New Roman" w:hAnsi="Times New Roman" w:eastAsia="宋体" w:cs="Times New Roman"/>
                      <w:color w:val="auto"/>
                      <w:spacing w:val="0"/>
                      <w:sz w:val="21"/>
                      <w:szCs w:val="21"/>
                      <w:highlight w:val="none"/>
                      <w:lang w:val="en-US" w:eastAsia="zh-CN" w:bidi="ar"/>
                    </w:rPr>
                    <w:t>本项目位于石家庄市矿区工业园区石钢片区，</w:t>
                  </w:r>
                  <w:r>
                    <w:rPr>
                      <w:rFonts w:hint="eastAsia" w:ascii="Times New Roman" w:hAnsi="Times New Roman" w:eastAsia="宋体" w:cs="Times New Roman"/>
                      <w:color w:val="auto"/>
                      <w:spacing w:val="0"/>
                      <w:sz w:val="21"/>
                      <w:szCs w:val="21"/>
                      <w:highlight w:val="none"/>
                      <w:lang w:val="en-US" w:eastAsia="zh-CN" w:bidi="ar"/>
                    </w:rPr>
                    <w:t>占地为工业用地；</w:t>
                  </w:r>
                </w:p>
                <w:p w14:paraId="3B53622E">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pacing w:val="0"/>
                      <w:sz w:val="21"/>
                      <w:szCs w:val="21"/>
                      <w:highlight w:val="none"/>
                    </w:rPr>
                  </w:pPr>
                  <w:r>
                    <w:rPr>
                      <w:rFonts w:hint="eastAsia" w:ascii="Times New Roman" w:hAnsi="Times New Roman" w:eastAsia="宋体" w:cs="Times New Roman"/>
                      <w:color w:val="auto"/>
                      <w:spacing w:val="0"/>
                      <w:sz w:val="21"/>
                      <w:szCs w:val="21"/>
                      <w:highlight w:val="none"/>
                      <w:lang w:val="en-US" w:eastAsia="zh-CN" w:bidi="ar"/>
                    </w:rPr>
                    <w:t>采用</w:t>
                  </w:r>
                  <w:r>
                    <w:rPr>
                      <w:rFonts w:hint="eastAsia" w:ascii="Times New Roman" w:eastAsia="宋体" w:cs="Times New Roman"/>
                      <w:color w:val="auto"/>
                      <w:spacing w:val="0"/>
                      <w:sz w:val="21"/>
                      <w:szCs w:val="21"/>
                      <w:highlight w:val="none"/>
                      <w:lang w:val="en-US" w:eastAsia="zh-CN" w:bidi="ar"/>
                    </w:rPr>
                    <w:t>米</w:t>
                  </w:r>
                  <w:r>
                    <w:rPr>
                      <w:rFonts w:hint="eastAsia" w:ascii="Times New Roman" w:hAnsi="Times New Roman" w:eastAsia="宋体" w:cs="Times New Roman"/>
                      <w:color w:val="auto"/>
                      <w:spacing w:val="0"/>
                      <w:sz w:val="21"/>
                      <w:szCs w:val="21"/>
                      <w:highlight w:val="none"/>
                      <w:lang w:val="en-US" w:eastAsia="zh-CN" w:bidi="ar"/>
                    </w:rPr>
                    <w:t>铁、废钢等铸造高铁接触网配件，石钢片区废钢资源充足，可进行废旧资源回收利用，符合园区产业政策要求，符合</w:t>
                  </w:r>
                  <w:r>
                    <w:rPr>
                      <w:rFonts w:hint="default" w:ascii="Times New Roman" w:hAnsi="Times New Roman" w:eastAsia="宋体" w:cs="Times New Roman"/>
                      <w:color w:val="auto"/>
                      <w:spacing w:val="0"/>
                      <w:sz w:val="21"/>
                      <w:szCs w:val="21"/>
                      <w:highlight w:val="none"/>
                      <w:lang w:val="en-US" w:eastAsia="zh-CN" w:bidi="ar"/>
                    </w:rPr>
                    <w:t>石钢片区</w:t>
                  </w:r>
                  <w:r>
                    <w:rPr>
                      <w:rFonts w:hint="eastAsia" w:ascii="Times New Roman" w:hAnsi="Times New Roman" w:eastAsia="宋体" w:cs="Times New Roman"/>
                      <w:color w:val="auto"/>
                      <w:spacing w:val="0"/>
                      <w:sz w:val="21"/>
                      <w:szCs w:val="21"/>
                      <w:highlight w:val="none"/>
                      <w:lang w:val="en-US" w:eastAsia="zh-CN" w:bidi="ar"/>
                    </w:rPr>
                    <w:t>产业规划</w:t>
                  </w:r>
                  <w:r>
                    <w:rPr>
                      <w:rFonts w:hint="default" w:ascii="Times New Roman" w:hAnsi="Times New Roman" w:eastAsia="宋体" w:cs="Times New Roman"/>
                      <w:color w:val="auto"/>
                      <w:spacing w:val="0"/>
                      <w:sz w:val="21"/>
                      <w:szCs w:val="21"/>
                      <w:highlight w:val="none"/>
                      <w:lang w:val="en-US" w:eastAsia="zh-CN" w:bidi="ar"/>
                    </w:rPr>
                    <w:t>。</w:t>
                  </w:r>
                </w:p>
              </w:tc>
              <w:tc>
                <w:tcPr>
                  <w:tcW w:w="350" w:type="pct"/>
                  <w:noWrap w:val="0"/>
                  <w:vAlign w:val="center"/>
                </w:tcPr>
                <w:p w14:paraId="30DAC310">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01D4D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60" w:hRule="atLeast"/>
                <w:jc w:val="center"/>
              </w:trPr>
              <w:tc>
                <w:tcPr>
                  <w:tcW w:w="3304" w:type="pct"/>
                  <w:noWrap w:val="0"/>
                  <w:vAlign w:val="center"/>
                </w:tcPr>
                <w:p w14:paraId="6D315408">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三、对《规划》优化调整和实施过程中的意见</w:t>
                  </w:r>
                </w:p>
                <w:p w14:paraId="123F532A">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(一)落实国家及区域发展战略，坚持生态优先、提质增效</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以生态环境质量改善为核心，做好与各级国土空间规划和生态环境分区管控体系的协调衔接，进一步优化《规划》布局、产业定位和发展规模。</w:t>
                  </w:r>
                </w:p>
                <w:p w14:paraId="5BC0E706">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(二)推进园区绿色低碳转型发展，实现减污降碳协同增效目标。根据国家、地方碳减排和碳达峰行动方案及路径要求，进一步优化园区能源结构、交通运输方式等《规划》内容。</w:t>
                  </w:r>
                </w:p>
                <w:p w14:paraId="65A287BE">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三)严格空间管控要求，进一步优化园区功能、空间布局城镇开发边界外区域，在规划期内维持现状不变。教育文化科研区、绿地禁止开展其他无关建设活动，园区规划实施过程中应严格遵守《中华人民共和国文物保护法》相关要求。落实《报告书》提出的空间布局引导和管控要求，优化工业、居住等各类用地的空间分布和产业的梯级布局，严格涉风险源企业管理，确保人居环境安全</w:t>
                  </w:r>
                  <w:r>
                    <w:rPr>
                      <w:rFonts w:hint="default" w:ascii="Times New Roman" w:hAnsi="Times New Roman" w:eastAsia="宋体" w:cs="Times New Roman"/>
                      <w:color w:val="auto"/>
                      <w:spacing w:val="0"/>
                      <w:sz w:val="21"/>
                      <w:szCs w:val="21"/>
                      <w:highlight w:val="none"/>
                      <w:lang w:eastAsia="zh-CN"/>
                    </w:rPr>
                    <w:t>。</w:t>
                  </w:r>
                </w:p>
                <w:p w14:paraId="121C9E3B">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四)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r>
                    <w:rPr>
                      <w:rFonts w:hint="eastAsia" w:ascii="Times New Roman" w:eastAsia="宋体" w:cs="Times New Roman"/>
                      <w:color w:val="auto"/>
                      <w:spacing w:val="0"/>
                      <w:sz w:val="21"/>
                      <w:szCs w:val="21"/>
                      <w:highlight w:val="none"/>
                      <w:lang w:eastAsia="zh-CN"/>
                    </w:rPr>
                    <w:t>。</w:t>
                  </w:r>
                </w:p>
                <w:p w14:paraId="3B892805">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(五)严格入区项目生态环境准入，推动绿色低碳高质量发展。严格落实《报告书》提出的园区生态环境准入要求及现有企业环境管</w:t>
                  </w:r>
                  <w:r>
                    <w:rPr>
                      <w:rFonts w:hint="default" w:ascii="Times New Roman" w:hAnsi="Times New Roman" w:eastAsia="宋体" w:cs="Times New Roman"/>
                      <w:color w:val="auto"/>
                      <w:spacing w:val="0"/>
                      <w:sz w:val="21"/>
                      <w:szCs w:val="21"/>
                      <w:highlight w:val="none"/>
                      <w:lang w:val="en-US" w:eastAsia="zh-CN"/>
                    </w:rPr>
                    <w:t>理</w:t>
                  </w:r>
                  <w:r>
                    <w:rPr>
                      <w:rFonts w:hint="default" w:ascii="Times New Roman" w:hAnsi="Times New Roman" w:eastAsia="宋体" w:cs="Times New Roman"/>
                      <w:color w:val="auto"/>
                      <w:spacing w:val="0"/>
                      <w:sz w:val="21"/>
                      <w:szCs w:val="21"/>
                      <w:highlight w:val="none"/>
                    </w:rPr>
                    <w:t>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p w14:paraId="73C964FC">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(六)统筹基础设施建设，严格落实《报告书》提出的建设内</w:t>
                  </w:r>
                  <w:r>
                    <w:rPr>
                      <w:rFonts w:hint="default" w:ascii="Times New Roman" w:hAnsi="Times New Roman" w:eastAsia="宋体" w:cs="Times New Roman"/>
                      <w:color w:val="auto"/>
                      <w:spacing w:val="0"/>
                      <w:sz w:val="21"/>
                      <w:szCs w:val="21"/>
                      <w:highlight w:val="none"/>
                      <w:lang w:val="en-US" w:eastAsia="zh-CN"/>
                    </w:rPr>
                    <w:t>容及时限。</w:t>
                  </w:r>
                  <w:r>
                    <w:rPr>
                      <w:rFonts w:hint="default" w:ascii="Times New Roman" w:hAnsi="Times New Roman" w:eastAsia="宋体" w:cs="Times New Roman"/>
                      <w:color w:val="auto"/>
                      <w:spacing w:val="0"/>
                      <w:sz w:val="21"/>
                      <w:szCs w:val="21"/>
                      <w:highlight w:val="none"/>
                    </w:rPr>
                    <w:t>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p>
                <w:p w14:paraId="5561953D">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七)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p>
                <w:p w14:paraId="0CB3C600">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(八)健全完善环境监测体系，强化环境风险防范。健全完善包括环境空气、地表水、地下水、土壤等环境要素的监控体系</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p w14:paraId="65483BAF">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(九)在《规划》实施过程中，按照相关要求适时开展环境影响跟踪评价。《规划》发生重大调整或修订的，应当依法重新或补充开展环境影响评价工作。</w:t>
                  </w:r>
                </w:p>
              </w:tc>
              <w:tc>
                <w:tcPr>
                  <w:tcW w:w="1345" w:type="pct"/>
                  <w:noWrap w:val="0"/>
                  <w:vAlign w:val="center"/>
                </w:tcPr>
                <w:p w14:paraId="4A7A8970">
                  <w:pPr>
                    <w:keepNext w:val="0"/>
                    <w:keepLines w:val="0"/>
                    <w:pageBreakBefore w:val="0"/>
                    <w:suppressLineNumbers w:val="0"/>
                    <w:shd w:val="clear" w:color="auto" w:fill="auto"/>
                    <w:kinsoku/>
                    <w:wordWrap/>
                    <w:overflowPunct/>
                    <w:topLinePunct w:val="0"/>
                    <w:autoSpaceDE w:val="0"/>
                    <w:autoSpaceDN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1.本项目符合国家产业政策要求。</w:t>
                  </w:r>
                </w:p>
                <w:p w14:paraId="1D4D0E74">
                  <w:pPr>
                    <w:keepNext w:val="0"/>
                    <w:keepLines w:val="0"/>
                    <w:pageBreakBefore w:val="0"/>
                    <w:suppressLineNumbers w:val="0"/>
                    <w:shd w:val="clear" w:color="auto" w:fill="auto"/>
                    <w:kinsoku/>
                    <w:wordWrap/>
                    <w:overflowPunct/>
                    <w:topLinePunct w:val="0"/>
                    <w:autoSpaceDE w:val="0"/>
                    <w:autoSpaceDN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rPr>
                    <w:t>2.</w:t>
                  </w:r>
                  <w:r>
                    <w:rPr>
                      <w:rFonts w:hint="eastAsia" w:cs="Times New Roman"/>
                      <w:color w:val="auto"/>
                      <w:spacing w:val="0"/>
                      <w:sz w:val="21"/>
                      <w:szCs w:val="21"/>
                      <w:highlight w:val="none"/>
                      <w:lang w:val="en-US" w:eastAsia="zh-CN"/>
                    </w:rPr>
                    <w:t>本项目加热方式为电加热，厂区内运输采用电叉车，均为清洁能源。</w:t>
                  </w:r>
                </w:p>
                <w:p w14:paraId="494251BA">
                  <w:pPr>
                    <w:keepNext w:val="0"/>
                    <w:keepLines w:val="0"/>
                    <w:pageBreakBefore w:val="0"/>
                    <w:suppressLineNumbers w:val="0"/>
                    <w:shd w:val="clear" w:color="auto" w:fill="auto"/>
                    <w:kinsoku/>
                    <w:wordWrap/>
                    <w:overflowPunct/>
                    <w:topLinePunct w:val="0"/>
                    <w:autoSpaceDE w:val="0"/>
                    <w:autoSpaceDN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3.本项目</w:t>
                  </w:r>
                  <w:r>
                    <w:rPr>
                      <w:rFonts w:hint="eastAsia" w:ascii="Times New Roman" w:hAnsi="Times New Roman" w:eastAsia="宋体" w:cs="Times New Roman"/>
                      <w:color w:val="auto"/>
                      <w:spacing w:val="0"/>
                      <w:sz w:val="21"/>
                      <w:szCs w:val="21"/>
                      <w:highlight w:val="none"/>
                      <w:lang w:val="en-US" w:eastAsia="zh-CN"/>
                    </w:rPr>
                    <w:t>租赁现有厂房进行建设</w:t>
                  </w:r>
                  <w:r>
                    <w:rPr>
                      <w:rFonts w:hint="default" w:ascii="Times New Roman" w:hAnsi="Times New Roman" w:eastAsia="宋体" w:cs="Times New Roman"/>
                      <w:color w:val="auto"/>
                      <w:spacing w:val="0"/>
                      <w:sz w:val="21"/>
                      <w:szCs w:val="21"/>
                      <w:highlight w:val="none"/>
                    </w:rPr>
                    <w:t>。</w:t>
                  </w:r>
                </w:p>
                <w:p w14:paraId="6C7631D7">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eastAsia"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4.</w:t>
                  </w:r>
                  <w:r>
                    <w:rPr>
                      <w:rFonts w:hint="eastAsia" w:cs="Times New Roman"/>
                      <w:color w:val="auto"/>
                      <w:spacing w:val="0"/>
                      <w:sz w:val="21"/>
                      <w:szCs w:val="21"/>
                      <w:highlight w:val="none"/>
                      <w:lang w:val="en-US" w:eastAsia="zh-CN"/>
                    </w:rPr>
                    <w:t>本项目废水主要为生活污水，不涉及重金属；</w:t>
                  </w:r>
                </w:p>
                <w:p w14:paraId="2E078922">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eastAsia"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污染物排放量较小，可满足</w:t>
                  </w:r>
                  <w:r>
                    <w:rPr>
                      <w:rFonts w:hint="default" w:ascii="Times New Roman" w:hAnsi="Times New Roman" w:eastAsia="宋体" w:cs="Times New Roman"/>
                      <w:color w:val="auto"/>
                      <w:spacing w:val="0"/>
                      <w:sz w:val="21"/>
                      <w:szCs w:val="21"/>
                      <w:highlight w:val="none"/>
                    </w:rPr>
                    <w:t>总量管控要求</w:t>
                  </w:r>
                  <w:r>
                    <w:rPr>
                      <w:rFonts w:hint="eastAsia" w:cs="Times New Roman"/>
                      <w:color w:val="auto"/>
                      <w:spacing w:val="0"/>
                      <w:sz w:val="21"/>
                      <w:szCs w:val="21"/>
                      <w:highlight w:val="none"/>
                      <w:lang w:eastAsia="zh-CN"/>
                    </w:rPr>
                    <w:t>。</w:t>
                  </w:r>
                </w:p>
                <w:p w14:paraId="2D908EA9">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5.项目不属于</w:t>
                  </w:r>
                  <w:r>
                    <w:rPr>
                      <w:rFonts w:hint="default" w:ascii="Times New Roman" w:hAnsi="Times New Roman" w:eastAsia="宋体" w:cs="Times New Roman"/>
                      <w:color w:val="auto"/>
                      <w:spacing w:val="0"/>
                      <w:sz w:val="21"/>
                      <w:szCs w:val="21"/>
                      <w:highlight w:val="none"/>
                    </w:rPr>
                    <w:t>“两高”项目、危险废物集中贮存处置项目及电镀、酸洗、碱洗、磷化等专门从事表面处理的项目</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lang w:val="en-US" w:eastAsia="zh-CN"/>
                    </w:rPr>
                    <w:t>不属于</w:t>
                  </w:r>
                  <w:r>
                    <w:rPr>
                      <w:rFonts w:hint="default" w:ascii="Times New Roman" w:hAnsi="Times New Roman" w:eastAsia="宋体" w:cs="Times New Roman"/>
                      <w:color w:val="auto"/>
                      <w:spacing w:val="0"/>
                      <w:sz w:val="21"/>
                      <w:szCs w:val="21"/>
                      <w:highlight w:val="none"/>
                    </w:rPr>
                    <w:t>钢铁和水泥</w:t>
                  </w:r>
                  <w:r>
                    <w:rPr>
                      <w:rFonts w:hint="default" w:ascii="Times New Roman" w:hAnsi="Times New Roman" w:eastAsia="宋体" w:cs="Times New Roman"/>
                      <w:color w:val="auto"/>
                      <w:spacing w:val="0"/>
                      <w:sz w:val="21"/>
                      <w:szCs w:val="21"/>
                      <w:highlight w:val="none"/>
                      <w:lang w:val="en-US" w:eastAsia="zh-CN"/>
                    </w:rPr>
                    <w:t>项目。</w:t>
                  </w:r>
                </w:p>
                <w:p w14:paraId="176A2A32">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6.</w:t>
                  </w:r>
                  <w:r>
                    <w:rPr>
                      <w:rFonts w:hint="eastAsia" w:cs="Times New Roman"/>
                      <w:color w:val="auto"/>
                      <w:spacing w:val="0"/>
                      <w:sz w:val="21"/>
                      <w:szCs w:val="21"/>
                      <w:highlight w:val="none"/>
                      <w:lang w:val="en-US" w:eastAsia="zh-CN"/>
                    </w:rPr>
                    <w:t>本项目用水由园区提供，不涉及自备井；用热主要以电加热为主，为清洁能源；不涉及供热锅炉等</w:t>
                  </w:r>
                  <w:r>
                    <w:rPr>
                      <w:rFonts w:hint="default" w:ascii="Times New Roman" w:hAnsi="Times New Roman" w:eastAsia="宋体" w:cs="Times New Roman"/>
                      <w:color w:val="auto"/>
                      <w:spacing w:val="0"/>
                      <w:sz w:val="21"/>
                      <w:szCs w:val="21"/>
                      <w:highlight w:val="none"/>
                      <w:lang w:val="en-US" w:eastAsia="zh-CN"/>
                    </w:rPr>
                    <w:t>。</w:t>
                  </w:r>
                </w:p>
                <w:p w14:paraId="5917CD19">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val="en-US" w:eastAsia="zh-CN"/>
                    </w:rPr>
                    <w:t>7.项目建成后需完善</w:t>
                  </w:r>
                  <w:r>
                    <w:rPr>
                      <w:rFonts w:hint="default" w:ascii="Times New Roman" w:hAnsi="Times New Roman" w:eastAsia="宋体" w:cs="Times New Roman"/>
                      <w:color w:val="auto"/>
                      <w:spacing w:val="0"/>
                      <w:sz w:val="21"/>
                      <w:szCs w:val="21"/>
                      <w:highlight w:val="none"/>
                    </w:rPr>
                    <w:t>应急运输响应方案</w:t>
                  </w:r>
                  <w:r>
                    <w:rPr>
                      <w:rFonts w:hint="eastAsia" w:cs="Times New Roman"/>
                      <w:color w:val="auto"/>
                      <w:spacing w:val="0"/>
                      <w:sz w:val="21"/>
                      <w:szCs w:val="21"/>
                      <w:highlight w:val="none"/>
                      <w:lang w:val="en-US" w:eastAsia="zh-CN"/>
                    </w:rPr>
                    <w:t>，厂区内运输采用电叉车，为清洁能源。</w:t>
                  </w:r>
                </w:p>
                <w:p w14:paraId="3B6ADBFF">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8.不涉及。</w:t>
                  </w:r>
                </w:p>
                <w:p w14:paraId="2675AB0A">
                  <w:pPr>
                    <w:keepNext w:val="0"/>
                    <w:keepLines w:val="0"/>
                    <w:pageBreakBefore w:val="0"/>
                    <w:suppressLineNumbers w:val="0"/>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9.不涉及</w:t>
                  </w:r>
                  <w:r>
                    <w:rPr>
                      <w:rFonts w:hint="eastAsia" w:cs="Times New Roman"/>
                      <w:color w:val="auto"/>
                      <w:spacing w:val="0"/>
                      <w:sz w:val="21"/>
                      <w:szCs w:val="21"/>
                      <w:highlight w:val="none"/>
                      <w:lang w:val="en-US" w:eastAsia="zh-CN"/>
                    </w:rPr>
                    <w:t>。</w:t>
                  </w:r>
                </w:p>
              </w:tc>
              <w:tc>
                <w:tcPr>
                  <w:tcW w:w="350" w:type="pct"/>
                  <w:noWrap w:val="0"/>
                  <w:vAlign w:val="center"/>
                </w:tcPr>
                <w:p w14:paraId="36FA7F0D">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0C604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05" w:hRule="atLeast"/>
                <w:jc w:val="center"/>
              </w:trPr>
              <w:tc>
                <w:tcPr>
                  <w:tcW w:w="3304" w:type="pct"/>
                  <w:noWrap w:val="0"/>
                  <w:vAlign w:val="center"/>
                </w:tcPr>
                <w:p w14:paraId="0BDEBB06">
                  <w:pPr>
                    <w:keepNext w:val="0"/>
                    <w:keepLines w:val="0"/>
                    <w:pageBreakBefore w:val="0"/>
                    <w:widowControl/>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四、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345" w:type="pct"/>
                  <w:noWrap w:val="0"/>
                  <w:vAlign w:val="center"/>
                </w:tcPr>
                <w:p w14:paraId="54F46854">
                  <w:pPr>
                    <w:keepNext w:val="0"/>
                    <w:keepLines w:val="0"/>
                    <w:pageBreakBefore w:val="0"/>
                    <w:widowControl/>
                    <w:suppressLineNumbers w:val="0"/>
                    <w:shd w:val="clear" w:color="auto" w:fill="auto"/>
                    <w:tabs>
                      <w:tab w:val="center" w:pos="4201"/>
                      <w:tab w:val="right" w:leader="dot" w:pos="9298"/>
                    </w:tabs>
                    <w:kinsoku/>
                    <w:wordWrap/>
                    <w:overflowPunct/>
                    <w:topLinePunct w:val="0"/>
                    <w:autoSpaceDE w:val="0"/>
                    <w:autoSpaceDN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本次评价以规划环评为基础，重点分析了项目准入条件符合性、工程分析、环保措施的可行性论证、污染物排放量指标。在相关保护措施实施后，该项目不会对水环境造成影响。</w:t>
                  </w:r>
                </w:p>
              </w:tc>
              <w:tc>
                <w:tcPr>
                  <w:tcW w:w="350" w:type="pct"/>
                  <w:noWrap w:val="0"/>
                  <w:vAlign w:val="center"/>
                </w:tcPr>
                <w:p w14:paraId="5563E664">
                  <w:pPr>
                    <w:pStyle w:val="61"/>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bl>
          <w:p w14:paraId="56517961">
            <w:pPr>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440" w:lineRule="exact"/>
              <w:ind w:left="0" w:right="0" w:firstLine="482" w:firstLineChars="200"/>
              <w:textAlignment w:val="auto"/>
              <w:rPr>
                <w:rFonts w:hint="eastAsia" w:ascii="Times New Roman" w:hAnsi="Times New Roman" w:eastAsia="宋体" w:cs="Times New Roman"/>
                <w:b/>
                <w:bCs w:val="0"/>
                <w:smallCaps w:val="0"/>
                <w:color w:val="auto"/>
                <w:spacing w:val="0"/>
                <w:sz w:val="24"/>
                <w:szCs w:val="24"/>
                <w:highlight w:val="none"/>
                <w:lang w:val="en-US" w:eastAsia="zh-CN"/>
              </w:rPr>
            </w:pPr>
            <w:r>
              <w:rPr>
                <w:rFonts w:hint="eastAsia" w:cs="Times New Roman"/>
                <w:b/>
                <w:bCs w:val="0"/>
                <w:smallCaps w:val="0"/>
                <w:color w:val="auto"/>
                <w:spacing w:val="0"/>
                <w:sz w:val="24"/>
                <w:szCs w:val="24"/>
                <w:highlight w:val="none"/>
                <w:lang w:val="en-US" w:eastAsia="zh-CN"/>
              </w:rPr>
              <w:t>3、园区环境准入及负面清单符合性分析</w:t>
            </w:r>
          </w:p>
          <w:p w14:paraId="11D3786E">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bCs/>
                <w:color w:val="auto"/>
                <w:sz w:val="24"/>
                <w:szCs w:val="20"/>
                <w:highlight w:val="none"/>
              </w:rPr>
            </w:pPr>
            <w:r>
              <w:rPr>
                <w:rFonts w:hint="default" w:ascii="Times New Roman" w:hAnsi="Times New Roman" w:eastAsia="宋体" w:cs="Times New Roman"/>
                <w:b/>
                <w:bCs/>
                <w:color w:val="auto"/>
                <w:sz w:val="24"/>
                <w:szCs w:val="20"/>
                <w:highlight w:val="none"/>
              </w:rPr>
              <w:t>表</w:t>
            </w:r>
            <w:r>
              <w:rPr>
                <w:rFonts w:hint="default" w:ascii="Times New Roman" w:hAnsi="Times New Roman" w:eastAsia="宋体" w:cs="Times New Roman"/>
                <w:b/>
                <w:bCs/>
                <w:color w:val="auto"/>
                <w:sz w:val="24"/>
                <w:szCs w:val="20"/>
                <w:highlight w:val="none"/>
                <w:lang w:val="en-US" w:eastAsia="zh-CN"/>
              </w:rPr>
              <w:t>1-</w:t>
            </w:r>
            <w:r>
              <w:rPr>
                <w:rFonts w:hint="eastAsia" w:ascii="Times New Roman" w:hAnsi="Times New Roman" w:eastAsia="宋体" w:cs="Times New Roman"/>
                <w:b/>
                <w:bCs/>
                <w:color w:val="auto"/>
                <w:sz w:val="24"/>
                <w:szCs w:val="20"/>
                <w:highlight w:val="none"/>
                <w:lang w:val="en-US" w:eastAsia="zh-CN"/>
              </w:rPr>
              <w:t>2</w:t>
            </w:r>
            <w:r>
              <w:rPr>
                <w:rFonts w:hint="default" w:ascii="Times New Roman" w:hAnsi="Times New Roman" w:eastAsia="宋体" w:cs="Times New Roman"/>
                <w:b/>
                <w:bCs/>
                <w:color w:val="auto"/>
                <w:sz w:val="24"/>
                <w:szCs w:val="20"/>
                <w:highlight w:val="none"/>
                <w:lang w:val="en-US" w:eastAsia="zh-CN"/>
              </w:rPr>
              <w:t xml:space="preserve"> </w:t>
            </w:r>
            <w:r>
              <w:rPr>
                <w:rFonts w:hint="default" w:ascii="Times New Roman" w:hAnsi="Times New Roman" w:eastAsia="宋体" w:cs="Times New Roman"/>
                <w:b/>
                <w:bCs/>
                <w:color w:val="auto"/>
                <w:sz w:val="24"/>
                <w:szCs w:val="20"/>
                <w:highlight w:val="none"/>
              </w:rPr>
              <w:t xml:space="preserve">  项目与区石钢片区生态环境准入清单符合性分析一览表</w:t>
            </w:r>
          </w:p>
          <w:tbl>
            <w:tblPr>
              <w:tblStyle w:val="47"/>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
              <w:gridCol w:w="564"/>
              <w:gridCol w:w="3884"/>
              <w:gridCol w:w="1681"/>
              <w:gridCol w:w="817"/>
            </w:tblGrid>
            <w:tr w14:paraId="697CD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1" w:type="pct"/>
                  <w:gridSpan w:val="2"/>
                  <w:noWrap w:val="0"/>
                  <w:tcMar>
                    <w:top w:w="0" w:type="dxa"/>
                    <w:left w:w="28" w:type="dxa"/>
                    <w:bottom w:w="0" w:type="dxa"/>
                    <w:right w:w="28" w:type="dxa"/>
                  </w:tcMar>
                  <w:vAlign w:val="center"/>
                </w:tcPr>
                <w:p w14:paraId="23205A9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b/>
                      <w:bCs/>
                      <w:snapToGrid w:val="0"/>
                      <w:color w:val="auto"/>
                      <w:sz w:val="21"/>
                      <w:szCs w:val="21"/>
                      <w:highlight w:val="none"/>
                    </w:rPr>
                  </w:pPr>
                  <w:r>
                    <w:rPr>
                      <w:rFonts w:hint="default" w:ascii="Times New Roman" w:hAnsi="Times New Roman" w:eastAsia="宋体" w:cs="Times New Roman"/>
                      <w:b/>
                      <w:bCs/>
                      <w:snapToGrid w:val="0"/>
                      <w:color w:val="auto"/>
                      <w:sz w:val="21"/>
                      <w:szCs w:val="21"/>
                      <w:highlight w:val="none"/>
                    </w:rPr>
                    <w:t>清单类型</w:t>
                  </w:r>
                </w:p>
              </w:tc>
              <w:tc>
                <w:tcPr>
                  <w:tcW w:w="2682" w:type="pct"/>
                  <w:noWrap w:val="0"/>
                  <w:tcMar>
                    <w:top w:w="0" w:type="dxa"/>
                    <w:left w:w="28" w:type="dxa"/>
                    <w:bottom w:w="0" w:type="dxa"/>
                    <w:right w:w="28" w:type="dxa"/>
                  </w:tcMar>
                  <w:vAlign w:val="center"/>
                </w:tcPr>
                <w:p w14:paraId="2DA374A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b/>
                      <w:bCs/>
                      <w:snapToGrid w:val="0"/>
                      <w:color w:val="auto"/>
                      <w:sz w:val="21"/>
                      <w:szCs w:val="21"/>
                      <w:highlight w:val="none"/>
                      <w:lang w:eastAsia="zh-CN"/>
                    </w:rPr>
                  </w:pPr>
                  <w:r>
                    <w:rPr>
                      <w:rFonts w:hint="default" w:ascii="Times New Roman" w:hAnsi="Times New Roman" w:eastAsia="宋体" w:cs="Times New Roman"/>
                      <w:b/>
                      <w:bCs/>
                      <w:snapToGrid w:val="0"/>
                      <w:color w:val="auto"/>
                      <w:sz w:val="21"/>
                      <w:szCs w:val="21"/>
                      <w:highlight w:val="none"/>
                      <w:lang w:val="en-US" w:eastAsia="zh-CN"/>
                    </w:rPr>
                    <w:t>准入要求</w:t>
                  </w:r>
                </w:p>
              </w:tc>
              <w:tc>
                <w:tcPr>
                  <w:tcW w:w="1161" w:type="pct"/>
                  <w:noWrap w:val="0"/>
                  <w:tcMar>
                    <w:top w:w="0" w:type="dxa"/>
                    <w:left w:w="28" w:type="dxa"/>
                    <w:bottom w:w="0" w:type="dxa"/>
                    <w:right w:w="28" w:type="dxa"/>
                  </w:tcMar>
                  <w:vAlign w:val="center"/>
                </w:tcPr>
                <w:p w14:paraId="0A3E9C6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b/>
                      <w:bCs/>
                      <w:snapToGrid w:val="0"/>
                      <w:color w:val="auto"/>
                      <w:sz w:val="21"/>
                      <w:szCs w:val="21"/>
                      <w:highlight w:val="none"/>
                      <w:lang w:val="en-US" w:eastAsia="zh-CN"/>
                    </w:rPr>
                  </w:pPr>
                  <w:r>
                    <w:rPr>
                      <w:rFonts w:hint="eastAsia" w:ascii="Times New Roman" w:hAnsi="Times New Roman" w:cs="Times New Roman"/>
                      <w:b/>
                      <w:bCs/>
                      <w:snapToGrid w:val="0"/>
                      <w:color w:val="auto"/>
                      <w:sz w:val="21"/>
                      <w:szCs w:val="21"/>
                      <w:highlight w:val="none"/>
                      <w:lang w:val="en-US" w:eastAsia="zh-CN"/>
                    </w:rPr>
                    <w:t>本项目情况</w:t>
                  </w:r>
                </w:p>
              </w:tc>
              <w:tc>
                <w:tcPr>
                  <w:tcW w:w="564" w:type="pct"/>
                  <w:noWrap w:val="0"/>
                  <w:tcMar>
                    <w:top w:w="0" w:type="dxa"/>
                    <w:left w:w="28" w:type="dxa"/>
                    <w:bottom w:w="0" w:type="dxa"/>
                    <w:right w:w="28" w:type="dxa"/>
                  </w:tcMar>
                  <w:vAlign w:val="center"/>
                </w:tcPr>
                <w:p w14:paraId="2A129C2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b/>
                      <w:bCs/>
                      <w:snapToGrid w:val="0"/>
                      <w:color w:val="auto"/>
                      <w:sz w:val="21"/>
                      <w:szCs w:val="21"/>
                      <w:highlight w:val="none"/>
                    </w:rPr>
                  </w:pPr>
                  <w:r>
                    <w:rPr>
                      <w:rFonts w:hint="default" w:ascii="Times New Roman" w:hAnsi="Times New Roman" w:eastAsia="宋体" w:cs="Times New Roman"/>
                      <w:b/>
                      <w:bCs/>
                      <w:snapToGrid w:val="0"/>
                      <w:color w:val="auto"/>
                      <w:sz w:val="21"/>
                      <w:szCs w:val="21"/>
                      <w:highlight w:val="none"/>
                    </w:rPr>
                    <w:t>符合性</w:t>
                  </w:r>
                </w:p>
              </w:tc>
            </w:tr>
            <w:tr w14:paraId="6D492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91" w:type="pct"/>
                  <w:gridSpan w:val="2"/>
                  <w:noWrap w:val="0"/>
                  <w:tcMar>
                    <w:top w:w="0" w:type="dxa"/>
                    <w:left w:w="28" w:type="dxa"/>
                    <w:bottom w:w="0" w:type="dxa"/>
                    <w:right w:w="28" w:type="dxa"/>
                  </w:tcMar>
                  <w:vAlign w:val="center"/>
                </w:tcPr>
                <w:p w14:paraId="0207F93C">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全市总体要求</w:t>
                  </w:r>
                </w:p>
              </w:tc>
              <w:tc>
                <w:tcPr>
                  <w:tcW w:w="2682" w:type="pct"/>
                  <w:noWrap w:val="0"/>
                  <w:tcMar>
                    <w:top w:w="0" w:type="dxa"/>
                    <w:left w:w="28" w:type="dxa"/>
                    <w:bottom w:w="0" w:type="dxa"/>
                    <w:right w:w="28" w:type="dxa"/>
                  </w:tcMar>
                  <w:vAlign w:val="center"/>
                </w:tcPr>
                <w:p w14:paraId="62E4AF32">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按照《石家庄市人民政府关于加快实施“三线一单”生态环境分区管控的意见》（石政函[2021]40号）及《石家庄市生态环境准入清单（2023年版）》中全市总体准入要求执行，具体内容不再列出。</w:t>
                  </w:r>
                </w:p>
              </w:tc>
              <w:tc>
                <w:tcPr>
                  <w:tcW w:w="1161" w:type="pct"/>
                  <w:noWrap w:val="0"/>
                  <w:tcMar>
                    <w:top w:w="0" w:type="dxa"/>
                    <w:left w:w="28" w:type="dxa"/>
                    <w:bottom w:w="0" w:type="dxa"/>
                    <w:right w:w="28" w:type="dxa"/>
                  </w:tcMar>
                  <w:vAlign w:val="center"/>
                </w:tcPr>
                <w:p w14:paraId="1951E0A4">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项目符合《石家庄市人民政府关于加快实施“三线一单”生态环境分区管控的意见》（石政函[2021]40号）及《石家庄市生态环境准入清单（2023年版）》中全市总体准入要求</w:t>
                  </w:r>
                </w:p>
              </w:tc>
              <w:tc>
                <w:tcPr>
                  <w:tcW w:w="564" w:type="pct"/>
                  <w:noWrap w:val="0"/>
                  <w:tcMar>
                    <w:top w:w="0" w:type="dxa"/>
                    <w:left w:w="28" w:type="dxa"/>
                    <w:bottom w:w="0" w:type="dxa"/>
                    <w:right w:w="28" w:type="dxa"/>
                  </w:tcMar>
                  <w:vAlign w:val="center"/>
                </w:tcPr>
                <w:p w14:paraId="6101B4A9">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7B9D5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 w:type="pct"/>
                  <w:vMerge w:val="restart"/>
                  <w:noWrap w:val="0"/>
                  <w:tcMar>
                    <w:top w:w="0" w:type="dxa"/>
                    <w:left w:w="28" w:type="dxa"/>
                    <w:bottom w:w="0" w:type="dxa"/>
                    <w:right w:w="28" w:type="dxa"/>
                  </w:tcMar>
                  <w:vAlign w:val="center"/>
                </w:tcPr>
                <w:p w14:paraId="06F6E1F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本评</w:t>
                  </w:r>
                </w:p>
                <w:p w14:paraId="785FCB5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价补</w:t>
                  </w:r>
                </w:p>
                <w:p w14:paraId="04A8A873">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充要</w:t>
                  </w:r>
                </w:p>
                <w:p w14:paraId="72450B09">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求</w:t>
                  </w:r>
                </w:p>
              </w:tc>
              <w:tc>
                <w:tcPr>
                  <w:tcW w:w="389" w:type="pct"/>
                  <w:noWrap w:val="0"/>
                  <w:tcMar>
                    <w:top w:w="0" w:type="dxa"/>
                    <w:left w:w="28" w:type="dxa"/>
                    <w:bottom w:w="0" w:type="dxa"/>
                    <w:right w:w="28" w:type="dxa"/>
                  </w:tcMar>
                  <w:vAlign w:val="center"/>
                </w:tcPr>
                <w:p w14:paraId="7AA4E9A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产业及</w:t>
                  </w:r>
                </w:p>
                <w:p w14:paraId="78124EF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政策准</w:t>
                  </w:r>
                </w:p>
                <w:p w14:paraId="08FB1CB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入管理</w:t>
                  </w:r>
                </w:p>
                <w:p w14:paraId="3F76D9A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要求*</w:t>
                  </w:r>
                </w:p>
              </w:tc>
              <w:tc>
                <w:tcPr>
                  <w:tcW w:w="2682" w:type="pct"/>
                  <w:noWrap w:val="0"/>
                  <w:tcMar>
                    <w:top w:w="0" w:type="dxa"/>
                    <w:left w:w="28" w:type="dxa"/>
                    <w:bottom w:w="0" w:type="dxa"/>
                    <w:right w:w="28" w:type="dxa"/>
                  </w:tcMar>
                  <w:vAlign w:val="center"/>
                </w:tcPr>
                <w:p w14:paraId="79BCF1FB">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1.禁止“两高”项目入驻，园区钢铁行业不得突破现状产能规模(年产钢坯200万吨、年产钢材192万吨)；水泥行业不得突破现状产能规模(年产水泥熟料240万吨，年产水泥151万吨)；</w:t>
                  </w:r>
                </w:p>
                <w:p w14:paraId="32AD6E11">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2.禁止建设电镀、酸洗、碱洗、磷化等专门从事表面处理的建设项目；</w:t>
                  </w:r>
                </w:p>
                <w:p w14:paraId="5FD160F3">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3.禁止建设镍氢电池、铅蓄电池、锌锰电池制造项目；</w:t>
                  </w:r>
                </w:p>
                <w:p w14:paraId="1330E734">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4.严格落实《工业和信息化部国家发展和改革委员会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010DBD8B">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5.禁止建设与园区产业无关联的废弃资源综合利用项目，与园区特种钢、高端装备制造、新材料等产业相关联的、利于形成园区循环经济产业链的项目方可入园；</w:t>
                  </w:r>
                </w:p>
                <w:p w14:paraId="5A86DFC2">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6.禁止建设集中收集、贮存、利用、处置危险废物项目。</w:t>
                  </w:r>
                </w:p>
              </w:tc>
              <w:tc>
                <w:tcPr>
                  <w:tcW w:w="1161" w:type="pct"/>
                  <w:noWrap w:val="0"/>
                  <w:tcMar>
                    <w:top w:w="0" w:type="dxa"/>
                    <w:left w:w="28" w:type="dxa"/>
                    <w:bottom w:w="0" w:type="dxa"/>
                    <w:right w:w="28" w:type="dxa"/>
                  </w:tcMar>
                  <w:vAlign w:val="center"/>
                </w:tcPr>
                <w:p w14:paraId="4BE88D4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eastAsia="zh-CN"/>
                    </w:rPr>
                  </w:pPr>
                  <w:r>
                    <w:rPr>
                      <w:rFonts w:hint="default" w:ascii="Times New Roman" w:hAnsi="Times New Roman" w:eastAsia="宋体" w:cs="Times New Roman"/>
                      <w:snapToGrid w:val="0"/>
                      <w:color w:val="auto"/>
                      <w:sz w:val="21"/>
                      <w:szCs w:val="21"/>
                      <w:highlight w:val="none"/>
                      <w:lang w:val="en-US" w:eastAsia="zh-CN"/>
                    </w:rPr>
                    <w:t>1、项目不属于</w:t>
                  </w:r>
                  <w:r>
                    <w:rPr>
                      <w:rFonts w:hint="default" w:ascii="Times New Roman" w:hAnsi="Times New Roman" w:eastAsia="宋体" w:cs="Times New Roman"/>
                      <w:snapToGrid w:val="0"/>
                      <w:color w:val="auto"/>
                      <w:sz w:val="21"/>
                      <w:szCs w:val="21"/>
                      <w:highlight w:val="none"/>
                    </w:rPr>
                    <w:t>“两高”项目</w:t>
                  </w:r>
                  <w:r>
                    <w:rPr>
                      <w:rFonts w:hint="default" w:ascii="Times New Roman" w:hAnsi="Times New Roman" w:eastAsia="宋体" w:cs="Times New Roman"/>
                      <w:snapToGrid w:val="0"/>
                      <w:color w:val="auto"/>
                      <w:sz w:val="21"/>
                      <w:szCs w:val="21"/>
                      <w:highlight w:val="none"/>
                      <w:lang w:eastAsia="zh-CN"/>
                    </w:rPr>
                    <w:t>、</w:t>
                  </w:r>
                  <w:r>
                    <w:rPr>
                      <w:rFonts w:hint="default" w:ascii="Times New Roman" w:hAnsi="Times New Roman" w:eastAsia="宋体" w:cs="Times New Roman"/>
                      <w:snapToGrid w:val="0"/>
                      <w:color w:val="auto"/>
                      <w:sz w:val="21"/>
                      <w:szCs w:val="21"/>
                      <w:highlight w:val="none"/>
                      <w:lang w:val="en-US" w:eastAsia="zh-CN"/>
                    </w:rPr>
                    <w:t>不属于</w:t>
                  </w:r>
                  <w:r>
                    <w:rPr>
                      <w:rFonts w:hint="default" w:ascii="Times New Roman" w:hAnsi="Times New Roman" w:eastAsia="宋体" w:cs="Times New Roman"/>
                      <w:snapToGrid w:val="0"/>
                      <w:color w:val="auto"/>
                      <w:sz w:val="21"/>
                      <w:szCs w:val="21"/>
                      <w:highlight w:val="none"/>
                    </w:rPr>
                    <w:t>钢铁</w:t>
                  </w:r>
                  <w:r>
                    <w:rPr>
                      <w:rFonts w:hint="default" w:ascii="Times New Roman" w:hAnsi="Times New Roman" w:eastAsia="宋体" w:cs="Times New Roman"/>
                      <w:snapToGrid w:val="0"/>
                      <w:color w:val="auto"/>
                      <w:sz w:val="21"/>
                      <w:szCs w:val="21"/>
                      <w:highlight w:val="none"/>
                      <w:lang w:eastAsia="zh-CN"/>
                    </w:rPr>
                    <w:t>、</w:t>
                  </w:r>
                  <w:r>
                    <w:rPr>
                      <w:rFonts w:hint="default" w:ascii="Times New Roman" w:hAnsi="Times New Roman" w:eastAsia="宋体" w:cs="Times New Roman"/>
                      <w:snapToGrid w:val="0"/>
                      <w:color w:val="auto"/>
                      <w:sz w:val="21"/>
                      <w:szCs w:val="21"/>
                      <w:highlight w:val="none"/>
                      <w:lang w:val="en-US" w:eastAsia="zh-CN"/>
                    </w:rPr>
                    <w:t>水泥</w:t>
                  </w:r>
                  <w:r>
                    <w:rPr>
                      <w:rFonts w:hint="default" w:ascii="Times New Roman" w:hAnsi="Times New Roman" w:eastAsia="宋体" w:cs="Times New Roman"/>
                      <w:snapToGrid w:val="0"/>
                      <w:color w:val="auto"/>
                      <w:sz w:val="21"/>
                      <w:szCs w:val="21"/>
                      <w:highlight w:val="none"/>
                    </w:rPr>
                    <w:t>行业</w:t>
                  </w:r>
                  <w:r>
                    <w:rPr>
                      <w:rFonts w:hint="default" w:ascii="Times New Roman" w:hAnsi="Times New Roman" w:eastAsia="宋体" w:cs="Times New Roman"/>
                      <w:snapToGrid w:val="0"/>
                      <w:color w:val="auto"/>
                      <w:sz w:val="21"/>
                      <w:szCs w:val="21"/>
                      <w:highlight w:val="none"/>
                      <w:lang w:eastAsia="zh-CN"/>
                    </w:rPr>
                    <w:t>；</w:t>
                  </w:r>
                </w:p>
                <w:p w14:paraId="3A92985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eastAsia="zh-CN"/>
                    </w:rPr>
                  </w:pPr>
                  <w:r>
                    <w:rPr>
                      <w:rFonts w:hint="default" w:ascii="Times New Roman" w:hAnsi="Times New Roman" w:eastAsia="宋体" w:cs="Times New Roman"/>
                      <w:snapToGrid w:val="0"/>
                      <w:color w:val="auto"/>
                      <w:sz w:val="21"/>
                      <w:szCs w:val="21"/>
                      <w:highlight w:val="none"/>
                      <w:lang w:val="en-US" w:eastAsia="zh-CN"/>
                    </w:rPr>
                    <w:t>2、项目不属于</w:t>
                  </w:r>
                  <w:r>
                    <w:rPr>
                      <w:rFonts w:hint="default" w:ascii="Times New Roman" w:hAnsi="Times New Roman" w:eastAsia="宋体" w:cs="Times New Roman"/>
                      <w:snapToGrid w:val="0"/>
                      <w:color w:val="auto"/>
                      <w:sz w:val="21"/>
                      <w:szCs w:val="21"/>
                      <w:highlight w:val="none"/>
                    </w:rPr>
                    <w:t>电镀、酸洗、碱洗、磷化等专门从事表面处理的建设项目</w:t>
                  </w:r>
                  <w:r>
                    <w:rPr>
                      <w:rFonts w:hint="default" w:ascii="Times New Roman" w:hAnsi="Times New Roman" w:eastAsia="宋体" w:cs="Times New Roman"/>
                      <w:snapToGrid w:val="0"/>
                      <w:color w:val="auto"/>
                      <w:sz w:val="21"/>
                      <w:szCs w:val="21"/>
                      <w:highlight w:val="none"/>
                      <w:lang w:eastAsia="zh-CN"/>
                    </w:rPr>
                    <w:t>；</w:t>
                  </w:r>
                </w:p>
                <w:p w14:paraId="30557B3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eastAsia="zh-CN"/>
                    </w:rPr>
                  </w:pPr>
                  <w:r>
                    <w:rPr>
                      <w:rFonts w:hint="default" w:ascii="Times New Roman" w:hAnsi="Times New Roman" w:eastAsia="宋体" w:cs="Times New Roman"/>
                      <w:snapToGrid w:val="0"/>
                      <w:color w:val="auto"/>
                      <w:sz w:val="21"/>
                      <w:szCs w:val="21"/>
                      <w:highlight w:val="none"/>
                      <w:lang w:val="en-US" w:eastAsia="zh-CN"/>
                    </w:rPr>
                    <w:t>3、项目不属于</w:t>
                  </w:r>
                  <w:r>
                    <w:rPr>
                      <w:rFonts w:hint="default" w:ascii="Times New Roman" w:hAnsi="Times New Roman" w:eastAsia="宋体" w:cs="Times New Roman"/>
                      <w:snapToGrid w:val="0"/>
                      <w:color w:val="auto"/>
                      <w:sz w:val="21"/>
                      <w:szCs w:val="21"/>
                      <w:highlight w:val="none"/>
                    </w:rPr>
                    <w:t>镍氢电池、铅蓄电池、锌锰电池制造项目</w:t>
                  </w:r>
                  <w:r>
                    <w:rPr>
                      <w:rFonts w:hint="default" w:ascii="Times New Roman" w:hAnsi="Times New Roman" w:eastAsia="宋体" w:cs="Times New Roman"/>
                      <w:snapToGrid w:val="0"/>
                      <w:color w:val="auto"/>
                      <w:sz w:val="21"/>
                      <w:szCs w:val="21"/>
                      <w:highlight w:val="none"/>
                      <w:lang w:eastAsia="zh-CN"/>
                    </w:rPr>
                    <w:t>；</w:t>
                  </w:r>
                </w:p>
                <w:p w14:paraId="0D06E75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4、项目不属于钢铁行业。</w:t>
                  </w:r>
                </w:p>
                <w:p w14:paraId="31BD05B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5、</w:t>
                  </w:r>
                  <w:r>
                    <w:rPr>
                      <w:rFonts w:hint="eastAsia" w:ascii="Times New Roman" w:hAnsi="Times New Roman" w:cs="Times New Roman"/>
                      <w:snapToGrid w:val="0"/>
                      <w:color w:val="auto"/>
                      <w:sz w:val="21"/>
                      <w:szCs w:val="21"/>
                      <w:highlight w:val="none"/>
                      <w:lang w:val="en-US" w:eastAsia="zh-CN"/>
                    </w:rPr>
                    <w:t>本</w:t>
                  </w:r>
                  <w:r>
                    <w:rPr>
                      <w:rFonts w:hint="default" w:ascii="Times New Roman" w:hAnsi="Times New Roman" w:eastAsia="宋体" w:cs="Times New Roman"/>
                      <w:snapToGrid w:val="0"/>
                      <w:color w:val="auto"/>
                      <w:sz w:val="21"/>
                      <w:szCs w:val="21"/>
                      <w:highlight w:val="none"/>
                      <w:lang w:val="en-US" w:eastAsia="zh-CN"/>
                    </w:rPr>
                    <w:t>项目</w:t>
                  </w:r>
                  <w:r>
                    <w:rPr>
                      <w:rFonts w:hint="eastAsia" w:ascii="Times New Roman" w:hAnsi="Times New Roman" w:cs="Times New Roman"/>
                      <w:snapToGrid w:val="0"/>
                      <w:color w:val="auto"/>
                      <w:sz w:val="21"/>
                      <w:szCs w:val="21"/>
                      <w:highlight w:val="none"/>
                      <w:lang w:val="en-US" w:eastAsia="zh-CN"/>
                    </w:rPr>
                    <w:t>为黑色金属铸造项目，同时可利用周边企业产生的废钢</w:t>
                  </w:r>
                  <w:r>
                    <w:rPr>
                      <w:rFonts w:hint="default" w:ascii="Times New Roman" w:hAnsi="Times New Roman" w:eastAsia="宋体" w:cs="Times New Roman"/>
                      <w:snapToGrid w:val="0"/>
                      <w:color w:val="auto"/>
                      <w:sz w:val="21"/>
                      <w:szCs w:val="21"/>
                      <w:highlight w:val="none"/>
                      <w:lang w:val="en-US" w:eastAsia="zh-CN"/>
                    </w:rPr>
                    <w:t>，符合园区能源资源的梯级利用要求</w:t>
                  </w:r>
                  <w:r>
                    <w:rPr>
                      <w:rFonts w:hint="eastAsia" w:ascii="Times New Roman" w:hAnsi="Times New Roman" w:cs="Times New Roman"/>
                      <w:snapToGrid w:val="0"/>
                      <w:color w:val="auto"/>
                      <w:sz w:val="21"/>
                      <w:szCs w:val="21"/>
                      <w:highlight w:val="none"/>
                      <w:lang w:val="en-US" w:eastAsia="zh-CN"/>
                    </w:rPr>
                    <w:t>；</w:t>
                  </w:r>
                </w:p>
                <w:p w14:paraId="125E0469">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6、本项目</w:t>
                  </w:r>
                  <w:r>
                    <w:rPr>
                      <w:rFonts w:hint="eastAsia" w:ascii="Times New Roman" w:hAnsi="Times New Roman" w:eastAsia="宋体" w:cs="Times New Roman"/>
                      <w:snapToGrid w:val="0"/>
                      <w:color w:val="auto"/>
                      <w:sz w:val="21"/>
                      <w:szCs w:val="21"/>
                      <w:highlight w:val="none"/>
                      <w:lang w:val="en-US" w:eastAsia="zh-CN"/>
                    </w:rPr>
                    <w:t>危险废物做到</w:t>
                  </w:r>
                  <w:r>
                    <w:rPr>
                      <w:rFonts w:hint="default" w:ascii="Times New Roman" w:hAnsi="Times New Roman" w:eastAsia="宋体" w:cs="Times New Roman"/>
                      <w:snapToGrid w:val="0"/>
                      <w:color w:val="auto"/>
                      <w:sz w:val="21"/>
                      <w:szCs w:val="21"/>
                      <w:highlight w:val="none"/>
                      <w:lang w:val="en-US" w:eastAsia="zh-CN"/>
                    </w:rPr>
                    <w:t>即产即清，</w:t>
                  </w:r>
                  <w:r>
                    <w:rPr>
                      <w:rFonts w:hint="eastAsia" w:ascii="Times New Roman" w:hAnsi="Times New Roman" w:eastAsia="宋体" w:cs="Times New Roman"/>
                      <w:snapToGrid w:val="0"/>
                      <w:color w:val="auto"/>
                      <w:sz w:val="21"/>
                      <w:szCs w:val="21"/>
                      <w:highlight w:val="none"/>
                      <w:lang w:val="en-US" w:eastAsia="zh-CN"/>
                    </w:rPr>
                    <w:t>交由有危废处置资质单位处置。</w:t>
                  </w:r>
                </w:p>
              </w:tc>
              <w:tc>
                <w:tcPr>
                  <w:tcW w:w="564" w:type="pct"/>
                  <w:noWrap w:val="0"/>
                  <w:tcMar>
                    <w:top w:w="0" w:type="dxa"/>
                    <w:left w:w="28" w:type="dxa"/>
                    <w:bottom w:w="0" w:type="dxa"/>
                    <w:right w:w="28" w:type="dxa"/>
                  </w:tcMar>
                  <w:vAlign w:val="center"/>
                </w:tcPr>
                <w:p w14:paraId="177861C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7E8AB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 w:type="pct"/>
                  <w:vMerge w:val="continue"/>
                  <w:noWrap w:val="0"/>
                  <w:tcMar>
                    <w:top w:w="0" w:type="dxa"/>
                    <w:left w:w="28" w:type="dxa"/>
                    <w:bottom w:w="0" w:type="dxa"/>
                    <w:right w:w="28" w:type="dxa"/>
                  </w:tcMar>
                  <w:vAlign w:val="center"/>
                </w:tcPr>
                <w:p w14:paraId="0F8E300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p>
              </w:tc>
              <w:tc>
                <w:tcPr>
                  <w:tcW w:w="389" w:type="pct"/>
                  <w:noWrap w:val="0"/>
                  <w:tcMar>
                    <w:top w:w="0" w:type="dxa"/>
                    <w:left w:w="28" w:type="dxa"/>
                    <w:bottom w:w="0" w:type="dxa"/>
                    <w:right w:w="28" w:type="dxa"/>
                  </w:tcMar>
                  <w:vAlign w:val="center"/>
                </w:tcPr>
                <w:p w14:paraId="4019BB9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空间布局约束</w:t>
                  </w:r>
                </w:p>
              </w:tc>
              <w:tc>
                <w:tcPr>
                  <w:tcW w:w="2682" w:type="pct"/>
                  <w:noWrap w:val="0"/>
                  <w:tcMar>
                    <w:top w:w="0" w:type="dxa"/>
                    <w:left w:w="28" w:type="dxa"/>
                    <w:bottom w:w="0" w:type="dxa"/>
                    <w:right w:w="28" w:type="dxa"/>
                  </w:tcMar>
                  <w:vAlign w:val="center"/>
                </w:tcPr>
                <w:p w14:paraId="272B345E">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1.规划范围内城镇开发边界外的区域维持现状不变；基本农田范围未经依法调整，需按照《基本农田保护条例》对上述区域进行严格保护，园区规划建设一律不得占用；</w:t>
                  </w:r>
                </w:p>
                <w:p w14:paraId="329B549A">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2.禁止在公园绿地、广场绿地等规划绿地范围内开展与绿地无关的建设活动，禁止占用公路用地红线；</w:t>
                  </w:r>
                </w:p>
                <w:p w14:paraId="0E69C4FB">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3.将现状村庄和规划居住区作为环境敏感点予以保护，合理控制周边建设项目布局，根据不同的区位特点进行差别化管控；</w:t>
                  </w:r>
                </w:p>
                <w:p w14:paraId="3715FC11">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4.清凉湾湿地公园周边禁止倾倒有毒有害物质、废弃物、垃圾和其他破坏湿地及其生态功能的活动；</w:t>
                  </w:r>
                </w:p>
                <w:p w14:paraId="09211351">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5.禁止建设集中收集、利用、处置易溶性、有毒有害废弃物的暂存和转运设施；</w:t>
                  </w:r>
                </w:p>
                <w:p w14:paraId="6EA159B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6C1C18D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位用地污染物含量超过国家或者地方有关建设用地土壤污染风险管控标准的，应当开展详细调查、风险评估、风险管控、治理与修复等活动。</w:t>
                  </w:r>
                </w:p>
              </w:tc>
              <w:tc>
                <w:tcPr>
                  <w:tcW w:w="1161" w:type="pct"/>
                  <w:noWrap w:val="0"/>
                  <w:tcMar>
                    <w:top w:w="0" w:type="dxa"/>
                    <w:left w:w="28" w:type="dxa"/>
                    <w:bottom w:w="0" w:type="dxa"/>
                    <w:right w:w="28" w:type="dxa"/>
                  </w:tcMar>
                  <w:vAlign w:val="center"/>
                </w:tcPr>
                <w:p w14:paraId="0E98527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1-2、6、本项目</w:t>
                  </w:r>
                  <w:r>
                    <w:rPr>
                      <w:rFonts w:hint="eastAsia" w:ascii="Times New Roman" w:hAnsi="Times New Roman" w:eastAsia="宋体" w:cs="Times New Roman"/>
                      <w:snapToGrid w:val="0"/>
                      <w:color w:val="auto"/>
                      <w:sz w:val="21"/>
                      <w:szCs w:val="21"/>
                      <w:highlight w:val="none"/>
                      <w:lang w:val="en-US" w:eastAsia="zh-CN"/>
                    </w:rPr>
                    <w:t>租赁现有厂房建设</w:t>
                  </w:r>
                  <w:r>
                    <w:rPr>
                      <w:rFonts w:hint="default" w:ascii="Times New Roman" w:hAnsi="Times New Roman" w:eastAsia="宋体" w:cs="Times New Roman"/>
                      <w:snapToGrid w:val="0"/>
                      <w:color w:val="auto"/>
                      <w:sz w:val="21"/>
                      <w:szCs w:val="21"/>
                      <w:highlight w:val="none"/>
                      <w:lang w:val="en-US" w:eastAsia="zh-CN"/>
                    </w:rPr>
                    <w:t>；</w:t>
                  </w:r>
                </w:p>
                <w:p w14:paraId="72D9816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3-5、7、不涉及</w:t>
                  </w:r>
                  <w:r>
                    <w:rPr>
                      <w:rFonts w:hint="eastAsia" w:ascii="Times New Roman" w:hAnsi="Times New Roman" w:eastAsia="宋体" w:cs="Times New Roman"/>
                      <w:snapToGrid w:val="0"/>
                      <w:color w:val="auto"/>
                      <w:sz w:val="21"/>
                      <w:szCs w:val="21"/>
                      <w:highlight w:val="none"/>
                      <w:lang w:val="en-US" w:eastAsia="zh-CN"/>
                    </w:rPr>
                    <w:t>。</w:t>
                  </w:r>
                </w:p>
              </w:tc>
              <w:tc>
                <w:tcPr>
                  <w:tcW w:w="564" w:type="pct"/>
                  <w:noWrap w:val="0"/>
                  <w:tcMar>
                    <w:top w:w="0" w:type="dxa"/>
                    <w:left w:w="28" w:type="dxa"/>
                    <w:bottom w:w="0" w:type="dxa"/>
                    <w:right w:w="28" w:type="dxa"/>
                  </w:tcMar>
                  <w:vAlign w:val="center"/>
                </w:tcPr>
                <w:p w14:paraId="6C01EF9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37EB0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202" w:type="pct"/>
                  <w:vMerge w:val="continue"/>
                  <w:noWrap w:val="0"/>
                  <w:tcMar>
                    <w:top w:w="0" w:type="dxa"/>
                    <w:left w:w="28" w:type="dxa"/>
                    <w:bottom w:w="0" w:type="dxa"/>
                    <w:right w:w="28" w:type="dxa"/>
                  </w:tcMar>
                  <w:vAlign w:val="center"/>
                </w:tcPr>
                <w:p w14:paraId="14C85DA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p>
              </w:tc>
              <w:tc>
                <w:tcPr>
                  <w:tcW w:w="389" w:type="pct"/>
                  <w:noWrap w:val="0"/>
                  <w:tcMar>
                    <w:top w:w="0" w:type="dxa"/>
                    <w:left w:w="28" w:type="dxa"/>
                    <w:bottom w:w="0" w:type="dxa"/>
                    <w:right w:w="28" w:type="dxa"/>
                  </w:tcMar>
                  <w:vAlign w:val="center"/>
                </w:tcPr>
                <w:p w14:paraId="55342A4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污染物排放管</w:t>
                  </w:r>
                </w:p>
                <w:p w14:paraId="37FFBAB4">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控</w:t>
                  </w:r>
                </w:p>
              </w:tc>
              <w:tc>
                <w:tcPr>
                  <w:tcW w:w="2682" w:type="pct"/>
                  <w:noWrap w:val="0"/>
                  <w:tcMar>
                    <w:top w:w="0" w:type="dxa"/>
                    <w:left w:w="28" w:type="dxa"/>
                    <w:bottom w:w="0" w:type="dxa"/>
                    <w:right w:w="28" w:type="dxa"/>
                  </w:tcMar>
                  <w:vAlign w:val="center"/>
                </w:tcPr>
                <w:p w14:paraId="403EB24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1、入区项目需满足建设项目污染物排放总量控制要求，重点行业建设项目按照《关于加强重点行业建设项目区域削减措施监督管理的通知(环办环评〔2020〕36号)》要求，严格落实区域主要污染物削减方案；</w:t>
                  </w:r>
                </w:p>
                <w:p w14:paraId="45BC75C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2.入区项目污染物排放必须满足国家、河北省、石家庄市等规定的标准要求，排放指标必须满足清洁生产指标要求(如有)；</w:t>
                  </w:r>
                </w:p>
                <w:p w14:paraId="5434435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3.固体废物零排放，其中危险废物收集、贮存、运输、处置、利用等须满足</w:t>
                  </w:r>
                  <w:r>
                    <w:rPr>
                      <w:rFonts w:hint="default" w:ascii="Times New Roman" w:hAnsi="Times New Roman" w:eastAsia="宋体" w:cs="Times New Roman"/>
                      <w:sz w:val="21"/>
                      <w:szCs w:val="21"/>
                      <w:highlight w:val="none"/>
                      <w:lang w:eastAsia="zh-CN"/>
                    </w:rPr>
                    <w:t>《中华人民共和国固体废物污染环境防治法》</w:t>
                  </w:r>
                  <w:r>
                    <w:rPr>
                      <w:rFonts w:hint="default" w:ascii="Times New Roman" w:hAnsi="Times New Roman" w:eastAsia="宋体" w:cs="Times New Roman"/>
                      <w:sz w:val="21"/>
                      <w:szCs w:val="21"/>
                      <w:highlight w:val="none"/>
                    </w:rPr>
                    <w:t>、《危险废物收集 贮存 运输技术规范》、《危险废物贮存污染控制标准》等国家、地方相关法律法规、技术规范、标准要求；</w:t>
                  </w:r>
                </w:p>
                <w:p w14:paraId="7FB72B5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4.入区企业生产废水经处理后全部回用，不外排；</w:t>
                  </w:r>
                </w:p>
                <w:p w14:paraId="2D45A04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5.新建具有绩效评级要求的涉气入区建设项目，应达到B级及以上水平；</w:t>
                  </w:r>
                </w:p>
                <w:p w14:paraId="3C36EE1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严格落实区域减排方案，开发区污染物排放量不得突破允许排放量：颗粒物459.538t/a、二氧化硫120.165t/a、氮氧化物617.954t/a、VOCs17.332t/a；存量源削减量：颗粒物72.348t/a、二氧化硫3.721t/a、氮氧化物166.783t/a、VOCs2.017t/a；新增源控制量：颗粒物34.307t/a、二氧化硫1.804t/a、氮氧化物29.005t/a、VOCs3.349t/a；</w:t>
                  </w:r>
                </w:p>
                <w:p w14:paraId="67EC9B7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7.园区废水污染物允许排放量(排入集中污水处理厂)：COD9.928t/a、氨氮0.496t/a。</w:t>
                  </w:r>
                </w:p>
                <w:p w14:paraId="58D5910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8.碳排放及强度：碳排放量401.29万t/a、碳排放强度1.38t/万元产值。</w:t>
                  </w:r>
                </w:p>
              </w:tc>
              <w:tc>
                <w:tcPr>
                  <w:tcW w:w="1161" w:type="pct"/>
                  <w:noWrap w:val="0"/>
                  <w:tcMar>
                    <w:top w:w="0" w:type="dxa"/>
                    <w:left w:w="28" w:type="dxa"/>
                    <w:bottom w:w="0" w:type="dxa"/>
                    <w:right w:w="28" w:type="dxa"/>
                  </w:tcMar>
                  <w:vAlign w:val="center"/>
                </w:tcPr>
                <w:p w14:paraId="55771A3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1、本项目不新增SO</w:t>
                  </w:r>
                  <w:r>
                    <w:rPr>
                      <w:rFonts w:hint="default" w:ascii="Times New Roman" w:hAnsi="Times New Roman" w:eastAsia="宋体" w:cs="Times New Roman"/>
                      <w:snapToGrid w:val="0"/>
                      <w:color w:val="auto"/>
                      <w:sz w:val="21"/>
                      <w:szCs w:val="21"/>
                      <w:highlight w:val="none"/>
                      <w:vertAlign w:val="subscript"/>
                      <w:lang w:val="en-US" w:eastAsia="zh-CN"/>
                    </w:rPr>
                    <w:t>2</w:t>
                  </w:r>
                  <w:r>
                    <w:rPr>
                      <w:rFonts w:hint="default" w:ascii="Times New Roman" w:hAnsi="Times New Roman" w:eastAsia="宋体" w:cs="Times New Roman"/>
                      <w:snapToGrid w:val="0"/>
                      <w:color w:val="auto"/>
                      <w:sz w:val="21"/>
                      <w:szCs w:val="21"/>
                      <w:highlight w:val="none"/>
                      <w:lang w:val="en-US" w:eastAsia="zh-CN"/>
                    </w:rPr>
                    <w:t>、NOx、COD、氨氮排放；</w:t>
                  </w:r>
                </w:p>
                <w:p w14:paraId="364EDF1C">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2、项目</w:t>
                  </w:r>
                  <w:r>
                    <w:rPr>
                      <w:rFonts w:hint="eastAsia" w:ascii="Times New Roman" w:hAnsi="Times New Roman" w:cs="Times New Roman"/>
                      <w:snapToGrid w:val="0"/>
                      <w:color w:val="auto"/>
                      <w:sz w:val="21"/>
                      <w:szCs w:val="21"/>
                      <w:highlight w:val="none"/>
                      <w:lang w:val="en-US" w:eastAsia="zh-CN"/>
                    </w:rPr>
                    <w:t>废气通过布袋除尘器、二级活性炭吸附装置处理，均能达标排放；</w:t>
                  </w:r>
                  <w:r>
                    <w:rPr>
                      <w:rFonts w:hint="default" w:ascii="Times New Roman" w:hAnsi="Times New Roman" w:eastAsia="宋体" w:cs="Times New Roman"/>
                      <w:snapToGrid w:val="0"/>
                      <w:color w:val="auto"/>
                      <w:sz w:val="21"/>
                      <w:szCs w:val="21"/>
                      <w:highlight w:val="none"/>
                      <w:lang w:val="en-US" w:eastAsia="zh-CN"/>
                    </w:rPr>
                    <w:t>不涉及</w:t>
                  </w:r>
                  <w:r>
                    <w:rPr>
                      <w:rFonts w:hint="eastAsia" w:ascii="Times New Roman" w:hAnsi="Times New Roman" w:cs="Times New Roman"/>
                      <w:snapToGrid w:val="0"/>
                      <w:color w:val="auto"/>
                      <w:sz w:val="21"/>
                      <w:szCs w:val="21"/>
                      <w:highlight w:val="none"/>
                      <w:lang w:val="en-US" w:eastAsia="zh-CN"/>
                    </w:rPr>
                    <w:t>清洁生产指标要求</w:t>
                  </w:r>
                  <w:r>
                    <w:rPr>
                      <w:rFonts w:hint="default" w:ascii="Times New Roman" w:hAnsi="Times New Roman" w:eastAsia="宋体" w:cs="Times New Roman"/>
                      <w:snapToGrid w:val="0"/>
                      <w:color w:val="auto"/>
                      <w:sz w:val="21"/>
                      <w:szCs w:val="21"/>
                      <w:highlight w:val="none"/>
                      <w:lang w:val="en-US" w:eastAsia="zh-CN"/>
                    </w:rPr>
                    <w:t>；</w:t>
                  </w:r>
                </w:p>
                <w:p w14:paraId="5F973C2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3、固废主要是</w:t>
                  </w:r>
                  <w:r>
                    <w:rPr>
                      <w:rFonts w:hint="eastAsia" w:ascii="Times New Roman" w:hAnsi="Times New Roman" w:cs="Times New Roman"/>
                      <w:snapToGrid w:val="0"/>
                      <w:color w:val="auto"/>
                      <w:sz w:val="21"/>
                      <w:szCs w:val="21"/>
                      <w:highlight w:val="none"/>
                      <w:lang w:val="en-US" w:eastAsia="zh-CN"/>
                    </w:rPr>
                    <w:t>生产过程中产生的废砂、浇冒口、浇注废渣、不合格壳芯、不合格品、铁渣等，废气设施产生的废布袋、除尘灰等，就能做到有效回用或交由其他单位再生利用，不外排；</w:t>
                  </w:r>
                  <w:r>
                    <w:rPr>
                      <w:rFonts w:hint="default" w:ascii="Times New Roman" w:hAnsi="Times New Roman" w:eastAsia="宋体" w:cs="Times New Roman"/>
                      <w:snapToGrid w:val="0"/>
                      <w:color w:val="auto"/>
                      <w:sz w:val="21"/>
                      <w:szCs w:val="21"/>
                      <w:highlight w:val="none"/>
                      <w:lang w:val="en-US" w:eastAsia="zh-CN"/>
                    </w:rPr>
                    <w:t>危险废物即产即清，</w:t>
                  </w:r>
                  <w:r>
                    <w:rPr>
                      <w:rFonts w:hint="eastAsia" w:ascii="Times New Roman" w:hAnsi="Times New Roman" w:eastAsia="宋体" w:cs="Times New Roman"/>
                      <w:snapToGrid w:val="0"/>
                      <w:color w:val="auto"/>
                      <w:sz w:val="21"/>
                      <w:szCs w:val="21"/>
                      <w:highlight w:val="none"/>
                      <w:lang w:val="en-US" w:eastAsia="zh-CN"/>
                    </w:rPr>
                    <w:t>交由有危废处置资质单位处置</w:t>
                  </w:r>
                  <w:r>
                    <w:rPr>
                      <w:rFonts w:hint="default" w:ascii="Times New Roman" w:hAnsi="Times New Roman" w:eastAsia="宋体" w:cs="Times New Roman"/>
                      <w:snapToGrid w:val="0"/>
                      <w:color w:val="auto"/>
                      <w:sz w:val="21"/>
                      <w:szCs w:val="21"/>
                      <w:highlight w:val="none"/>
                      <w:lang w:val="en-US" w:eastAsia="zh-CN"/>
                    </w:rPr>
                    <w:t>；</w:t>
                  </w:r>
                </w:p>
                <w:p w14:paraId="2A2C048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4、本项目无</w:t>
                  </w:r>
                  <w:r>
                    <w:rPr>
                      <w:rFonts w:hint="eastAsia" w:ascii="Times New Roman" w:hAnsi="Times New Roman" w:cs="Times New Roman"/>
                      <w:snapToGrid w:val="0"/>
                      <w:color w:val="auto"/>
                      <w:sz w:val="21"/>
                      <w:szCs w:val="21"/>
                      <w:highlight w:val="none"/>
                      <w:lang w:val="en-US" w:eastAsia="zh-CN"/>
                    </w:rPr>
                    <w:t>生产</w:t>
                  </w:r>
                  <w:r>
                    <w:rPr>
                      <w:rFonts w:hint="default" w:ascii="Times New Roman" w:hAnsi="Times New Roman" w:eastAsia="宋体" w:cs="Times New Roman"/>
                      <w:snapToGrid w:val="0"/>
                      <w:color w:val="auto"/>
                      <w:sz w:val="21"/>
                      <w:szCs w:val="21"/>
                      <w:highlight w:val="none"/>
                      <w:lang w:val="en-US" w:eastAsia="zh-CN"/>
                    </w:rPr>
                    <w:t>废水排放；</w:t>
                  </w:r>
                </w:p>
                <w:p w14:paraId="3437B77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5、</w:t>
                  </w:r>
                  <w:r>
                    <w:rPr>
                      <w:rFonts w:hint="eastAsia" w:ascii="Times New Roman" w:hAnsi="Times New Roman" w:cs="Times New Roman"/>
                      <w:snapToGrid w:val="0"/>
                      <w:color w:val="auto"/>
                      <w:sz w:val="21"/>
                      <w:szCs w:val="21"/>
                      <w:highlight w:val="none"/>
                      <w:lang w:val="en-US" w:eastAsia="zh-CN"/>
                    </w:rPr>
                    <w:t>本项目对照</w:t>
                  </w:r>
                  <w:r>
                    <w:rPr>
                      <w:rFonts w:hint="default" w:ascii="Times New Roman" w:hAnsi="Times New Roman" w:cs="Times New Roman"/>
                      <w:smallCaps w:val="0"/>
                      <w:color w:val="auto"/>
                      <w:spacing w:val="0"/>
                      <w:sz w:val="21"/>
                      <w:szCs w:val="21"/>
                      <w:highlight w:val="none"/>
                    </w:rPr>
                    <w:t>《重污染天气重点行业应急减排措施制定技术指南（2021年修订版）》</w:t>
                  </w:r>
                  <w:r>
                    <w:rPr>
                      <w:rFonts w:hint="eastAsia" w:ascii="Times New Roman" w:hAnsi="Times New Roman" w:cs="Times New Roman"/>
                      <w:smallCaps w:val="0"/>
                      <w:color w:val="auto"/>
                      <w:spacing w:val="0"/>
                      <w:sz w:val="21"/>
                      <w:szCs w:val="21"/>
                      <w:highlight w:val="none"/>
                      <w:lang w:val="en-US" w:eastAsia="zh-CN"/>
                    </w:rPr>
                    <w:t>分析</w:t>
                  </w:r>
                  <w:r>
                    <w:rPr>
                      <w:rFonts w:hint="eastAsia" w:ascii="Times New Roman" w:hAnsi="Times New Roman" w:cs="Times New Roman"/>
                      <w:snapToGrid w:val="0"/>
                      <w:color w:val="auto"/>
                      <w:sz w:val="21"/>
                      <w:szCs w:val="21"/>
                      <w:highlight w:val="none"/>
                      <w:lang w:val="en-US" w:eastAsia="zh-CN"/>
                    </w:rPr>
                    <w:t>，满足B级要求，详见表1-9。</w:t>
                  </w:r>
                </w:p>
                <w:p w14:paraId="7FFD930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eastAsia"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6、本项目不新增SO</w:t>
                  </w:r>
                  <w:r>
                    <w:rPr>
                      <w:rFonts w:hint="default" w:ascii="Times New Roman" w:hAnsi="Times New Roman" w:eastAsia="宋体" w:cs="Times New Roman"/>
                      <w:snapToGrid w:val="0"/>
                      <w:color w:val="auto"/>
                      <w:sz w:val="21"/>
                      <w:szCs w:val="21"/>
                      <w:highlight w:val="none"/>
                      <w:vertAlign w:val="subscript"/>
                      <w:lang w:val="en-US" w:eastAsia="zh-CN"/>
                    </w:rPr>
                    <w:t>2</w:t>
                  </w:r>
                  <w:r>
                    <w:rPr>
                      <w:rFonts w:hint="default" w:ascii="Times New Roman" w:hAnsi="Times New Roman" w:eastAsia="宋体" w:cs="Times New Roman"/>
                      <w:snapToGrid w:val="0"/>
                      <w:color w:val="auto"/>
                      <w:sz w:val="21"/>
                      <w:szCs w:val="21"/>
                      <w:highlight w:val="none"/>
                      <w:lang w:val="en-US" w:eastAsia="zh-CN"/>
                    </w:rPr>
                    <w:t>、NOx、COD、氨氮排放；</w:t>
                  </w:r>
                  <w:r>
                    <w:rPr>
                      <w:rFonts w:hint="eastAsia" w:ascii="Times New Roman" w:hAnsi="Times New Roman" w:cs="Times New Roman"/>
                      <w:snapToGrid w:val="0"/>
                      <w:color w:val="auto"/>
                      <w:sz w:val="21"/>
                      <w:szCs w:val="21"/>
                      <w:highlight w:val="none"/>
                      <w:lang w:val="en-US" w:eastAsia="zh-CN"/>
                    </w:rPr>
                    <w:t>本项目非甲烷总烃通过二级活性炭吸附装置处理后，能够稳定排放，排放量较小，</w:t>
                  </w:r>
                  <w:r>
                    <w:rPr>
                      <w:rFonts w:hint="eastAsia" w:cs="Times New Roman"/>
                      <w:snapToGrid w:val="0"/>
                      <w:color w:val="auto"/>
                      <w:sz w:val="21"/>
                      <w:szCs w:val="21"/>
                      <w:highlight w:val="none"/>
                      <w:lang w:val="en-US" w:eastAsia="zh-CN"/>
                    </w:rPr>
                    <w:t>本项目的实施，不会造成园区</w:t>
                  </w:r>
                  <w:r>
                    <w:rPr>
                      <w:rFonts w:hint="default" w:ascii="Times New Roman" w:hAnsi="Times New Roman" w:eastAsia="宋体" w:cs="Times New Roman"/>
                      <w:sz w:val="21"/>
                      <w:szCs w:val="21"/>
                      <w:highlight w:val="none"/>
                    </w:rPr>
                    <w:t>VOCs新增源控制量</w:t>
                  </w:r>
                  <w:r>
                    <w:rPr>
                      <w:rFonts w:hint="eastAsia" w:cs="Times New Roman"/>
                      <w:sz w:val="21"/>
                      <w:szCs w:val="21"/>
                      <w:highlight w:val="none"/>
                      <w:lang w:val="en-US" w:eastAsia="zh-CN"/>
                    </w:rPr>
                    <w:t>超过</w:t>
                  </w:r>
                  <w:r>
                    <w:rPr>
                      <w:rFonts w:hint="default" w:ascii="Times New Roman" w:hAnsi="Times New Roman" w:eastAsia="宋体" w:cs="Times New Roman"/>
                      <w:sz w:val="21"/>
                      <w:szCs w:val="21"/>
                      <w:highlight w:val="none"/>
                    </w:rPr>
                    <w:t>3.349t/a</w:t>
                  </w:r>
                  <w:r>
                    <w:rPr>
                      <w:rFonts w:hint="eastAsia" w:cs="Times New Roman"/>
                      <w:sz w:val="21"/>
                      <w:szCs w:val="21"/>
                      <w:highlight w:val="none"/>
                      <w:lang w:eastAsia="zh-CN"/>
                    </w:rPr>
                    <w:t>；</w:t>
                  </w:r>
                </w:p>
                <w:p w14:paraId="1E3DD487">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8、项目不涉及</w:t>
                  </w:r>
                  <w:r>
                    <w:rPr>
                      <w:rFonts w:hint="eastAsia" w:ascii="Times New Roman" w:hAnsi="Times New Roman" w:cs="Times New Roman"/>
                      <w:snapToGrid w:val="0"/>
                      <w:color w:val="auto"/>
                      <w:sz w:val="21"/>
                      <w:szCs w:val="21"/>
                      <w:highlight w:val="none"/>
                      <w:lang w:val="en-US" w:eastAsia="zh-CN"/>
                    </w:rPr>
                    <w:t>。</w:t>
                  </w:r>
                </w:p>
              </w:tc>
              <w:tc>
                <w:tcPr>
                  <w:tcW w:w="564" w:type="pct"/>
                  <w:noWrap w:val="0"/>
                  <w:tcMar>
                    <w:top w:w="0" w:type="dxa"/>
                    <w:left w:w="28" w:type="dxa"/>
                    <w:bottom w:w="0" w:type="dxa"/>
                    <w:right w:w="28" w:type="dxa"/>
                  </w:tcMar>
                  <w:vAlign w:val="center"/>
                </w:tcPr>
                <w:p w14:paraId="17F32FB1">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103DB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 w:type="pct"/>
                  <w:vMerge w:val="continue"/>
                  <w:noWrap w:val="0"/>
                  <w:tcMar>
                    <w:top w:w="0" w:type="dxa"/>
                    <w:left w:w="28" w:type="dxa"/>
                    <w:bottom w:w="0" w:type="dxa"/>
                    <w:right w:w="28" w:type="dxa"/>
                  </w:tcMar>
                  <w:vAlign w:val="center"/>
                </w:tcPr>
                <w:p w14:paraId="3AC7E29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p>
              </w:tc>
              <w:tc>
                <w:tcPr>
                  <w:tcW w:w="389" w:type="pct"/>
                  <w:noWrap w:val="0"/>
                  <w:tcMar>
                    <w:top w:w="0" w:type="dxa"/>
                    <w:left w:w="28" w:type="dxa"/>
                    <w:bottom w:w="0" w:type="dxa"/>
                    <w:right w:w="28" w:type="dxa"/>
                  </w:tcMar>
                  <w:vAlign w:val="center"/>
                </w:tcPr>
                <w:p w14:paraId="019F885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环境风</w:t>
                  </w:r>
                </w:p>
                <w:p w14:paraId="66017CB1">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险防控</w:t>
                  </w:r>
                </w:p>
              </w:tc>
              <w:tc>
                <w:tcPr>
                  <w:tcW w:w="2682" w:type="pct"/>
                  <w:noWrap w:val="0"/>
                  <w:tcMar>
                    <w:top w:w="0" w:type="dxa"/>
                    <w:left w:w="28" w:type="dxa"/>
                    <w:bottom w:w="0" w:type="dxa"/>
                    <w:right w:w="28" w:type="dxa"/>
                  </w:tcMar>
                  <w:vAlign w:val="center"/>
                </w:tcPr>
                <w:p w14:paraId="713C3D0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1.重点监管企业和园区周边土壤和地下水环境污染风险防控：定期开展监督性监测，重点监测重金属和持久性有机污染物；</w:t>
                  </w:r>
                </w:p>
                <w:p w14:paraId="4CA7A3E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2.加强园区与周边敏感区环境风险防范设施建设；</w:t>
                  </w:r>
                </w:p>
                <w:p w14:paraId="4EB5C28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rPr>
                    <w:t>3.对于易导致环境风险的有毒有害和易燃易爆物质的生产、使用、排放、贮运等新建、改扩建项目，风险防控措施应满足本评价提出的环境风险管理要求。</w:t>
                  </w:r>
                </w:p>
                <w:p w14:paraId="4880FEC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4</w:t>
                  </w:r>
                  <w:r>
                    <w:rPr>
                      <w:rFonts w:hint="default" w:ascii="Times New Roman" w:hAnsi="Times New Roman" w:eastAsia="宋体" w:cs="Times New Roman"/>
                      <w:sz w:val="21"/>
                      <w:szCs w:val="21"/>
                      <w:highlight w:val="none"/>
                    </w:rPr>
                    <w:t>.实施“三级防控”措施，将事故废水严格控制在一定区域范围内。各入区涉水企业设置废水事故池，事故状态下废水送事故池存放，待废水处理站事故消除后，将事故池废水送废水站处理，不得排入外环境。</w:t>
                  </w:r>
                </w:p>
                <w:p w14:paraId="78D11EF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5</w:t>
                  </w:r>
                  <w:r>
                    <w:rPr>
                      <w:rFonts w:hint="default" w:ascii="Times New Roman" w:hAnsi="Times New Roman" w:eastAsia="宋体" w:cs="Times New Roman"/>
                      <w:sz w:val="21"/>
                      <w:szCs w:val="21"/>
                      <w:highlight w:val="none"/>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5E4E4F9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6</w:t>
                  </w:r>
                  <w:r>
                    <w:rPr>
                      <w:rFonts w:hint="default" w:ascii="Times New Roman" w:hAnsi="Times New Roman" w:eastAsia="宋体" w:cs="Times New Roman"/>
                      <w:sz w:val="21"/>
                      <w:szCs w:val="21"/>
                      <w:highlight w:val="none"/>
                    </w:rPr>
                    <w:t>.建设用地风险管控和修复：用途变更为“一住两公”地块、腾退工矿企业用地、土壤污染重点监管单位在终止生产经营活动前应依法开展土壤和地下水环境初步调查，编制调查报告。土壤和地下水环境初步调查发现该重点单位用地污染物含量超过国家或者地方有关建设用地土壤污染风险管控标准的，应当开展详细调查、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1161" w:type="pct"/>
                  <w:noWrap w:val="0"/>
                  <w:tcMar>
                    <w:top w:w="0" w:type="dxa"/>
                    <w:left w:w="28" w:type="dxa"/>
                    <w:bottom w:w="0" w:type="dxa"/>
                    <w:right w:w="28" w:type="dxa"/>
                  </w:tcMar>
                  <w:vAlign w:val="center"/>
                </w:tcPr>
                <w:p w14:paraId="68A92D3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1-3、不涉及</w:t>
                  </w:r>
                  <w:r>
                    <w:rPr>
                      <w:rFonts w:hint="eastAsia" w:ascii="Times New Roman" w:hAnsi="Times New Roman" w:cs="Times New Roman"/>
                      <w:snapToGrid w:val="0"/>
                      <w:color w:val="auto"/>
                      <w:sz w:val="21"/>
                      <w:szCs w:val="21"/>
                      <w:highlight w:val="none"/>
                      <w:lang w:val="en-US" w:eastAsia="zh-CN"/>
                    </w:rPr>
                    <w:t>；</w:t>
                  </w:r>
                </w:p>
                <w:p w14:paraId="764657F7">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4</w:t>
                  </w:r>
                  <w:r>
                    <w:rPr>
                      <w:rFonts w:hint="default" w:ascii="Times New Roman" w:hAnsi="Times New Roman" w:eastAsia="宋体" w:cs="Times New Roman"/>
                      <w:snapToGrid w:val="0"/>
                      <w:color w:val="auto"/>
                      <w:sz w:val="21"/>
                      <w:szCs w:val="21"/>
                      <w:highlight w:val="none"/>
                      <w:lang w:val="en-US" w:eastAsia="zh-CN"/>
                    </w:rPr>
                    <w:t>、公司已设“三级防控”措施；</w:t>
                  </w:r>
                </w:p>
                <w:p w14:paraId="3355746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5</w:t>
                  </w:r>
                  <w:r>
                    <w:rPr>
                      <w:rFonts w:hint="default" w:ascii="Times New Roman" w:hAnsi="Times New Roman" w:eastAsia="宋体" w:cs="Times New Roman"/>
                      <w:snapToGrid w:val="0"/>
                      <w:color w:val="auto"/>
                      <w:sz w:val="21"/>
                      <w:szCs w:val="21"/>
                      <w:highlight w:val="none"/>
                      <w:lang w:val="en-US" w:eastAsia="zh-CN"/>
                    </w:rPr>
                    <w:t>、项目危废即产即清，</w:t>
                  </w:r>
                  <w:r>
                    <w:rPr>
                      <w:rFonts w:hint="eastAsia" w:ascii="Times New Roman" w:hAnsi="Times New Roman" w:eastAsia="宋体" w:cs="Times New Roman"/>
                      <w:snapToGrid w:val="0"/>
                      <w:color w:val="auto"/>
                      <w:sz w:val="21"/>
                      <w:szCs w:val="21"/>
                      <w:highlight w:val="none"/>
                      <w:lang w:val="en-US" w:eastAsia="zh-CN"/>
                    </w:rPr>
                    <w:t>交由有危废处置资质单位处置</w:t>
                  </w:r>
                  <w:r>
                    <w:rPr>
                      <w:rFonts w:hint="default" w:ascii="Times New Roman" w:hAnsi="Times New Roman" w:eastAsia="宋体" w:cs="Times New Roman"/>
                      <w:snapToGrid w:val="0"/>
                      <w:color w:val="auto"/>
                      <w:sz w:val="21"/>
                      <w:szCs w:val="21"/>
                      <w:highlight w:val="none"/>
                      <w:lang w:val="en-US" w:eastAsia="zh-CN"/>
                    </w:rPr>
                    <w:t>；</w:t>
                  </w:r>
                </w:p>
                <w:p w14:paraId="65ABEDC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6</w:t>
                  </w:r>
                  <w:r>
                    <w:rPr>
                      <w:rFonts w:hint="default" w:ascii="Times New Roman" w:hAnsi="Times New Roman" w:eastAsia="宋体" w:cs="Times New Roman"/>
                      <w:snapToGrid w:val="0"/>
                      <w:color w:val="auto"/>
                      <w:sz w:val="21"/>
                      <w:szCs w:val="21"/>
                      <w:highlight w:val="none"/>
                      <w:lang w:val="en-US" w:eastAsia="zh-CN"/>
                    </w:rPr>
                    <w:t>、不涉及</w:t>
                  </w:r>
                  <w:r>
                    <w:rPr>
                      <w:rFonts w:hint="eastAsia" w:ascii="Times New Roman" w:hAnsi="Times New Roman" w:cs="Times New Roman"/>
                      <w:snapToGrid w:val="0"/>
                      <w:color w:val="auto"/>
                      <w:sz w:val="21"/>
                      <w:szCs w:val="21"/>
                      <w:highlight w:val="none"/>
                      <w:lang w:val="en-US" w:eastAsia="zh-CN"/>
                    </w:rPr>
                    <w:t>。</w:t>
                  </w:r>
                </w:p>
              </w:tc>
              <w:tc>
                <w:tcPr>
                  <w:tcW w:w="564" w:type="pct"/>
                  <w:noWrap w:val="0"/>
                  <w:tcMar>
                    <w:top w:w="0" w:type="dxa"/>
                    <w:left w:w="28" w:type="dxa"/>
                    <w:bottom w:w="0" w:type="dxa"/>
                    <w:right w:w="28" w:type="dxa"/>
                  </w:tcMar>
                  <w:vAlign w:val="center"/>
                </w:tcPr>
                <w:p w14:paraId="5E1617D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6DD0F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 w:type="pct"/>
                  <w:vMerge w:val="continue"/>
                  <w:noWrap w:val="0"/>
                  <w:tcMar>
                    <w:top w:w="0" w:type="dxa"/>
                    <w:left w:w="28" w:type="dxa"/>
                    <w:bottom w:w="0" w:type="dxa"/>
                    <w:right w:w="28" w:type="dxa"/>
                  </w:tcMar>
                  <w:vAlign w:val="center"/>
                </w:tcPr>
                <w:p w14:paraId="58E0DE9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p>
              </w:tc>
              <w:tc>
                <w:tcPr>
                  <w:tcW w:w="389" w:type="pct"/>
                  <w:noWrap w:val="0"/>
                  <w:tcMar>
                    <w:top w:w="0" w:type="dxa"/>
                    <w:left w:w="28" w:type="dxa"/>
                    <w:bottom w:w="0" w:type="dxa"/>
                    <w:right w:w="28" w:type="dxa"/>
                  </w:tcMar>
                  <w:vAlign w:val="center"/>
                </w:tcPr>
                <w:p w14:paraId="600AEDF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资源开发利用要求</w:t>
                  </w:r>
                </w:p>
              </w:tc>
              <w:tc>
                <w:tcPr>
                  <w:tcW w:w="2682" w:type="pct"/>
                  <w:noWrap w:val="0"/>
                  <w:tcMar>
                    <w:top w:w="0" w:type="dxa"/>
                    <w:left w:w="28" w:type="dxa"/>
                    <w:bottom w:w="0" w:type="dxa"/>
                    <w:right w:w="28" w:type="dxa"/>
                  </w:tcMar>
                  <w:vAlign w:val="center"/>
                </w:tcPr>
                <w:p w14:paraId="042D57F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1.入区项目资源和能源消耗量应满足开发区划定的土地、水、能源等主要资源能源可开发利用总量上线：能源利用上线：煤炭用量39.67万t/a：天然气用量为4102.91万m</w:t>
                  </w:r>
                  <w:r>
                    <w:rPr>
                      <w:rFonts w:hint="default" w:ascii="Times New Roman" w:hAnsi="Times New Roman" w:eastAsia="宋体" w:cs="Times New Roman"/>
                      <w:sz w:val="21"/>
                      <w:szCs w:val="21"/>
                      <w:highlight w:val="none"/>
                      <w:vertAlign w:val="superscript"/>
                    </w:rPr>
                    <w:t>3</w:t>
                  </w:r>
                  <w:r>
                    <w:rPr>
                      <w:rFonts w:hint="default" w:ascii="Times New Roman" w:hAnsi="Times New Roman" w:eastAsia="宋体" w:cs="Times New Roman"/>
                      <w:sz w:val="21"/>
                      <w:szCs w:val="21"/>
                      <w:highlight w:val="none"/>
                    </w:rPr>
                    <w:t>/a；水资源利用上线：新水量为432.945万m</w:t>
                  </w:r>
                  <w:r>
                    <w:rPr>
                      <w:rFonts w:hint="default" w:ascii="Times New Roman" w:hAnsi="Times New Roman" w:eastAsia="宋体" w:cs="Times New Roman"/>
                      <w:sz w:val="21"/>
                      <w:szCs w:val="21"/>
                      <w:highlight w:val="none"/>
                      <w:vertAlign w:val="superscript"/>
                    </w:rPr>
                    <w:t>3</w:t>
                  </w:r>
                  <w:r>
                    <w:rPr>
                      <w:rFonts w:hint="default" w:ascii="Times New Roman" w:hAnsi="Times New Roman" w:eastAsia="宋体" w:cs="Times New Roman"/>
                      <w:sz w:val="21"/>
                      <w:szCs w:val="21"/>
                      <w:highlight w:val="none"/>
                    </w:rPr>
                    <w:t>/a；土地利用上线：工业用地面积864.20hm</w:t>
                  </w:r>
                  <w:r>
                    <w:rPr>
                      <w:rFonts w:hint="default" w:ascii="Times New Roman" w:hAnsi="Times New Roman" w:eastAsia="宋体" w:cs="Times New Roman"/>
                      <w:sz w:val="21"/>
                      <w:szCs w:val="21"/>
                      <w:highlight w:val="none"/>
                      <w:vertAlign w:val="superscript"/>
                    </w:rPr>
                    <w:t>2</w:t>
                  </w:r>
                  <w:r>
                    <w:rPr>
                      <w:rFonts w:hint="default" w:ascii="Times New Roman" w:hAnsi="Times New Roman" w:eastAsia="宋体" w:cs="Times New Roman"/>
                      <w:sz w:val="21"/>
                      <w:szCs w:val="21"/>
                      <w:highlight w:val="none"/>
                    </w:rPr>
                    <w:t>。</w:t>
                  </w:r>
                </w:p>
                <w:p w14:paraId="244900F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2.不断优化能源消费结构，优先利用区域集中供热和工业余热资源，禁止建设分散燃煤供热设施。</w:t>
                  </w:r>
                </w:p>
                <w:p w14:paraId="7517D58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3.加快推进水源切换，现有拥有合法手续的自备水井给予保留备用，南寨地表水厂建成后，园区内自备水井进行封井；封井前，开发区现有企业应严格落实取水许可制度，不得突破地下水取水许可量。</w:t>
                  </w:r>
                </w:p>
              </w:tc>
              <w:tc>
                <w:tcPr>
                  <w:tcW w:w="1161" w:type="pct"/>
                  <w:noWrap w:val="0"/>
                  <w:tcMar>
                    <w:top w:w="0" w:type="dxa"/>
                    <w:left w:w="28" w:type="dxa"/>
                    <w:bottom w:w="0" w:type="dxa"/>
                    <w:right w:w="28" w:type="dxa"/>
                  </w:tcMar>
                  <w:vAlign w:val="center"/>
                </w:tcPr>
                <w:p w14:paraId="07BBE5CC">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1、项目</w:t>
                  </w:r>
                  <w:r>
                    <w:rPr>
                      <w:rFonts w:hint="eastAsia" w:ascii="Times New Roman" w:hAnsi="Times New Roman" w:cs="Times New Roman"/>
                      <w:snapToGrid w:val="0"/>
                      <w:color w:val="auto"/>
                      <w:sz w:val="21"/>
                      <w:szCs w:val="21"/>
                      <w:highlight w:val="none"/>
                      <w:lang w:val="en-US" w:eastAsia="zh-CN"/>
                    </w:rPr>
                    <w:t>用水量较小；租用现有厂房建设；</w:t>
                  </w:r>
                  <w:r>
                    <w:rPr>
                      <w:rFonts w:hint="default" w:ascii="Times New Roman" w:hAnsi="Times New Roman" w:eastAsia="宋体" w:cs="Times New Roman"/>
                      <w:snapToGrid w:val="0"/>
                      <w:color w:val="auto"/>
                      <w:sz w:val="21"/>
                      <w:szCs w:val="21"/>
                      <w:highlight w:val="none"/>
                      <w:lang w:val="en-US" w:eastAsia="zh-CN"/>
                    </w:rPr>
                    <w:t>生产主要采用电进行生产，用电量不突破资源上限；</w:t>
                  </w:r>
                </w:p>
                <w:p w14:paraId="7811C56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2、不涉及；</w:t>
                  </w:r>
                </w:p>
                <w:p w14:paraId="0AA4CF5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eastAsia="宋体" w:cs="Times New Roman"/>
                      <w:snapToGrid w:val="0"/>
                      <w:color w:val="auto"/>
                      <w:sz w:val="21"/>
                      <w:szCs w:val="21"/>
                      <w:highlight w:val="none"/>
                      <w:lang w:val="en-US" w:eastAsia="zh-CN"/>
                    </w:rPr>
                    <w:t>3、项目</w:t>
                  </w:r>
                  <w:r>
                    <w:rPr>
                      <w:rFonts w:hint="eastAsia" w:ascii="Times New Roman" w:hAnsi="Times New Roman" w:cs="Times New Roman"/>
                      <w:snapToGrid w:val="0"/>
                      <w:color w:val="auto"/>
                      <w:sz w:val="21"/>
                      <w:szCs w:val="21"/>
                      <w:highlight w:val="none"/>
                      <w:lang w:val="en-US" w:eastAsia="zh-CN"/>
                    </w:rPr>
                    <w:t>不涉及地下水开采。</w:t>
                  </w:r>
                </w:p>
              </w:tc>
              <w:tc>
                <w:tcPr>
                  <w:tcW w:w="564" w:type="pct"/>
                  <w:noWrap w:val="0"/>
                  <w:tcMar>
                    <w:top w:w="0" w:type="dxa"/>
                    <w:left w:w="28" w:type="dxa"/>
                    <w:bottom w:w="0" w:type="dxa"/>
                    <w:right w:w="28" w:type="dxa"/>
                  </w:tcMar>
                  <w:vAlign w:val="center"/>
                </w:tcPr>
                <w:p w14:paraId="04339216">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outlineLvl w:val="0"/>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bl>
          <w:p w14:paraId="26E44828">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440" w:lineRule="exact"/>
              <w:ind w:left="0" w:right="0"/>
              <w:jc w:val="center"/>
              <w:textAlignment w:val="auto"/>
              <w:rPr>
                <w:rFonts w:hint="default" w:ascii="Times New Roman" w:hAnsi="Times New Roman" w:eastAsia="宋体" w:cs="Times New Roman"/>
                <w:b/>
                <w:bCs/>
                <w:color w:val="auto"/>
                <w:sz w:val="24"/>
                <w:szCs w:val="20"/>
                <w:highlight w:val="none"/>
              </w:rPr>
            </w:pPr>
            <w:r>
              <w:rPr>
                <w:rFonts w:hint="default" w:ascii="Times New Roman" w:hAnsi="Times New Roman" w:eastAsia="宋体" w:cs="Times New Roman"/>
                <w:b/>
                <w:bCs/>
                <w:color w:val="auto"/>
                <w:sz w:val="24"/>
                <w:szCs w:val="20"/>
                <w:highlight w:val="none"/>
              </w:rPr>
              <w:t>表</w:t>
            </w:r>
            <w:r>
              <w:rPr>
                <w:rFonts w:hint="default" w:ascii="Times New Roman" w:hAnsi="Times New Roman" w:eastAsia="宋体" w:cs="Times New Roman"/>
                <w:b/>
                <w:bCs/>
                <w:color w:val="auto"/>
                <w:sz w:val="24"/>
                <w:szCs w:val="20"/>
                <w:highlight w:val="none"/>
                <w:lang w:val="en-US" w:eastAsia="zh-CN"/>
              </w:rPr>
              <w:t>1-</w:t>
            </w:r>
            <w:r>
              <w:rPr>
                <w:rFonts w:hint="eastAsia" w:ascii="Times New Roman" w:hAnsi="Times New Roman" w:eastAsia="宋体" w:cs="Times New Roman"/>
                <w:b/>
                <w:bCs/>
                <w:color w:val="auto"/>
                <w:sz w:val="24"/>
                <w:szCs w:val="20"/>
                <w:highlight w:val="none"/>
                <w:lang w:val="en-US" w:eastAsia="zh-CN"/>
              </w:rPr>
              <w:t>3</w:t>
            </w:r>
            <w:r>
              <w:rPr>
                <w:rFonts w:hint="default" w:ascii="Times New Roman" w:hAnsi="Times New Roman" w:eastAsia="宋体" w:cs="Times New Roman"/>
                <w:b/>
                <w:bCs/>
                <w:color w:val="auto"/>
                <w:sz w:val="24"/>
                <w:szCs w:val="20"/>
                <w:highlight w:val="none"/>
                <w:lang w:val="en-US" w:eastAsia="zh-CN"/>
              </w:rPr>
              <w:t xml:space="preserve"> </w:t>
            </w:r>
            <w:r>
              <w:rPr>
                <w:rFonts w:hint="default" w:ascii="Times New Roman" w:hAnsi="Times New Roman" w:eastAsia="宋体" w:cs="Times New Roman"/>
                <w:b/>
                <w:bCs/>
                <w:color w:val="auto"/>
                <w:sz w:val="24"/>
                <w:szCs w:val="20"/>
                <w:highlight w:val="none"/>
              </w:rPr>
              <w:t xml:space="preserve">  本项目与园区总体生态环境准入清单符合性分析一览表</w:t>
            </w:r>
          </w:p>
          <w:tbl>
            <w:tblPr>
              <w:tblStyle w:val="47"/>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5"/>
              <w:gridCol w:w="607"/>
              <w:gridCol w:w="4229"/>
              <w:gridCol w:w="1501"/>
              <w:gridCol w:w="640"/>
            </w:tblGrid>
            <w:tr w14:paraId="1E181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gridSpan w:val="2"/>
                  <w:noWrap w:val="0"/>
                  <w:tcMar>
                    <w:top w:w="0" w:type="dxa"/>
                    <w:left w:w="28" w:type="dxa"/>
                    <w:bottom w:w="0" w:type="dxa"/>
                    <w:right w:w="28" w:type="dxa"/>
                  </w:tcMar>
                  <w:vAlign w:val="top"/>
                </w:tcPr>
                <w:p w14:paraId="3614A04F">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清单类型</w:t>
                  </w:r>
                </w:p>
              </w:tc>
              <w:tc>
                <w:tcPr>
                  <w:tcW w:w="2919" w:type="pct"/>
                  <w:noWrap w:val="0"/>
                  <w:tcMar>
                    <w:top w:w="0" w:type="dxa"/>
                    <w:left w:w="28" w:type="dxa"/>
                    <w:bottom w:w="0" w:type="dxa"/>
                    <w:right w:w="28" w:type="dxa"/>
                  </w:tcMar>
                  <w:vAlign w:val="center"/>
                </w:tcPr>
                <w:p w14:paraId="025A80F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eastAsia="zh-CN"/>
                    </w:rPr>
                  </w:pPr>
                  <w:r>
                    <w:rPr>
                      <w:rFonts w:hint="default" w:ascii="Times New Roman" w:hAnsi="Times New Roman" w:eastAsia="宋体" w:cs="Times New Roman"/>
                      <w:snapToGrid w:val="0"/>
                      <w:color w:val="auto"/>
                      <w:spacing w:val="0"/>
                      <w:sz w:val="21"/>
                      <w:szCs w:val="21"/>
                      <w:highlight w:val="none"/>
                      <w:lang w:val="en-US" w:eastAsia="zh-CN"/>
                    </w:rPr>
                    <w:t>准入要求</w:t>
                  </w:r>
                </w:p>
              </w:tc>
              <w:tc>
                <w:tcPr>
                  <w:tcW w:w="1036" w:type="pct"/>
                  <w:noWrap w:val="0"/>
                  <w:tcMar>
                    <w:top w:w="0" w:type="dxa"/>
                    <w:left w:w="28" w:type="dxa"/>
                    <w:bottom w:w="0" w:type="dxa"/>
                    <w:right w:w="28" w:type="dxa"/>
                  </w:tcMar>
                  <w:vAlign w:val="center"/>
                </w:tcPr>
                <w:p w14:paraId="61FD73C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本项目情况</w:t>
                  </w:r>
                </w:p>
              </w:tc>
              <w:tc>
                <w:tcPr>
                  <w:tcW w:w="441" w:type="pct"/>
                  <w:noWrap w:val="0"/>
                  <w:tcMar>
                    <w:top w:w="0" w:type="dxa"/>
                    <w:left w:w="28" w:type="dxa"/>
                    <w:bottom w:w="0" w:type="dxa"/>
                    <w:right w:w="28" w:type="dxa"/>
                  </w:tcMar>
                  <w:vAlign w:val="center"/>
                </w:tcPr>
                <w:p w14:paraId="507E12D1">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符合性</w:t>
                  </w:r>
                </w:p>
              </w:tc>
            </w:tr>
            <w:tr w14:paraId="33721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0" w:hRule="atLeast"/>
              </w:trPr>
              <w:tc>
                <w:tcPr>
                  <w:tcW w:w="182" w:type="pct"/>
                  <w:vMerge w:val="restart"/>
                  <w:noWrap w:val="0"/>
                  <w:tcMar>
                    <w:top w:w="0" w:type="dxa"/>
                    <w:left w:w="28" w:type="dxa"/>
                    <w:bottom w:w="0" w:type="dxa"/>
                    <w:right w:w="28" w:type="dxa"/>
                  </w:tcMar>
                  <w:vAlign w:val="center"/>
                </w:tcPr>
                <w:p w14:paraId="53DBE9E1">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本评</w:t>
                  </w:r>
                </w:p>
                <w:p w14:paraId="067DBF94">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价补</w:t>
                  </w:r>
                </w:p>
                <w:p w14:paraId="6494E74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充要</w:t>
                  </w:r>
                </w:p>
                <w:p w14:paraId="6C6B71E7">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求</w:t>
                  </w:r>
                </w:p>
              </w:tc>
              <w:tc>
                <w:tcPr>
                  <w:tcW w:w="419" w:type="pct"/>
                  <w:noWrap w:val="0"/>
                  <w:tcMar>
                    <w:top w:w="0" w:type="dxa"/>
                    <w:left w:w="28" w:type="dxa"/>
                    <w:bottom w:w="0" w:type="dxa"/>
                    <w:right w:w="28" w:type="dxa"/>
                  </w:tcMar>
                  <w:vAlign w:val="center"/>
                </w:tcPr>
                <w:p w14:paraId="424AF73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空间布局约束</w:t>
                  </w:r>
                </w:p>
              </w:tc>
              <w:tc>
                <w:tcPr>
                  <w:tcW w:w="2919" w:type="pct"/>
                  <w:noWrap w:val="0"/>
                  <w:tcMar>
                    <w:top w:w="0" w:type="dxa"/>
                    <w:left w:w="28" w:type="dxa"/>
                    <w:bottom w:w="0" w:type="dxa"/>
                    <w:right w:w="28" w:type="dxa"/>
                  </w:tcMar>
                  <w:vAlign w:val="top"/>
                </w:tcPr>
                <w:p w14:paraId="68D81AAE">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1.将位于水土保持和水源涵养一般生态空间部分划为优先保护区域，严格按照水土保持和水源涵养的管控要求进行开发建设。</w:t>
                  </w:r>
                </w:p>
                <w:p w14:paraId="55D7811F">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698BAF2A">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3.居住用地、教育用地50米范围内布局办公区、仓储区或机械加工区，50~100m范围内禁止新上涉及表面处理工序的重污染项目；新增涉及喷涂工序的生产企业通过使用水性、粉末、高固体分、无溶剂、辐射固化等低VOCs含量的涂料降低有机废气排放，使用涂料应满足《低挥发性有机化合物含量涂料产品技术要求》；采用《排污许可证申请与核发技术规范铁路、船舶、航空航天和其他运输设备制造业》附录A表面处理（涂装）排污单位中可行技术，禁止使用单一低温等离子、光氧化、光催化、非水溶性VOCs废气处理技术。</w:t>
                  </w:r>
                </w:p>
                <w:p w14:paraId="10DA5D09">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4.临近居住区和教育区一侧（道路除外）布设20m绿化带减缓对其的影响。</w:t>
                  </w:r>
                </w:p>
                <w:p w14:paraId="16AFE53A">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5.清凉湾湿地公园周边禁止倾倒有毒有害物质、废弃物、垃圾和其他破坏湿地及其生态功能的活动。</w:t>
                  </w:r>
                </w:p>
                <w:p w14:paraId="6AC2DE74">
                  <w:pPr>
                    <w:pStyle w:val="6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6.本评价要求工业园区入区企业进行工程建设前必须进行地质灾害评估和采取防治措施，入区企业根据地质情况，优化用地布局，存在环境风险的生产单元避让采空区。规划期间加强对地面沉降的监测，发现问题及时处理。</w:t>
                  </w:r>
                </w:p>
              </w:tc>
              <w:tc>
                <w:tcPr>
                  <w:tcW w:w="1036" w:type="pct"/>
                  <w:noWrap w:val="0"/>
                  <w:tcMar>
                    <w:top w:w="0" w:type="dxa"/>
                    <w:left w:w="28" w:type="dxa"/>
                    <w:bottom w:w="0" w:type="dxa"/>
                    <w:right w:w="28" w:type="dxa"/>
                  </w:tcMar>
                  <w:vAlign w:val="center"/>
                </w:tcPr>
                <w:p w14:paraId="230A342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eastAsia="zh-CN"/>
                    </w:rPr>
                  </w:pPr>
                  <w:r>
                    <w:rPr>
                      <w:rFonts w:hint="default" w:ascii="Times New Roman" w:hAnsi="Times New Roman" w:eastAsia="宋体" w:cs="Times New Roman"/>
                      <w:snapToGrid w:val="0"/>
                      <w:color w:val="auto"/>
                      <w:spacing w:val="0"/>
                      <w:sz w:val="21"/>
                      <w:szCs w:val="21"/>
                      <w:highlight w:val="none"/>
                      <w:lang w:val="en-US" w:eastAsia="zh-CN"/>
                    </w:rPr>
                    <w:t>1、不涉及</w:t>
                  </w:r>
                  <w:r>
                    <w:rPr>
                      <w:rFonts w:hint="default" w:ascii="Times New Roman" w:hAnsi="Times New Roman" w:eastAsia="宋体" w:cs="Times New Roman"/>
                      <w:snapToGrid w:val="0"/>
                      <w:color w:val="auto"/>
                      <w:spacing w:val="0"/>
                      <w:sz w:val="21"/>
                      <w:szCs w:val="21"/>
                      <w:highlight w:val="none"/>
                      <w:lang w:eastAsia="zh-CN"/>
                    </w:rPr>
                    <w:t>；</w:t>
                  </w:r>
                </w:p>
                <w:p w14:paraId="6EFAB1D3">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eastAsia="zh-CN"/>
                    </w:rPr>
                  </w:pPr>
                  <w:r>
                    <w:rPr>
                      <w:rFonts w:hint="default" w:ascii="Times New Roman" w:hAnsi="Times New Roman" w:eastAsia="宋体" w:cs="Times New Roman"/>
                      <w:snapToGrid w:val="0"/>
                      <w:color w:val="auto"/>
                      <w:spacing w:val="0"/>
                      <w:sz w:val="21"/>
                      <w:szCs w:val="21"/>
                      <w:highlight w:val="none"/>
                      <w:lang w:val="en-US" w:eastAsia="zh-CN"/>
                    </w:rPr>
                    <w:t>2、不涉及</w:t>
                  </w:r>
                  <w:r>
                    <w:rPr>
                      <w:rFonts w:hint="default" w:ascii="Times New Roman" w:hAnsi="Times New Roman" w:eastAsia="宋体" w:cs="Times New Roman"/>
                      <w:snapToGrid w:val="0"/>
                      <w:color w:val="auto"/>
                      <w:spacing w:val="0"/>
                      <w:sz w:val="21"/>
                      <w:szCs w:val="21"/>
                      <w:highlight w:val="none"/>
                      <w:lang w:eastAsia="zh-CN"/>
                    </w:rPr>
                    <w:t>；</w:t>
                  </w:r>
                </w:p>
                <w:p w14:paraId="789506BF">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eastAsia"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3、项目</w:t>
                  </w:r>
                  <w:r>
                    <w:rPr>
                      <w:rFonts w:hint="eastAsia" w:ascii="Times New Roman" w:hAnsi="Times New Roman" w:eastAsia="宋体" w:cs="Times New Roman"/>
                      <w:snapToGrid w:val="0"/>
                      <w:color w:val="auto"/>
                      <w:spacing w:val="0"/>
                      <w:sz w:val="21"/>
                      <w:szCs w:val="21"/>
                      <w:highlight w:val="none"/>
                      <w:lang w:val="en-US" w:eastAsia="zh-CN"/>
                    </w:rPr>
                    <w:t>租赁</w:t>
                  </w:r>
                  <w:r>
                    <w:rPr>
                      <w:rFonts w:hint="default" w:ascii="Times New Roman" w:hAnsi="Times New Roman" w:eastAsia="宋体" w:cs="Times New Roman"/>
                      <w:snapToGrid w:val="0"/>
                      <w:color w:val="auto"/>
                      <w:spacing w:val="0"/>
                      <w:sz w:val="21"/>
                      <w:szCs w:val="21"/>
                      <w:highlight w:val="none"/>
                      <w:lang w:val="en-US" w:eastAsia="zh-CN"/>
                    </w:rPr>
                    <w:t>现有厂房进行建设</w:t>
                  </w:r>
                  <w:r>
                    <w:rPr>
                      <w:rFonts w:hint="eastAsia" w:ascii="Times New Roman" w:hAnsi="Times New Roman" w:eastAsia="宋体" w:cs="Times New Roman"/>
                      <w:snapToGrid w:val="0"/>
                      <w:color w:val="auto"/>
                      <w:spacing w:val="0"/>
                      <w:sz w:val="21"/>
                      <w:szCs w:val="21"/>
                      <w:highlight w:val="none"/>
                      <w:lang w:val="en-US" w:eastAsia="zh-CN"/>
                    </w:rPr>
                    <w:t>，占地性质为工业用地</w:t>
                  </w:r>
                  <w:r>
                    <w:rPr>
                      <w:rFonts w:hint="default" w:ascii="Times New Roman" w:hAnsi="Times New Roman" w:eastAsia="宋体" w:cs="Times New Roman"/>
                      <w:snapToGrid w:val="0"/>
                      <w:color w:val="auto"/>
                      <w:spacing w:val="0"/>
                      <w:sz w:val="21"/>
                      <w:szCs w:val="21"/>
                      <w:highlight w:val="none"/>
                      <w:lang w:eastAsia="zh-CN"/>
                    </w:rPr>
                    <w:t>；</w:t>
                  </w:r>
                  <w:r>
                    <w:rPr>
                      <w:rFonts w:hint="eastAsia" w:ascii="Times New Roman" w:hAnsi="Times New Roman" w:eastAsia="宋体" w:cs="Times New Roman"/>
                      <w:snapToGrid w:val="0"/>
                      <w:color w:val="auto"/>
                      <w:spacing w:val="0"/>
                      <w:sz w:val="21"/>
                      <w:szCs w:val="21"/>
                      <w:highlight w:val="none"/>
                      <w:lang w:val="en-US" w:eastAsia="zh-CN"/>
                    </w:rPr>
                    <w:t>周围</w:t>
                  </w:r>
                  <w:r>
                    <w:rPr>
                      <w:rFonts w:hint="eastAsia" w:ascii="Times New Roman" w:hAnsi="Times New Roman" w:cs="Times New Roman"/>
                      <w:snapToGrid w:val="0"/>
                      <w:color w:val="auto"/>
                      <w:spacing w:val="0"/>
                      <w:sz w:val="21"/>
                      <w:szCs w:val="21"/>
                      <w:highlight w:val="none"/>
                      <w:lang w:val="en-US" w:eastAsia="zh-CN"/>
                    </w:rPr>
                    <w:t>10</w:t>
                  </w:r>
                  <w:r>
                    <w:rPr>
                      <w:rFonts w:hint="eastAsia" w:ascii="Times New Roman" w:hAnsi="Times New Roman" w:eastAsia="宋体" w:cs="Times New Roman"/>
                      <w:snapToGrid w:val="0"/>
                      <w:color w:val="auto"/>
                      <w:spacing w:val="0"/>
                      <w:sz w:val="21"/>
                      <w:szCs w:val="21"/>
                      <w:highlight w:val="none"/>
                      <w:lang w:val="en-US" w:eastAsia="zh-CN"/>
                    </w:rPr>
                    <w:t>0m无</w:t>
                  </w:r>
                  <w:r>
                    <w:rPr>
                      <w:rFonts w:hint="default" w:ascii="Times New Roman" w:hAnsi="Times New Roman" w:eastAsia="宋体" w:cs="Times New Roman"/>
                      <w:snapToGrid w:val="0"/>
                      <w:color w:val="auto"/>
                      <w:spacing w:val="0"/>
                      <w:sz w:val="21"/>
                      <w:szCs w:val="21"/>
                      <w:highlight w:val="none"/>
                    </w:rPr>
                    <w:t>居住用地、教育用地</w:t>
                  </w:r>
                  <w:r>
                    <w:rPr>
                      <w:rFonts w:hint="eastAsia" w:ascii="Times New Roman" w:hAnsi="Times New Roman" w:eastAsia="宋体" w:cs="Times New Roman"/>
                      <w:snapToGrid w:val="0"/>
                      <w:color w:val="auto"/>
                      <w:spacing w:val="0"/>
                      <w:sz w:val="21"/>
                      <w:szCs w:val="21"/>
                      <w:highlight w:val="none"/>
                      <w:lang w:val="en-US" w:eastAsia="zh-CN"/>
                    </w:rPr>
                    <w:t>等</w:t>
                  </w:r>
                </w:p>
                <w:p w14:paraId="607691E0">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4、不涉及；</w:t>
                  </w:r>
                </w:p>
                <w:p w14:paraId="37307E9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5、不涉及；</w:t>
                  </w:r>
                </w:p>
                <w:p w14:paraId="65DC164C">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6、不涉及。</w:t>
                  </w:r>
                </w:p>
              </w:tc>
              <w:tc>
                <w:tcPr>
                  <w:tcW w:w="441" w:type="pct"/>
                  <w:noWrap w:val="0"/>
                  <w:tcMar>
                    <w:top w:w="0" w:type="dxa"/>
                    <w:left w:w="28" w:type="dxa"/>
                    <w:bottom w:w="0" w:type="dxa"/>
                    <w:right w:w="28" w:type="dxa"/>
                  </w:tcMar>
                  <w:vAlign w:val="center"/>
                </w:tcPr>
                <w:p w14:paraId="40EC96EA">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01A90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2" w:type="pct"/>
                  <w:vMerge w:val="continue"/>
                  <w:noWrap w:val="0"/>
                  <w:tcMar>
                    <w:top w:w="0" w:type="dxa"/>
                    <w:left w:w="28" w:type="dxa"/>
                    <w:bottom w:w="0" w:type="dxa"/>
                    <w:right w:w="28" w:type="dxa"/>
                  </w:tcMar>
                  <w:vAlign w:val="center"/>
                </w:tcPr>
                <w:p w14:paraId="3242B60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p>
              </w:tc>
              <w:tc>
                <w:tcPr>
                  <w:tcW w:w="419" w:type="pct"/>
                  <w:noWrap w:val="0"/>
                  <w:tcMar>
                    <w:top w:w="0" w:type="dxa"/>
                    <w:left w:w="28" w:type="dxa"/>
                    <w:bottom w:w="0" w:type="dxa"/>
                    <w:right w:w="28" w:type="dxa"/>
                  </w:tcMar>
                  <w:vAlign w:val="center"/>
                </w:tcPr>
                <w:p w14:paraId="4561D7DF">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污染物排放管</w:t>
                  </w:r>
                </w:p>
                <w:p w14:paraId="2FB63E3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控</w:t>
                  </w:r>
                </w:p>
              </w:tc>
              <w:tc>
                <w:tcPr>
                  <w:tcW w:w="2919" w:type="pct"/>
                  <w:noWrap w:val="0"/>
                  <w:tcMar>
                    <w:top w:w="0" w:type="dxa"/>
                    <w:left w:w="28" w:type="dxa"/>
                    <w:bottom w:w="0" w:type="dxa"/>
                    <w:right w:w="28" w:type="dxa"/>
                  </w:tcMar>
                  <w:vAlign w:val="top"/>
                </w:tcPr>
                <w:p w14:paraId="0665807E">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sz w:val="21"/>
                      <w:szCs w:val="21"/>
                      <w:highlight w:val="none"/>
                    </w:rPr>
                  </w:pPr>
                  <w:r>
                    <w:rPr>
                      <w:rFonts w:hint="default" w:ascii="Times New Roman" w:hAnsi="Times New Roman" w:eastAsia="宋体" w:cs="Times New Roman"/>
                      <w:spacing w:val="0"/>
                      <w:sz w:val="21"/>
                      <w:szCs w:val="21"/>
                      <w:highlight w:val="none"/>
                      <w:lang w:val="en-US" w:eastAsia="zh-CN"/>
                    </w:rPr>
                    <w:t>1.</w:t>
                  </w:r>
                  <w:r>
                    <w:rPr>
                      <w:rFonts w:hint="default" w:ascii="Times New Roman" w:hAnsi="Times New Roman" w:eastAsia="宋体" w:cs="Times New Roman"/>
                      <w:spacing w:val="0"/>
                      <w:sz w:val="21"/>
                      <w:szCs w:val="21"/>
                      <w:highlight w:val="none"/>
                    </w:rPr>
                    <w:t>重点关注挥发性有机物排放管控，禁止使用高VOCs含量涂料或胶粘剂。挥发性有机物治理工艺禁止采用低温等离子、光氧化/催化、劣质活性炭吸附、喷淋吸收等单一低效治理技术；采用活性炭吸附工艺的应满足《石家庄市涉VOCs企业活性炭吸附脱附技术指南》的要求；</w:t>
                  </w:r>
                </w:p>
                <w:p w14:paraId="4F7A6B4C">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sz w:val="21"/>
                      <w:szCs w:val="21"/>
                      <w:highlight w:val="none"/>
                    </w:rPr>
                  </w:pPr>
                  <w:r>
                    <w:rPr>
                      <w:rFonts w:hint="default" w:ascii="Times New Roman" w:hAnsi="Times New Roman" w:eastAsia="宋体" w:cs="Times New Roman"/>
                      <w:spacing w:val="0"/>
                      <w:sz w:val="21"/>
                      <w:szCs w:val="21"/>
                      <w:highlight w:val="none"/>
                    </w:rPr>
                    <w:t>2.入区企业生产废水经处理后全部回用，不外排。生活污水经收集后排入贾庄污水处理厂或矿区绿洁污水处理厂处理，不得向环境水体直接排放污水。</w:t>
                  </w:r>
                </w:p>
                <w:p w14:paraId="3C421BD4">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textAlignment w:val="auto"/>
                    <w:rPr>
                      <w:rFonts w:hint="default" w:ascii="Times New Roman" w:hAnsi="Times New Roman" w:eastAsia="宋体" w:cs="Times New Roman"/>
                      <w:spacing w:val="0"/>
                      <w:kern w:val="2"/>
                      <w:sz w:val="21"/>
                      <w:szCs w:val="21"/>
                      <w:highlight w:val="none"/>
                      <w:lang w:val="en-US" w:eastAsia="zh-CN" w:bidi="ar-SA"/>
                    </w:rPr>
                  </w:pPr>
                  <w:r>
                    <w:rPr>
                      <w:rFonts w:hint="default" w:ascii="Times New Roman" w:hAnsi="Times New Roman" w:eastAsia="宋体" w:cs="Times New Roman"/>
                      <w:spacing w:val="0"/>
                      <w:sz w:val="21"/>
                      <w:szCs w:val="21"/>
                      <w:highlight w:val="none"/>
                    </w:rPr>
                    <w:t>3.入区企业要达到清洁生产二级水平，使用天然气等清洁能源，加大大气污染物的治理力度，减少大气污染物的排放，最大限度减轻对清凉山风景名胜区的影响。</w:t>
                  </w:r>
                </w:p>
              </w:tc>
              <w:tc>
                <w:tcPr>
                  <w:tcW w:w="1036" w:type="pct"/>
                  <w:noWrap w:val="0"/>
                  <w:tcMar>
                    <w:top w:w="0" w:type="dxa"/>
                    <w:left w:w="28" w:type="dxa"/>
                    <w:bottom w:w="0" w:type="dxa"/>
                    <w:right w:w="28" w:type="dxa"/>
                  </w:tcMar>
                  <w:vAlign w:val="center"/>
                </w:tcPr>
                <w:p w14:paraId="1D3C0835">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1、本项目不使用高VOCs含量涂料或胶粘剂；</w:t>
                  </w:r>
                  <w:r>
                    <w:rPr>
                      <w:rFonts w:hint="eastAsia" w:ascii="Times New Roman" w:hAnsi="Times New Roman" w:cs="Times New Roman"/>
                      <w:snapToGrid w:val="0"/>
                      <w:color w:val="auto"/>
                      <w:spacing w:val="0"/>
                      <w:sz w:val="21"/>
                      <w:szCs w:val="21"/>
                      <w:highlight w:val="none"/>
                      <w:lang w:val="en-US" w:eastAsia="zh-CN"/>
                    </w:rPr>
                    <w:t>挥发性有机物由二级活性炭吸附装置处理，活性炭吸附装置满足《石家庄市涉VOCs企业活性炭吸附脱附技术指南》的要求；</w:t>
                  </w:r>
                </w:p>
                <w:p w14:paraId="45A3B932">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2、项目</w:t>
                  </w:r>
                  <w:r>
                    <w:rPr>
                      <w:rFonts w:hint="eastAsia" w:ascii="Times New Roman" w:hAnsi="Times New Roman" w:cs="Times New Roman"/>
                      <w:snapToGrid w:val="0"/>
                      <w:color w:val="auto"/>
                      <w:spacing w:val="0"/>
                      <w:sz w:val="21"/>
                      <w:szCs w:val="21"/>
                      <w:highlight w:val="none"/>
                      <w:lang w:val="en-US" w:eastAsia="zh-CN"/>
                    </w:rPr>
                    <w:t>废水主要为生活污水，由于项目所在区域尚未接通污水管网，并且生活污水产生量较小，水质简单，排入防渗旱厕，定期清掏用作农肥</w:t>
                  </w:r>
                  <w:r>
                    <w:rPr>
                      <w:rFonts w:hint="default" w:ascii="Times New Roman" w:hAnsi="Times New Roman" w:eastAsia="宋体" w:cs="Times New Roman"/>
                      <w:snapToGrid w:val="0"/>
                      <w:color w:val="auto"/>
                      <w:spacing w:val="0"/>
                      <w:sz w:val="21"/>
                      <w:szCs w:val="21"/>
                      <w:highlight w:val="none"/>
                      <w:lang w:val="en-US" w:eastAsia="zh-CN"/>
                    </w:rPr>
                    <w:t>；</w:t>
                  </w:r>
                </w:p>
                <w:p w14:paraId="11DADF93">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3、</w:t>
                  </w:r>
                  <w:r>
                    <w:rPr>
                      <w:rFonts w:hint="eastAsia" w:ascii="Times New Roman" w:hAnsi="Times New Roman" w:cs="Times New Roman"/>
                      <w:snapToGrid w:val="0"/>
                      <w:color w:val="auto"/>
                      <w:spacing w:val="0"/>
                      <w:sz w:val="21"/>
                      <w:szCs w:val="21"/>
                      <w:highlight w:val="none"/>
                      <w:lang w:val="en-US" w:eastAsia="zh-CN"/>
                    </w:rPr>
                    <w:t>本项目通过电加热方式，废气通过布袋除尘器、二级活性炭吸附装置等处理后，基本不会对清凉山风景名胜区产生影响。</w:t>
                  </w:r>
                </w:p>
              </w:tc>
              <w:tc>
                <w:tcPr>
                  <w:tcW w:w="441" w:type="pct"/>
                  <w:noWrap w:val="0"/>
                  <w:tcMar>
                    <w:top w:w="0" w:type="dxa"/>
                    <w:left w:w="28" w:type="dxa"/>
                    <w:bottom w:w="0" w:type="dxa"/>
                    <w:right w:w="28" w:type="dxa"/>
                  </w:tcMar>
                  <w:vAlign w:val="center"/>
                </w:tcPr>
                <w:p w14:paraId="5D2FC911">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01608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2" w:type="pct"/>
                  <w:vMerge w:val="continue"/>
                  <w:noWrap w:val="0"/>
                  <w:tcMar>
                    <w:top w:w="0" w:type="dxa"/>
                    <w:left w:w="28" w:type="dxa"/>
                    <w:bottom w:w="0" w:type="dxa"/>
                    <w:right w:w="28" w:type="dxa"/>
                  </w:tcMar>
                  <w:vAlign w:val="center"/>
                </w:tcPr>
                <w:p w14:paraId="6FA77257">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p>
              </w:tc>
              <w:tc>
                <w:tcPr>
                  <w:tcW w:w="419" w:type="pct"/>
                  <w:noWrap w:val="0"/>
                  <w:tcMar>
                    <w:top w:w="0" w:type="dxa"/>
                    <w:left w:w="28" w:type="dxa"/>
                    <w:bottom w:w="0" w:type="dxa"/>
                    <w:right w:w="28" w:type="dxa"/>
                  </w:tcMar>
                  <w:vAlign w:val="center"/>
                </w:tcPr>
                <w:p w14:paraId="4FFB93FB">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outlineLvl w:val="0"/>
                    <w:rPr>
                      <w:rFonts w:hint="default" w:ascii="Times New Roman" w:hAnsi="Times New Roman" w:eastAsia="宋体" w:cs="Times New Roman"/>
                      <w:snapToGrid w:val="0"/>
                      <w:color w:val="auto"/>
                      <w:spacing w:val="0"/>
                      <w:sz w:val="21"/>
                      <w:szCs w:val="21"/>
                      <w:highlight w:val="none"/>
                    </w:rPr>
                  </w:pPr>
                  <w:r>
                    <w:rPr>
                      <w:rFonts w:hint="default" w:ascii="Times New Roman" w:hAnsi="Times New Roman" w:eastAsia="宋体" w:cs="Times New Roman"/>
                      <w:snapToGrid w:val="0"/>
                      <w:color w:val="auto"/>
                      <w:spacing w:val="0"/>
                      <w:sz w:val="21"/>
                      <w:szCs w:val="21"/>
                      <w:highlight w:val="none"/>
                    </w:rPr>
                    <w:t>环境风险防控</w:t>
                  </w:r>
                </w:p>
              </w:tc>
              <w:tc>
                <w:tcPr>
                  <w:tcW w:w="2919" w:type="pct"/>
                  <w:noWrap w:val="0"/>
                  <w:tcMar>
                    <w:top w:w="0" w:type="dxa"/>
                    <w:left w:w="28" w:type="dxa"/>
                    <w:bottom w:w="0" w:type="dxa"/>
                    <w:right w:w="28" w:type="dxa"/>
                  </w:tcMar>
                  <w:vAlign w:val="top"/>
                </w:tcPr>
                <w:p w14:paraId="651F7B2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kern w:val="2"/>
                      <w:sz w:val="21"/>
                      <w:szCs w:val="21"/>
                      <w:highlight w:val="none"/>
                      <w:lang w:val="en-US" w:eastAsia="zh-CN" w:bidi="ar-SA"/>
                    </w:rPr>
                  </w:pPr>
                  <w:r>
                    <w:rPr>
                      <w:rFonts w:hint="default" w:ascii="Times New Roman" w:hAnsi="Times New Roman" w:eastAsia="宋体" w:cs="Times New Roman"/>
                      <w:spacing w:val="0"/>
                      <w:sz w:val="21"/>
                      <w:szCs w:val="21"/>
                      <w:highlight w:val="none"/>
                    </w:rPr>
                    <w:t>1.结合道路绿化、居住区绿地布置，合理布置涉及风险物质的生产单元，涉重大危险源生产装置和储罐区的项目不得紧邻居住区布局。加强重大危险源企业环境风险管理。</w:t>
                  </w:r>
                </w:p>
              </w:tc>
              <w:tc>
                <w:tcPr>
                  <w:tcW w:w="1036" w:type="pct"/>
                  <w:noWrap w:val="0"/>
                  <w:tcMar>
                    <w:top w:w="0" w:type="dxa"/>
                    <w:left w:w="28" w:type="dxa"/>
                    <w:bottom w:w="0" w:type="dxa"/>
                    <w:right w:w="28" w:type="dxa"/>
                  </w:tcMar>
                  <w:vAlign w:val="center"/>
                </w:tcPr>
                <w:p w14:paraId="272F460C">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1、不涉及</w:t>
                  </w:r>
                </w:p>
              </w:tc>
              <w:tc>
                <w:tcPr>
                  <w:tcW w:w="441" w:type="pct"/>
                  <w:noWrap w:val="0"/>
                  <w:tcMar>
                    <w:top w:w="0" w:type="dxa"/>
                    <w:left w:w="28" w:type="dxa"/>
                    <w:bottom w:w="0" w:type="dxa"/>
                    <w:right w:w="28" w:type="dxa"/>
                  </w:tcMar>
                  <w:vAlign w:val="center"/>
                </w:tcPr>
                <w:p w14:paraId="329283C4">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r w14:paraId="30E8B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2" w:type="pct"/>
                  <w:vMerge w:val="continue"/>
                  <w:noWrap w:val="0"/>
                  <w:tcMar>
                    <w:top w:w="0" w:type="dxa"/>
                    <w:left w:w="28" w:type="dxa"/>
                    <w:bottom w:w="0" w:type="dxa"/>
                    <w:right w:w="28" w:type="dxa"/>
                  </w:tcMar>
                  <w:vAlign w:val="center"/>
                </w:tcPr>
                <w:p w14:paraId="053643B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sz w:val="21"/>
                      <w:szCs w:val="21"/>
                      <w:highlight w:val="none"/>
                    </w:rPr>
                  </w:pPr>
                </w:p>
              </w:tc>
              <w:tc>
                <w:tcPr>
                  <w:tcW w:w="419" w:type="pct"/>
                  <w:noWrap w:val="0"/>
                  <w:tcMar>
                    <w:top w:w="0" w:type="dxa"/>
                    <w:left w:w="28" w:type="dxa"/>
                    <w:bottom w:w="0" w:type="dxa"/>
                    <w:right w:w="28" w:type="dxa"/>
                  </w:tcMar>
                  <w:vAlign w:val="center"/>
                </w:tcPr>
                <w:p w14:paraId="58E93D9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spacing w:val="0"/>
                      <w:sz w:val="21"/>
                      <w:szCs w:val="21"/>
                      <w:highlight w:val="none"/>
                    </w:rPr>
                  </w:pPr>
                  <w:r>
                    <w:rPr>
                      <w:rFonts w:hint="default" w:ascii="Times New Roman" w:hAnsi="Times New Roman" w:eastAsia="宋体" w:cs="Times New Roman"/>
                      <w:spacing w:val="0"/>
                      <w:sz w:val="21"/>
                      <w:szCs w:val="21"/>
                      <w:highlight w:val="none"/>
                      <w:lang w:val="en-US" w:eastAsia="zh-CN"/>
                    </w:rPr>
                    <w:t>资源开发利用要求</w:t>
                  </w:r>
                </w:p>
              </w:tc>
              <w:tc>
                <w:tcPr>
                  <w:tcW w:w="2919" w:type="pct"/>
                  <w:noWrap w:val="0"/>
                  <w:tcMar>
                    <w:top w:w="0" w:type="dxa"/>
                    <w:left w:w="28" w:type="dxa"/>
                    <w:bottom w:w="0" w:type="dxa"/>
                    <w:right w:w="28" w:type="dxa"/>
                  </w:tcMar>
                  <w:vAlign w:val="top"/>
                </w:tcPr>
                <w:p w14:paraId="540509D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sz w:val="21"/>
                      <w:szCs w:val="21"/>
                      <w:highlight w:val="none"/>
                    </w:rPr>
                  </w:pPr>
                  <w:r>
                    <w:rPr>
                      <w:rFonts w:hint="default" w:ascii="Times New Roman" w:hAnsi="Times New Roman" w:eastAsia="宋体" w:cs="Times New Roman"/>
                      <w:spacing w:val="0"/>
                      <w:sz w:val="21"/>
                      <w:szCs w:val="21"/>
                      <w:highlight w:val="none"/>
                    </w:rPr>
                    <w:t>1.加快生活污水及再生水管网建设，提高污水收集率和再生水的回用率，减轻对地表水利用的压力；</w:t>
                  </w:r>
                </w:p>
                <w:p w14:paraId="62690D0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default" w:ascii="Times New Roman" w:hAnsi="Times New Roman" w:eastAsia="宋体" w:cs="Times New Roman"/>
                      <w:spacing w:val="0"/>
                      <w:kern w:val="2"/>
                      <w:sz w:val="21"/>
                      <w:szCs w:val="21"/>
                      <w:highlight w:val="none"/>
                      <w:lang w:val="en-US" w:eastAsia="zh-CN" w:bidi="ar-SA"/>
                    </w:rPr>
                  </w:pPr>
                  <w:r>
                    <w:rPr>
                      <w:rFonts w:hint="default" w:ascii="Times New Roman" w:hAnsi="Times New Roman" w:eastAsia="宋体" w:cs="Times New Roman"/>
                      <w:spacing w:val="0"/>
                      <w:sz w:val="21"/>
                      <w:szCs w:val="21"/>
                      <w:highlight w:val="none"/>
                    </w:rPr>
                    <w:t>2.根据行业特点充分利用生产余热为主力热源，电能等清洁能源为补充。</w:t>
                  </w:r>
                </w:p>
              </w:tc>
              <w:tc>
                <w:tcPr>
                  <w:tcW w:w="1036" w:type="pct"/>
                  <w:noWrap w:val="0"/>
                  <w:tcMar>
                    <w:top w:w="0" w:type="dxa"/>
                    <w:left w:w="28" w:type="dxa"/>
                    <w:bottom w:w="0" w:type="dxa"/>
                    <w:right w:w="28" w:type="dxa"/>
                  </w:tcMar>
                  <w:vAlign w:val="center"/>
                </w:tcPr>
                <w:p w14:paraId="13C1106F">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1、项目</w:t>
                  </w:r>
                  <w:r>
                    <w:rPr>
                      <w:rFonts w:hint="eastAsia" w:ascii="Times New Roman" w:hAnsi="Times New Roman" w:cs="Times New Roman"/>
                      <w:snapToGrid w:val="0"/>
                      <w:color w:val="auto"/>
                      <w:spacing w:val="0"/>
                      <w:sz w:val="21"/>
                      <w:szCs w:val="21"/>
                      <w:highlight w:val="none"/>
                      <w:lang w:val="en-US" w:eastAsia="zh-CN"/>
                    </w:rPr>
                    <w:t>用水量较小，废水主要为生活污水，不涉及生产</w:t>
                  </w:r>
                  <w:r>
                    <w:rPr>
                      <w:rFonts w:hint="default" w:ascii="Times New Roman" w:hAnsi="Times New Roman" w:eastAsia="宋体" w:cs="Times New Roman"/>
                      <w:snapToGrid w:val="0"/>
                      <w:color w:val="auto"/>
                      <w:spacing w:val="0"/>
                      <w:sz w:val="21"/>
                      <w:szCs w:val="21"/>
                      <w:highlight w:val="none"/>
                      <w:lang w:val="en-US" w:eastAsia="zh-CN"/>
                    </w:rPr>
                    <w:t>废水</w:t>
                  </w:r>
                  <w:r>
                    <w:rPr>
                      <w:rFonts w:hint="eastAsia" w:ascii="Times New Roman" w:hAnsi="Times New Roman" w:cs="Times New Roman"/>
                      <w:snapToGrid w:val="0"/>
                      <w:color w:val="auto"/>
                      <w:spacing w:val="0"/>
                      <w:sz w:val="21"/>
                      <w:szCs w:val="21"/>
                      <w:highlight w:val="none"/>
                      <w:lang w:val="en-US" w:eastAsia="zh-CN"/>
                    </w:rPr>
                    <w:t>。</w:t>
                  </w:r>
                </w:p>
                <w:p w14:paraId="3FEA1A8F">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2、不涉及；</w:t>
                  </w:r>
                </w:p>
              </w:tc>
              <w:tc>
                <w:tcPr>
                  <w:tcW w:w="441" w:type="pct"/>
                  <w:noWrap w:val="0"/>
                  <w:tcMar>
                    <w:top w:w="0" w:type="dxa"/>
                    <w:left w:w="28" w:type="dxa"/>
                    <w:bottom w:w="0" w:type="dxa"/>
                    <w:right w:w="28" w:type="dxa"/>
                  </w:tcMar>
                  <w:vAlign w:val="center"/>
                </w:tcPr>
                <w:p w14:paraId="46669C88">
                  <w:pPr>
                    <w:pStyle w:val="41"/>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both"/>
                    <w:textAlignment w:val="auto"/>
                    <w:outlineLvl w:val="0"/>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z w:val="21"/>
                      <w:szCs w:val="21"/>
                      <w:highlight w:val="none"/>
                      <w:lang w:val="en-US" w:eastAsia="zh-CN"/>
                    </w:rPr>
                    <w:t>符合</w:t>
                  </w:r>
                </w:p>
              </w:tc>
            </w:tr>
          </w:tbl>
          <w:p w14:paraId="5E80A2F0">
            <w:pPr>
              <w:keepNext w:val="0"/>
              <w:keepLines w:val="0"/>
              <w:pageBreakBefore w:val="0"/>
              <w:suppressLineNumbers w:val="0"/>
              <w:shd w:val="clear" w:color="auto" w:fill="auto"/>
              <w:kinsoku/>
              <w:wordWrap/>
              <w:overflowPunct/>
              <w:topLinePunct w:val="0"/>
              <w:bidi w:val="0"/>
              <w:adjustRightInd/>
              <w:snapToGrid/>
              <w:spacing w:before="0" w:beforeAutospacing="0" w:after="0" w:afterAutospacing="0" w:line="440" w:lineRule="exact"/>
              <w:ind w:left="0" w:right="0" w:firstLine="480" w:firstLineChars="200"/>
              <w:textAlignment w:val="auto"/>
              <w:rPr>
                <w:rFonts w:hint="default" w:ascii="Times New Roman" w:hAnsi="Times New Roman" w:cs="Times New Roman"/>
                <w:bCs/>
                <w:smallCaps w:val="0"/>
                <w:color w:val="auto"/>
                <w:spacing w:val="0"/>
                <w:sz w:val="24"/>
                <w:szCs w:val="24"/>
                <w:highlight w:val="none"/>
              </w:rPr>
            </w:pPr>
            <w:r>
              <w:rPr>
                <w:rFonts w:hint="default" w:ascii="Times New Roman" w:hAnsi="Times New Roman" w:cs="Times New Roman"/>
                <w:bCs/>
                <w:smallCaps w:val="0"/>
                <w:color w:val="auto"/>
                <w:spacing w:val="0"/>
                <w:sz w:val="24"/>
                <w:szCs w:val="24"/>
                <w:highlight w:val="none"/>
              </w:rPr>
              <w:t>综上所述</w:t>
            </w:r>
            <w:r>
              <w:rPr>
                <w:rFonts w:hint="default" w:ascii="Times New Roman" w:hAnsi="Times New Roman" w:cs="Times New Roman"/>
                <w:bCs/>
                <w:smallCaps w:val="0"/>
                <w:color w:val="auto"/>
                <w:spacing w:val="0"/>
                <w:sz w:val="24"/>
                <w:szCs w:val="24"/>
                <w:highlight w:val="none"/>
                <w:lang w:eastAsia="zh-CN"/>
              </w:rPr>
              <w:t>，</w:t>
            </w:r>
            <w:r>
              <w:rPr>
                <w:rFonts w:hint="default" w:ascii="Times New Roman" w:hAnsi="Times New Roman" w:cs="Times New Roman"/>
                <w:bCs/>
                <w:smallCaps w:val="0"/>
                <w:color w:val="auto"/>
                <w:spacing w:val="0"/>
                <w:sz w:val="24"/>
                <w:szCs w:val="24"/>
                <w:highlight w:val="none"/>
              </w:rPr>
              <w:t>本项目位于</w:t>
            </w:r>
            <w:r>
              <w:rPr>
                <w:rFonts w:hint="default" w:ascii="Times New Roman" w:hAnsi="Times New Roman" w:cs="Times New Roman"/>
                <w:bCs/>
                <w:color w:val="auto"/>
                <w:sz w:val="24"/>
                <w:szCs w:val="24"/>
                <w:highlight w:val="none"/>
              </w:rPr>
              <w:t>石家庄市矿区工业园区石钢片区</w:t>
            </w:r>
            <w:r>
              <w:rPr>
                <w:rFonts w:hint="eastAsia" w:ascii="Times New Roman" w:hAnsi="Times New Roman" w:cs="Times New Roman"/>
                <w:bCs/>
                <w:color w:val="auto"/>
                <w:sz w:val="24"/>
                <w:szCs w:val="24"/>
                <w:highlight w:val="none"/>
                <w:lang w:eastAsia="zh-CN"/>
              </w:rPr>
              <w:t>，</w:t>
            </w:r>
            <w:r>
              <w:rPr>
                <w:rFonts w:hint="default" w:ascii="Times New Roman" w:hAnsi="Times New Roman" w:cs="Times New Roman"/>
                <w:bCs/>
                <w:smallCaps w:val="0"/>
                <w:color w:val="auto"/>
                <w:spacing w:val="0"/>
                <w:sz w:val="24"/>
                <w:szCs w:val="24"/>
                <w:highlight w:val="none"/>
              </w:rPr>
              <w:t>项目符合园区的产业定位和产业布局规划；项目占地符合园区土地利用规划；园区公共基础设施满足项目建设需求；项目符合园区规划、规划环评结论及审查意见要求。</w:t>
            </w:r>
          </w:p>
          <w:p w14:paraId="0C2B303E">
            <w:pPr>
              <w:keepNext w:val="0"/>
              <w:keepLines w:val="0"/>
              <w:suppressLineNumbers w:val="0"/>
              <w:spacing w:before="0" w:beforeAutospacing="0" w:after="0" w:afterAutospacing="0"/>
              <w:ind w:left="0" w:right="0"/>
              <w:rPr>
                <w:rFonts w:hint="default" w:ascii="Times New Roman" w:hAnsi="Times New Roman" w:cs="Times New Roman"/>
                <w:bCs/>
                <w:smallCaps w:val="0"/>
                <w:color w:val="auto"/>
                <w:spacing w:val="0"/>
                <w:sz w:val="24"/>
                <w:szCs w:val="24"/>
                <w:highlight w:val="none"/>
              </w:rPr>
            </w:pPr>
          </w:p>
          <w:p w14:paraId="10DCC932">
            <w:pPr>
              <w:pStyle w:val="22"/>
              <w:keepNext w:val="0"/>
              <w:keepLines w:val="0"/>
              <w:suppressLineNumbers w:val="0"/>
              <w:spacing w:before="0" w:beforeAutospacing="0" w:after="0" w:afterAutospacing="0"/>
              <w:ind w:left="0" w:right="0"/>
              <w:rPr>
                <w:rFonts w:hint="default"/>
                <w:szCs w:val="20"/>
                <w:highlight w:val="none"/>
                <w:lang w:val="en-US" w:eastAsia="zh-CN"/>
              </w:rPr>
            </w:pPr>
          </w:p>
        </w:tc>
      </w:tr>
      <w:tr w14:paraId="401E8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31" w:hRule="atLeast"/>
          <w:jc w:val="center"/>
        </w:trPr>
        <w:tc>
          <w:tcPr>
            <w:tcW w:w="950" w:type="pct"/>
            <w:vAlign w:val="center"/>
          </w:tcPr>
          <w:p w14:paraId="0CCE0185">
            <w:pPr>
              <w:pStyle w:val="171"/>
              <w:keepNext w:val="0"/>
              <w:keepLines w:val="0"/>
              <w:suppressLineNumbers w:val="0"/>
              <w:spacing w:before="0" w:beforeAutospacing="0" w:after="0" w:afterAutospacing="0"/>
              <w:ind w:left="0" w:right="0" w:firstLine="0" w:firstLineChars="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其他符合性分析</w:t>
            </w:r>
          </w:p>
        </w:tc>
        <w:tc>
          <w:tcPr>
            <w:tcW w:w="4049" w:type="pct"/>
            <w:gridSpan w:val="3"/>
            <w:vAlign w:val="center"/>
          </w:tcPr>
          <w:p w14:paraId="00644701">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1、产业政策符合性分析</w:t>
            </w:r>
          </w:p>
          <w:p w14:paraId="0275E057">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（1）对照《市场准入负面清单（202</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年版）》（发改体改规〔2025〕466号）中相关规定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项目不属于禁止类项目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符合要求；</w:t>
            </w:r>
          </w:p>
          <w:p w14:paraId="21A438CF">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（2）对照</w:t>
            </w:r>
            <w:r>
              <w:rPr>
                <w:rFonts w:hint="eastAsia" w:cs="Times New Roman"/>
                <w:smallCaps w:val="0"/>
                <w:color w:val="auto"/>
                <w:spacing w:val="0"/>
                <w:highlight w:val="none"/>
                <w:lang w:eastAsia="zh-CN"/>
              </w:rPr>
              <w:t>《产业结构调整指导目录（2024年本）》</w:t>
            </w:r>
            <w:r>
              <w:rPr>
                <w:rFonts w:hint="default" w:ascii="Times New Roman" w:hAnsi="Times New Roman" w:cs="Times New Roman"/>
                <w:smallCaps w:val="0"/>
                <w:color w:val="auto"/>
                <w:spacing w:val="0"/>
                <w:highlight w:val="none"/>
              </w:rPr>
              <w:t>中相关规定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项目不属于鼓励类、限制类、淘汰类项目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为允许类建设项目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符合要求；</w:t>
            </w:r>
          </w:p>
          <w:p w14:paraId="5D9C8C87">
            <w:pPr>
              <w:pStyle w:val="171"/>
              <w:keepNext w:val="0"/>
              <w:keepLines w:val="0"/>
              <w:suppressLineNumbers w:val="0"/>
              <w:spacing w:before="0" w:beforeAutospacing="0" w:after="0" w:afterAutospacing="0"/>
              <w:ind w:left="0" w:leftChars="0" w:right="0" w:firstLine="0" w:firstLineChars="0"/>
              <w:jc w:val="center"/>
              <w:rPr>
                <w:rFonts w:hint="default"/>
                <w:highlight w:val="none"/>
              </w:rPr>
            </w:pPr>
            <w:r>
              <w:rPr>
                <w:rFonts w:hint="eastAsia" w:ascii="宋体" w:hAnsi="宋体" w:eastAsia="宋体" w:cs="宋体"/>
                <w:b/>
                <w:bCs/>
                <w:color w:val="000000"/>
                <w:kern w:val="0"/>
                <w:sz w:val="24"/>
                <w:szCs w:val="24"/>
                <w:highlight w:val="none"/>
                <w:lang w:val="en-US" w:eastAsia="zh-CN" w:bidi="ar"/>
              </w:rPr>
              <w:t>表</w:t>
            </w:r>
            <w:r>
              <w:rPr>
                <w:rFonts w:hint="default" w:ascii="Times New Roman" w:hAnsi="Times New Roman" w:eastAsia="宋体" w:cs="Times New Roman"/>
                <w:b/>
                <w:bCs/>
                <w:color w:val="000000"/>
                <w:kern w:val="0"/>
                <w:sz w:val="24"/>
                <w:szCs w:val="24"/>
                <w:highlight w:val="none"/>
                <w:lang w:val="en-US" w:eastAsia="zh-CN" w:bidi="ar"/>
              </w:rPr>
              <w:t>1-</w:t>
            </w:r>
            <w:r>
              <w:rPr>
                <w:rFonts w:hint="eastAsia" w:ascii="Times New Roman" w:hAnsi="Times New Roman" w:eastAsia="宋体" w:cs="Times New Roman"/>
                <w:b/>
                <w:bCs/>
                <w:color w:val="000000"/>
                <w:kern w:val="0"/>
                <w:sz w:val="24"/>
                <w:szCs w:val="24"/>
                <w:highlight w:val="none"/>
                <w:lang w:val="en-US" w:eastAsia="zh-CN" w:bidi="ar"/>
              </w:rPr>
              <w:t xml:space="preserve">4   </w:t>
            </w:r>
            <w:r>
              <w:rPr>
                <w:rFonts w:hint="default" w:ascii="Times New Roman" w:hAnsi="Times New Roman" w:eastAsia="宋体" w:cs="Times New Roman"/>
                <w:b/>
                <w:bCs/>
                <w:color w:val="000000"/>
                <w:kern w:val="0"/>
                <w:sz w:val="24"/>
                <w:szCs w:val="24"/>
                <w:highlight w:val="none"/>
                <w:lang w:val="en-US" w:eastAsia="zh-CN" w:bidi="ar"/>
              </w:rPr>
              <w:t xml:space="preserve"> </w:t>
            </w:r>
            <w:r>
              <w:rPr>
                <w:rFonts w:hint="eastAsia" w:ascii="宋体" w:hAnsi="宋体" w:eastAsia="宋体" w:cs="宋体"/>
                <w:b/>
                <w:bCs/>
                <w:color w:val="000000"/>
                <w:kern w:val="0"/>
                <w:sz w:val="24"/>
                <w:szCs w:val="24"/>
                <w:highlight w:val="none"/>
                <w:lang w:val="en-US" w:eastAsia="zh-CN" w:bidi="ar"/>
              </w:rPr>
              <w:t>项目产业政策符合性分析</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703"/>
              <w:gridCol w:w="3253"/>
              <w:gridCol w:w="1207"/>
              <w:gridCol w:w="1208"/>
            </w:tblGrid>
            <w:tr w14:paraId="6B405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32" w:type="pct"/>
                  <w:gridSpan w:val="3"/>
                  <w:vAlign w:val="center"/>
                </w:tcPr>
                <w:p w14:paraId="3B09BCD9">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r>
                    <w:rPr>
                      <w:rFonts w:hint="eastAsia"/>
                      <w:sz w:val="21"/>
                      <w:szCs w:val="21"/>
                      <w:highlight w:val="none"/>
                      <w:vertAlign w:val="baseline"/>
                      <w:lang w:val="en-US" w:eastAsia="zh-CN"/>
                    </w:rPr>
                    <w:t>产业政策要求</w:t>
                  </w:r>
                </w:p>
              </w:tc>
              <w:tc>
                <w:tcPr>
                  <w:tcW w:w="833" w:type="pct"/>
                  <w:vAlign w:val="center"/>
                </w:tcPr>
                <w:p w14:paraId="2D16568F">
                  <w:pPr>
                    <w:pStyle w:val="21"/>
                    <w:keepNext w:val="0"/>
                    <w:keepLines w:val="0"/>
                    <w:suppressLineNumbers w:val="0"/>
                    <w:spacing w:before="0" w:beforeAutospacing="0" w:after="0" w:afterAutospacing="0"/>
                    <w:ind w:left="0" w:right="0"/>
                    <w:jc w:val="center"/>
                    <w:rPr>
                      <w:rFonts w:hint="default" w:eastAsia="宋体"/>
                      <w:sz w:val="21"/>
                      <w:szCs w:val="21"/>
                      <w:highlight w:val="none"/>
                      <w:vertAlign w:val="baseline"/>
                      <w:lang w:val="en-US" w:eastAsia="zh-CN"/>
                    </w:rPr>
                  </w:pPr>
                  <w:r>
                    <w:rPr>
                      <w:rFonts w:hint="eastAsia"/>
                      <w:sz w:val="21"/>
                      <w:szCs w:val="21"/>
                      <w:highlight w:val="none"/>
                      <w:vertAlign w:val="baseline"/>
                      <w:lang w:val="en-US" w:eastAsia="zh-CN"/>
                    </w:rPr>
                    <w:t>本项目情况</w:t>
                  </w:r>
                </w:p>
              </w:tc>
              <w:tc>
                <w:tcPr>
                  <w:tcW w:w="834" w:type="pct"/>
                  <w:vAlign w:val="center"/>
                </w:tcPr>
                <w:p w14:paraId="1A7B1A40">
                  <w:pPr>
                    <w:pStyle w:val="21"/>
                    <w:keepNext w:val="0"/>
                    <w:keepLines w:val="0"/>
                    <w:suppressLineNumbers w:val="0"/>
                    <w:spacing w:before="0" w:beforeAutospacing="0" w:after="0" w:afterAutospacing="0"/>
                    <w:ind w:left="0" w:right="0"/>
                    <w:jc w:val="center"/>
                    <w:rPr>
                      <w:rFonts w:hint="eastAsia" w:eastAsia="宋体"/>
                      <w:sz w:val="21"/>
                      <w:szCs w:val="21"/>
                      <w:highlight w:val="none"/>
                      <w:vertAlign w:val="baseline"/>
                      <w:lang w:val="en-US" w:eastAsia="zh-CN"/>
                    </w:rPr>
                  </w:pPr>
                  <w:r>
                    <w:rPr>
                      <w:rFonts w:hint="eastAsia"/>
                      <w:sz w:val="21"/>
                      <w:szCs w:val="21"/>
                      <w:highlight w:val="none"/>
                      <w:vertAlign w:val="baseline"/>
                      <w:lang w:val="en-US" w:eastAsia="zh-CN"/>
                    </w:rPr>
                    <w:t>对比结果</w:t>
                  </w:r>
                </w:p>
              </w:tc>
            </w:tr>
            <w:tr w14:paraId="09462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2" w:type="pct"/>
                  <w:vMerge w:val="restart"/>
                  <w:vAlign w:val="center"/>
                </w:tcPr>
                <w:p w14:paraId="5CED7A08">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r>
                    <w:rPr>
                      <w:rFonts w:hint="eastAsia" w:cs="Times New Roman"/>
                      <w:smallCaps w:val="0"/>
                      <w:color w:val="auto"/>
                      <w:spacing w:val="0"/>
                      <w:sz w:val="21"/>
                      <w:szCs w:val="21"/>
                      <w:highlight w:val="none"/>
                      <w:lang w:eastAsia="zh-CN"/>
                    </w:rPr>
                    <w:t>《产业结构调整指导目录（2024年本）》</w:t>
                  </w:r>
                </w:p>
              </w:tc>
              <w:tc>
                <w:tcPr>
                  <w:tcW w:w="485" w:type="pct"/>
                  <w:vMerge w:val="restart"/>
                  <w:vAlign w:val="center"/>
                </w:tcPr>
                <w:p w14:paraId="42E4B436">
                  <w:pPr>
                    <w:pStyle w:val="21"/>
                    <w:keepNext w:val="0"/>
                    <w:keepLines w:val="0"/>
                    <w:suppressLineNumbers w:val="0"/>
                    <w:spacing w:before="0" w:beforeAutospacing="0" w:after="0" w:afterAutospacing="0"/>
                    <w:ind w:left="0" w:right="0"/>
                    <w:jc w:val="center"/>
                    <w:rPr>
                      <w:rFonts w:hint="default" w:eastAsia="宋体"/>
                      <w:sz w:val="21"/>
                      <w:szCs w:val="21"/>
                      <w:highlight w:val="none"/>
                      <w:vertAlign w:val="baseline"/>
                      <w:lang w:val="en-US" w:eastAsia="zh-CN"/>
                    </w:rPr>
                  </w:pPr>
                  <w:r>
                    <w:rPr>
                      <w:rFonts w:hint="eastAsia"/>
                      <w:sz w:val="21"/>
                      <w:szCs w:val="21"/>
                      <w:highlight w:val="none"/>
                      <w:vertAlign w:val="baseline"/>
                      <w:lang w:val="en-US" w:eastAsia="zh-CN"/>
                    </w:rPr>
                    <w:t>淘汰类</w:t>
                  </w:r>
                </w:p>
              </w:tc>
              <w:tc>
                <w:tcPr>
                  <w:tcW w:w="2244" w:type="pct"/>
                  <w:vAlign w:val="center"/>
                </w:tcPr>
                <w:p w14:paraId="129F3573">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砂型铸造黏土烘干砂型及型芯</w:t>
                  </w:r>
                </w:p>
              </w:tc>
              <w:tc>
                <w:tcPr>
                  <w:tcW w:w="833" w:type="pct"/>
                  <w:vMerge w:val="restart"/>
                  <w:vAlign w:val="center"/>
                </w:tcPr>
                <w:p w14:paraId="28EA76B1">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企业采用</w:t>
                  </w:r>
                  <w:r>
                    <w:rPr>
                      <w:rFonts w:hint="eastAsia" w:ascii="宋体" w:hAnsi="宋体" w:cs="宋体"/>
                      <w:color w:val="000000"/>
                      <w:kern w:val="0"/>
                      <w:sz w:val="21"/>
                      <w:szCs w:val="21"/>
                      <w:highlight w:val="none"/>
                      <w:lang w:val="en-US" w:eastAsia="zh-CN" w:bidi="ar"/>
                    </w:rPr>
                    <w:t>钢壳有磁轭</w:t>
                  </w:r>
                  <w:r>
                    <w:rPr>
                      <w:rFonts w:hint="eastAsia" w:ascii="宋体" w:hAnsi="宋体" w:eastAsia="宋体" w:cs="宋体"/>
                      <w:color w:val="000000"/>
                      <w:kern w:val="0"/>
                      <w:sz w:val="21"/>
                      <w:szCs w:val="21"/>
                      <w:highlight w:val="none"/>
                      <w:lang w:val="en-US" w:eastAsia="zh-CN" w:bidi="ar"/>
                    </w:rPr>
                    <w:t>中频感应电炉，不属于淘汰类。本项目采用</w:t>
                  </w:r>
                  <w:r>
                    <w:rPr>
                      <w:rFonts w:hint="eastAsia" w:ascii="宋体" w:hAnsi="宋体" w:cs="宋体"/>
                      <w:color w:val="000000"/>
                      <w:kern w:val="0"/>
                      <w:sz w:val="21"/>
                      <w:szCs w:val="21"/>
                      <w:highlight w:val="none"/>
                      <w:lang w:val="en-US" w:eastAsia="zh-CN" w:bidi="ar"/>
                    </w:rPr>
                    <w:t>覆膜</w:t>
                  </w:r>
                  <w:r>
                    <w:rPr>
                      <w:rFonts w:hint="eastAsia" w:ascii="宋体" w:hAnsi="宋体" w:eastAsia="宋体" w:cs="宋体"/>
                      <w:color w:val="000000"/>
                      <w:kern w:val="0"/>
                      <w:sz w:val="21"/>
                      <w:szCs w:val="21"/>
                      <w:highlight w:val="none"/>
                      <w:lang w:val="en-US" w:eastAsia="zh-CN" w:bidi="ar"/>
                    </w:rPr>
                    <w:t>砂砂型铸造工艺，不属于限制类。</w:t>
                  </w:r>
                </w:p>
              </w:tc>
              <w:tc>
                <w:tcPr>
                  <w:tcW w:w="834" w:type="pct"/>
                  <w:vMerge w:val="restart"/>
                  <w:vAlign w:val="center"/>
                </w:tcPr>
                <w:p w14:paraId="0E5D8625">
                  <w:pPr>
                    <w:pStyle w:val="21"/>
                    <w:keepNext w:val="0"/>
                    <w:keepLines w:val="0"/>
                    <w:suppressLineNumbers w:val="0"/>
                    <w:spacing w:before="0" w:beforeAutospacing="0" w:after="0" w:afterAutospacing="0"/>
                    <w:ind w:left="0" w:right="0"/>
                    <w:jc w:val="center"/>
                    <w:rPr>
                      <w:rFonts w:hint="eastAsia" w:eastAsia="宋体"/>
                      <w:sz w:val="21"/>
                      <w:szCs w:val="21"/>
                      <w:highlight w:val="none"/>
                      <w:vertAlign w:val="baseline"/>
                      <w:lang w:val="en-US" w:eastAsia="zh-CN"/>
                    </w:rPr>
                  </w:pPr>
                  <w:r>
                    <w:rPr>
                      <w:rFonts w:hint="eastAsia"/>
                      <w:sz w:val="21"/>
                      <w:szCs w:val="21"/>
                      <w:highlight w:val="none"/>
                      <w:vertAlign w:val="baseline"/>
                      <w:lang w:val="en-US" w:eastAsia="zh-CN"/>
                    </w:rPr>
                    <w:t>不属于</w:t>
                  </w:r>
                </w:p>
              </w:tc>
            </w:tr>
            <w:tr w14:paraId="657B6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2" w:type="pct"/>
                  <w:vMerge w:val="continue"/>
                  <w:vAlign w:val="center"/>
                </w:tcPr>
                <w:p w14:paraId="6AB2E43E">
                  <w:pPr>
                    <w:pStyle w:val="21"/>
                    <w:keepNext w:val="0"/>
                    <w:keepLines w:val="0"/>
                    <w:suppressLineNumbers w:val="0"/>
                    <w:spacing w:before="0" w:beforeAutospacing="0" w:after="0" w:afterAutospacing="0"/>
                    <w:ind w:left="0" w:right="0"/>
                    <w:jc w:val="center"/>
                    <w:rPr>
                      <w:rFonts w:hint="eastAsia" w:cs="Times New Roman"/>
                      <w:smallCaps w:val="0"/>
                      <w:color w:val="auto"/>
                      <w:spacing w:val="0"/>
                      <w:sz w:val="21"/>
                      <w:szCs w:val="21"/>
                      <w:highlight w:val="none"/>
                      <w:lang w:eastAsia="zh-CN"/>
                    </w:rPr>
                  </w:pPr>
                </w:p>
              </w:tc>
              <w:tc>
                <w:tcPr>
                  <w:tcW w:w="485" w:type="pct"/>
                  <w:vMerge w:val="continue"/>
                  <w:vAlign w:val="center"/>
                </w:tcPr>
                <w:p w14:paraId="19880FB5">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c>
                <w:tcPr>
                  <w:tcW w:w="2244" w:type="pct"/>
                  <w:vAlign w:val="center"/>
                </w:tcPr>
                <w:p w14:paraId="2BCB90A3">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砂型铸造油砂制芯</w:t>
                  </w:r>
                </w:p>
              </w:tc>
              <w:tc>
                <w:tcPr>
                  <w:tcW w:w="833" w:type="pct"/>
                  <w:vMerge w:val="continue"/>
                  <w:vAlign w:val="center"/>
                </w:tcPr>
                <w:p w14:paraId="45F800CA">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1"/>
                      <w:szCs w:val="21"/>
                      <w:highlight w:val="none"/>
                      <w:lang w:val="en-US" w:eastAsia="zh-CN" w:bidi="ar"/>
                    </w:rPr>
                  </w:pPr>
                </w:p>
              </w:tc>
              <w:tc>
                <w:tcPr>
                  <w:tcW w:w="834" w:type="pct"/>
                  <w:vMerge w:val="continue"/>
                  <w:vAlign w:val="center"/>
                </w:tcPr>
                <w:p w14:paraId="4C94CBF7">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r>
            <w:tr w14:paraId="38EAB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trPr>
              <w:tc>
                <w:tcPr>
                  <w:tcW w:w="602" w:type="pct"/>
                  <w:vMerge w:val="continue"/>
                  <w:vAlign w:val="center"/>
                </w:tcPr>
                <w:p w14:paraId="72312B48">
                  <w:pPr>
                    <w:pStyle w:val="21"/>
                    <w:keepNext w:val="0"/>
                    <w:keepLines w:val="0"/>
                    <w:suppressLineNumbers w:val="0"/>
                    <w:spacing w:before="0" w:beforeAutospacing="0" w:after="0" w:afterAutospacing="0"/>
                    <w:ind w:left="0" w:right="0"/>
                    <w:jc w:val="center"/>
                    <w:rPr>
                      <w:rFonts w:hint="eastAsia" w:cs="Times New Roman"/>
                      <w:smallCaps w:val="0"/>
                      <w:color w:val="auto"/>
                      <w:spacing w:val="0"/>
                      <w:sz w:val="21"/>
                      <w:szCs w:val="21"/>
                      <w:highlight w:val="none"/>
                      <w:lang w:eastAsia="zh-CN"/>
                    </w:rPr>
                  </w:pPr>
                </w:p>
              </w:tc>
              <w:tc>
                <w:tcPr>
                  <w:tcW w:w="485" w:type="pct"/>
                  <w:vMerge w:val="continue"/>
                  <w:vAlign w:val="center"/>
                </w:tcPr>
                <w:p w14:paraId="38D78DF8">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c>
                <w:tcPr>
                  <w:tcW w:w="2244" w:type="pct"/>
                  <w:vAlign w:val="center"/>
                </w:tcPr>
                <w:p w14:paraId="3165140C">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无磁轭（</w:t>
                  </w:r>
                  <w:r>
                    <w:rPr>
                      <w:rFonts w:hint="default" w:ascii="Times New Roman" w:hAnsi="Times New Roman" w:eastAsia="宋体" w:cs="Times New Roman"/>
                      <w:color w:val="000000"/>
                      <w:kern w:val="0"/>
                      <w:sz w:val="21"/>
                      <w:szCs w:val="21"/>
                      <w:highlight w:val="none"/>
                      <w:lang w:val="en-US" w:eastAsia="zh-CN" w:bidi="ar"/>
                    </w:rPr>
                    <w:t>≥0.25</w:t>
                  </w:r>
                  <w:r>
                    <w:rPr>
                      <w:rFonts w:hint="eastAsia" w:ascii="宋体" w:hAnsi="宋体" w:eastAsia="宋体" w:cs="宋体"/>
                      <w:color w:val="000000"/>
                      <w:kern w:val="0"/>
                      <w:sz w:val="21"/>
                      <w:szCs w:val="21"/>
                      <w:highlight w:val="none"/>
                      <w:lang w:val="en-US" w:eastAsia="zh-CN" w:bidi="ar"/>
                    </w:rPr>
                    <w:t>吨）铝壳中频感应电炉</w:t>
                  </w:r>
                </w:p>
              </w:tc>
              <w:tc>
                <w:tcPr>
                  <w:tcW w:w="833" w:type="pct"/>
                  <w:vMerge w:val="continue"/>
                  <w:vAlign w:val="center"/>
                </w:tcPr>
                <w:p w14:paraId="5559ACDD">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1"/>
                      <w:szCs w:val="21"/>
                      <w:highlight w:val="none"/>
                      <w:lang w:val="en-US" w:eastAsia="zh-CN" w:bidi="ar"/>
                    </w:rPr>
                  </w:pPr>
                </w:p>
              </w:tc>
              <w:tc>
                <w:tcPr>
                  <w:tcW w:w="834" w:type="pct"/>
                  <w:vMerge w:val="continue"/>
                  <w:vAlign w:val="center"/>
                </w:tcPr>
                <w:p w14:paraId="79D6BAF0">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r>
            <w:tr w14:paraId="7BF18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 w:hRule="atLeast"/>
              </w:trPr>
              <w:tc>
                <w:tcPr>
                  <w:tcW w:w="602" w:type="pct"/>
                  <w:vMerge w:val="continue"/>
                  <w:vAlign w:val="center"/>
                </w:tcPr>
                <w:p w14:paraId="5347EA2D">
                  <w:pPr>
                    <w:pStyle w:val="21"/>
                    <w:keepNext w:val="0"/>
                    <w:keepLines w:val="0"/>
                    <w:suppressLineNumbers w:val="0"/>
                    <w:spacing w:before="0" w:beforeAutospacing="0" w:after="0" w:afterAutospacing="0"/>
                    <w:ind w:left="0" w:right="0"/>
                    <w:jc w:val="center"/>
                    <w:rPr>
                      <w:rFonts w:hint="eastAsia" w:cs="Times New Roman"/>
                      <w:smallCaps w:val="0"/>
                      <w:color w:val="auto"/>
                      <w:spacing w:val="0"/>
                      <w:sz w:val="21"/>
                      <w:szCs w:val="21"/>
                      <w:highlight w:val="none"/>
                      <w:lang w:eastAsia="zh-CN"/>
                    </w:rPr>
                  </w:pPr>
                </w:p>
              </w:tc>
              <w:tc>
                <w:tcPr>
                  <w:tcW w:w="485" w:type="pct"/>
                  <w:vMerge w:val="continue"/>
                  <w:vAlign w:val="center"/>
                </w:tcPr>
                <w:p w14:paraId="1C0AF060">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c>
                <w:tcPr>
                  <w:tcW w:w="2244" w:type="pct"/>
                  <w:vAlign w:val="center"/>
                </w:tcPr>
                <w:p w14:paraId="6C614170">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无芯工频感应电炉</w:t>
                  </w:r>
                </w:p>
              </w:tc>
              <w:tc>
                <w:tcPr>
                  <w:tcW w:w="833" w:type="pct"/>
                  <w:vMerge w:val="continue"/>
                  <w:vAlign w:val="center"/>
                </w:tcPr>
                <w:p w14:paraId="121C7F7E">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1"/>
                      <w:szCs w:val="21"/>
                      <w:highlight w:val="none"/>
                      <w:lang w:val="en-US" w:eastAsia="zh-CN" w:bidi="ar"/>
                    </w:rPr>
                  </w:pPr>
                </w:p>
              </w:tc>
              <w:tc>
                <w:tcPr>
                  <w:tcW w:w="834" w:type="pct"/>
                  <w:vMerge w:val="continue"/>
                  <w:vAlign w:val="center"/>
                </w:tcPr>
                <w:p w14:paraId="40259213">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r>
            <w:tr w14:paraId="20EC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02" w:type="pct"/>
                  <w:vMerge w:val="continue"/>
                  <w:vAlign w:val="center"/>
                </w:tcPr>
                <w:p w14:paraId="07FB2BE3">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485" w:type="pct"/>
                  <w:vMerge w:val="continue"/>
                  <w:vAlign w:val="center"/>
                </w:tcPr>
                <w:p w14:paraId="3665549B">
                  <w:pPr>
                    <w:pStyle w:val="21"/>
                    <w:keepNext w:val="0"/>
                    <w:keepLines w:val="0"/>
                    <w:suppressLineNumbers w:val="0"/>
                    <w:spacing w:before="0" w:beforeAutospacing="0" w:after="0" w:afterAutospacing="0"/>
                    <w:ind w:left="0" w:right="0"/>
                    <w:jc w:val="center"/>
                    <w:rPr>
                      <w:rFonts w:hint="default" w:eastAsia="宋体"/>
                      <w:sz w:val="21"/>
                      <w:szCs w:val="21"/>
                      <w:highlight w:val="none"/>
                      <w:vertAlign w:val="baseline"/>
                      <w:lang w:val="en-US" w:eastAsia="zh-CN"/>
                    </w:rPr>
                  </w:pPr>
                </w:p>
              </w:tc>
              <w:tc>
                <w:tcPr>
                  <w:tcW w:w="2244" w:type="pct"/>
                  <w:vAlign w:val="center"/>
                </w:tcPr>
                <w:p w14:paraId="6239986F">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以焦炭为燃料的有色金属熔炼炉</w:t>
                  </w:r>
                </w:p>
              </w:tc>
              <w:tc>
                <w:tcPr>
                  <w:tcW w:w="833" w:type="pct"/>
                  <w:vMerge w:val="continue"/>
                  <w:vAlign w:val="center"/>
                </w:tcPr>
                <w:p w14:paraId="01252952">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834" w:type="pct"/>
                  <w:vMerge w:val="continue"/>
                  <w:vAlign w:val="center"/>
                </w:tcPr>
                <w:p w14:paraId="6E1249B8">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r>
            <w:tr w14:paraId="703BE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602" w:type="pct"/>
                  <w:vMerge w:val="continue"/>
                  <w:vAlign w:val="center"/>
                </w:tcPr>
                <w:p w14:paraId="48C4E9CB">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485" w:type="pct"/>
                  <w:vMerge w:val="continue"/>
                  <w:vAlign w:val="center"/>
                </w:tcPr>
                <w:p w14:paraId="4824D80D">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c>
                <w:tcPr>
                  <w:tcW w:w="2244" w:type="pct"/>
                  <w:vAlign w:val="center"/>
                </w:tcPr>
                <w:p w14:paraId="7DC78F6E">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default" w:ascii="Times New Roman" w:hAnsi="Times New Roman" w:eastAsia="宋体" w:cs="Times New Roman"/>
                      <w:color w:val="000000"/>
                      <w:kern w:val="0"/>
                      <w:sz w:val="21"/>
                      <w:szCs w:val="21"/>
                      <w:highlight w:val="none"/>
                      <w:lang w:val="en-US" w:eastAsia="zh-CN" w:bidi="ar"/>
                    </w:rPr>
                    <w:t>GGW</w:t>
                  </w:r>
                  <w:r>
                    <w:rPr>
                      <w:rFonts w:hint="eastAsia" w:ascii="宋体" w:hAnsi="宋体" w:eastAsia="宋体" w:cs="宋体"/>
                      <w:color w:val="000000"/>
                      <w:kern w:val="0"/>
                      <w:sz w:val="21"/>
                      <w:szCs w:val="21"/>
                      <w:highlight w:val="none"/>
                      <w:lang w:val="en-US" w:eastAsia="zh-CN" w:bidi="ar"/>
                    </w:rPr>
                    <w:t>系列中频无心感应熔炼炉</w:t>
                  </w:r>
                </w:p>
              </w:tc>
              <w:tc>
                <w:tcPr>
                  <w:tcW w:w="833" w:type="pct"/>
                  <w:vMerge w:val="continue"/>
                  <w:vAlign w:val="center"/>
                </w:tcPr>
                <w:p w14:paraId="2BFCB703">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834" w:type="pct"/>
                  <w:vMerge w:val="continue"/>
                  <w:vAlign w:val="center"/>
                </w:tcPr>
                <w:p w14:paraId="0035B970">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r>
            <w:tr w14:paraId="7E13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vMerge w:val="continue"/>
                  <w:vAlign w:val="center"/>
                </w:tcPr>
                <w:p w14:paraId="36205931">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485" w:type="pct"/>
                  <w:vMerge w:val="restart"/>
                  <w:vAlign w:val="center"/>
                </w:tcPr>
                <w:p w14:paraId="5173E769">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r>
                    <w:rPr>
                      <w:rFonts w:hint="eastAsia"/>
                      <w:sz w:val="21"/>
                      <w:szCs w:val="21"/>
                      <w:highlight w:val="none"/>
                      <w:vertAlign w:val="baseline"/>
                      <w:lang w:val="en-US" w:eastAsia="zh-CN"/>
                    </w:rPr>
                    <w:t>限制类</w:t>
                  </w:r>
                </w:p>
              </w:tc>
              <w:tc>
                <w:tcPr>
                  <w:tcW w:w="2244" w:type="pct"/>
                  <w:vAlign w:val="center"/>
                </w:tcPr>
                <w:p w14:paraId="31DAA4B6">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r>
                    <w:rPr>
                      <w:rFonts w:hint="default"/>
                      <w:sz w:val="21"/>
                      <w:szCs w:val="21"/>
                      <w:highlight w:val="none"/>
                      <w:vertAlign w:val="baseline"/>
                    </w:rPr>
                    <w:t>无旧砂再生的水玻璃砂造</w:t>
                  </w:r>
                </w:p>
                <w:p w14:paraId="3E22D6F8">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r>
                    <w:rPr>
                      <w:rFonts w:hint="default"/>
                      <w:sz w:val="21"/>
                      <w:szCs w:val="21"/>
                      <w:highlight w:val="none"/>
                      <w:vertAlign w:val="baseline"/>
                    </w:rPr>
                    <w:t>型制芯工艺</w:t>
                  </w:r>
                </w:p>
              </w:tc>
              <w:tc>
                <w:tcPr>
                  <w:tcW w:w="833" w:type="pct"/>
                  <w:vMerge w:val="continue"/>
                  <w:vAlign w:val="center"/>
                </w:tcPr>
                <w:p w14:paraId="32FAD97B">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834" w:type="pct"/>
                  <w:vMerge w:val="continue"/>
                  <w:vAlign w:val="center"/>
                </w:tcPr>
                <w:p w14:paraId="7C2E44BE">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r>
            <w:tr w14:paraId="789F6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 w:type="pct"/>
                  <w:vMerge w:val="continue"/>
                  <w:vAlign w:val="center"/>
                </w:tcPr>
                <w:p w14:paraId="648F16B2">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485" w:type="pct"/>
                  <w:vMerge w:val="continue"/>
                  <w:vAlign w:val="center"/>
                </w:tcPr>
                <w:p w14:paraId="7898297C">
                  <w:pPr>
                    <w:pStyle w:val="21"/>
                    <w:keepNext w:val="0"/>
                    <w:keepLines w:val="0"/>
                    <w:suppressLineNumbers w:val="0"/>
                    <w:spacing w:before="0" w:beforeAutospacing="0" w:after="0" w:afterAutospacing="0"/>
                    <w:ind w:left="0" w:right="0"/>
                    <w:jc w:val="center"/>
                    <w:rPr>
                      <w:rFonts w:hint="eastAsia"/>
                      <w:sz w:val="21"/>
                      <w:szCs w:val="21"/>
                      <w:highlight w:val="none"/>
                      <w:vertAlign w:val="baseline"/>
                      <w:lang w:val="en-US" w:eastAsia="zh-CN"/>
                    </w:rPr>
                  </w:pPr>
                </w:p>
              </w:tc>
              <w:tc>
                <w:tcPr>
                  <w:tcW w:w="2244" w:type="pct"/>
                  <w:vAlign w:val="center"/>
                </w:tcPr>
                <w:p w14:paraId="20346987">
                  <w:pPr>
                    <w:keepNext w:val="0"/>
                    <w:keepLines w:val="0"/>
                    <w:widowControl/>
                    <w:suppressLineNumbers w:val="0"/>
                    <w:spacing w:before="0" w:beforeAutospacing="0" w:after="0" w:afterAutospacing="0"/>
                    <w:ind w:left="0" w:right="0"/>
                    <w:jc w:val="center"/>
                    <w:rPr>
                      <w:rFonts w:hint="default"/>
                      <w:sz w:val="21"/>
                      <w:szCs w:val="21"/>
                      <w:highlight w:val="none"/>
                      <w:vertAlign w:val="baseline"/>
                    </w:rPr>
                  </w:pPr>
                  <w:r>
                    <w:rPr>
                      <w:rFonts w:hint="eastAsia" w:ascii="宋体" w:hAnsi="宋体" w:eastAsia="宋体" w:cs="宋体"/>
                      <w:color w:val="000000"/>
                      <w:kern w:val="0"/>
                      <w:sz w:val="21"/>
                      <w:szCs w:val="21"/>
                      <w:highlight w:val="none"/>
                      <w:lang w:val="en-US" w:eastAsia="zh-CN" w:bidi="ar"/>
                    </w:rPr>
                    <w:t>不采用自动化造型设备的黏土砂型铸造项目、水玻璃熔模精密铸造项目、规模小于</w:t>
                  </w:r>
                  <w:r>
                    <w:rPr>
                      <w:rFonts w:hint="default" w:ascii="Times New Roman" w:hAnsi="Times New Roman" w:eastAsia="宋体" w:cs="Times New Roman"/>
                      <w:color w:val="000000"/>
                      <w:kern w:val="0"/>
                      <w:sz w:val="21"/>
                      <w:szCs w:val="21"/>
                      <w:highlight w:val="none"/>
                      <w:lang w:val="en-US" w:eastAsia="zh-CN" w:bidi="ar"/>
                    </w:rPr>
                    <w:t>20</w:t>
                  </w:r>
                  <w:r>
                    <w:rPr>
                      <w:rFonts w:hint="eastAsia" w:ascii="宋体" w:hAnsi="宋体" w:eastAsia="宋体" w:cs="宋体"/>
                      <w:color w:val="000000"/>
                      <w:kern w:val="0"/>
                      <w:sz w:val="21"/>
                      <w:szCs w:val="21"/>
                      <w:highlight w:val="none"/>
                      <w:lang w:val="en-US" w:eastAsia="zh-CN" w:bidi="ar"/>
                    </w:rPr>
                    <w:t>万吨</w:t>
                  </w:r>
                  <w:r>
                    <w:rPr>
                      <w:rFonts w:hint="default" w:ascii="Times New Roman" w:hAnsi="Times New Roman" w:eastAsia="宋体" w:cs="Times New Roman"/>
                      <w:color w:val="000000"/>
                      <w:kern w:val="0"/>
                      <w:sz w:val="21"/>
                      <w:szCs w:val="21"/>
                      <w:highlight w:val="none"/>
                      <w:lang w:val="en-US" w:eastAsia="zh-CN" w:bidi="ar"/>
                    </w:rPr>
                    <w:t>/</w:t>
                  </w:r>
                  <w:r>
                    <w:rPr>
                      <w:rFonts w:hint="eastAsia" w:ascii="宋体" w:hAnsi="宋体" w:eastAsia="宋体" w:cs="宋体"/>
                      <w:color w:val="000000"/>
                      <w:kern w:val="0"/>
                      <w:sz w:val="21"/>
                      <w:szCs w:val="21"/>
                      <w:highlight w:val="none"/>
                      <w:lang w:val="en-US" w:eastAsia="zh-CN" w:bidi="ar"/>
                    </w:rPr>
                    <w:t>年的离心球墨铸铁管项目、规模小于</w:t>
                  </w:r>
                  <w:r>
                    <w:rPr>
                      <w:rFonts w:hint="default" w:ascii="Times New Roman" w:hAnsi="Times New Roman" w:eastAsia="宋体" w:cs="Times New Roman"/>
                      <w:color w:val="000000"/>
                      <w:kern w:val="0"/>
                      <w:sz w:val="21"/>
                      <w:szCs w:val="21"/>
                      <w:highlight w:val="none"/>
                      <w:lang w:val="en-US" w:eastAsia="zh-CN" w:bidi="ar"/>
                    </w:rPr>
                    <w:t>3</w:t>
                  </w:r>
                  <w:r>
                    <w:rPr>
                      <w:rFonts w:hint="eastAsia" w:ascii="宋体" w:hAnsi="宋体" w:eastAsia="宋体" w:cs="宋体"/>
                      <w:color w:val="000000"/>
                      <w:kern w:val="0"/>
                      <w:sz w:val="21"/>
                      <w:szCs w:val="21"/>
                      <w:highlight w:val="none"/>
                      <w:lang w:val="en-US" w:eastAsia="zh-CN" w:bidi="ar"/>
                    </w:rPr>
                    <w:t>万吨</w:t>
                  </w:r>
                  <w:r>
                    <w:rPr>
                      <w:rFonts w:hint="default" w:ascii="Times New Roman" w:hAnsi="Times New Roman" w:eastAsia="宋体" w:cs="Times New Roman"/>
                      <w:color w:val="000000"/>
                      <w:kern w:val="0"/>
                      <w:sz w:val="21"/>
                      <w:szCs w:val="21"/>
                      <w:highlight w:val="none"/>
                      <w:lang w:val="en-US" w:eastAsia="zh-CN" w:bidi="ar"/>
                    </w:rPr>
                    <w:t>/</w:t>
                  </w:r>
                  <w:r>
                    <w:rPr>
                      <w:rFonts w:hint="eastAsia" w:ascii="宋体" w:hAnsi="宋体" w:eastAsia="宋体" w:cs="宋体"/>
                      <w:color w:val="000000"/>
                      <w:kern w:val="0"/>
                      <w:sz w:val="21"/>
                      <w:szCs w:val="21"/>
                      <w:highlight w:val="none"/>
                      <w:lang w:val="en-US" w:eastAsia="zh-CN" w:bidi="ar"/>
                    </w:rPr>
                    <w:t>年的离心灰铸铁管项目</w:t>
                  </w:r>
                </w:p>
              </w:tc>
              <w:tc>
                <w:tcPr>
                  <w:tcW w:w="833" w:type="pct"/>
                  <w:vMerge w:val="continue"/>
                  <w:vAlign w:val="center"/>
                </w:tcPr>
                <w:p w14:paraId="180F9850">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c>
                <w:tcPr>
                  <w:tcW w:w="834" w:type="pct"/>
                  <w:vMerge w:val="continue"/>
                  <w:vAlign w:val="center"/>
                </w:tcPr>
                <w:p w14:paraId="366ECB50">
                  <w:pPr>
                    <w:pStyle w:val="21"/>
                    <w:keepNext w:val="0"/>
                    <w:keepLines w:val="0"/>
                    <w:suppressLineNumbers w:val="0"/>
                    <w:spacing w:before="0" w:beforeAutospacing="0" w:after="0" w:afterAutospacing="0"/>
                    <w:ind w:left="0" w:right="0"/>
                    <w:jc w:val="center"/>
                    <w:rPr>
                      <w:rFonts w:hint="default"/>
                      <w:sz w:val="21"/>
                      <w:szCs w:val="21"/>
                      <w:highlight w:val="none"/>
                      <w:vertAlign w:val="baseline"/>
                    </w:rPr>
                  </w:pPr>
                </w:p>
              </w:tc>
            </w:tr>
          </w:tbl>
          <w:p w14:paraId="3B2A4DC7">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项目已于</w:t>
            </w:r>
            <w:r>
              <w:rPr>
                <w:rFonts w:hint="eastAsia" w:cs="Times New Roman"/>
                <w:smallCaps w:val="0"/>
                <w:color w:val="auto"/>
                <w:spacing w:val="0"/>
                <w:highlight w:val="none"/>
                <w:lang w:eastAsia="zh-CN"/>
              </w:rPr>
              <w:t>202</w:t>
            </w:r>
            <w:r>
              <w:rPr>
                <w:rFonts w:hint="eastAsia" w:cs="Times New Roman"/>
                <w:smallCaps w:val="0"/>
                <w:color w:val="auto"/>
                <w:spacing w:val="0"/>
                <w:highlight w:val="none"/>
                <w:lang w:val="en-US" w:eastAsia="zh-CN"/>
              </w:rPr>
              <w:t>5</w:t>
            </w:r>
            <w:r>
              <w:rPr>
                <w:rFonts w:hint="eastAsia" w:cs="Times New Roman"/>
                <w:smallCaps w:val="0"/>
                <w:color w:val="auto"/>
                <w:spacing w:val="0"/>
                <w:highlight w:val="none"/>
                <w:lang w:eastAsia="zh-CN"/>
              </w:rPr>
              <w:t>年</w:t>
            </w:r>
            <w:r>
              <w:rPr>
                <w:rFonts w:hint="eastAsia" w:cs="Times New Roman"/>
                <w:smallCaps w:val="0"/>
                <w:color w:val="auto"/>
                <w:spacing w:val="0"/>
                <w:highlight w:val="none"/>
                <w:lang w:val="en-US" w:eastAsia="zh-CN"/>
              </w:rPr>
              <w:t>10</w:t>
            </w:r>
            <w:r>
              <w:rPr>
                <w:rFonts w:hint="eastAsia" w:cs="Times New Roman"/>
                <w:smallCaps w:val="0"/>
                <w:color w:val="auto"/>
                <w:spacing w:val="0"/>
                <w:highlight w:val="none"/>
                <w:lang w:eastAsia="zh-CN"/>
              </w:rPr>
              <w:t>月</w:t>
            </w:r>
            <w:r>
              <w:rPr>
                <w:rFonts w:hint="eastAsia" w:cs="Times New Roman"/>
                <w:smallCaps w:val="0"/>
                <w:color w:val="auto"/>
                <w:spacing w:val="0"/>
                <w:highlight w:val="none"/>
                <w:lang w:val="en-US" w:eastAsia="zh-CN"/>
              </w:rPr>
              <w:t>15</w:t>
            </w:r>
            <w:r>
              <w:rPr>
                <w:rFonts w:hint="eastAsia" w:cs="Times New Roman"/>
                <w:smallCaps w:val="0"/>
                <w:color w:val="auto"/>
                <w:spacing w:val="0"/>
                <w:highlight w:val="none"/>
                <w:lang w:eastAsia="zh-CN"/>
              </w:rPr>
              <w:t>日</w:t>
            </w:r>
            <w:r>
              <w:rPr>
                <w:rFonts w:hint="default" w:ascii="Times New Roman" w:hAnsi="Times New Roman" w:cs="Times New Roman"/>
                <w:smallCaps w:val="0"/>
                <w:color w:val="auto"/>
                <w:spacing w:val="0"/>
                <w:highlight w:val="none"/>
              </w:rPr>
              <w:t>在</w:t>
            </w:r>
            <w:r>
              <w:rPr>
                <w:rFonts w:hint="eastAsia" w:cs="Times New Roman"/>
                <w:smallCaps w:val="0"/>
                <w:color w:val="auto"/>
                <w:spacing w:val="0"/>
                <w:highlight w:val="none"/>
                <w:lang w:eastAsia="zh-CN"/>
              </w:rPr>
              <w:t>石家庄市井陉矿区</w:t>
            </w:r>
            <w:r>
              <w:rPr>
                <w:rFonts w:hint="eastAsia" w:cs="Times New Roman"/>
                <w:smallCaps w:val="0"/>
                <w:color w:val="auto"/>
                <w:spacing w:val="0"/>
                <w:highlight w:val="none"/>
                <w:lang w:val="en-US" w:eastAsia="zh-CN"/>
              </w:rPr>
              <w:t>数据和政务服务</w:t>
            </w:r>
            <w:r>
              <w:rPr>
                <w:rFonts w:hint="eastAsia" w:cs="Times New Roman"/>
                <w:smallCaps w:val="0"/>
                <w:color w:val="auto"/>
                <w:spacing w:val="0"/>
                <w:highlight w:val="none"/>
                <w:lang w:eastAsia="zh-CN"/>
              </w:rPr>
              <w:t>局</w:t>
            </w:r>
            <w:r>
              <w:rPr>
                <w:rFonts w:hint="default" w:ascii="Times New Roman" w:hAnsi="Times New Roman" w:cs="Times New Roman"/>
                <w:smallCaps w:val="0"/>
                <w:color w:val="auto"/>
                <w:spacing w:val="0"/>
                <w:highlight w:val="none"/>
              </w:rPr>
              <w:t>进行备案</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备案文号为：</w:t>
            </w:r>
            <w:r>
              <w:rPr>
                <w:rFonts w:hint="eastAsia" w:cs="Times New Roman"/>
                <w:smallCaps w:val="0"/>
                <w:color w:val="auto"/>
                <w:spacing w:val="0"/>
                <w:highlight w:val="none"/>
                <w:lang w:eastAsia="zh-CN"/>
              </w:rPr>
              <w:t>矿数政投资备字〔2025〕135号</w:t>
            </w:r>
            <w:r>
              <w:rPr>
                <w:rFonts w:hint="default" w:ascii="Times New Roman" w:hAnsi="Times New Roman" w:cs="Times New Roman"/>
                <w:smallCaps w:val="0"/>
                <w:color w:val="auto"/>
                <w:spacing w:val="0"/>
                <w:highlight w:val="none"/>
              </w:rPr>
              <w:t>。</w:t>
            </w:r>
          </w:p>
          <w:p w14:paraId="288E0165">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本项目建设符合国家及地方相关产业政策。</w:t>
            </w:r>
          </w:p>
          <w:p w14:paraId="61F45BD5">
            <w:pPr>
              <w:keepNext w:val="0"/>
              <w:keepLines w:val="0"/>
              <w:pageBreakBefore w:val="0"/>
              <w:widowControl w:val="0"/>
              <w:suppressLineNumbers w:val="0"/>
              <w:shd w:val="clear" w:color="auto" w:fill="auto"/>
              <w:kinsoku/>
              <w:wordWrap/>
              <w:overflowPunct/>
              <w:topLinePunct w:val="0"/>
              <w:autoSpaceDE w:val="0"/>
              <w:autoSpaceDN w:val="0"/>
              <w:bidi w:val="0"/>
              <w:spacing w:before="0" w:beforeAutospacing="0" w:after="0" w:afterAutospacing="0" w:line="480" w:lineRule="exact"/>
              <w:ind w:left="0" w:right="0" w:firstLine="482" w:firstLineChars="200"/>
              <w:textAlignment w:val="auto"/>
              <w:rPr>
                <w:rFonts w:hint="default" w:ascii="Times New Roman" w:hAnsi="Times New Roman" w:cs="Times New Roman"/>
                <w:b/>
                <w:bCs/>
                <w:color w:val="auto"/>
                <w:sz w:val="24"/>
                <w:szCs w:val="20"/>
                <w:highlight w:val="none"/>
              </w:rPr>
            </w:pPr>
            <w:r>
              <w:rPr>
                <w:rFonts w:hint="default" w:ascii="Times New Roman" w:hAnsi="Times New Roman" w:cs="Times New Roman"/>
                <w:b/>
                <w:bCs/>
                <w:color w:val="auto"/>
                <w:sz w:val="24"/>
                <w:szCs w:val="20"/>
                <w:highlight w:val="none"/>
              </w:rPr>
              <w:t>2</w:t>
            </w:r>
            <w:r>
              <w:rPr>
                <w:rFonts w:hint="eastAsia" w:cs="Times New Roman"/>
                <w:b/>
                <w:bCs/>
                <w:color w:val="auto"/>
                <w:sz w:val="24"/>
                <w:szCs w:val="20"/>
                <w:highlight w:val="none"/>
                <w:lang w:eastAsia="zh-CN"/>
              </w:rPr>
              <w:t>、</w:t>
            </w:r>
            <w:r>
              <w:rPr>
                <w:rFonts w:hint="default" w:ascii="Times New Roman" w:hAnsi="Times New Roman" w:cs="Times New Roman"/>
                <w:b/>
                <w:bCs/>
                <w:color w:val="auto"/>
                <w:sz w:val="24"/>
                <w:szCs w:val="24"/>
                <w:highlight w:val="none"/>
                <w:lang w:val="en-US" w:eastAsia="zh-CN"/>
              </w:rPr>
              <w:t>选址合理性分析</w:t>
            </w:r>
          </w:p>
          <w:p w14:paraId="78BF58CE">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0"/>
                <w:highlight w:val="none"/>
              </w:rPr>
              <w:t>项目位于石家庄市矿区工业园区石钢片区</w:t>
            </w:r>
            <w:r>
              <w:rPr>
                <w:rFonts w:hint="eastAsia" w:ascii="Times New Roman" w:hAnsi="Times New Roman" w:cs="Times New Roman"/>
                <w:color w:val="auto"/>
                <w:sz w:val="24"/>
                <w:szCs w:val="20"/>
                <w:highlight w:val="none"/>
                <w:lang w:eastAsia="zh-CN"/>
              </w:rPr>
              <w:t>，</w:t>
            </w:r>
            <w:r>
              <w:rPr>
                <w:rFonts w:hint="eastAsia" w:ascii="Times New Roman" w:hAnsi="Times New Roman" w:cs="Times New Roman"/>
                <w:color w:val="auto"/>
                <w:sz w:val="24"/>
                <w:szCs w:val="20"/>
                <w:highlight w:val="none"/>
                <w:lang w:val="en-US" w:eastAsia="zh-CN"/>
              </w:rPr>
              <w:t>租赁河北鑫鸿工业园建设发展有限公司现有5号厂房，项目</w:t>
            </w:r>
            <w:r>
              <w:rPr>
                <w:rFonts w:hint="default" w:ascii="Times New Roman" w:hAnsi="Times New Roman" w:cs="Times New Roman"/>
                <w:color w:val="auto"/>
                <w:sz w:val="24"/>
                <w:szCs w:val="24"/>
                <w:highlight w:val="none"/>
              </w:rPr>
              <w:t>中心地理坐标为东经114°2′34.111″，北纬38°6′27.106″。</w:t>
            </w:r>
          </w:p>
          <w:p w14:paraId="529600B0">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rightChars="0" w:firstLine="480" w:firstLineChars="200"/>
              <w:jc w:val="both"/>
              <w:textAlignment w:val="auto"/>
              <w:outlineLvl w:val="9"/>
              <w:rPr>
                <w:rFonts w:hint="default" w:cs="Times New Roman"/>
                <w:color w:val="0000FF"/>
                <w:sz w:val="24"/>
                <w:szCs w:val="24"/>
                <w:highlight w:val="none"/>
                <w:lang w:val="en-US" w:eastAsia="zh-CN"/>
              </w:rPr>
            </w:pPr>
            <w:r>
              <w:rPr>
                <w:rFonts w:hint="eastAsia" w:ascii="Times New Roman" w:hAnsi="Times New Roman" w:cs="Times New Roman"/>
                <w:color w:val="auto"/>
                <w:sz w:val="24"/>
                <w:szCs w:val="24"/>
                <w:highlight w:val="none"/>
                <w:lang w:val="en-US" w:eastAsia="zh-CN"/>
              </w:rPr>
              <w:t>厂房</w:t>
            </w:r>
            <w:r>
              <w:rPr>
                <w:rFonts w:hint="default" w:ascii="Times New Roman" w:hAnsi="Times New Roman" w:cs="Times New Roman"/>
                <w:color w:val="auto"/>
                <w:sz w:val="24"/>
                <w:szCs w:val="24"/>
                <w:highlight w:val="none"/>
              </w:rPr>
              <w:t>东侧为</w:t>
            </w:r>
            <w:r>
              <w:rPr>
                <w:rFonts w:hint="eastAsia" w:ascii="Times New Roman" w:hAnsi="Times New Roman" w:cs="Times New Roman"/>
                <w:color w:val="auto"/>
                <w:sz w:val="24"/>
                <w:szCs w:val="24"/>
                <w:highlight w:val="none"/>
                <w:lang w:val="en-US" w:eastAsia="zh-CN"/>
              </w:rPr>
              <w:t>闲置厂房</w:t>
            </w:r>
            <w:r>
              <w:rPr>
                <w:rFonts w:hint="default" w:ascii="Times New Roman" w:hAnsi="Times New Roman" w:cs="Times New Roman"/>
                <w:color w:val="auto"/>
                <w:sz w:val="24"/>
                <w:szCs w:val="24"/>
                <w:highlight w:val="none"/>
              </w:rPr>
              <w:t>，南侧为石家庄煜工精密科技有限公司，</w:t>
            </w:r>
            <w:r>
              <w:rPr>
                <w:rFonts w:hint="eastAsia" w:ascii="Times New Roman" w:hAnsi="Times New Roman" w:cs="Times New Roman"/>
                <w:color w:val="auto"/>
                <w:sz w:val="24"/>
                <w:szCs w:val="24"/>
                <w:highlight w:val="none"/>
                <w:lang w:val="en-US" w:eastAsia="zh-CN"/>
              </w:rPr>
              <w:t>北侧</w:t>
            </w:r>
            <w:r>
              <w:rPr>
                <w:rFonts w:hint="eastAsia" w:cs="Times New Roman"/>
                <w:color w:val="auto"/>
                <w:sz w:val="24"/>
                <w:szCs w:val="24"/>
                <w:highlight w:val="none"/>
                <w:lang w:val="en-US" w:eastAsia="zh-CN"/>
              </w:rPr>
              <w:t>为</w:t>
            </w:r>
            <w:r>
              <w:rPr>
                <w:rFonts w:hint="default" w:ascii="Times New Roman" w:hAnsi="Times New Roman" w:cs="Times New Roman"/>
                <w:color w:val="auto"/>
                <w:sz w:val="24"/>
                <w:szCs w:val="24"/>
                <w:highlight w:val="none"/>
              </w:rPr>
              <w:t>河北</w:t>
            </w:r>
            <w:r>
              <w:rPr>
                <w:rFonts w:hint="eastAsia" w:ascii="Times New Roman" w:hAnsi="Times New Roman" w:cs="Times New Roman"/>
                <w:color w:val="auto"/>
                <w:sz w:val="24"/>
                <w:szCs w:val="24"/>
                <w:highlight w:val="none"/>
                <w:lang w:val="en-US" w:eastAsia="zh-CN"/>
              </w:rPr>
              <w:t>鑫</w:t>
            </w:r>
            <w:r>
              <w:rPr>
                <w:rFonts w:hint="eastAsia"/>
                <w:color w:val="231916"/>
                <w:sz w:val="24"/>
                <w:szCs w:val="22"/>
                <w:highlight w:val="none"/>
              </w:rPr>
              <w:t>泱</w:t>
            </w:r>
            <w:r>
              <w:rPr>
                <w:rFonts w:hint="eastAsia"/>
                <w:color w:val="231916"/>
                <w:sz w:val="24"/>
                <w:szCs w:val="22"/>
                <w:highlight w:val="none"/>
                <w:lang w:val="en-US" w:eastAsia="zh-CN"/>
              </w:rPr>
              <w:t>再生物资回收</w:t>
            </w:r>
            <w:r>
              <w:rPr>
                <w:rFonts w:hint="default" w:ascii="Times New Roman" w:hAnsi="Times New Roman" w:cs="Times New Roman"/>
                <w:color w:val="auto"/>
                <w:sz w:val="24"/>
                <w:szCs w:val="24"/>
                <w:highlight w:val="none"/>
              </w:rPr>
              <w:t>有限公司，</w:t>
            </w:r>
            <w:r>
              <w:rPr>
                <w:rFonts w:hint="eastAsia" w:ascii="Times New Roman" w:hAnsi="Times New Roman" w:cs="Times New Roman"/>
                <w:color w:val="auto"/>
                <w:sz w:val="24"/>
                <w:szCs w:val="24"/>
                <w:highlight w:val="none"/>
                <w:lang w:val="en-US" w:eastAsia="zh-CN"/>
              </w:rPr>
              <w:t>西侧</w:t>
            </w:r>
            <w:r>
              <w:rPr>
                <w:rFonts w:hint="default" w:ascii="Times New Roman" w:hAnsi="Times New Roman" w:cs="Times New Roman"/>
                <w:color w:val="auto"/>
                <w:sz w:val="24"/>
                <w:szCs w:val="24"/>
                <w:highlight w:val="none"/>
              </w:rPr>
              <w:t>为河北鑫</w:t>
            </w:r>
            <w:r>
              <w:rPr>
                <w:rFonts w:hint="eastAsia" w:ascii="Times New Roman" w:hAnsi="Times New Roman" w:cs="Times New Roman"/>
                <w:color w:val="auto"/>
                <w:sz w:val="24"/>
                <w:szCs w:val="24"/>
                <w:highlight w:val="none"/>
                <w:lang w:val="en-US" w:eastAsia="zh-CN"/>
              </w:rPr>
              <w:t>山建材</w:t>
            </w:r>
            <w:r>
              <w:rPr>
                <w:rFonts w:hint="default" w:ascii="Times New Roman" w:hAnsi="Times New Roman" w:cs="Times New Roman"/>
                <w:color w:val="auto"/>
                <w:sz w:val="24"/>
                <w:szCs w:val="24"/>
                <w:highlight w:val="none"/>
              </w:rPr>
              <w:t>有限公司。</w:t>
            </w:r>
            <w:r>
              <w:rPr>
                <w:rFonts w:hint="eastAsia" w:ascii="Times New Roman" w:hAnsi="Times New Roman" w:cs="Times New Roman"/>
                <w:color w:val="auto"/>
                <w:sz w:val="24"/>
                <w:szCs w:val="24"/>
                <w:highlight w:val="none"/>
                <w:lang w:val="en-US" w:eastAsia="zh-CN"/>
              </w:rPr>
              <w:t>根据现场调查，</w:t>
            </w:r>
            <w:r>
              <w:rPr>
                <w:rFonts w:hint="default" w:ascii="Times New Roman" w:hAnsi="Times New Roman" w:cs="Times New Roman"/>
                <w:color w:val="auto"/>
                <w:sz w:val="24"/>
                <w:szCs w:val="24"/>
                <w:highlight w:val="none"/>
              </w:rPr>
              <w:t>距项目最近的敏感点为</w:t>
            </w:r>
            <w:r>
              <w:rPr>
                <w:rFonts w:hint="eastAsia" w:ascii="Times New Roman" w:hAnsi="Times New Roman" w:cs="Times New Roman"/>
                <w:color w:val="auto"/>
                <w:sz w:val="24"/>
                <w:szCs w:val="24"/>
                <w:highlight w:val="none"/>
                <w:lang w:val="en-US" w:eastAsia="zh-CN"/>
              </w:rPr>
              <w:t>西侧360m处的贾庄村</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距离本项目最近的生态保护红线为东北方向1216m处的太行山水土保持-生物多样性维护生态保护红线。</w:t>
            </w:r>
          </w:p>
          <w:p w14:paraId="7D15924D">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rightChars="0" w:firstLine="480" w:firstLineChars="200"/>
              <w:jc w:val="both"/>
              <w:textAlignment w:val="auto"/>
              <w:outlineLvl w:val="9"/>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项目周边无自然保护区、重点文物保护单位、风景名胜区等需要重点保护的环境敏感点，</w:t>
            </w:r>
            <w:r>
              <w:rPr>
                <w:rFonts w:hint="default" w:ascii="Times New Roman" w:hAnsi="Times New Roman" w:cs="Times New Roman"/>
                <w:color w:val="auto"/>
                <w:sz w:val="24"/>
                <w:szCs w:val="24"/>
                <w:highlight w:val="none"/>
                <w:lang w:val="en-US" w:eastAsia="zh-CN"/>
              </w:rPr>
              <w:t>项目选址符合</w:t>
            </w:r>
            <w:r>
              <w:rPr>
                <w:rFonts w:hint="default" w:ascii="Times New Roman" w:hAnsi="Times New Roman" w:cs="Times New Roman"/>
                <w:color w:val="auto"/>
                <w:sz w:val="24"/>
                <w:szCs w:val="20"/>
                <w:highlight w:val="none"/>
              </w:rPr>
              <w:t>石家庄市矿区工业园区</w:t>
            </w:r>
            <w:r>
              <w:rPr>
                <w:rFonts w:hint="default" w:ascii="Times New Roman" w:hAnsi="Times New Roman" w:cs="Times New Roman"/>
                <w:color w:val="auto"/>
                <w:sz w:val="24"/>
                <w:szCs w:val="24"/>
                <w:highlight w:val="none"/>
                <w:lang w:val="en-US" w:eastAsia="zh-CN"/>
              </w:rPr>
              <w:t>规划的要求</w:t>
            </w:r>
            <w:r>
              <w:rPr>
                <w:rFonts w:hint="eastAsia"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综上所述本项目选址可行。</w:t>
            </w:r>
          </w:p>
          <w:p w14:paraId="5AEA78CC">
            <w:pPr>
              <w:keepNext w:val="0"/>
              <w:keepLines w:val="0"/>
              <w:pageBreakBefore w:val="0"/>
              <w:widowControl w:val="0"/>
              <w:suppressLineNumbers w:val="0"/>
              <w:shd w:val="clear" w:color="auto" w:fill="auto"/>
              <w:kinsoku/>
              <w:wordWrap/>
              <w:overflowPunct/>
              <w:topLinePunct w:val="0"/>
              <w:autoSpaceDE w:val="0"/>
              <w:autoSpaceDN w:val="0"/>
              <w:bidi w:val="0"/>
              <w:spacing w:before="0" w:beforeAutospacing="0" w:after="0" w:afterAutospacing="0" w:line="480" w:lineRule="exact"/>
              <w:ind w:left="0" w:right="0" w:firstLine="482" w:firstLineChars="200"/>
              <w:textAlignment w:val="auto"/>
              <w:rPr>
                <w:rFonts w:hint="default" w:ascii="Times New Roman" w:hAnsi="Times New Roman" w:eastAsia="宋体" w:cs="Times New Roman"/>
                <w:b/>
                <w:bCs/>
                <w:color w:val="auto"/>
                <w:sz w:val="24"/>
                <w:szCs w:val="20"/>
                <w:highlight w:val="none"/>
              </w:rPr>
            </w:pPr>
            <w:r>
              <w:rPr>
                <w:rFonts w:hint="eastAsia" w:ascii="Times New Roman" w:hAnsi="Times New Roman" w:eastAsia="宋体" w:cs="Times New Roman"/>
                <w:b/>
                <w:bCs/>
                <w:color w:val="auto"/>
                <w:sz w:val="24"/>
                <w:szCs w:val="20"/>
                <w:highlight w:val="none"/>
                <w:lang w:val="en-US" w:eastAsia="zh-CN"/>
              </w:rPr>
              <w:t>3</w:t>
            </w:r>
            <w:r>
              <w:rPr>
                <w:rFonts w:hint="default" w:ascii="Times New Roman" w:hAnsi="Times New Roman" w:eastAsia="宋体" w:cs="Times New Roman"/>
                <w:b/>
                <w:bCs/>
                <w:color w:val="auto"/>
                <w:sz w:val="24"/>
                <w:szCs w:val="20"/>
                <w:highlight w:val="none"/>
              </w:rPr>
              <w:t>、项目与水源保护区相关规定符合性分析</w:t>
            </w:r>
          </w:p>
          <w:p w14:paraId="18CF5D36">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根据《河北省人民政府关于同意石家庄市岗南、黄璧庄水库集中式饮用水水源保护区调整的批复》（冀政字[2023]46 号），调整后的石家庄市岗南、黄壁庄水库集中式饮用水水源地保护区范围为：</w:t>
            </w:r>
          </w:p>
          <w:p w14:paraId="28D4E6A5">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一级保护区范围。水域范围：岗南、黄壁庄水库将正常水位线以下的全部水域，以及两库之间滹沱河主干流行洪治导线外100米范围内的区域划为一级保护区。陆域范围：岗南、黄壁庄水库取水口一侧正常水位线以上200米范围内的陆域划为一级保护区。调整后一级保护区范围和面积保持不变，总面积135.3k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w:t>
            </w:r>
          </w:p>
          <w:p w14:paraId="75D436FB">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二级保护区范围。水域范围：滹沱河(岗南水库上游至省界段)、冶河、绵河、甘陶河在省(市)界行洪治导线以内的区域划为二级保护区。陆域范围：一级保护区以外</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公里范围；冶河、绵河、甘陶河行洪治导线外</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公里范围，其中黄壁庄水库(平山县城一侧)、冶河(平山县城段、井陉县城段)以防洪堤坝为界；平山县城外环堤坝涵洞由北向南沿来水方向依次外延475米、210米、1000米、1000米；滹沱河(岗南水库上游至省界段)水域范围外延1000米，但不超过流域分水岭范围划为二级保护区。调整后二级保护区总面积1062.68k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w:t>
            </w:r>
          </w:p>
          <w:p w14:paraId="2B49B690">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准保护区范围。以地表分水岭为界，二级保护区外石家庄市行政区域内黄壁庄水库上游滹沱河水系范围划为准保护区。调整后准保护区总面积3111.84km</w:t>
            </w:r>
            <w:r>
              <w:rPr>
                <w:rFonts w:hint="default" w:ascii="Times New Roman" w:hAnsi="Times New Roman" w:cs="Times New Roman"/>
                <w:smallCaps w:val="0"/>
                <w:color w:val="auto"/>
                <w:spacing w:val="0"/>
                <w:highlight w:val="none"/>
                <w:vertAlign w:val="superscript"/>
              </w:rPr>
              <w:t>2</w:t>
            </w:r>
            <w:r>
              <w:rPr>
                <w:rFonts w:hint="default" w:ascii="Times New Roman" w:hAnsi="Times New Roman" w:cs="Times New Roman"/>
                <w:smallCaps w:val="0"/>
                <w:color w:val="auto"/>
                <w:spacing w:val="0"/>
                <w:highlight w:val="none"/>
              </w:rPr>
              <w:t>。</w:t>
            </w:r>
          </w:p>
          <w:p w14:paraId="44F779B9">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据此分析，项目占地位于石家庄市饮用水水源保护区地表水源保护区准保护区。</w:t>
            </w:r>
          </w:p>
          <w:p w14:paraId="356EBE84">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按照《中华人民共和国水污染防治法》第六十三条规定：“国家建立饮用水水源保护区制度。饮用水水源保护区分为一级保护区和二级保护区；必要时</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可以在饮用水水源保护区外围划定一定的区域作为准保护区”。</w:t>
            </w:r>
          </w:p>
          <w:p w14:paraId="0A000FB0">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按照《中华人民共和国水污染防治法》第六十七条规定：“禁止在饮用水水源准保护区内新建、扩建对水体污染严重的建设项目；改建建设项目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不得增加排污量”。</w:t>
            </w:r>
          </w:p>
          <w:p w14:paraId="71656135">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《河北省水污染防治条例》（2018年5月31日修订）中第十七条规定：“禁止在饮用水水源准保护区内新建、扩建对水体污染严重的建设项目；改建建设项目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不得增加排污量”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第十八条规定：“禁止在饮用水水源保护区内设置排污口”。</w:t>
            </w:r>
          </w:p>
          <w:p w14:paraId="2636F23E">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按照《石家庄市岗南黄壁庄水库饮用水水源污染防治条例》（2023年修正版）第十四条规定：“在两库饮用水水源二级保护区和准保护区内建设其它项目，建设单位应当向县级以上人民政府环境保护行政主管部门报送环境影响评价文件，未经批准的，不得兴建”。</w:t>
            </w:r>
          </w:p>
          <w:p w14:paraId="544DD4E7">
            <w:pPr>
              <w:keepNext w:val="0"/>
              <w:keepLines w:val="0"/>
              <w:pageBreakBefore w:val="0"/>
              <w:suppressLineNumbers w:val="0"/>
              <w:kinsoku/>
              <w:wordWrap/>
              <w:overflowPunct/>
              <w:topLinePunct w:val="0"/>
              <w:bidi w:val="0"/>
              <w:spacing w:before="0" w:beforeAutospacing="0" w:after="0" w:afterAutospacing="0" w:line="480" w:lineRule="exact"/>
              <w:ind w:left="0" w:right="0" w:firstLine="480" w:firstLineChars="200"/>
              <w:textAlignment w:val="auto"/>
              <w:rPr>
                <w:rFonts w:hint="default"/>
                <w:szCs w:val="20"/>
                <w:highlight w:val="none"/>
              </w:rPr>
            </w:pPr>
            <w:r>
              <w:rPr>
                <w:rFonts w:hint="default"/>
                <w:sz w:val="24"/>
                <w:szCs w:val="20"/>
                <w:highlight w:val="none"/>
              </w:rPr>
              <w:t>根据《集中式饮用水水源地规范化建设环境保护技术要求》(HJ773-2015)中“6 保护区整治要求”规定：“准保护区内无新建、扩建制药、化工、造纸、制革、印染、染料、炼焦、炼硫、炼砷、炼油、电镀、农药等对水体污染严重的建设项目。保护区划定前已有的上述建设项目不得增加排污量并逐步搬出。”</w:t>
            </w:r>
          </w:p>
          <w:p w14:paraId="44003ABB">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b/>
                <w:bCs/>
                <w:smallCaps w:val="0"/>
                <w:color w:val="auto"/>
                <w:spacing w:val="0"/>
                <w:highlight w:val="none"/>
              </w:rPr>
              <w:t>本项目占地为工业用地，不涉及</w:t>
            </w:r>
            <w:r>
              <w:rPr>
                <w:rFonts w:hint="eastAsia" w:cs="Times New Roman"/>
                <w:b/>
                <w:bCs/>
                <w:smallCaps w:val="0"/>
                <w:color w:val="auto"/>
                <w:spacing w:val="0"/>
                <w:highlight w:val="none"/>
                <w:lang w:val="en-US" w:eastAsia="zh-CN"/>
              </w:rPr>
              <w:t>生产废水，</w:t>
            </w:r>
            <w:r>
              <w:rPr>
                <w:rFonts w:hint="default" w:ascii="Times New Roman" w:hAnsi="Times New Roman" w:cs="Times New Roman"/>
                <w:b/>
                <w:bCs/>
                <w:smallCaps w:val="0"/>
                <w:color w:val="auto"/>
                <w:spacing w:val="0"/>
                <w:highlight w:val="none"/>
              </w:rPr>
              <w:t>职工</w:t>
            </w:r>
            <w:r>
              <w:rPr>
                <w:rFonts w:hint="eastAsia" w:cs="Times New Roman"/>
                <w:b/>
                <w:bCs/>
                <w:smallCaps w:val="0"/>
                <w:color w:val="auto"/>
                <w:spacing w:val="0"/>
                <w:highlight w:val="none"/>
                <w:lang w:val="en-US" w:eastAsia="zh-CN"/>
              </w:rPr>
              <w:t>生活污水排入防渗旱厕，定期清掏不外排；本</w:t>
            </w:r>
            <w:r>
              <w:rPr>
                <w:rFonts w:hint="default" w:ascii="Times New Roman" w:hAnsi="Times New Roman" w:cs="Times New Roman"/>
                <w:b/>
                <w:bCs/>
                <w:smallCaps w:val="0"/>
                <w:color w:val="auto"/>
                <w:spacing w:val="0"/>
                <w:highlight w:val="none"/>
              </w:rPr>
              <w:t>项目未设置污水排放口；不属于制药、化工、造纸、制革、印染、染料、炼焦、炼硫、炼砷、 炼油、电镀、农药等对水体污染严重的建设项目。项目目前</w:t>
            </w:r>
            <w:r>
              <w:rPr>
                <w:rFonts w:hint="eastAsia" w:cs="Times New Roman"/>
                <w:b/>
                <w:bCs/>
                <w:smallCaps w:val="0"/>
                <w:color w:val="auto"/>
                <w:spacing w:val="0"/>
                <w:highlight w:val="none"/>
                <w:lang w:val="en-US" w:eastAsia="zh-CN"/>
              </w:rPr>
              <w:t>在</w:t>
            </w:r>
            <w:r>
              <w:rPr>
                <w:rFonts w:hint="default" w:ascii="Times New Roman" w:hAnsi="Times New Roman" w:cs="Times New Roman"/>
                <w:b/>
                <w:bCs/>
                <w:smallCaps w:val="0"/>
                <w:color w:val="auto"/>
                <w:spacing w:val="0"/>
                <w:highlight w:val="none"/>
              </w:rPr>
              <w:t>办理环境影响评价手续，环境影响报告表批准后方可建设。</w:t>
            </w:r>
          </w:p>
          <w:p w14:paraId="6DC9B11A">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项目符合</w:t>
            </w:r>
            <w:r>
              <w:rPr>
                <w:rFonts w:hint="eastAsia" w:cs="Times New Roman"/>
                <w:smallCaps w:val="0"/>
                <w:color w:val="auto"/>
                <w:spacing w:val="0"/>
                <w:highlight w:val="none"/>
                <w:lang w:eastAsia="zh-CN"/>
              </w:rPr>
              <w:t>集中式饮用水水源地准保护区内</w:t>
            </w:r>
            <w:r>
              <w:rPr>
                <w:rFonts w:hint="default" w:ascii="Times New Roman" w:hAnsi="Times New Roman" w:cs="Times New Roman"/>
                <w:smallCaps w:val="0"/>
                <w:color w:val="auto"/>
                <w:spacing w:val="0"/>
                <w:highlight w:val="none"/>
              </w:rPr>
              <w:t>的相关要求。</w:t>
            </w:r>
          </w:p>
          <w:p w14:paraId="591F049B">
            <w:pPr>
              <w:pStyle w:val="171"/>
              <w:keepNext w:val="0"/>
              <w:keepLines w:val="0"/>
              <w:pageBreakBefore w:val="0"/>
              <w:suppressLineNumbers w:val="0"/>
              <w:kinsoku/>
              <w:wordWrap/>
              <w:overflowPunct/>
              <w:topLinePunct w:val="0"/>
              <w:bidi w:val="0"/>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4</w:t>
            </w:r>
            <w:r>
              <w:rPr>
                <w:rFonts w:hint="default" w:ascii="Times New Roman" w:hAnsi="Times New Roman" w:cs="Times New Roman"/>
                <w:b/>
                <w:smallCaps w:val="0"/>
                <w:color w:val="auto"/>
                <w:spacing w:val="0"/>
                <w:highlight w:val="none"/>
              </w:rPr>
              <w:t>、与环环评（2016）150号文符合性分析</w:t>
            </w:r>
          </w:p>
          <w:p w14:paraId="3CE9BB2A">
            <w:pPr>
              <w:keepNext w:val="0"/>
              <w:keepLines w:val="0"/>
              <w:pageBreakBefore w:val="0"/>
              <w:suppressLineNumbers w:val="0"/>
              <w:kinsoku/>
              <w:wordWrap/>
              <w:overflowPunct/>
              <w:topLinePunct w:val="0"/>
              <w:bidi w:val="0"/>
              <w:spacing w:before="0" w:beforeAutospacing="0" w:after="0" w:afterAutospacing="0" w:line="480" w:lineRule="exact"/>
              <w:ind w:left="0" w:right="0" w:firstLine="480" w:firstLineChars="200"/>
              <w:textAlignment w:val="auto"/>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根据《关于以改善环境质量为核心加强环境影响评价管理的通知》（环环评[2016]150号），项目与“三线一单”符合性分析见表1-</w:t>
            </w:r>
            <w:r>
              <w:rPr>
                <w:rFonts w:hint="eastAsia" w:cs="Times New Roman"/>
                <w:smallCaps w:val="0"/>
                <w:color w:val="auto"/>
                <w:spacing w:val="0"/>
                <w:sz w:val="24"/>
                <w:szCs w:val="20"/>
                <w:highlight w:val="none"/>
                <w:lang w:val="en-US" w:eastAsia="zh-CN"/>
              </w:rPr>
              <w:t>5</w:t>
            </w:r>
            <w:r>
              <w:rPr>
                <w:rFonts w:hint="default" w:ascii="Times New Roman" w:hAnsi="Times New Roman" w:cs="Times New Roman"/>
                <w:smallCaps w:val="0"/>
                <w:color w:val="auto"/>
                <w:spacing w:val="0"/>
                <w:sz w:val="24"/>
                <w:szCs w:val="20"/>
                <w:highlight w:val="none"/>
              </w:rPr>
              <w:t>。</w:t>
            </w:r>
          </w:p>
          <w:p w14:paraId="5EFBF414">
            <w:pPr>
              <w:pStyle w:val="187"/>
              <w:keepNext w:val="0"/>
              <w:keepLines w:val="0"/>
              <w:pageBreakBefore w:val="0"/>
              <w:suppressLineNumbers w:val="0"/>
              <w:kinsoku/>
              <w:wordWrap/>
              <w:overflowPunct/>
              <w:topLinePunct w:val="0"/>
              <w:bidi w:val="0"/>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“三线一单”符合性分析表</w:t>
            </w:r>
          </w:p>
          <w:tbl>
            <w:tblPr>
              <w:tblStyle w:val="4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
              <w:gridCol w:w="3695"/>
              <w:gridCol w:w="2622"/>
              <w:gridCol w:w="536"/>
            </w:tblGrid>
            <w:tr w14:paraId="4CCA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819" w:type="pct"/>
                  <w:gridSpan w:val="2"/>
                  <w:tcMar>
                    <w:left w:w="28" w:type="dxa"/>
                    <w:right w:w="28" w:type="dxa"/>
                  </w:tcMar>
                  <w:vAlign w:val="center"/>
                </w:tcPr>
                <w:p w14:paraId="42A1A682">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内容</w:t>
                  </w:r>
                </w:p>
              </w:tc>
              <w:tc>
                <w:tcPr>
                  <w:tcW w:w="1810" w:type="pct"/>
                  <w:tcMar>
                    <w:left w:w="28" w:type="dxa"/>
                    <w:right w:w="28" w:type="dxa"/>
                  </w:tcMar>
                  <w:vAlign w:val="center"/>
                </w:tcPr>
                <w:p w14:paraId="1BBAE189">
                  <w:pPr>
                    <w:pStyle w:val="173"/>
                    <w:keepNext w:val="0"/>
                    <w:keepLines w:val="0"/>
                    <w:suppressLineNumbers w:val="0"/>
                    <w:spacing w:before="0" w:beforeAutospacing="0" w:after="0" w:afterAutospacing="0"/>
                    <w:ind w:left="0" w:right="0"/>
                    <w:rPr>
                      <w:rFonts w:hint="eastAsia" w:ascii="Times New Roman" w:hAnsi="Times New Roman" w:eastAsia="宋体" w:cs="Times New Roman"/>
                      <w:b/>
                      <w:bCs w:val="0"/>
                      <w:smallCaps w:val="0"/>
                      <w:color w:val="auto"/>
                      <w:spacing w:val="0"/>
                      <w:highlight w:val="none"/>
                      <w:lang w:val="en-US" w:eastAsia="zh-CN"/>
                    </w:rPr>
                  </w:pPr>
                  <w:r>
                    <w:rPr>
                      <w:rFonts w:hint="default" w:ascii="Times New Roman" w:hAnsi="Times New Roman" w:cs="Times New Roman"/>
                      <w:b/>
                      <w:bCs w:val="0"/>
                      <w:smallCaps w:val="0"/>
                      <w:color w:val="auto"/>
                      <w:spacing w:val="0"/>
                      <w:highlight w:val="none"/>
                    </w:rPr>
                    <w:t>本项目</w:t>
                  </w:r>
                  <w:r>
                    <w:rPr>
                      <w:rFonts w:hint="eastAsia" w:cs="Times New Roman"/>
                      <w:b/>
                      <w:bCs w:val="0"/>
                      <w:smallCaps w:val="0"/>
                      <w:color w:val="auto"/>
                      <w:spacing w:val="0"/>
                      <w:highlight w:val="none"/>
                      <w:lang w:val="en-US" w:eastAsia="zh-CN"/>
                    </w:rPr>
                    <w:t>情况</w:t>
                  </w:r>
                </w:p>
              </w:tc>
              <w:tc>
                <w:tcPr>
                  <w:tcW w:w="370" w:type="pct"/>
                  <w:tcMar>
                    <w:left w:w="28" w:type="dxa"/>
                    <w:right w:w="28" w:type="dxa"/>
                  </w:tcMar>
                  <w:vAlign w:val="center"/>
                </w:tcPr>
                <w:p w14:paraId="6E74546A">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结论</w:t>
                  </w:r>
                </w:p>
              </w:tc>
            </w:tr>
            <w:tr w14:paraId="11FB0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06793920">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生态保护红线</w:t>
                  </w:r>
                </w:p>
              </w:tc>
              <w:tc>
                <w:tcPr>
                  <w:tcW w:w="2550" w:type="pct"/>
                  <w:tcMar>
                    <w:left w:w="28" w:type="dxa"/>
                    <w:right w:w="28" w:type="dxa"/>
                  </w:tcMar>
                  <w:vAlign w:val="center"/>
                </w:tcPr>
                <w:p w14:paraId="0759E57C">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生态保护红线是生态空间范围内具有特殊重要生态功能必须实行强制性严格保护的区域。相关规划环评应将生态空间管控作为重要内容</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规划区域涉及生态保护红线的</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在规划环评结论和审查意见中应落实生态保护红线的管理要求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提出相应对策措施。除受自然条件限制、确实无法避让的铁路、公路、航道、防洪、管道、干渠、通讯、输变电等重要基础设施项目外</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在生态保护红线范围内</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严控各类开发建设活动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依法不予审批新建工业项目和矿产开发项目的环评文件。</w:t>
                  </w:r>
                </w:p>
              </w:tc>
              <w:tc>
                <w:tcPr>
                  <w:tcW w:w="1810" w:type="pct"/>
                  <w:tcMar>
                    <w:left w:w="28" w:type="dxa"/>
                    <w:right w:w="28" w:type="dxa"/>
                  </w:tcMar>
                  <w:vAlign w:val="center"/>
                </w:tcPr>
                <w:p w14:paraId="672130FB">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项目位于河北省石家庄市井陉矿区</w:t>
                  </w:r>
                  <w:r>
                    <w:rPr>
                      <w:rFonts w:hint="eastAsia" w:cs="Times New Roman"/>
                      <w:smallCaps w:val="0"/>
                      <w:color w:val="auto"/>
                      <w:spacing w:val="0"/>
                      <w:highlight w:val="none"/>
                      <w:lang w:val="en-US" w:eastAsia="zh-CN"/>
                    </w:rPr>
                    <w:t>石钢片区，租赁</w:t>
                  </w:r>
                  <w:r>
                    <w:rPr>
                      <w:rFonts w:hint="default" w:ascii="Times New Roman" w:hAnsi="Times New Roman" w:cs="Times New Roman"/>
                      <w:smallCaps w:val="0"/>
                      <w:color w:val="auto"/>
                      <w:spacing w:val="0"/>
                      <w:highlight w:val="none"/>
                    </w:rPr>
                    <w:t>鑫鸿产业园5号厂房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本区域生态保护红线主导生态功能为水土保持功能</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其次是水源涵养功能。距离本项目最近的生态保护红线为东北方向1216m处的太行山水土保持-生物多样性维护生态保护红线。因此</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项目建设符合生态保护红线要求。</w:t>
                  </w:r>
                </w:p>
              </w:tc>
              <w:tc>
                <w:tcPr>
                  <w:tcW w:w="370" w:type="pct"/>
                  <w:tcMar>
                    <w:left w:w="28" w:type="dxa"/>
                    <w:right w:w="28" w:type="dxa"/>
                  </w:tcMar>
                  <w:vAlign w:val="center"/>
                </w:tcPr>
                <w:p w14:paraId="51337DE6">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7D1CE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60AC43A9">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环境质量底线</w:t>
                  </w:r>
                </w:p>
              </w:tc>
              <w:tc>
                <w:tcPr>
                  <w:tcW w:w="2550" w:type="pct"/>
                  <w:tcMar>
                    <w:left w:w="28" w:type="dxa"/>
                    <w:right w:w="28" w:type="dxa"/>
                  </w:tcMar>
                  <w:vAlign w:val="center"/>
                </w:tcPr>
                <w:p w14:paraId="76277A1C">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环境质量底线是国家和地方设置的大气、水和土壤环境质量目标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也是改善环境质量的基准线。有关规划环评应落实区域环境质量目标管理要求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提出区域或者行业污染物排放总量管控建议以及优化区域或行业发展布局、结构和规模的对策措施。项目环评应对照区域环境质量目标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深入分析预测项目建设对环境质量的影响</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强化污染防治措施和污染物排放控制要求。</w:t>
                  </w:r>
                </w:p>
              </w:tc>
              <w:tc>
                <w:tcPr>
                  <w:tcW w:w="1810" w:type="pct"/>
                  <w:tcMar>
                    <w:left w:w="28" w:type="dxa"/>
                    <w:right w:w="28" w:type="dxa"/>
                  </w:tcMar>
                  <w:vAlign w:val="center"/>
                </w:tcPr>
                <w:p w14:paraId="727E9055">
                  <w:pPr>
                    <w:pStyle w:val="173"/>
                    <w:keepNext w:val="0"/>
                    <w:keepLines w:val="0"/>
                    <w:suppressLineNumbers w:val="0"/>
                    <w:spacing w:before="0" w:beforeAutospacing="0" w:after="0" w:afterAutospacing="0"/>
                    <w:ind w:left="0" w:right="0"/>
                    <w:rPr>
                      <w:rFonts w:hint="default" w:ascii="Times New Roman" w:hAnsi="Times New Roman" w:cs="Times New Roman"/>
                      <w:bCs/>
                      <w:smallCaps w:val="0"/>
                      <w:color w:val="auto"/>
                      <w:spacing w:val="0"/>
                      <w:sz w:val="21"/>
                      <w:highlight w:val="none"/>
                    </w:rPr>
                  </w:pPr>
                  <w:r>
                    <w:rPr>
                      <w:rFonts w:hint="default" w:ascii="Times New Roman" w:hAnsi="Times New Roman" w:cs="Times New Roman"/>
                      <w:bCs/>
                      <w:smallCaps w:val="0"/>
                      <w:color w:val="auto"/>
                      <w:spacing w:val="0"/>
                      <w:sz w:val="21"/>
                      <w:highlight w:val="none"/>
                    </w:rPr>
                    <w:t>项目对施工期</w:t>
                  </w:r>
                  <w:r>
                    <w:rPr>
                      <w:rFonts w:hint="eastAsia" w:cs="Times New Roman"/>
                      <w:bCs/>
                      <w:smallCaps w:val="0"/>
                      <w:color w:val="auto"/>
                      <w:spacing w:val="0"/>
                      <w:sz w:val="21"/>
                      <w:highlight w:val="none"/>
                      <w:lang w:val="en-US" w:eastAsia="zh-CN"/>
                    </w:rPr>
                    <w:t>废水、</w:t>
                  </w:r>
                  <w:r>
                    <w:rPr>
                      <w:rFonts w:hint="default" w:ascii="Times New Roman" w:hAnsi="Times New Roman" w:cs="Times New Roman"/>
                      <w:bCs/>
                      <w:smallCaps w:val="0"/>
                      <w:color w:val="auto"/>
                      <w:spacing w:val="0"/>
                      <w:sz w:val="21"/>
                      <w:highlight w:val="none"/>
                    </w:rPr>
                    <w:t>噪声、固废等污染物均采取了严格的治理措施</w:t>
                  </w:r>
                  <w:r>
                    <w:rPr>
                      <w:rFonts w:hint="default" w:ascii="Times New Roman" w:hAnsi="Times New Roman" w:cs="Times New Roman"/>
                      <w:bCs/>
                      <w:smallCaps w:val="0"/>
                      <w:color w:val="auto"/>
                      <w:spacing w:val="0"/>
                      <w:sz w:val="21"/>
                      <w:highlight w:val="none"/>
                      <w:lang w:eastAsia="zh-CN"/>
                    </w:rPr>
                    <w:t>，</w:t>
                  </w:r>
                  <w:r>
                    <w:rPr>
                      <w:rFonts w:hint="default" w:ascii="Times New Roman" w:hAnsi="Times New Roman" w:cs="Times New Roman"/>
                      <w:bCs/>
                      <w:smallCaps w:val="0"/>
                      <w:color w:val="auto"/>
                      <w:spacing w:val="0"/>
                      <w:sz w:val="21"/>
                      <w:highlight w:val="none"/>
                    </w:rPr>
                    <w:t>污染物均能达标排放；运营期</w:t>
                  </w:r>
                  <w:r>
                    <w:rPr>
                      <w:rFonts w:hint="eastAsia" w:cs="Times New Roman"/>
                      <w:bCs/>
                      <w:smallCaps w:val="0"/>
                      <w:color w:val="auto"/>
                      <w:spacing w:val="0"/>
                      <w:sz w:val="21"/>
                      <w:highlight w:val="none"/>
                      <w:lang w:val="en-US" w:eastAsia="zh-CN"/>
                    </w:rPr>
                    <w:t>项目废气通过布袋除尘器、二级活性炭吸附装置等处理后达标排放</w:t>
                  </w:r>
                  <w:r>
                    <w:rPr>
                      <w:rFonts w:hint="default" w:ascii="Times New Roman" w:hAnsi="Times New Roman" w:cs="Times New Roman"/>
                      <w:bCs/>
                      <w:smallCaps w:val="0"/>
                      <w:color w:val="auto"/>
                      <w:spacing w:val="0"/>
                      <w:sz w:val="21"/>
                      <w:highlight w:val="none"/>
                    </w:rPr>
                    <w:t>；项目</w:t>
                  </w:r>
                  <w:r>
                    <w:rPr>
                      <w:rFonts w:hint="eastAsia" w:cs="Times New Roman"/>
                      <w:bCs/>
                      <w:smallCaps w:val="0"/>
                      <w:color w:val="auto"/>
                      <w:spacing w:val="0"/>
                      <w:sz w:val="21"/>
                      <w:highlight w:val="none"/>
                      <w:lang w:val="en-US" w:eastAsia="zh-CN"/>
                    </w:rPr>
                    <w:t>生活污水泼洒抑尘，不外</w:t>
                  </w:r>
                  <w:r>
                    <w:rPr>
                      <w:rFonts w:hint="default" w:ascii="Times New Roman" w:hAnsi="Times New Roman" w:cs="Times New Roman"/>
                      <w:bCs/>
                      <w:smallCaps w:val="0"/>
                      <w:color w:val="auto"/>
                      <w:spacing w:val="0"/>
                      <w:sz w:val="21"/>
                      <w:highlight w:val="none"/>
                    </w:rPr>
                    <w:t>排</w:t>
                  </w:r>
                  <w:r>
                    <w:rPr>
                      <w:rFonts w:hint="eastAsia" w:cs="Times New Roman"/>
                      <w:bCs/>
                      <w:smallCaps w:val="0"/>
                      <w:color w:val="auto"/>
                      <w:spacing w:val="0"/>
                      <w:sz w:val="21"/>
                      <w:highlight w:val="none"/>
                      <w:lang w:eastAsia="zh-CN"/>
                    </w:rPr>
                    <w:t>；</w:t>
                  </w:r>
                  <w:r>
                    <w:rPr>
                      <w:rFonts w:hint="eastAsia" w:cs="Times New Roman"/>
                      <w:bCs/>
                      <w:smallCaps w:val="0"/>
                      <w:color w:val="auto"/>
                      <w:spacing w:val="0"/>
                      <w:sz w:val="21"/>
                      <w:highlight w:val="none"/>
                      <w:lang w:val="en-US" w:eastAsia="zh-CN"/>
                    </w:rPr>
                    <w:t>厂区</w:t>
                  </w:r>
                  <w:r>
                    <w:rPr>
                      <w:rFonts w:hint="default" w:ascii="Times New Roman" w:hAnsi="Times New Roman" w:cs="Times New Roman"/>
                      <w:bCs/>
                      <w:smallCaps w:val="0"/>
                      <w:color w:val="auto"/>
                      <w:spacing w:val="0"/>
                      <w:sz w:val="21"/>
                      <w:highlight w:val="none"/>
                      <w:lang w:val="en-US" w:eastAsia="zh-CN"/>
                    </w:rPr>
                    <w:t>采取防渗措施后，对地下水和土壤的影响较小；</w:t>
                  </w:r>
                  <w:r>
                    <w:rPr>
                      <w:rFonts w:hint="default" w:ascii="Times New Roman" w:hAnsi="Times New Roman" w:cs="Times New Roman"/>
                      <w:bCs/>
                      <w:smallCaps w:val="0"/>
                      <w:color w:val="auto"/>
                      <w:spacing w:val="0"/>
                      <w:sz w:val="21"/>
                      <w:highlight w:val="none"/>
                    </w:rPr>
                    <w:t>项目</w:t>
                  </w:r>
                  <w:r>
                    <w:rPr>
                      <w:rFonts w:hint="default" w:ascii="Times New Roman" w:hAnsi="Times New Roman" w:cs="Times New Roman"/>
                      <w:bCs/>
                      <w:smallCaps w:val="0"/>
                      <w:color w:val="auto"/>
                      <w:spacing w:val="0"/>
                      <w:sz w:val="21"/>
                      <w:highlight w:val="none"/>
                      <w:lang w:eastAsia="zh-CN"/>
                    </w:rPr>
                    <w:t>选用低噪声设备、基础减振、厂房隔声等措施，</w:t>
                  </w:r>
                  <w:r>
                    <w:rPr>
                      <w:rFonts w:hint="default" w:ascii="Times New Roman" w:hAnsi="Times New Roman" w:cs="Times New Roman"/>
                      <w:bCs/>
                      <w:smallCaps w:val="0"/>
                      <w:color w:val="auto"/>
                      <w:spacing w:val="0"/>
                      <w:sz w:val="21"/>
                      <w:highlight w:val="none"/>
                    </w:rPr>
                    <w:t>经预测厂界噪声可满足《工业企业厂界环境噪声排放标准》(GB12348-2008）</w:t>
                  </w:r>
                  <w:r>
                    <w:rPr>
                      <w:rFonts w:hint="default" w:ascii="Times New Roman" w:hAnsi="Times New Roman" w:cs="Times New Roman"/>
                      <w:bCs/>
                      <w:smallCaps w:val="0"/>
                      <w:color w:val="auto"/>
                      <w:spacing w:val="0"/>
                      <w:sz w:val="21"/>
                      <w:highlight w:val="none"/>
                      <w:lang w:val="en-US" w:eastAsia="zh-CN"/>
                    </w:rPr>
                    <w:t>3</w:t>
                  </w:r>
                  <w:r>
                    <w:rPr>
                      <w:rFonts w:hint="default" w:ascii="Times New Roman" w:hAnsi="Times New Roman" w:cs="Times New Roman"/>
                      <w:bCs/>
                      <w:smallCaps w:val="0"/>
                      <w:color w:val="auto"/>
                      <w:spacing w:val="0"/>
                      <w:sz w:val="21"/>
                      <w:highlight w:val="none"/>
                    </w:rPr>
                    <w:t>类标准</w:t>
                  </w:r>
                  <w:r>
                    <w:rPr>
                      <w:rFonts w:hint="default" w:ascii="Times New Roman" w:hAnsi="Times New Roman" w:cs="Times New Roman"/>
                      <w:bCs/>
                      <w:smallCaps w:val="0"/>
                      <w:color w:val="auto"/>
                      <w:spacing w:val="0"/>
                      <w:sz w:val="21"/>
                      <w:highlight w:val="none"/>
                      <w:lang w:eastAsia="zh-CN"/>
                    </w:rPr>
                    <w:t>，</w:t>
                  </w:r>
                  <w:r>
                    <w:rPr>
                      <w:rFonts w:hint="default" w:ascii="Times New Roman" w:hAnsi="Times New Roman" w:cs="Times New Roman"/>
                      <w:bCs/>
                      <w:smallCaps w:val="0"/>
                      <w:color w:val="auto"/>
                      <w:spacing w:val="0"/>
                      <w:sz w:val="21"/>
                      <w:highlight w:val="none"/>
                    </w:rPr>
                    <w:t>综上所述</w:t>
                  </w:r>
                  <w:r>
                    <w:rPr>
                      <w:rFonts w:hint="default" w:ascii="Times New Roman" w:hAnsi="Times New Roman" w:cs="Times New Roman"/>
                      <w:bCs/>
                      <w:smallCaps w:val="0"/>
                      <w:color w:val="auto"/>
                      <w:spacing w:val="0"/>
                      <w:sz w:val="21"/>
                      <w:highlight w:val="none"/>
                      <w:lang w:eastAsia="zh-CN"/>
                    </w:rPr>
                    <w:t>，</w:t>
                  </w:r>
                  <w:r>
                    <w:rPr>
                      <w:rFonts w:hint="default" w:ascii="Times New Roman" w:hAnsi="Times New Roman" w:cs="Times New Roman"/>
                      <w:bCs/>
                      <w:smallCaps w:val="0"/>
                      <w:color w:val="auto"/>
                      <w:spacing w:val="0"/>
                      <w:sz w:val="21"/>
                      <w:highlight w:val="none"/>
                    </w:rPr>
                    <w:t>项目符合环境质量底线的要求。</w:t>
                  </w:r>
                </w:p>
              </w:tc>
              <w:tc>
                <w:tcPr>
                  <w:tcW w:w="370" w:type="pct"/>
                  <w:tcMar>
                    <w:left w:w="28" w:type="dxa"/>
                    <w:right w:w="28" w:type="dxa"/>
                  </w:tcMar>
                  <w:vAlign w:val="center"/>
                </w:tcPr>
                <w:p w14:paraId="37673664">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547F4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1DBD37FC">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资源利用上线</w:t>
                  </w:r>
                </w:p>
              </w:tc>
              <w:tc>
                <w:tcPr>
                  <w:tcW w:w="2550" w:type="pct"/>
                  <w:tcMar>
                    <w:left w:w="28" w:type="dxa"/>
                    <w:right w:w="28" w:type="dxa"/>
                  </w:tcMar>
                  <w:vAlign w:val="center"/>
                </w:tcPr>
                <w:p w14:paraId="1B346E5E">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资源利用上线是各地区能源、水、土地等资源消耗不得突破的“天花板”。相关规划环评应依据有关资源利用上线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对规划实施及规划内项目的资源开发利用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区分不同行业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从能源资源开发等量或减量替代、开采方式和规模控制、利用效率和保护措施等方面提出建议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为规划编制和审批决策提供重要依据。</w:t>
                  </w:r>
                </w:p>
              </w:tc>
              <w:tc>
                <w:tcPr>
                  <w:tcW w:w="1810" w:type="pct"/>
                  <w:tcMar>
                    <w:left w:w="28" w:type="dxa"/>
                    <w:right w:w="28" w:type="dxa"/>
                  </w:tcMar>
                  <w:vAlign w:val="center"/>
                </w:tcPr>
                <w:p w14:paraId="309B09AE">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项目用水、用电均由</w:t>
                  </w:r>
                  <w:r>
                    <w:rPr>
                      <w:rFonts w:hint="default" w:ascii="Times New Roman" w:hAnsi="Times New Roman" w:cs="Times New Roman"/>
                      <w:smallCaps w:val="0"/>
                      <w:color w:val="auto"/>
                      <w:spacing w:val="0"/>
                      <w:highlight w:val="none"/>
                      <w:lang w:val="en-US" w:eastAsia="zh-CN"/>
                    </w:rPr>
                    <w:t>园区</w:t>
                  </w:r>
                  <w:r>
                    <w:rPr>
                      <w:rFonts w:hint="default" w:ascii="Times New Roman" w:hAnsi="Times New Roman" w:cs="Times New Roman"/>
                      <w:smallCaps w:val="0"/>
                      <w:color w:val="auto"/>
                      <w:spacing w:val="0"/>
                      <w:highlight w:val="none"/>
                    </w:rPr>
                    <w:t>供水管网及电网提供</w:t>
                  </w:r>
                  <w:r>
                    <w:rPr>
                      <w:rFonts w:hint="default" w:ascii="Times New Roman" w:hAnsi="Times New Roman" w:cs="Times New Roman"/>
                      <w:smallCaps w:val="0"/>
                      <w:color w:val="auto"/>
                      <w:spacing w:val="0"/>
                      <w:highlight w:val="none"/>
                      <w:lang w:eastAsia="zh-CN"/>
                    </w:rPr>
                    <w:t>，</w:t>
                  </w:r>
                  <w:r>
                    <w:rPr>
                      <w:rFonts w:hint="eastAsia" w:cs="Times New Roman"/>
                      <w:smallCaps w:val="0"/>
                      <w:color w:val="auto"/>
                      <w:spacing w:val="0"/>
                      <w:highlight w:val="none"/>
                      <w:lang w:val="en-US" w:eastAsia="zh-CN"/>
                    </w:rPr>
                    <w:t>租赁现有厂房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项目建设不会突破资源上限。</w:t>
                  </w:r>
                </w:p>
              </w:tc>
              <w:tc>
                <w:tcPr>
                  <w:tcW w:w="370" w:type="pct"/>
                  <w:tcMar>
                    <w:left w:w="28" w:type="dxa"/>
                    <w:right w:w="28" w:type="dxa"/>
                  </w:tcMar>
                  <w:vAlign w:val="center"/>
                </w:tcPr>
                <w:p w14:paraId="26D280B9">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6C503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 w:type="pct"/>
                  <w:tcMar>
                    <w:left w:w="28" w:type="dxa"/>
                    <w:right w:w="28" w:type="dxa"/>
                  </w:tcMar>
                  <w:vAlign w:val="center"/>
                </w:tcPr>
                <w:p w14:paraId="31C8320C">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环境准入负面清单</w:t>
                  </w:r>
                </w:p>
              </w:tc>
              <w:tc>
                <w:tcPr>
                  <w:tcW w:w="2550" w:type="pct"/>
                  <w:tcMar>
                    <w:left w:w="28" w:type="dxa"/>
                    <w:right w:w="28" w:type="dxa"/>
                  </w:tcMar>
                  <w:vAlign w:val="center"/>
                </w:tcPr>
                <w:p w14:paraId="78E5D946">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环境准入负面清单是基于生态保护红线、环境质量底线和资源利用上线</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以清单方式列出的禁止、限制等差别化环境准入条件和要求。要在规划环评清单式管理试点的基础上</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从布局选址、资源利用效率、资源配置方式等方面入手</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制定环境准入负面清单</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充分发挥负面清单对产业发展和项目准入的指导和约束作用。</w:t>
                  </w:r>
                </w:p>
              </w:tc>
              <w:tc>
                <w:tcPr>
                  <w:tcW w:w="1810" w:type="pct"/>
                  <w:tcMar>
                    <w:left w:w="28" w:type="dxa"/>
                    <w:right w:w="28" w:type="dxa"/>
                  </w:tcMar>
                  <w:vAlign w:val="center"/>
                </w:tcPr>
                <w:p w14:paraId="29E23F0A">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项目符合国家及地方相关产业政策要求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不属于高污染项目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未被列入国家环境准入负面清单</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不在有关环境政策规定的准入负面清单内。</w:t>
                  </w:r>
                </w:p>
              </w:tc>
              <w:tc>
                <w:tcPr>
                  <w:tcW w:w="370" w:type="pct"/>
                  <w:tcMar>
                    <w:left w:w="28" w:type="dxa"/>
                    <w:right w:w="28" w:type="dxa"/>
                  </w:tcMar>
                  <w:vAlign w:val="center"/>
                </w:tcPr>
                <w:p w14:paraId="3F2D0EE1">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bl>
          <w:p w14:paraId="528565D2">
            <w:pPr>
              <w:keepNext w:val="0"/>
              <w:keepLines w:val="0"/>
              <w:pageBreakBefore w:val="0"/>
              <w:suppressLineNumbers w:val="0"/>
              <w:shd w:val="clear" w:color="auto" w:fill="auto"/>
              <w:kinsoku/>
              <w:wordWrap/>
              <w:overflowPunct/>
              <w:topLinePunct w:val="0"/>
              <w:autoSpaceDE w:val="0"/>
              <w:autoSpaceDN w:val="0"/>
              <w:bidi w:val="0"/>
              <w:adjustRightInd/>
              <w:snapToGrid/>
              <w:spacing w:before="0" w:beforeAutospacing="0" w:after="0" w:afterAutospacing="0" w:line="480" w:lineRule="exact"/>
              <w:ind w:left="0" w:right="0" w:firstLine="482" w:firstLineChars="200"/>
              <w:textAlignment w:val="auto"/>
              <w:rPr>
                <w:rFonts w:hint="default" w:ascii="Times New Roman" w:hAnsi="Times New Roman" w:cs="Times New Roman"/>
                <w:b/>
                <w:bCs/>
                <w:color w:val="auto"/>
                <w:sz w:val="24"/>
                <w:szCs w:val="20"/>
                <w:highlight w:val="none"/>
              </w:rPr>
            </w:pPr>
            <w:r>
              <w:rPr>
                <w:rFonts w:hint="eastAsia" w:ascii="Times New Roman" w:hAnsi="Times New Roman" w:cs="Times New Roman"/>
                <w:b/>
                <w:bCs/>
                <w:color w:val="auto"/>
                <w:sz w:val="24"/>
                <w:szCs w:val="20"/>
                <w:highlight w:val="none"/>
                <w:lang w:val="en-US" w:eastAsia="zh-CN"/>
              </w:rPr>
              <w:t>5、</w:t>
            </w:r>
            <w:r>
              <w:rPr>
                <w:rFonts w:hint="default" w:ascii="Times New Roman" w:hAnsi="Times New Roman" w:cs="Times New Roman"/>
                <w:b/>
                <w:bCs/>
                <w:color w:val="auto"/>
                <w:sz w:val="24"/>
                <w:szCs w:val="20"/>
                <w:highlight w:val="none"/>
              </w:rPr>
              <w:t>与石家庄市生态环境准入清单符合性分析</w:t>
            </w:r>
          </w:p>
          <w:p w14:paraId="0AC1A2BF">
            <w:pPr>
              <w:keepNext w:val="0"/>
              <w:keepLines w:val="0"/>
              <w:pageBreakBefore w:val="0"/>
              <w:suppressLineNumbers w:val="0"/>
              <w:shd w:val="clear" w:color="auto" w:fill="auto"/>
              <w:kinsoku/>
              <w:wordWrap/>
              <w:overflowPunct/>
              <w:topLinePunct w:val="0"/>
              <w:autoSpaceDE w:val="0"/>
              <w:autoSpaceDN w:val="0"/>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0"/>
                <w:highlight w:val="none"/>
              </w:rPr>
            </w:pPr>
            <w:r>
              <w:rPr>
                <w:rFonts w:hint="default" w:ascii="Times New Roman" w:hAnsi="Times New Roman" w:cs="Times New Roman"/>
                <w:color w:val="auto"/>
                <w:sz w:val="24"/>
                <w:szCs w:val="20"/>
                <w:highlight w:val="none"/>
              </w:rPr>
              <w:t>根据</w:t>
            </w:r>
            <w:r>
              <w:rPr>
                <w:rFonts w:hint="eastAsia" w:ascii="Times New Roman" w:hAnsi="Times New Roman" w:cs="Times New Roman"/>
                <w:color w:val="auto"/>
                <w:sz w:val="24"/>
                <w:szCs w:val="20"/>
                <w:highlight w:val="none"/>
                <w:lang w:val="en-US" w:eastAsia="zh-CN"/>
              </w:rPr>
              <w:t>《石家庄市生态环境准入清单（2023年版）》</w:t>
            </w:r>
            <w:r>
              <w:rPr>
                <w:rFonts w:hint="default" w:ascii="Times New Roman" w:hAnsi="Times New Roman" w:cs="Times New Roman"/>
                <w:color w:val="auto"/>
                <w:sz w:val="24"/>
                <w:szCs w:val="20"/>
                <w:highlight w:val="none"/>
              </w:rPr>
              <w:t>要求，本项目与该文件符合性分析如下：</w:t>
            </w:r>
          </w:p>
          <w:p w14:paraId="1E51AA99">
            <w:pPr>
              <w:pStyle w:val="187"/>
              <w:keepNext w:val="0"/>
              <w:keepLines w:val="0"/>
              <w:pageBreakBefore w:val="0"/>
              <w:suppressLineNumbers w:val="0"/>
              <w:kinsoku/>
              <w:wordWrap/>
              <w:overflowPunct/>
              <w:topLinePunct w:val="0"/>
              <w:bidi w:val="0"/>
              <w:adjustRightInd/>
              <w:snapToGrid/>
              <w:spacing w:before="0" w:beforeAutospacing="0" w:after="0" w:afterAutospacing="0" w:line="480" w:lineRule="exact"/>
              <w:ind w:left="0" w:right="0"/>
              <w:textAlignment w:val="auto"/>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eastAsia="宋体" w:cs="Times New Roman"/>
                <w:smallCaps w:val="0"/>
                <w:color w:val="auto"/>
                <w:spacing w:val="0"/>
                <w:highlight w:val="none"/>
                <w:lang w:val="en-US" w:eastAsia="zh-CN"/>
              </w:rPr>
              <w:t>表1-</w:t>
            </w:r>
            <w:r>
              <w:rPr>
                <w:rFonts w:hint="eastAsia" w:cs="Times New Roman"/>
                <w:smallCaps w:val="0"/>
                <w:color w:val="auto"/>
                <w:spacing w:val="0"/>
                <w:highlight w:val="none"/>
                <w:lang w:val="en-US" w:eastAsia="zh-CN"/>
              </w:rPr>
              <w:t>6</w:t>
            </w:r>
            <w:r>
              <w:rPr>
                <w:rFonts w:hint="default" w:ascii="Times New Roman" w:hAnsi="Times New Roman" w:eastAsia="宋体" w:cs="Times New Roman"/>
                <w:smallCaps w:val="0"/>
                <w:color w:val="auto"/>
                <w:spacing w:val="0"/>
                <w:highlight w:val="none"/>
                <w:lang w:val="en-US" w:eastAsia="zh-CN"/>
              </w:rPr>
              <w:t xml:space="preserve"> </w:t>
            </w:r>
            <w:bookmarkStart w:id="5" w:name="_Hlk520472464"/>
            <w:r>
              <w:rPr>
                <w:rFonts w:hint="default" w:ascii="Times New Roman" w:hAnsi="Times New Roman" w:eastAsia="宋体" w:cs="Times New Roman"/>
                <w:smallCaps w:val="0"/>
                <w:color w:val="auto"/>
                <w:spacing w:val="0"/>
                <w:highlight w:val="none"/>
                <w:lang w:val="en-US" w:eastAsia="zh-CN"/>
              </w:rPr>
              <w:t xml:space="preserve">  </w:t>
            </w:r>
            <w:bookmarkEnd w:id="5"/>
            <w:r>
              <w:rPr>
                <w:rFonts w:hint="default" w:ascii="Times New Roman" w:hAnsi="Times New Roman" w:eastAsia="宋体" w:cs="Times New Roman"/>
                <w:smallCaps w:val="0"/>
                <w:color w:val="auto"/>
                <w:spacing w:val="0"/>
                <w:highlight w:val="none"/>
                <w:lang w:val="en-US" w:eastAsia="zh-CN"/>
              </w:rPr>
              <w:t>全市生态环境准入综合管控要求符合性分析</w:t>
            </w:r>
          </w:p>
          <w:tbl>
            <w:tblPr>
              <w:tblStyle w:val="48"/>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300"/>
              <w:gridCol w:w="300"/>
              <w:gridCol w:w="259"/>
              <w:gridCol w:w="4054"/>
              <w:gridCol w:w="1224"/>
              <w:gridCol w:w="538"/>
            </w:tblGrid>
            <w:tr w14:paraId="133C1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tcBorders>
                    <w:top w:val="single" w:color="auto" w:sz="4" w:space="0"/>
                    <w:bottom w:val="single" w:color="auto" w:sz="4" w:space="0"/>
                  </w:tcBorders>
                  <w:noWrap w:val="0"/>
                  <w:tcMar>
                    <w:top w:w="0" w:type="dxa"/>
                    <w:left w:w="28" w:type="dxa"/>
                    <w:bottom w:w="0" w:type="dxa"/>
                    <w:right w:w="28" w:type="dxa"/>
                  </w:tcMar>
                  <w:vAlign w:val="center"/>
                </w:tcPr>
                <w:p w14:paraId="226DF4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相关要求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01E713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重点</w:t>
                  </w:r>
                </w:p>
                <w:p w14:paraId="3C8D5D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区域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56CAAE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管控策略</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1AAEC5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4DD6EBC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5C8D0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1" w:hRule="atLeast"/>
              </w:trPr>
              <w:tc>
                <w:tcPr>
                  <w:tcW w:w="389" w:type="pct"/>
                  <w:vMerge w:val="restart"/>
                  <w:tcBorders>
                    <w:top w:val="single" w:color="auto" w:sz="4" w:space="0"/>
                  </w:tcBorders>
                  <w:noWrap w:val="0"/>
                  <w:tcMar>
                    <w:top w:w="0" w:type="dxa"/>
                    <w:left w:w="28" w:type="dxa"/>
                    <w:bottom w:w="0" w:type="dxa"/>
                    <w:right w:w="28" w:type="dxa"/>
                  </w:tcMar>
                  <w:vAlign w:val="center"/>
                </w:tcPr>
                <w:p w14:paraId="5A5B36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全市生态环境准入综合管控要求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6EFDAA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全市域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013F20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1、优化产业结构。落实国家、省、市产业政策，严格钢铁、焦化、水泥、建材等产能管控。</w:t>
                  </w:r>
                </w:p>
                <w:p w14:paraId="1437D5B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2、强化产业入园。优化园区布局，提升园区规划、环评实效性，提升园区资源利用效率和绿色低碳水平，加强新建项目入园，严格现有分散企业污染管控。</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26A9C6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eastAsia="宋体" w:cs="Times New Roman"/>
                      <w:color w:val="auto"/>
                      <w:spacing w:val="0"/>
                      <w:sz w:val="21"/>
                      <w:szCs w:val="21"/>
                      <w:highlight w:val="none"/>
                      <w:lang w:eastAsia="zh-CN"/>
                    </w:rPr>
                  </w:pPr>
                  <w:r>
                    <w:rPr>
                      <w:rFonts w:hint="eastAsia" w:cs="Times New Roman"/>
                      <w:color w:val="auto"/>
                      <w:spacing w:val="0"/>
                      <w:kern w:val="0"/>
                      <w:sz w:val="21"/>
                      <w:szCs w:val="21"/>
                      <w:highlight w:val="none"/>
                      <w:lang w:val="en-US" w:eastAsia="zh-CN" w:bidi="ar"/>
                    </w:rPr>
                    <w:t>1、</w:t>
                  </w:r>
                  <w:r>
                    <w:rPr>
                      <w:rFonts w:hint="default" w:ascii="Times New Roman" w:hAnsi="Times New Roman" w:eastAsia="宋体" w:cs="Times New Roman"/>
                      <w:color w:val="auto"/>
                      <w:spacing w:val="0"/>
                      <w:kern w:val="0"/>
                      <w:sz w:val="21"/>
                      <w:szCs w:val="21"/>
                      <w:highlight w:val="none"/>
                      <w:lang w:bidi="ar"/>
                    </w:rPr>
                    <w:t>项目</w:t>
                  </w:r>
                  <w:r>
                    <w:rPr>
                      <w:rFonts w:hint="default" w:ascii="Times New Roman" w:hAnsi="Times New Roman" w:eastAsia="宋体" w:cs="Times New Roman"/>
                      <w:color w:val="auto"/>
                      <w:spacing w:val="0"/>
                      <w:sz w:val="21"/>
                      <w:szCs w:val="21"/>
                      <w:highlight w:val="none"/>
                    </w:rPr>
                    <w:t>不属于钢铁、焦化、水泥、建材等产能管控产业</w:t>
                  </w:r>
                  <w:r>
                    <w:rPr>
                      <w:rFonts w:hint="eastAsia" w:cs="Times New Roman"/>
                      <w:color w:val="auto"/>
                      <w:spacing w:val="0"/>
                      <w:sz w:val="21"/>
                      <w:szCs w:val="21"/>
                      <w:highlight w:val="none"/>
                      <w:lang w:eastAsia="zh-CN"/>
                    </w:rPr>
                    <w:t>；</w:t>
                  </w:r>
                </w:p>
                <w:p w14:paraId="791355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2、本项目位于</w:t>
                  </w:r>
                  <w:r>
                    <w:rPr>
                      <w:rFonts w:hint="default" w:ascii="Times New Roman" w:hAnsi="Times New Roman" w:eastAsia="宋体" w:cs="Times New Roman"/>
                      <w:color w:val="auto"/>
                      <w:spacing w:val="0"/>
                      <w:sz w:val="21"/>
                      <w:szCs w:val="21"/>
                      <w:highlight w:val="none"/>
                    </w:rPr>
                    <w:t>石家庄市矿区工业园区石钢片区</w:t>
                  </w:r>
                  <w:r>
                    <w:rPr>
                      <w:rFonts w:hint="eastAsia" w:cs="Times New Roman"/>
                      <w:color w:val="auto"/>
                      <w:spacing w:val="0"/>
                      <w:sz w:val="21"/>
                      <w:szCs w:val="21"/>
                      <w:highlight w:val="none"/>
                      <w:lang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71FF2E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6C5E8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trPr>
              <w:tc>
                <w:tcPr>
                  <w:tcW w:w="389" w:type="pct"/>
                  <w:vMerge w:val="continue"/>
                  <w:noWrap w:val="0"/>
                  <w:tcMar>
                    <w:top w:w="0" w:type="dxa"/>
                    <w:left w:w="28" w:type="dxa"/>
                    <w:bottom w:w="0" w:type="dxa"/>
                    <w:right w:w="28" w:type="dxa"/>
                  </w:tcMar>
                  <w:vAlign w:val="center"/>
                </w:tcPr>
                <w:p w14:paraId="0883B8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29334D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石家庄市划定的高污染燃料禁燃区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7AF04F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w:t>
                  </w:r>
                </w:p>
                <w:p w14:paraId="2C6EE22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2、禁燃区内禁止原煤散烧。</w:t>
                  </w:r>
                </w:p>
                <w:p w14:paraId="55CD4D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3、禁燃区内禁止销售、使用高污染物燃料。</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07E3FB9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s="Times New Roman"/>
                      <w:color w:val="auto"/>
                      <w:spacing w:val="0"/>
                      <w:kern w:val="0"/>
                      <w:sz w:val="21"/>
                      <w:szCs w:val="21"/>
                      <w:highlight w:val="none"/>
                      <w:lang w:eastAsia="zh-CN"/>
                    </w:rPr>
                  </w:pPr>
                  <w:r>
                    <w:rPr>
                      <w:rFonts w:hint="eastAsia" w:cs="Times New Roman"/>
                      <w:color w:val="auto"/>
                      <w:spacing w:val="0"/>
                      <w:sz w:val="21"/>
                      <w:szCs w:val="21"/>
                      <w:highlight w:val="none"/>
                      <w:lang w:val="en-US" w:eastAsia="zh-CN"/>
                    </w:rPr>
                    <w:t>1、</w:t>
                  </w:r>
                  <w:r>
                    <w:rPr>
                      <w:rFonts w:hint="default" w:ascii="Times New Roman" w:hAnsi="Times New Roman" w:cs="Times New Roman"/>
                      <w:color w:val="auto"/>
                      <w:spacing w:val="0"/>
                      <w:sz w:val="21"/>
                      <w:szCs w:val="21"/>
                      <w:highlight w:val="none"/>
                      <w:lang w:val="en-US" w:eastAsia="zh-CN"/>
                    </w:rPr>
                    <w:t>生产用热</w:t>
                  </w:r>
                  <w:r>
                    <w:rPr>
                      <w:rFonts w:hint="eastAsia" w:ascii="Times New Roman" w:hAnsi="Times New Roman" w:eastAsia="宋体" w:cs="Times New Roman"/>
                      <w:color w:val="auto"/>
                      <w:spacing w:val="0"/>
                      <w:sz w:val="21"/>
                      <w:szCs w:val="21"/>
                      <w:highlight w:val="none"/>
                      <w:lang w:val="en-US" w:eastAsia="zh-CN"/>
                    </w:rPr>
                    <w:t>采用</w:t>
                  </w:r>
                  <w:r>
                    <w:rPr>
                      <w:rFonts w:hint="eastAsia" w:cs="Times New Roman"/>
                      <w:color w:val="auto"/>
                      <w:spacing w:val="0"/>
                      <w:sz w:val="21"/>
                      <w:szCs w:val="21"/>
                      <w:highlight w:val="none"/>
                      <w:lang w:val="en-US" w:eastAsia="zh-CN"/>
                    </w:rPr>
                    <w:t>电加热</w:t>
                  </w:r>
                  <w:r>
                    <w:rPr>
                      <w:rFonts w:hint="default" w:ascii="Times New Roman" w:hAnsi="Times New Roman" w:eastAsia="宋体" w:cs="Times New Roman"/>
                      <w:color w:val="auto"/>
                      <w:spacing w:val="0"/>
                      <w:sz w:val="21"/>
                      <w:szCs w:val="21"/>
                      <w:highlight w:val="none"/>
                    </w:rPr>
                    <w:t>，</w:t>
                  </w:r>
                  <w:r>
                    <w:rPr>
                      <w:rFonts w:hint="default" w:ascii="Times New Roman" w:hAnsi="Times New Roman" w:eastAsia="宋体" w:cs="Times New Roman"/>
                      <w:color w:val="auto"/>
                      <w:spacing w:val="0"/>
                      <w:kern w:val="0"/>
                      <w:sz w:val="21"/>
                      <w:szCs w:val="21"/>
                      <w:highlight w:val="none"/>
                    </w:rPr>
                    <w:t>无</w:t>
                  </w:r>
                  <w:r>
                    <w:rPr>
                      <w:rFonts w:hint="default" w:ascii="Times New Roman" w:hAnsi="Times New Roman" w:eastAsia="宋体" w:cs="Times New Roman"/>
                      <w:color w:val="auto"/>
                      <w:spacing w:val="0"/>
                      <w:sz w:val="21"/>
                      <w:szCs w:val="21"/>
                      <w:highlight w:val="none"/>
                    </w:rPr>
                    <w:t>煤炭、重油、渣油等高污染燃料的设施</w:t>
                  </w:r>
                  <w:r>
                    <w:rPr>
                      <w:rFonts w:hint="eastAsia" w:cs="Times New Roman"/>
                      <w:color w:val="auto"/>
                      <w:spacing w:val="0"/>
                      <w:kern w:val="0"/>
                      <w:sz w:val="21"/>
                      <w:szCs w:val="21"/>
                      <w:highlight w:val="none"/>
                      <w:lang w:eastAsia="zh-CN"/>
                    </w:rPr>
                    <w:t>。</w:t>
                  </w:r>
                </w:p>
                <w:p w14:paraId="536401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cs="Times New Roman"/>
                      <w:color w:val="auto"/>
                      <w:spacing w:val="0"/>
                      <w:kern w:val="0"/>
                      <w:sz w:val="21"/>
                      <w:szCs w:val="21"/>
                      <w:highlight w:val="none"/>
                      <w:lang w:val="en-US" w:eastAsia="zh-CN"/>
                    </w:rPr>
                  </w:pPr>
                  <w:r>
                    <w:rPr>
                      <w:rFonts w:hint="eastAsia" w:cs="Times New Roman"/>
                      <w:color w:val="auto"/>
                      <w:spacing w:val="0"/>
                      <w:kern w:val="0"/>
                      <w:sz w:val="21"/>
                      <w:szCs w:val="21"/>
                      <w:highlight w:val="none"/>
                      <w:lang w:val="en-US" w:eastAsia="zh-CN"/>
                    </w:rPr>
                    <w:t>2、不涉及；</w:t>
                  </w:r>
                </w:p>
                <w:p w14:paraId="2544C7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default" w:cs="Times New Roman"/>
                      <w:color w:val="auto"/>
                      <w:spacing w:val="0"/>
                      <w:kern w:val="0"/>
                      <w:sz w:val="21"/>
                      <w:szCs w:val="21"/>
                      <w:highlight w:val="none"/>
                      <w:lang w:val="en-US" w:eastAsia="zh-CN"/>
                    </w:rPr>
                  </w:pPr>
                  <w:r>
                    <w:rPr>
                      <w:rFonts w:hint="eastAsia" w:cs="Times New Roman"/>
                      <w:color w:val="auto"/>
                      <w:spacing w:val="0"/>
                      <w:kern w:val="0"/>
                      <w:sz w:val="21"/>
                      <w:szCs w:val="21"/>
                      <w:highlight w:val="none"/>
                      <w:lang w:val="en-US" w:eastAsia="zh-CN"/>
                    </w:rPr>
                    <w:t>3、不涉及。</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629F69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7A083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trPr>
              <w:tc>
                <w:tcPr>
                  <w:tcW w:w="389" w:type="pct"/>
                  <w:vMerge w:val="continue"/>
                  <w:noWrap w:val="0"/>
                  <w:tcMar>
                    <w:top w:w="0" w:type="dxa"/>
                    <w:left w:w="28" w:type="dxa"/>
                    <w:bottom w:w="0" w:type="dxa"/>
                    <w:right w:w="28" w:type="dxa"/>
                  </w:tcMar>
                  <w:vAlign w:val="center"/>
                </w:tcPr>
                <w:p w14:paraId="608F78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53C584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地下水重点管控区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11490A0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4480888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val="en-US" w:eastAsia="zh-CN" w:bidi="ar"/>
                    </w:rPr>
                  </w:pPr>
                  <w:r>
                    <w:rPr>
                      <w:rFonts w:hint="default" w:ascii="Times New Roman" w:hAnsi="Times New Roman" w:eastAsia="宋体" w:cs="Times New Roman"/>
                      <w:color w:val="auto"/>
                      <w:spacing w:val="0"/>
                      <w:kern w:val="0"/>
                      <w:sz w:val="21"/>
                      <w:szCs w:val="21"/>
                      <w:highlight w:val="none"/>
                      <w:lang w:bidi="ar"/>
                    </w:rPr>
                    <w:t>项目</w:t>
                  </w:r>
                  <w:r>
                    <w:rPr>
                      <w:rFonts w:hint="eastAsia" w:ascii="Times New Roman" w:hAnsi="Times New Roman" w:eastAsia="宋体" w:cs="Times New Roman"/>
                      <w:color w:val="auto"/>
                      <w:spacing w:val="0"/>
                      <w:kern w:val="0"/>
                      <w:sz w:val="21"/>
                      <w:szCs w:val="21"/>
                      <w:highlight w:val="none"/>
                      <w:lang w:val="en-US" w:eastAsia="zh-CN" w:bidi="ar"/>
                    </w:rPr>
                    <w:t>不涉及地下水开采</w:t>
                  </w:r>
                  <w:r>
                    <w:rPr>
                      <w:rFonts w:hint="eastAsia" w:cs="Times New Roman"/>
                      <w:color w:val="auto"/>
                      <w:spacing w:val="0"/>
                      <w:kern w:val="0"/>
                      <w:sz w:val="21"/>
                      <w:szCs w:val="21"/>
                      <w:highlight w:val="none"/>
                      <w:lang w:val="en-US" w:eastAsia="zh-CN" w:bidi="ar"/>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4432D6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3991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noWrap w:val="0"/>
                  <w:tcMar>
                    <w:top w:w="0" w:type="dxa"/>
                    <w:left w:w="28" w:type="dxa"/>
                    <w:bottom w:w="0" w:type="dxa"/>
                    <w:right w:w="28" w:type="dxa"/>
                  </w:tcMar>
                  <w:vAlign w:val="center"/>
                </w:tcPr>
                <w:p w14:paraId="3A9B42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相关要求</w:t>
                  </w:r>
                </w:p>
              </w:tc>
              <w:tc>
                <w:tcPr>
                  <w:tcW w:w="207" w:type="pct"/>
                  <w:tcBorders>
                    <w:top w:val="single" w:color="auto" w:sz="4" w:space="0"/>
                    <w:bottom w:val="single" w:color="auto" w:sz="4" w:space="0"/>
                  </w:tcBorders>
                  <w:noWrap w:val="0"/>
                  <w:tcMar>
                    <w:top w:w="0" w:type="dxa"/>
                    <w:left w:w="28" w:type="dxa"/>
                    <w:bottom w:w="0" w:type="dxa"/>
                    <w:right w:w="28" w:type="dxa"/>
                  </w:tcMar>
                  <w:vAlign w:val="center"/>
                </w:tcPr>
                <w:p w14:paraId="65A7DE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属性</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383D09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管控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619466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管控要求</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42C7BB6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b/>
                      <w:bCs/>
                      <w:color w:val="auto"/>
                      <w:spacing w:val="0"/>
                      <w:kern w:val="0"/>
                      <w:sz w:val="21"/>
                      <w:szCs w:val="21"/>
                      <w:highlight w:val="none"/>
                      <w:lang w:eastAsia="zh-CN"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6930645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02CD4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restart"/>
                  <w:noWrap w:val="0"/>
                  <w:tcMar>
                    <w:top w:w="0" w:type="dxa"/>
                    <w:left w:w="28" w:type="dxa"/>
                    <w:bottom w:w="0" w:type="dxa"/>
                    <w:right w:w="28" w:type="dxa"/>
                  </w:tcMar>
                  <w:vAlign w:val="center"/>
                </w:tcPr>
                <w:p w14:paraId="0E3335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sz w:val="21"/>
                      <w:szCs w:val="21"/>
                      <w:highlight w:val="none"/>
                    </w:rPr>
                    <w:t>全市生态空间总体管控要求</w:t>
                  </w:r>
                </w:p>
              </w:tc>
              <w:tc>
                <w:tcPr>
                  <w:tcW w:w="207" w:type="pct"/>
                  <w:vMerge w:val="restart"/>
                  <w:tcBorders>
                    <w:top w:val="single" w:color="auto" w:sz="4" w:space="0"/>
                  </w:tcBorders>
                  <w:noWrap w:val="0"/>
                  <w:tcMar>
                    <w:top w:w="0" w:type="dxa"/>
                    <w:left w:w="28" w:type="dxa"/>
                    <w:bottom w:w="0" w:type="dxa"/>
                    <w:right w:w="28" w:type="dxa"/>
                  </w:tcMar>
                  <w:vAlign w:val="center"/>
                </w:tcPr>
                <w:p w14:paraId="7A43CF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生态保护红线</w:t>
                  </w:r>
                </w:p>
              </w:tc>
              <w:tc>
                <w:tcPr>
                  <w:tcW w:w="207" w:type="pct"/>
                  <w:vMerge w:val="restart"/>
                  <w:tcBorders>
                    <w:top w:val="single" w:color="auto" w:sz="4" w:space="0"/>
                  </w:tcBorders>
                  <w:noWrap w:val="0"/>
                  <w:tcMar>
                    <w:top w:w="0" w:type="dxa"/>
                    <w:left w:w="28" w:type="dxa"/>
                    <w:bottom w:w="0" w:type="dxa"/>
                    <w:right w:w="28" w:type="dxa"/>
                  </w:tcMar>
                  <w:vAlign w:val="center"/>
                </w:tcPr>
                <w:p w14:paraId="497A4A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空间布局约束</w:t>
                  </w:r>
                </w:p>
              </w:tc>
              <w:tc>
                <w:tcPr>
                  <w:tcW w:w="178" w:type="pct"/>
                  <w:tcBorders>
                    <w:top w:val="single" w:color="auto" w:sz="4" w:space="0"/>
                    <w:bottom w:val="single" w:color="auto" w:sz="4" w:space="0"/>
                  </w:tcBorders>
                  <w:noWrap w:val="0"/>
                  <w:tcMar>
                    <w:top w:w="0" w:type="dxa"/>
                    <w:left w:w="28" w:type="dxa"/>
                    <w:bottom w:w="0" w:type="dxa"/>
                    <w:right w:w="28" w:type="dxa"/>
                  </w:tcMar>
                  <w:vAlign w:val="center"/>
                </w:tcPr>
                <w:p w14:paraId="0A01CE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禁止开发建设活动的要求</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4B9EFA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1、生态保护红线原则上按禁止开发区域的要求进行管理。严禁不符合主体功能定位的各类开发活动，严禁任意改变用途。</w:t>
                  </w:r>
                </w:p>
                <w:p w14:paraId="2E7AC2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2、生态保护红线内，自然保护地核心保护区原则上禁止人为活动，其他区域严格禁止开发性、生产性建设活动，法律法规另有规定的，从其规定。</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3935CA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kern w:val="0"/>
                      <w:sz w:val="21"/>
                      <w:szCs w:val="21"/>
                      <w:highlight w:val="none"/>
                      <w:lang w:eastAsia="zh-CN" w:bidi="ar"/>
                    </w:rPr>
                  </w:pPr>
                  <w:r>
                    <w:rPr>
                      <w:rFonts w:hint="default" w:ascii="Times New Roman" w:hAnsi="Times New Roman" w:eastAsia="宋体" w:cs="Times New Roman"/>
                      <w:color w:val="auto"/>
                      <w:spacing w:val="0"/>
                      <w:sz w:val="21"/>
                      <w:szCs w:val="21"/>
                      <w:highlight w:val="none"/>
                    </w:rPr>
                    <w:t>项目位于石家庄市矿区工业园区石钢片区，不在生态保护红线范围内</w:t>
                  </w:r>
                  <w:r>
                    <w:rPr>
                      <w:rFonts w:hint="eastAsia" w:cs="Times New Roman"/>
                      <w:color w:val="auto"/>
                      <w:spacing w:val="0"/>
                      <w:sz w:val="21"/>
                      <w:szCs w:val="21"/>
                      <w:highlight w:val="none"/>
                      <w:lang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7E607EE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68EBF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0A1538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tcBorders>
                    <w:bottom w:val="single" w:color="auto" w:sz="4" w:space="0"/>
                  </w:tcBorders>
                  <w:noWrap w:val="0"/>
                  <w:tcMar>
                    <w:top w:w="0" w:type="dxa"/>
                    <w:left w:w="28" w:type="dxa"/>
                    <w:bottom w:w="0" w:type="dxa"/>
                    <w:right w:w="28" w:type="dxa"/>
                  </w:tcMar>
                  <w:vAlign w:val="center"/>
                </w:tcPr>
                <w:p w14:paraId="12A2416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207" w:type="pct"/>
                  <w:vMerge w:val="continue"/>
                  <w:tcBorders>
                    <w:bottom w:val="single" w:color="auto" w:sz="4" w:space="0"/>
                  </w:tcBorders>
                  <w:noWrap w:val="0"/>
                  <w:tcMar>
                    <w:top w:w="0" w:type="dxa"/>
                    <w:left w:w="28" w:type="dxa"/>
                    <w:bottom w:w="0" w:type="dxa"/>
                    <w:right w:w="28" w:type="dxa"/>
                  </w:tcMar>
                  <w:vAlign w:val="center"/>
                </w:tcPr>
                <w:p w14:paraId="564FB55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178" w:type="pct"/>
                  <w:tcBorders>
                    <w:top w:val="single" w:color="auto" w:sz="4" w:space="0"/>
                    <w:bottom w:val="single" w:color="auto" w:sz="4" w:space="0"/>
                  </w:tcBorders>
                  <w:noWrap w:val="0"/>
                  <w:tcMar>
                    <w:top w:w="0" w:type="dxa"/>
                    <w:left w:w="28" w:type="dxa"/>
                    <w:bottom w:w="0" w:type="dxa"/>
                    <w:right w:w="28" w:type="dxa"/>
                  </w:tcMar>
                  <w:vAlign w:val="center"/>
                </w:tcPr>
                <w:p w14:paraId="6DB139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允许开发建设活动的要求</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2BA26A23">
                  <w:pPr>
                    <w:keepNext w:val="0"/>
                    <w:keepLines w:val="0"/>
                    <w:pageBreakBefore w:val="0"/>
                    <w:widowControl/>
                    <w:numPr>
                      <w:ilvl w:val="0"/>
                      <w:numId w:val="3"/>
                    </w:numPr>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《关于在国土空间规划中统筹划定落实三条控制线的指导意见》中除国家重大战略项目之外，在符合现行法律法规的要求下，可以进行有限人为活动，8类活动包括：</w:t>
                  </w:r>
                </w:p>
                <w:p w14:paraId="204824A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①零星的原住民在不扩大建设用地和耕地规模的前提下，修缮生产生活设施。保留生活必须的少量种植、放牧、捕捞、养殖；</w:t>
                  </w:r>
                </w:p>
                <w:p w14:paraId="45AAC6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②因国家重大能源资源安全需要开展的战略资源的勘察、公益性自然资源调查和地质勘探；③自然资源、生态环境监测和执法包括水文水资源监测及涉水违法事件的查处等，灾害防治和应急抢险活动；④经依法批准的非破坏性科学研究观测、标本采集；⑤经依法批准的考古调查发掘和文物保护；⑥不破坏生态功能的适度旅游参观和相关必要的设施；⑦必须且无法避让、符合县级以上国土空间规划的线性基础设施、防洪和供水设施建设与运行维护；⑧重要的生态修复工程。</w:t>
                  </w:r>
                </w:p>
                <w:p w14:paraId="4CAEC1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2、对审批中发现涉及生态保护红线和相关法定保护区的输气管线、铁路等线性项目，指导督促项目优化调整选线、主动避让；确实无法避让的，要求建设单位采取无害化穿（跨）越方式，或依法依规向有关行政主管部门履行穿越法定保护区的行政许可手续、强化减缓和补偿措施。</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3FA71B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kern w:val="0"/>
                      <w:sz w:val="21"/>
                      <w:szCs w:val="21"/>
                      <w:highlight w:val="none"/>
                      <w:lang w:eastAsia="zh-CN" w:bidi="ar"/>
                    </w:rPr>
                  </w:pPr>
                  <w:r>
                    <w:rPr>
                      <w:rFonts w:hint="default" w:ascii="Times New Roman" w:hAnsi="Times New Roman" w:eastAsia="宋体" w:cs="Times New Roman"/>
                      <w:color w:val="auto"/>
                      <w:spacing w:val="0"/>
                      <w:sz w:val="21"/>
                      <w:szCs w:val="21"/>
                      <w:highlight w:val="none"/>
                    </w:rPr>
                    <w:t>项目位于石家庄市矿区工业园区石钢片区，不在生态保护红线范围内</w:t>
                  </w:r>
                  <w:r>
                    <w:rPr>
                      <w:rFonts w:hint="eastAsia" w:cs="Times New Roman"/>
                      <w:color w:val="auto"/>
                      <w:spacing w:val="0"/>
                      <w:sz w:val="21"/>
                      <w:szCs w:val="21"/>
                      <w:highlight w:val="none"/>
                      <w:lang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6BBC22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65FBC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389" w:type="pct"/>
                  <w:vMerge w:val="continue"/>
                  <w:noWrap w:val="0"/>
                  <w:tcMar>
                    <w:top w:w="0" w:type="dxa"/>
                    <w:left w:w="28" w:type="dxa"/>
                    <w:bottom w:w="0" w:type="dxa"/>
                    <w:right w:w="28" w:type="dxa"/>
                  </w:tcMar>
                  <w:vAlign w:val="center"/>
                </w:tcPr>
                <w:p w14:paraId="3C1BF1F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tcBorders>
                    <w:top w:val="single" w:color="auto" w:sz="4" w:space="0"/>
                    <w:bottom w:val="single" w:color="auto" w:sz="4" w:space="0"/>
                  </w:tcBorders>
                  <w:noWrap w:val="0"/>
                  <w:tcMar>
                    <w:top w:w="0" w:type="dxa"/>
                    <w:left w:w="28" w:type="dxa"/>
                    <w:bottom w:w="0" w:type="dxa"/>
                    <w:right w:w="28" w:type="dxa"/>
                  </w:tcMar>
                  <w:vAlign w:val="center"/>
                </w:tcPr>
                <w:p w14:paraId="04CA22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一般生态空间</w:t>
                  </w:r>
                </w:p>
              </w:tc>
              <w:tc>
                <w:tcPr>
                  <w:tcW w:w="207" w:type="pct"/>
                  <w:tcBorders>
                    <w:top w:val="single" w:color="auto" w:sz="4" w:space="0"/>
                    <w:bottom w:val="single" w:color="auto" w:sz="4" w:space="0"/>
                  </w:tcBorders>
                  <w:noWrap w:val="0"/>
                  <w:tcMar>
                    <w:top w:w="0" w:type="dxa"/>
                    <w:left w:w="28" w:type="dxa"/>
                    <w:bottom w:w="0" w:type="dxa"/>
                    <w:right w:w="28" w:type="dxa"/>
                  </w:tcMar>
                  <w:vAlign w:val="center"/>
                </w:tcPr>
                <w:p w14:paraId="25E341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总体要求</w:t>
                  </w:r>
                </w:p>
              </w:tc>
              <w:tc>
                <w:tcPr>
                  <w:tcW w:w="178" w:type="pct"/>
                  <w:tcBorders>
                    <w:top w:val="single" w:color="auto" w:sz="4" w:space="0"/>
                    <w:bottom w:val="single" w:color="auto" w:sz="4" w:space="0"/>
                  </w:tcBorders>
                  <w:noWrap w:val="0"/>
                  <w:tcMar>
                    <w:top w:w="0" w:type="dxa"/>
                    <w:left w:w="28" w:type="dxa"/>
                    <w:bottom w:w="0" w:type="dxa"/>
                    <w:right w:w="28" w:type="dxa"/>
                  </w:tcMar>
                  <w:vAlign w:val="center"/>
                </w:tcPr>
                <w:p w14:paraId="16F427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空间布局约束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6181B00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严格矿产资源开发与管控，矿产开发管控要求依照《河北省加强矿产资源开发管控十条措施》、《河北省人民政府办公厅关于转发河北省矿山综合治理攻坚行动方案的通知》（冀政办字〔2020〕75 号）执行。</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1E1573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val="en-US" w:eastAsia="zh-CN" w:bidi="ar"/>
                    </w:rPr>
                  </w:pPr>
                  <w:r>
                    <w:rPr>
                      <w:rFonts w:hint="eastAsia" w:cs="Times New Roman"/>
                      <w:color w:val="auto"/>
                      <w:spacing w:val="0"/>
                      <w:sz w:val="21"/>
                      <w:szCs w:val="21"/>
                      <w:highlight w:val="none"/>
                      <w:lang w:val="en-US" w:eastAsia="zh-CN"/>
                    </w:rPr>
                    <w:t>本项目不涉及。</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3DF096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400A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vMerge w:val="restart"/>
                  <w:noWrap w:val="0"/>
                  <w:tcMar>
                    <w:top w:w="0" w:type="dxa"/>
                    <w:left w:w="28" w:type="dxa"/>
                    <w:bottom w:w="0" w:type="dxa"/>
                    <w:right w:w="28" w:type="dxa"/>
                  </w:tcMar>
                  <w:vAlign w:val="center"/>
                </w:tcPr>
                <w:p w14:paraId="2DA265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全市水环境总体管控要求</w:t>
                  </w:r>
                </w:p>
              </w:tc>
              <w:tc>
                <w:tcPr>
                  <w:tcW w:w="207" w:type="pct"/>
                  <w:vMerge w:val="restart"/>
                  <w:tcBorders>
                    <w:top w:val="single" w:color="auto" w:sz="4" w:space="0"/>
                  </w:tcBorders>
                  <w:noWrap w:val="0"/>
                  <w:tcMar>
                    <w:top w:w="0" w:type="dxa"/>
                    <w:left w:w="28" w:type="dxa"/>
                    <w:bottom w:w="0" w:type="dxa"/>
                    <w:right w:w="28" w:type="dxa"/>
                  </w:tcMar>
                  <w:vAlign w:val="center"/>
                </w:tcPr>
                <w:p w14:paraId="0C7FA8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饮用水源地优先保护区</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276C65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空间布局约束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318688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1、在饮用水水源保护区内，禁止设置排污口。</w:t>
                  </w:r>
                </w:p>
                <w:p w14:paraId="4DCFDFD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2、禁止在饮用水水源一级保护区内新建、改建、扩建与供水设施和保护水源无关的建设项目；已建成的与供水设施和保护水源无关的建设项目，由县级以上人民政府责令拆除或者关闭。禁止在饮用水水源一级保护区内从事网箱养殖、旅游、游泳、垂钓或者其他可能污染饮用水水体的活动。</w:t>
                  </w:r>
                </w:p>
                <w:p w14:paraId="4394334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3、禁止在饮用水水源二级保护区内新建、改建、扩建排放污染物的建设项目；已建成的排放污染物的建设项目，由县级以上人民政府责令拆除或者关闭。在饮用水水源二级保护区内从事网箱养殖、旅游等活动的，应当按照规定采取措施，防止污染饮用水水体。</w:t>
                  </w:r>
                </w:p>
                <w:p w14:paraId="7A3FBB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4、禁止在饮用水水源准保护区内新建、扩建对水体污染严重的建设项目；改建建设项目，不得增加排污量。</w:t>
                  </w:r>
                </w:p>
                <w:p w14:paraId="0C8194C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5、县级以上地方人民政府应当根据保护饮用水水源的实际需要，在准保护区内采取工程措施或者建造湿地、水源涵养林等生态保护措施，防止水污染物直接排入饮用水水体，确保饮用水安全。</w:t>
                  </w:r>
                </w:p>
              </w:tc>
              <w:tc>
                <w:tcPr>
                  <w:tcW w:w="845" w:type="pct"/>
                  <w:vMerge w:val="restart"/>
                  <w:tcBorders>
                    <w:top w:val="single" w:color="auto" w:sz="4" w:space="0"/>
                  </w:tcBorders>
                  <w:noWrap w:val="0"/>
                  <w:tcMar>
                    <w:top w:w="0" w:type="dxa"/>
                    <w:left w:w="28" w:type="dxa"/>
                    <w:bottom w:w="0" w:type="dxa"/>
                    <w:right w:w="28" w:type="dxa"/>
                  </w:tcMar>
                  <w:vAlign w:val="center"/>
                </w:tcPr>
                <w:p w14:paraId="05012F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val="en-US" w:bidi="ar"/>
                    </w:rPr>
                  </w:pPr>
                  <w:r>
                    <w:rPr>
                      <w:rFonts w:hint="default" w:ascii="Times New Roman" w:hAnsi="Times New Roman" w:eastAsia="宋体" w:cs="Times New Roman"/>
                      <w:color w:val="auto"/>
                      <w:spacing w:val="0"/>
                      <w:sz w:val="21"/>
                      <w:szCs w:val="21"/>
                      <w:highlight w:val="none"/>
                    </w:rPr>
                    <w:t>项目位于饮用水水源准保护区，本项目</w:t>
                  </w:r>
                  <w:r>
                    <w:rPr>
                      <w:rFonts w:hint="eastAsia" w:cs="Times New Roman"/>
                      <w:color w:val="auto"/>
                      <w:spacing w:val="0"/>
                      <w:sz w:val="21"/>
                      <w:szCs w:val="21"/>
                      <w:highlight w:val="none"/>
                      <w:lang w:val="en-US" w:eastAsia="zh-CN"/>
                    </w:rPr>
                    <w:t>无生产废水，</w:t>
                  </w:r>
                  <w:r>
                    <w:rPr>
                      <w:rFonts w:hint="eastAsia" w:ascii="Times New Roman" w:hAnsi="Times New Roman" w:eastAsia="宋体" w:cs="Times New Roman"/>
                      <w:color w:val="auto"/>
                      <w:spacing w:val="0"/>
                      <w:sz w:val="21"/>
                      <w:szCs w:val="21"/>
                      <w:highlight w:val="none"/>
                      <w:lang w:val="en-US" w:eastAsia="zh-CN"/>
                    </w:rPr>
                    <w:t>生活污水</w:t>
                  </w:r>
                  <w:r>
                    <w:rPr>
                      <w:rFonts w:hint="eastAsia" w:cs="Times New Roman"/>
                      <w:color w:val="auto"/>
                      <w:spacing w:val="0"/>
                      <w:sz w:val="21"/>
                      <w:szCs w:val="21"/>
                      <w:highlight w:val="none"/>
                      <w:lang w:val="en-US" w:eastAsia="zh-CN"/>
                    </w:rPr>
                    <w:t>排入防渗旱厕，定期清掏。</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2770F0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6826B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6CCA54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tcBorders>
                    <w:bottom w:val="single" w:color="auto" w:sz="4" w:space="0"/>
                  </w:tcBorders>
                  <w:noWrap w:val="0"/>
                  <w:tcMar>
                    <w:top w:w="0" w:type="dxa"/>
                    <w:left w:w="28" w:type="dxa"/>
                    <w:bottom w:w="0" w:type="dxa"/>
                    <w:right w:w="28" w:type="dxa"/>
                  </w:tcMar>
                  <w:vAlign w:val="center"/>
                </w:tcPr>
                <w:p w14:paraId="64DFDD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50D2E5E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污染物排放管控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487C43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1、在饮用水水源二级保护内要求：</w:t>
                  </w:r>
                </w:p>
                <w:p w14:paraId="4AE00A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①原住居民住宅允许在饮用水水源保护区内保留，其生产的生活污水和垃圾必须收集处理。仅针对原住居民的非经营性新农村建设、安居工程建设项目，可以在饮用水水源二级保护区内保留，但产生的生活污水和垃圾必 须进行收集处理。居住分散的原住居民和生活污水形不成地表径流的地区，可因地制宜采用三级化粪池、小型 氧化塘、小型湿地、土地处理系统等技术和工艺处理处置产生的生活污水，确保不影响水源地水质。②实行科学种植和非点源污染防治。③分散式畜禽养殖废物全部资源化利用。④水域实施生态养殖，逐步减少网箱养殖总量。⑤农村生活垃圾全部集中收集并进行无害化处置。⑥居住人口大于或等于1000人的区域，农村生活污水实行管网统一收集、集中处理；不足1000人的，采用因地制宜的技术和工艺处理处置。</w:t>
                  </w:r>
                </w:p>
                <w:p w14:paraId="72032F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2、在饮用水水源准保护区内要求：</w:t>
                  </w:r>
                </w:p>
                <w:p w14:paraId="48C679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①不能满足水质要求的地表水饮用水水源，准保护区或汇水区域采取水污染物容量总量控制措施，限期达标。②工业园区企业的第一类水污染物达到车间排放要求、常规污染物达到间接排放标准后，进入园区污水处理厂集中处理。</w:t>
                  </w:r>
                </w:p>
              </w:tc>
              <w:tc>
                <w:tcPr>
                  <w:tcW w:w="845" w:type="pct"/>
                  <w:vMerge w:val="continue"/>
                  <w:tcBorders>
                    <w:bottom w:val="single" w:color="auto" w:sz="4" w:space="0"/>
                  </w:tcBorders>
                  <w:noWrap w:val="0"/>
                  <w:tcMar>
                    <w:top w:w="0" w:type="dxa"/>
                    <w:left w:w="28" w:type="dxa"/>
                    <w:bottom w:w="0" w:type="dxa"/>
                    <w:right w:w="28" w:type="dxa"/>
                  </w:tcMar>
                  <w:vAlign w:val="center"/>
                </w:tcPr>
                <w:p w14:paraId="2B9126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val="en-US" w:eastAsia="zh-CN" w:bidi="ar"/>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0AFAC07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7E9E9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05C79C6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restart"/>
                  <w:tcBorders>
                    <w:top w:val="single" w:color="auto" w:sz="4" w:space="0"/>
                  </w:tcBorders>
                  <w:noWrap w:val="0"/>
                  <w:tcMar>
                    <w:top w:w="0" w:type="dxa"/>
                    <w:left w:w="28" w:type="dxa"/>
                    <w:bottom w:w="0" w:type="dxa"/>
                    <w:right w:w="28" w:type="dxa"/>
                  </w:tcMar>
                  <w:vAlign w:val="center"/>
                </w:tcPr>
                <w:p w14:paraId="016D36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水环境工业污染重点管控区</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6497CA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空间布局约束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749EA06B">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bidi="ar-SA"/>
                    </w:rPr>
                    <w:t>1、全面落实《产业结构调整指导目录》中淘汰和限制措施。</w:t>
                  </w:r>
                </w:p>
                <w:p w14:paraId="346CAC44">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bidi="ar-SA"/>
                    </w:rPr>
                    <w:t>2、积极推进工业园区“一园一档”、“一企一册”环保管理制度建设，新建、升级工业集聚区应同步规划、建设污水集中处理设施，并安装自动在线监控装置。推进工业园区污染整治、规范企业排水。</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32B5CB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s="Times New Roman"/>
                      <w:color w:val="auto"/>
                      <w:spacing w:val="0"/>
                      <w:kern w:val="0"/>
                      <w:sz w:val="21"/>
                      <w:szCs w:val="21"/>
                      <w:highlight w:val="none"/>
                      <w:lang w:eastAsia="zh-CN" w:bidi="ar"/>
                    </w:rPr>
                  </w:pPr>
                  <w:r>
                    <w:rPr>
                      <w:rFonts w:hint="eastAsia" w:cs="Times New Roman"/>
                      <w:color w:val="auto"/>
                      <w:spacing w:val="0"/>
                      <w:sz w:val="21"/>
                      <w:szCs w:val="21"/>
                      <w:highlight w:val="none"/>
                      <w:lang w:val="en-US" w:eastAsia="zh-CN"/>
                    </w:rPr>
                    <w:t>1、</w:t>
                  </w:r>
                  <w:r>
                    <w:rPr>
                      <w:rFonts w:hint="default" w:ascii="Times New Roman" w:hAnsi="Times New Roman" w:eastAsia="宋体" w:cs="Times New Roman"/>
                      <w:color w:val="auto"/>
                      <w:spacing w:val="0"/>
                      <w:sz w:val="21"/>
                      <w:szCs w:val="21"/>
                      <w:highlight w:val="none"/>
                    </w:rPr>
                    <w:t>项目</w:t>
                  </w:r>
                  <w:r>
                    <w:rPr>
                      <w:rFonts w:hint="default" w:ascii="Times New Roman" w:hAnsi="Times New Roman" w:eastAsia="宋体" w:cs="Times New Roman"/>
                      <w:color w:val="auto"/>
                      <w:spacing w:val="0"/>
                      <w:kern w:val="0"/>
                      <w:sz w:val="21"/>
                      <w:szCs w:val="21"/>
                      <w:highlight w:val="none"/>
                      <w:lang w:bidi="ar"/>
                    </w:rPr>
                    <w:t>不属于《产业结构调整指导目录（20</w:t>
                  </w:r>
                  <w:r>
                    <w:rPr>
                      <w:rFonts w:hint="eastAsia" w:ascii="Times New Roman" w:hAnsi="Times New Roman" w:eastAsia="宋体" w:cs="Times New Roman"/>
                      <w:color w:val="auto"/>
                      <w:spacing w:val="0"/>
                      <w:kern w:val="0"/>
                      <w:sz w:val="21"/>
                      <w:szCs w:val="21"/>
                      <w:highlight w:val="none"/>
                      <w:lang w:val="en-US" w:eastAsia="zh-CN" w:bidi="ar"/>
                    </w:rPr>
                    <w:t>24</w:t>
                  </w:r>
                  <w:r>
                    <w:rPr>
                      <w:rFonts w:hint="default" w:ascii="Times New Roman" w:hAnsi="Times New Roman" w:eastAsia="宋体" w:cs="Times New Roman"/>
                      <w:color w:val="auto"/>
                      <w:spacing w:val="0"/>
                      <w:kern w:val="0"/>
                      <w:sz w:val="21"/>
                      <w:szCs w:val="21"/>
                      <w:highlight w:val="none"/>
                      <w:lang w:bidi="ar"/>
                    </w:rPr>
                    <w:t>年本）》中</w:t>
                  </w:r>
                  <w:r>
                    <w:rPr>
                      <w:rFonts w:hint="eastAsia" w:ascii="Times New Roman" w:hAnsi="Times New Roman" w:eastAsia="宋体" w:cs="Times New Roman"/>
                      <w:color w:val="auto"/>
                      <w:spacing w:val="0"/>
                      <w:kern w:val="0"/>
                      <w:sz w:val="21"/>
                      <w:szCs w:val="21"/>
                      <w:highlight w:val="none"/>
                      <w:lang w:val="en-US" w:eastAsia="zh-CN" w:bidi="ar"/>
                    </w:rPr>
                    <w:t>限制</w:t>
                  </w:r>
                  <w:r>
                    <w:rPr>
                      <w:rFonts w:hint="default" w:ascii="Times New Roman" w:hAnsi="Times New Roman" w:eastAsia="宋体" w:cs="Times New Roman"/>
                      <w:color w:val="auto"/>
                      <w:spacing w:val="0"/>
                      <w:kern w:val="0"/>
                      <w:sz w:val="21"/>
                      <w:szCs w:val="21"/>
                      <w:highlight w:val="none"/>
                      <w:lang w:bidi="ar"/>
                    </w:rPr>
                    <w:t>、淘汰类项目</w:t>
                  </w:r>
                  <w:r>
                    <w:rPr>
                      <w:rFonts w:hint="eastAsia" w:cs="Times New Roman"/>
                      <w:color w:val="auto"/>
                      <w:spacing w:val="0"/>
                      <w:kern w:val="0"/>
                      <w:sz w:val="21"/>
                      <w:szCs w:val="21"/>
                      <w:highlight w:val="none"/>
                      <w:lang w:eastAsia="zh-CN" w:bidi="ar"/>
                    </w:rPr>
                    <w:t>；</w:t>
                  </w:r>
                </w:p>
                <w:p w14:paraId="01D24A2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cs="Times New Roman"/>
                      <w:color w:val="auto"/>
                      <w:spacing w:val="0"/>
                      <w:kern w:val="0"/>
                      <w:sz w:val="21"/>
                      <w:szCs w:val="21"/>
                      <w:highlight w:val="none"/>
                      <w:lang w:val="en-US" w:eastAsia="zh-CN" w:bidi="ar"/>
                    </w:rPr>
                  </w:pPr>
                  <w:r>
                    <w:rPr>
                      <w:rFonts w:hint="eastAsia" w:cs="Times New Roman"/>
                      <w:color w:val="auto"/>
                      <w:spacing w:val="0"/>
                      <w:kern w:val="0"/>
                      <w:sz w:val="21"/>
                      <w:szCs w:val="21"/>
                      <w:highlight w:val="none"/>
                      <w:lang w:val="en-US" w:eastAsia="zh-CN" w:bidi="ar"/>
                    </w:rPr>
                    <w:t>2、</w:t>
                  </w:r>
                  <w:r>
                    <w:rPr>
                      <w:rFonts w:hint="default" w:ascii="Times New Roman" w:hAnsi="Times New Roman" w:eastAsia="宋体" w:cs="Times New Roman"/>
                      <w:color w:val="auto"/>
                      <w:spacing w:val="0"/>
                      <w:sz w:val="21"/>
                      <w:szCs w:val="21"/>
                      <w:highlight w:val="none"/>
                    </w:rPr>
                    <w:t>本项目</w:t>
                  </w:r>
                  <w:r>
                    <w:rPr>
                      <w:rFonts w:hint="eastAsia" w:cs="Times New Roman"/>
                      <w:color w:val="auto"/>
                      <w:spacing w:val="0"/>
                      <w:sz w:val="21"/>
                      <w:szCs w:val="21"/>
                      <w:highlight w:val="none"/>
                      <w:lang w:val="en-US" w:eastAsia="zh-CN"/>
                    </w:rPr>
                    <w:t>无生产废水，</w:t>
                  </w:r>
                  <w:r>
                    <w:rPr>
                      <w:rFonts w:hint="eastAsia" w:ascii="Times New Roman" w:hAnsi="Times New Roman" w:eastAsia="宋体" w:cs="Times New Roman"/>
                      <w:color w:val="auto"/>
                      <w:spacing w:val="0"/>
                      <w:sz w:val="21"/>
                      <w:szCs w:val="21"/>
                      <w:highlight w:val="none"/>
                      <w:lang w:val="en-US" w:eastAsia="zh-CN"/>
                    </w:rPr>
                    <w:t>生活污水</w:t>
                  </w:r>
                  <w:r>
                    <w:rPr>
                      <w:rFonts w:hint="eastAsia" w:cs="Times New Roman"/>
                      <w:color w:val="auto"/>
                      <w:spacing w:val="0"/>
                      <w:sz w:val="21"/>
                      <w:szCs w:val="21"/>
                      <w:highlight w:val="none"/>
                      <w:lang w:val="en-US" w:eastAsia="zh-CN"/>
                    </w:rPr>
                    <w:t>排入防渗旱厕，定期清掏。</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19C20D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127A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389" w:type="pct"/>
                  <w:vMerge w:val="continue"/>
                  <w:noWrap w:val="0"/>
                  <w:tcMar>
                    <w:top w:w="0" w:type="dxa"/>
                    <w:left w:w="28" w:type="dxa"/>
                    <w:bottom w:w="0" w:type="dxa"/>
                    <w:right w:w="28" w:type="dxa"/>
                  </w:tcMar>
                  <w:vAlign w:val="center"/>
                </w:tcPr>
                <w:p w14:paraId="29DE832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tcBorders>
                    <w:bottom w:val="single" w:color="auto" w:sz="4" w:space="0"/>
                  </w:tcBorders>
                  <w:noWrap w:val="0"/>
                  <w:tcMar>
                    <w:top w:w="0" w:type="dxa"/>
                    <w:left w:w="28" w:type="dxa"/>
                    <w:bottom w:w="0" w:type="dxa"/>
                    <w:right w:w="28" w:type="dxa"/>
                  </w:tcMar>
                  <w:vAlign w:val="center"/>
                </w:tcPr>
                <w:p w14:paraId="3404CE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218F78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污染物排放管控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1494047A">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bidi="ar-SA"/>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5959E0AD">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bidi="ar-SA"/>
                    </w:rPr>
                    <w:t>2、工业园区全部建成污水集中处理设施，并安装自动在线监控装置；有流域特别排放限值要求的地区，执行流域特别排放限值。</w:t>
                  </w:r>
                </w:p>
              </w:tc>
              <w:tc>
                <w:tcPr>
                  <w:tcW w:w="845" w:type="pct"/>
                  <w:vMerge w:val="restart"/>
                  <w:tcBorders>
                    <w:top w:val="single" w:color="auto" w:sz="4" w:space="0"/>
                  </w:tcBorders>
                  <w:noWrap w:val="0"/>
                  <w:tcMar>
                    <w:top w:w="0" w:type="dxa"/>
                    <w:left w:w="28" w:type="dxa"/>
                    <w:bottom w:w="0" w:type="dxa"/>
                    <w:right w:w="28" w:type="dxa"/>
                  </w:tcMar>
                  <w:vAlign w:val="center"/>
                </w:tcPr>
                <w:p w14:paraId="2E2E73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kern w:val="0"/>
                      <w:sz w:val="21"/>
                      <w:szCs w:val="21"/>
                      <w:highlight w:val="none"/>
                      <w:lang w:eastAsia="zh-CN" w:bidi="ar"/>
                    </w:rPr>
                  </w:pPr>
                  <w:r>
                    <w:rPr>
                      <w:rFonts w:hint="default" w:ascii="Times New Roman" w:hAnsi="Times New Roman" w:eastAsia="宋体" w:cs="Times New Roman"/>
                      <w:color w:val="auto"/>
                      <w:spacing w:val="0"/>
                      <w:sz w:val="21"/>
                      <w:szCs w:val="21"/>
                      <w:highlight w:val="none"/>
                    </w:rPr>
                    <w:t>项目位于石家庄市矿区工业园区石钢片区，</w:t>
                  </w:r>
                  <w:r>
                    <w:rPr>
                      <w:rFonts w:hint="eastAsia" w:ascii="Times New Roman" w:hAnsi="Times New Roman" w:eastAsia="宋体" w:cs="Times New Roman"/>
                      <w:color w:val="auto"/>
                      <w:spacing w:val="0"/>
                      <w:sz w:val="21"/>
                      <w:szCs w:val="21"/>
                      <w:highlight w:val="none"/>
                      <w:lang w:val="en-US" w:eastAsia="zh-CN"/>
                    </w:rPr>
                    <w:t>本项目属于黑色金属铸造，</w:t>
                  </w:r>
                  <w:r>
                    <w:rPr>
                      <w:rFonts w:hint="default" w:ascii="Times New Roman" w:hAnsi="Times New Roman" w:eastAsia="宋体" w:cs="Times New Roman"/>
                      <w:color w:val="auto"/>
                      <w:spacing w:val="0"/>
                      <w:sz w:val="21"/>
                      <w:szCs w:val="21"/>
                      <w:highlight w:val="none"/>
                    </w:rPr>
                    <w:t>不属于高污染。高耗水行业</w:t>
                  </w:r>
                  <w:r>
                    <w:rPr>
                      <w:rFonts w:hint="eastAsia" w:ascii="Times New Roman" w:hAnsi="Times New Roman" w:eastAsia="宋体" w:cs="Times New Roman"/>
                      <w:color w:val="auto"/>
                      <w:spacing w:val="0"/>
                      <w:sz w:val="21"/>
                      <w:szCs w:val="21"/>
                      <w:highlight w:val="none"/>
                      <w:lang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59B7BF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ED8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389" w:type="pct"/>
                  <w:vMerge w:val="continue"/>
                  <w:noWrap w:val="0"/>
                  <w:tcMar>
                    <w:top w:w="0" w:type="dxa"/>
                    <w:left w:w="28" w:type="dxa"/>
                    <w:bottom w:w="0" w:type="dxa"/>
                    <w:right w:w="28" w:type="dxa"/>
                  </w:tcMar>
                  <w:vAlign w:val="center"/>
                </w:tcPr>
                <w:p w14:paraId="2BF838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tcBorders>
                    <w:top w:val="single" w:color="auto" w:sz="4" w:space="0"/>
                    <w:bottom w:val="single" w:color="auto" w:sz="4" w:space="0"/>
                  </w:tcBorders>
                  <w:noWrap w:val="0"/>
                  <w:tcMar>
                    <w:top w:w="0" w:type="dxa"/>
                    <w:left w:w="28" w:type="dxa"/>
                    <w:bottom w:w="0" w:type="dxa"/>
                    <w:right w:w="28" w:type="dxa"/>
                  </w:tcMar>
                  <w:vAlign w:val="center"/>
                </w:tcPr>
                <w:p w14:paraId="1F40B1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水环境一般管控区</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1EE015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污染物排放管控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4194F3CB">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bidi="ar-SA"/>
                    </w:rPr>
                    <w:t>1.严格落实全市最新污染防治要求，加强工业源、生活源、农业源、集中式治理设施等排放管控。</w:t>
                  </w:r>
                </w:p>
              </w:tc>
              <w:tc>
                <w:tcPr>
                  <w:tcW w:w="845" w:type="pct"/>
                  <w:vMerge w:val="continue"/>
                  <w:tcBorders>
                    <w:bottom w:val="single" w:color="auto" w:sz="4" w:space="0"/>
                  </w:tcBorders>
                  <w:noWrap w:val="0"/>
                  <w:tcMar>
                    <w:top w:w="0" w:type="dxa"/>
                    <w:left w:w="28" w:type="dxa"/>
                    <w:bottom w:w="0" w:type="dxa"/>
                    <w:right w:w="28" w:type="dxa"/>
                  </w:tcMar>
                  <w:vAlign w:val="center"/>
                </w:tcPr>
                <w:p w14:paraId="3F1D16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3488D7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35380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noWrap w:val="0"/>
                  <w:tcMar>
                    <w:top w:w="0" w:type="dxa"/>
                    <w:left w:w="28" w:type="dxa"/>
                    <w:bottom w:w="0" w:type="dxa"/>
                    <w:right w:w="28" w:type="dxa"/>
                  </w:tcMar>
                  <w:vAlign w:val="center"/>
                </w:tcPr>
                <w:p w14:paraId="5392CA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相关要求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42E3ED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管控类型</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7C07CE18">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b/>
                      <w:bCs/>
                      <w:color w:val="auto"/>
                      <w:spacing w:val="0"/>
                      <w:sz w:val="21"/>
                      <w:szCs w:val="21"/>
                      <w:highlight w:val="none"/>
                      <w:lang w:val="en-US" w:eastAsia="zh-CN" w:bidi="ar-SA"/>
                    </w:rPr>
                  </w:pPr>
                  <w:r>
                    <w:rPr>
                      <w:rFonts w:hint="default" w:ascii="Times New Roman" w:hAnsi="Times New Roman" w:eastAsia="宋体" w:cs="Times New Roman"/>
                      <w:b/>
                      <w:bCs/>
                      <w:color w:val="auto"/>
                      <w:spacing w:val="0"/>
                      <w:sz w:val="21"/>
                      <w:szCs w:val="21"/>
                      <w:highlight w:val="none"/>
                      <w:lang w:val="en-US" w:eastAsia="zh-CN" w:bidi="ar-SA"/>
                    </w:rPr>
                    <w:t>准入要求</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4B7C62D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3BC4DA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1F1A5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restart"/>
                  <w:noWrap w:val="0"/>
                  <w:tcMar>
                    <w:top w:w="0" w:type="dxa"/>
                    <w:left w:w="28" w:type="dxa"/>
                    <w:bottom w:w="0" w:type="dxa"/>
                    <w:right w:w="28" w:type="dxa"/>
                  </w:tcMar>
                  <w:vAlign w:val="center"/>
                </w:tcPr>
                <w:p w14:paraId="0F6E46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大气环境总体准入要求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75870977">
                  <w:pPr>
                    <w:pStyle w:val="230"/>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CN" w:bidi="zh-TW"/>
                    </w:rPr>
                  </w:pPr>
                  <w:r>
                    <w:rPr>
                      <w:rFonts w:hint="default" w:ascii="Times New Roman" w:hAnsi="Times New Roman" w:eastAsia="宋体" w:cs="Times New Roman"/>
                      <w:color w:val="auto"/>
                      <w:spacing w:val="0"/>
                      <w:sz w:val="21"/>
                      <w:szCs w:val="21"/>
                      <w:highlight w:val="none"/>
                      <w:lang w:val="en-US" w:eastAsia="zh-CN" w:bidi="ar-SA"/>
                    </w:rPr>
                    <w:t>空间布局约束</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39880E5F">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1、加大钢铁、焦化等行业结构调整力度，推进化工、石化企业治理改造，优先发展战略</w:t>
                  </w:r>
                  <w:r>
                    <w:rPr>
                      <w:rFonts w:hint="eastAsia" w:ascii="Times New Roman" w:hAnsi="Times New Roman" w:cs="Times New Roman"/>
                      <w:b w:val="0"/>
                      <w:bCs w:val="0"/>
                      <w:color w:val="auto"/>
                      <w:spacing w:val="0"/>
                      <w:kern w:val="2"/>
                      <w:sz w:val="21"/>
                      <w:szCs w:val="21"/>
                      <w:highlight w:val="none"/>
                      <w:u w:val="none"/>
                      <w:shd w:val="clear" w:color="auto" w:fill="auto"/>
                      <w:lang w:val="en-US" w:eastAsia="zh-CN" w:bidi="zh-TW"/>
                    </w:rPr>
                    <w:t>性</w:t>
                  </w: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新兴产业和先进制造业，坚决遏制高耗能高排放低水平项目盲目发展。</w:t>
                  </w:r>
                </w:p>
                <w:p w14:paraId="7A1AF2D7">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2、引导重点行业向环境容量充足、扩散条件较好区域布局。</w:t>
                  </w:r>
                </w:p>
                <w:p w14:paraId="524A3608">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3、大气环境受体敏感重点管控区、大气环境布局敏感重点管控区、大气环境弱扩散重点管控区严格控制高耗能、高排放项目建设。严禁新增钢铁、焦化、水泥、平板玻璃、电解铝等产能。</w:t>
                  </w:r>
                </w:p>
                <w:p w14:paraId="53B9132C">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4、大气环境受体敏感重点管控区中重点涉气行业企业，除必须依托城市或直接服务于城市的企业外，均应规划退城搬迁。</w:t>
                  </w:r>
                </w:p>
                <w:p w14:paraId="6EB38D08">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5、大气环境弱扩散重点管控区内严格控制新建、扩建燃煤火电、钢铁，以及除国家、省、市规划外的石化等高污染高排放项目。</w:t>
                  </w:r>
                </w:p>
                <w:p w14:paraId="4DAB6776">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6、对热效率低下、敞开未封闭，装备简易落后、自动化程度低，布局分散、规模小、无组织排放突出，以及无治理设施或治理设施工艺落后的工业炉窑，依法责令停业关闭。</w:t>
                  </w:r>
                </w:p>
                <w:p w14:paraId="4F6EC2B4">
                  <w:pPr>
                    <w:pStyle w:val="229"/>
                    <w:keepNext w:val="0"/>
                    <w:keepLines w:val="0"/>
                    <w:suppressLineNumbers w:val="0"/>
                    <w:tabs>
                      <w:tab w:val="left" w:pos="254"/>
                    </w:tabs>
                    <w:spacing w:before="0" w:beforeAutospacing="0" w:after="0" w:afterAutospacing="0" w:line="0" w:lineRule="atLeast"/>
                    <w:ind w:left="0" w:right="0" w:firstLine="0" w:firstLineChars="0"/>
                    <w:jc w:val="cente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14:paraId="0FFCEEC6">
                  <w:pPr>
                    <w:pStyle w:val="229"/>
                    <w:keepNext w:val="0"/>
                    <w:keepLines w:val="0"/>
                    <w:suppressLineNumbers w:val="0"/>
                    <w:tabs>
                      <w:tab w:val="left" w:pos="254"/>
                    </w:tabs>
                    <w:spacing w:before="0" w:beforeAutospacing="0" w:after="0" w:afterAutospacing="0" w:line="0" w:lineRule="atLeast"/>
                    <w:ind w:left="0" w:leftChars="0" w:right="0" w:rightChars="0" w:firstLine="0" w:firstLineChars="0"/>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6B8A4E43">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1.本项目属于</w:t>
                  </w:r>
                  <w:r>
                    <w:rPr>
                      <w:rFonts w:hint="eastAsia" w:ascii="Times New Roman" w:hAnsi="Times New Roman" w:eastAsia="宋体" w:cs="Times New Roman"/>
                      <w:b w:val="0"/>
                      <w:bCs w:val="0"/>
                      <w:color w:val="auto"/>
                      <w:spacing w:val="0"/>
                      <w:sz w:val="21"/>
                      <w:szCs w:val="21"/>
                      <w:highlight w:val="none"/>
                      <w:lang w:val="en-US" w:eastAsia="zh-CN"/>
                    </w:rPr>
                    <w:t>黑色金属铸造</w:t>
                  </w:r>
                  <w:r>
                    <w:rPr>
                      <w:rFonts w:hint="default" w:ascii="Times New Roman" w:hAnsi="Times New Roman" w:eastAsia="宋体" w:cs="Times New Roman"/>
                      <w:b w:val="0"/>
                      <w:bCs w:val="0"/>
                      <w:color w:val="auto"/>
                      <w:spacing w:val="0"/>
                      <w:sz w:val="21"/>
                      <w:szCs w:val="21"/>
                      <w:highlight w:val="none"/>
                      <w:lang w:val="en-US" w:eastAsia="zh-CN"/>
                    </w:rPr>
                    <w:t>，不属于钢铁、焦化等行业；</w:t>
                  </w:r>
                </w:p>
                <w:p w14:paraId="40A4FC03">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2.本项目不涉及；</w:t>
                  </w:r>
                </w:p>
                <w:p w14:paraId="65810326">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3.本项目不属于</w:t>
                  </w: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钢铁、焦化、水泥、平板玻璃、电解铝</w:t>
                  </w:r>
                  <w:r>
                    <w:rPr>
                      <w:rFonts w:hint="default" w:ascii="Times New Roman" w:hAnsi="Times New Roman" w:eastAsia="宋体" w:cs="Times New Roman"/>
                      <w:b w:val="0"/>
                      <w:bCs w:val="0"/>
                      <w:color w:val="auto"/>
                      <w:spacing w:val="0"/>
                      <w:sz w:val="21"/>
                      <w:szCs w:val="21"/>
                      <w:highlight w:val="none"/>
                      <w:lang w:val="en-US" w:eastAsia="zh-CN"/>
                    </w:rPr>
                    <w:t>等项目；</w:t>
                  </w:r>
                </w:p>
                <w:p w14:paraId="00CC218D">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4.本项目</w:t>
                  </w:r>
                  <w:r>
                    <w:rPr>
                      <w:rFonts w:hint="eastAsia" w:ascii="Times New Roman" w:hAnsi="Times New Roman" w:eastAsia="宋体" w:cs="Times New Roman"/>
                      <w:b w:val="0"/>
                      <w:bCs w:val="0"/>
                      <w:color w:val="auto"/>
                      <w:spacing w:val="0"/>
                      <w:sz w:val="21"/>
                      <w:szCs w:val="21"/>
                      <w:highlight w:val="none"/>
                      <w:lang w:val="en-US" w:eastAsia="zh-CN"/>
                    </w:rPr>
                    <w:t>位于</w:t>
                  </w:r>
                  <w:r>
                    <w:rPr>
                      <w:rFonts w:hint="default" w:ascii="Times New Roman" w:hAnsi="Times New Roman" w:eastAsia="宋体" w:cs="Times New Roman"/>
                      <w:b w:val="0"/>
                      <w:bCs w:val="0"/>
                      <w:color w:val="auto"/>
                      <w:spacing w:val="0"/>
                      <w:sz w:val="21"/>
                      <w:szCs w:val="21"/>
                      <w:highlight w:val="none"/>
                    </w:rPr>
                    <w:t>石家庄市矿区工业园区石钢片区</w:t>
                  </w:r>
                  <w:r>
                    <w:rPr>
                      <w:rFonts w:hint="default" w:ascii="Times New Roman" w:hAnsi="Times New Roman" w:eastAsia="宋体" w:cs="Times New Roman"/>
                      <w:b w:val="0"/>
                      <w:bCs w:val="0"/>
                      <w:color w:val="auto"/>
                      <w:spacing w:val="0"/>
                      <w:sz w:val="21"/>
                      <w:szCs w:val="21"/>
                      <w:highlight w:val="none"/>
                      <w:lang w:val="en-US" w:eastAsia="zh-CN"/>
                    </w:rPr>
                    <w:t>；</w:t>
                  </w:r>
                </w:p>
                <w:p w14:paraId="0889013C">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5.本项目不属于高污染排放项目；</w:t>
                  </w:r>
                </w:p>
                <w:p w14:paraId="34A0C439">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6.本项目不</w:t>
                  </w:r>
                  <w:r>
                    <w:rPr>
                      <w:rFonts w:hint="eastAsia" w:ascii="Times New Roman" w:hAnsi="Times New Roman" w:eastAsia="宋体" w:cs="Times New Roman"/>
                      <w:b w:val="0"/>
                      <w:bCs w:val="0"/>
                      <w:color w:val="auto"/>
                      <w:spacing w:val="0"/>
                      <w:sz w:val="21"/>
                      <w:szCs w:val="21"/>
                      <w:highlight w:val="none"/>
                      <w:lang w:val="en-US" w:eastAsia="zh-CN"/>
                    </w:rPr>
                    <w:t>属于</w:t>
                  </w: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热效率低下、敞开未封闭，装备简易落后、自动化程度低的工业炉窑</w:t>
                  </w:r>
                  <w:r>
                    <w:rPr>
                      <w:rFonts w:hint="default" w:ascii="Times New Roman" w:hAnsi="Times New Roman" w:eastAsia="宋体" w:cs="Times New Roman"/>
                      <w:b w:val="0"/>
                      <w:bCs w:val="0"/>
                      <w:color w:val="auto"/>
                      <w:spacing w:val="0"/>
                      <w:sz w:val="21"/>
                      <w:szCs w:val="21"/>
                      <w:highlight w:val="none"/>
                      <w:lang w:val="en-US" w:eastAsia="zh-CN"/>
                    </w:rPr>
                    <w:t>；</w:t>
                  </w:r>
                </w:p>
                <w:p w14:paraId="63B8EBDF">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lang w:val="en-US" w:eastAsia="zh-CN"/>
                    </w:rPr>
                  </w:pPr>
                  <w:r>
                    <w:rPr>
                      <w:rFonts w:hint="default" w:ascii="Times New Roman" w:hAnsi="Times New Roman" w:eastAsia="宋体" w:cs="Times New Roman"/>
                      <w:b w:val="0"/>
                      <w:bCs w:val="0"/>
                      <w:color w:val="auto"/>
                      <w:spacing w:val="0"/>
                      <w:sz w:val="21"/>
                      <w:szCs w:val="21"/>
                      <w:highlight w:val="none"/>
                      <w:lang w:val="en-US" w:eastAsia="zh-CN"/>
                    </w:rPr>
                    <w:t>7.项目不建设锅炉；</w:t>
                  </w:r>
                </w:p>
                <w:p w14:paraId="32335713">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b w:val="0"/>
                      <w:bCs w:val="0"/>
                      <w:color w:val="auto"/>
                      <w:spacing w:val="0"/>
                      <w:sz w:val="21"/>
                      <w:szCs w:val="21"/>
                      <w:highlight w:val="none"/>
                      <w:lang w:val="en-US" w:eastAsia="zh-CN"/>
                    </w:rPr>
                    <w:t>8.本项目不涉及</w:t>
                  </w: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TW" w:bidi="zh-TW"/>
                    </w:rPr>
                    <w:t>销售、使用高污染燃料</w:t>
                  </w:r>
                  <w:r>
                    <w:rPr>
                      <w:rFonts w:hint="default" w:ascii="Times New Roman" w:hAnsi="Times New Roman" w:eastAsia="宋体" w:cs="Times New Roman"/>
                      <w:b w:val="0"/>
                      <w:bCs w:val="0"/>
                      <w:color w:val="auto"/>
                      <w:spacing w:val="0"/>
                      <w:kern w:val="2"/>
                      <w:sz w:val="21"/>
                      <w:szCs w:val="21"/>
                      <w:highlight w:val="none"/>
                      <w:u w:val="none"/>
                      <w:shd w:val="clear" w:color="auto" w:fill="auto"/>
                      <w:lang w:val="zh-TW" w:eastAsia="zh-CN" w:bidi="zh-TW"/>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73BA7C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6FEDE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vMerge w:val="continue"/>
                  <w:noWrap w:val="0"/>
                  <w:tcMar>
                    <w:top w:w="0" w:type="dxa"/>
                    <w:left w:w="28" w:type="dxa"/>
                    <w:bottom w:w="0" w:type="dxa"/>
                    <w:right w:w="28" w:type="dxa"/>
                  </w:tcMar>
                  <w:vAlign w:val="center"/>
                </w:tcPr>
                <w:p w14:paraId="106FAC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26AB72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CN" w:bidi="zh-TW"/>
                    </w:rPr>
                  </w:pPr>
                  <w:r>
                    <w:rPr>
                      <w:rFonts w:hint="default" w:ascii="Times New Roman" w:hAnsi="Times New Roman" w:eastAsia="宋体" w:cs="Times New Roman"/>
                      <w:color w:val="auto"/>
                      <w:spacing w:val="0"/>
                      <w:sz w:val="21"/>
                      <w:szCs w:val="21"/>
                      <w:highlight w:val="none"/>
                      <w:lang w:val="zh-TW" w:eastAsia="zh-TW" w:bidi="zh-TW"/>
                    </w:rPr>
                    <w:t>污染物排放管控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07948DD4">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1、严格区域削减要求。严格执行《生态环境部办公厅关于加强重点行业建设项目区域削减措施监督管理的通知》(环办环评〔2020〕36号)相关要求。</w:t>
                  </w:r>
                </w:p>
                <w:p w14:paraId="0ED18465">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2、对保留的工业炉窑开展环保提标改造，配套建设高效脱硫脱硝除尘设施，确保稳定达标排放，按照《河北省工业炉窑综合治理实施方案》执行。</w:t>
                  </w:r>
                </w:p>
                <w:p w14:paraId="16001512">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3、按照《低挥发性有机化合物含量涂料产品技术要求》(GB/T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69DA29B">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4、加强无组织排放治理，开展钢铁、水泥、燃煤电厂、焦化平板玻璃、陶瓷等行业重点行业无组织排放检查工作，物料存储运输等全部采用密闭或封闭形式。</w:t>
                  </w:r>
                </w:p>
                <w:p w14:paraId="6B953338">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5、加快推进铁路专用线建设，大宗货物及产品年货运量150万吨以上的企业原则上全部修建铁路专用线，达不到的采用清洁能源汽车或国六排放标准汽车代替。</w:t>
                  </w:r>
                </w:p>
                <w:p w14:paraId="4F22DA9C">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046EC35B">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7、严禁秸秆、垃圾露天焚烧，实施农村地区的散煤替代及清洁开发利用工程。</w:t>
                  </w:r>
                </w:p>
                <w:p w14:paraId="08EEB3A1">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8、巩固钢铁、焦化、煤电、水泥、平板玻璃、陶瓷等行业超低排放成效，实施工艺全流程深度治理，全面加强无组织排放管控。</w:t>
                  </w:r>
                </w:p>
                <w:p w14:paraId="411FF27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pacing w:val="0"/>
                      <w:kern w:val="2"/>
                      <w:sz w:val="21"/>
                      <w:szCs w:val="21"/>
                      <w:highlight w:val="none"/>
                      <w:lang w:val="en-US" w:eastAsia="zh-CN" w:bidi="zh-TW"/>
                    </w:rPr>
                  </w:pPr>
                  <w:r>
                    <w:rPr>
                      <w:rFonts w:hint="eastAsia" w:ascii="宋体" w:hAnsi="宋体" w:eastAsia="宋体" w:cs="宋体"/>
                      <w:color w:val="000000"/>
                      <w:kern w:val="0"/>
                      <w:sz w:val="21"/>
                      <w:szCs w:val="21"/>
                      <w:highlight w:val="none"/>
                      <w:lang w:val="en-US" w:eastAsia="zh-CN" w:bidi="ar"/>
                    </w:rPr>
                    <w:t>9、对以煤、石油焦、重油等为燃料的工业炉窑，加快使用清洁低碳能源以及利用工厂余热、电厂热力等进行替代，全市禁止掺烧高硫石油焦(硫含量大于3%)。玻璃行业全面禁止掺烧高硫石油焦。</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1C355E9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1、本项目不涉及主要污染物排放；</w:t>
                  </w:r>
                </w:p>
                <w:p w14:paraId="4F2978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2、</w:t>
                  </w:r>
                  <w:r>
                    <w:rPr>
                      <w:rFonts w:hint="eastAsia" w:cs="Times New Roman"/>
                      <w:color w:val="auto"/>
                      <w:spacing w:val="0"/>
                      <w:sz w:val="21"/>
                      <w:szCs w:val="21"/>
                      <w:highlight w:val="none"/>
                      <w:lang w:val="en-US" w:eastAsia="zh-CN"/>
                    </w:rPr>
                    <w:t>本项目属于新建项目；</w:t>
                  </w:r>
                </w:p>
                <w:p w14:paraId="0D93F8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3、不涉及</w:t>
                  </w:r>
                  <w:r>
                    <w:rPr>
                      <w:rFonts w:hint="eastAsia" w:cs="Times New Roman"/>
                      <w:color w:val="auto"/>
                      <w:spacing w:val="0"/>
                      <w:sz w:val="21"/>
                      <w:szCs w:val="21"/>
                      <w:highlight w:val="none"/>
                      <w:lang w:val="en-US" w:eastAsia="zh-CN"/>
                    </w:rPr>
                    <w:t>；</w:t>
                  </w:r>
                </w:p>
                <w:p w14:paraId="3E2925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4、本项目采用严格的无组织防控措施</w:t>
                  </w:r>
                  <w:r>
                    <w:rPr>
                      <w:rFonts w:hint="eastAsia" w:cs="Times New Roman"/>
                      <w:color w:val="auto"/>
                      <w:spacing w:val="0"/>
                      <w:sz w:val="21"/>
                      <w:szCs w:val="21"/>
                      <w:highlight w:val="none"/>
                      <w:lang w:val="en-US" w:eastAsia="zh-CN"/>
                    </w:rPr>
                    <w:t>；</w:t>
                  </w:r>
                </w:p>
                <w:p w14:paraId="441A52A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5、不涉及；</w:t>
                  </w:r>
                </w:p>
                <w:p w14:paraId="40E72C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6、本项目租赁现有厂房，施工期较短，污染较小</w:t>
                  </w:r>
                  <w:r>
                    <w:rPr>
                      <w:rFonts w:hint="eastAsia" w:cs="Times New Roman"/>
                      <w:color w:val="auto"/>
                      <w:spacing w:val="0"/>
                      <w:sz w:val="21"/>
                      <w:szCs w:val="21"/>
                      <w:highlight w:val="none"/>
                      <w:lang w:val="en-US" w:eastAsia="zh-CN"/>
                    </w:rPr>
                    <w:t>；</w:t>
                  </w:r>
                </w:p>
                <w:p w14:paraId="03F1DC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7、不涉及；</w:t>
                  </w:r>
                </w:p>
                <w:p w14:paraId="7CD0421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8、不涉及；</w:t>
                  </w:r>
                </w:p>
                <w:p w14:paraId="55EDEB8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9、本项目采用电加热。</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188FE1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56C4A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3A8918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395310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CN" w:bidi="zh-TW"/>
                    </w:rPr>
                  </w:pPr>
                  <w:r>
                    <w:rPr>
                      <w:rFonts w:hint="default" w:ascii="Times New Roman" w:hAnsi="Times New Roman" w:eastAsia="宋体" w:cs="Times New Roman"/>
                      <w:color w:val="auto"/>
                      <w:spacing w:val="0"/>
                      <w:sz w:val="21"/>
                      <w:szCs w:val="21"/>
                      <w:highlight w:val="none"/>
                      <w:lang w:val="zh-TW" w:eastAsia="zh-TW" w:bidi="zh-TW"/>
                    </w:rPr>
                    <w:t>环境风险防控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326396F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pacing w:val="0"/>
                      <w:kern w:val="2"/>
                      <w:sz w:val="21"/>
                      <w:szCs w:val="21"/>
                      <w:highlight w:val="none"/>
                      <w:lang w:val="en-US" w:eastAsia="zh-CN" w:bidi="zh-TW"/>
                    </w:rPr>
                  </w:pPr>
                  <w:r>
                    <w:rPr>
                      <w:rFonts w:hint="eastAsia" w:ascii="宋体" w:hAnsi="宋体" w:eastAsia="宋体" w:cs="宋体"/>
                      <w:color w:val="000000"/>
                      <w:kern w:val="0"/>
                      <w:sz w:val="21"/>
                      <w:szCs w:val="21"/>
                      <w:highlight w:val="none"/>
                      <w:lang w:val="en-US" w:eastAsia="zh-CN" w:bidi="ar"/>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27786A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zh-TW" w:bidi="zh-TW"/>
                    </w:rPr>
                    <w:t>项目</w:t>
                  </w:r>
                  <w:r>
                    <w:rPr>
                      <w:rFonts w:hint="eastAsia" w:cs="Times New Roman"/>
                      <w:color w:val="auto"/>
                      <w:spacing w:val="0"/>
                      <w:sz w:val="21"/>
                      <w:szCs w:val="21"/>
                      <w:highlight w:val="none"/>
                      <w:lang w:val="en-US" w:eastAsia="zh-CN" w:bidi="zh-TW"/>
                    </w:rPr>
                    <w:t>不使用</w:t>
                  </w:r>
                  <w:r>
                    <w:rPr>
                      <w:rFonts w:hint="default" w:ascii="Times New Roman" w:hAnsi="Times New Roman" w:eastAsia="宋体" w:cs="Times New Roman"/>
                      <w:color w:val="auto"/>
                      <w:spacing w:val="0"/>
                      <w:sz w:val="21"/>
                      <w:szCs w:val="21"/>
                      <w:highlight w:val="none"/>
                      <w:lang w:val="zh-TW" w:bidi="zh-TW"/>
                    </w:rPr>
                    <w:t>有毒有害</w:t>
                  </w:r>
                  <w:r>
                    <w:rPr>
                      <w:rFonts w:hint="eastAsia" w:ascii="Times New Roman" w:hAnsi="Times New Roman" w:eastAsia="宋体" w:cs="Times New Roman"/>
                      <w:color w:val="auto"/>
                      <w:spacing w:val="0"/>
                      <w:sz w:val="21"/>
                      <w:szCs w:val="21"/>
                      <w:highlight w:val="none"/>
                      <w:lang w:val="en-US" w:eastAsia="zh-CN" w:bidi="zh-TW"/>
                    </w:rPr>
                    <w:t>物质</w:t>
                  </w:r>
                  <w:r>
                    <w:rPr>
                      <w:rFonts w:hint="eastAsia" w:cs="Times New Roman"/>
                      <w:color w:val="auto"/>
                      <w:spacing w:val="0"/>
                      <w:sz w:val="21"/>
                      <w:szCs w:val="21"/>
                      <w:highlight w:val="none"/>
                      <w:lang w:val="en-US" w:eastAsia="zh-CN" w:bidi="zh-TW"/>
                    </w:rPr>
                    <w:t>，生产过程中不产生及排放新</w:t>
                  </w:r>
                  <w:r>
                    <w:rPr>
                      <w:rFonts w:hint="eastAsia" w:ascii="Times New Roman" w:hAnsi="Times New Roman" w:eastAsia="宋体" w:cs="Times New Roman"/>
                      <w:color w:val="auto"/>
                      <w:spacing w:val="0"/>
                      <w:sz w:val="21"/>
                      <w:szCs w:val="21"/>
                      <w:highlight w:val="none"/>
                      <w:lang w:val="en-US" w:eastAsia="zh-CN" w:bidi="zh-TW"/>
                    </w:rPr>
                    <w:t>污染物。</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3E3A3FD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E986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noWrap w:val="0"/>
                  <w:tcMar>
                    <w:top w:w="0" w:type="dxa"/>
                    <w:left w:w="28" w:type="dxa"/>
                    <w:bottom w:w="0" w:type="dxa"/>
                    <w:right w:w="28" w:type="dxa"/>
                  </w:tcMar>
                  <w:vAlign w:val="center"/>
                </w:tcPr>
                <w:p w14:paraId="5289532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相关要求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4085D63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属性</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21A9ED8A">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b/>
                      <w:bCs/>
                      <w:color w:val="auto"/>
                      <w:spacing w:val="0"/>
                      <w:sz w:val="21"/>
                      <w:szCs w:val="21"/>
                      <w:highlight w:val="none"/>
                      <w:lang w:val="en-US" w:eastAsia="zh-CN" w:bidi="ar-SA"/>
                    </w:rPr>
                  </w:pPr>
                  <w:r>
                    <w:rPr>
                      <w:rFonts w:hint="default" w:ascii="Times New Roman" w:hAnsi="Times New Roman" w:eastAsia="宋体" w:cs="Times New Roman"/>
                      <w:b/>
                      <w:bCs/>
                      <w:color w:val="auto"/>
                      <w:spacing w:val="0"/>
                      <w:sz w:val="21"/>
                      <w:szCs w:val="21"/>
                      <w:highlight w:val="none"/>
                      <w:lang w:val="en-US" w:eastAsia="zh-CN" w:bidi="ar-SA"/>
                    </w:rPr>
                    <w:t>管控要求</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4DF93F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295833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59CED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restart"/>
                  <w:noWrap w:val="0"/>
                  <w:tcMar>
                    <w:top w:w="0" w:type="dxa"/>
                    <w:left w:w="28" w:type="dxa"/>
                    <w:bottom w:w="0" w:type="dxa"/>
                    <w:right w:w="28" w:type="dxa"/>
                  </w:tcMar>
                  <w:vAlign w:val="center"/>
                </w:tcPr>
                <w:p w14:paraId="549FCA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全市土壤环境总体管控要求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26EE08B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农用地</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3A779E3D">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1、禁止任何单位和个人在基本农田保护区内建窑、建房、建坟、挖砂、采石、采矿、取土、堆放固体废弃物或者进行其他破坏基本农田的活动。</w:t>
                  </w:r>
                </w:p>
                <w:p w14:paraId="40100D34">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2、禁止任何单位和个人占用基本农田发展林果业和挖塘养鱼。</w:t>
                  </w:r>
                </w:p>
                <w:p w14:paraId="7A467E2E">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3、县级以上地方人民政府应当依法将符合条件的优先保护类耕地划为永久基本农田，实行严格保护。在永久基本农田集中区域，不得新建可能造成土壤污染的建设项目；已经建成的，应当限期关闭拆除。</w:t>
                  </w:r>
                </w:p>
                <w:p w14:paraId="5531F6F6">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4、禁止生产、销售、使用国家和本省明令禁止的农业投入品。</w:t>
                  </w:r>
                </w:p>
                <w:p w14:paraId="0BD9E583">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5、禁止向农用地排放重金属或者其他有毒有害物质含量超标的污水、污泥，以及可能造成土壤污染的清淤底泥、尾矿、矿渣等。</w:t>
                  </w:r>
                </w:p>
                <w:p w14:paraId="10F61EB6">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6、严格执行法律、法规规定的其它空间布局约束要求。</w:t>
                  </w:r>
                </w:p>
              </w:tc>
              <w:tc>
                <w:tcPr>
                  <w:tcW w:w="845" w:type="pct"/>
                  <w:vMerge w:val="restart"/>
                  <w:tcBorders>
                    <w:top w:val="single" w:color="auto" w:sz="4" w:space="0"/>
                  </w:tcBorders>
                  <w:noWrap w:val="0"/>
                  <w:tcMar>
                    <w:top w:w="0" w:type="dxa"/>
                    <w:left w:w="28" w:type="dxa"/>
                    <w:bottom w:w="0" w:type="dxa"/>
                    <w:right w:w="28" w:type="dxa"/>
                  </w:tcMar>
                  <w:vAlign w:val="center"/>
                </w:tcPr>
                <w:p w14:paraId="7F5D4F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rPr>
                    <w:t>项目位于石家庄市矿区工业园区石钢片区，项目</w:t>
                  </w:r>
                  <w:r>
                    <w:rPr>
                      <w:rFonts w:hint="default" w:ascii="Times New Roman" w:hAnsi="Times New Roman" w:eastAsia="宋体" w:cs="Times New Roman"/>
                      <w:color w:val="auto"/>
                      <w:spacing w:val="0"/>
                      <w:kern w:val="0"/>
                      <w:sz w:val="21"/>
                      <w:szCs w:val="21"/>
                      <w:highlight w:val="none"/>
                      <w:lang w:bidi="ar"/>
                    </w:rPr>
                    <w:t>属于</w:t>
                  </w:r>
                  <w:r>
                    <w:rPr>
                      <w:rFonts w:hint="eastAsia" w:ascii="Times New Roman" w:hAnsi="Times New Roman" w:eastAsia="宋体" w:cs="Times New Roman"/>
                      <w:color w:val="auto"/>
                      <w:spacing w:val="0"/>
                      <w:kern w:val="0"/>
                      <w:sz w:val="21"/>
                      <w:szCs w:val="21"/>
                      <w:highlight w:val="none"/>
                      <w:lang w:val="en-US" w:eastAsia="zh-CN" w:bidi="ar"/>
                    </w:rPr>
                    <w:t>黑色金属铸造</w:t>
                  </w:r>
                  <w:r>
                    <w:rPr>
                      <w:rFonts w:hint="default" w:ascii="Times New Roman" w:hAnsi="Times New Roman" w:eastAsia="宋体" w:cs="Times New Roman"/>
                      <w:color w:val="auto"/>
                      <w:spacing w:val="0"/>
                      <w:sz w:val="21"/>
                      <w:szCs w:val="21"/>
                      <w:highlight w:val="none"/>
                    </w:rPr>
                    <w:t>，占地为工业用地，不属于农用地优先保护区，也不属于</w:t>
                  </w:r>
                  <w:r>
                    <w:rPr>
                      <w:rFonts w:hint="default" w:ascii="Times New Roman" w:hAnsi="Times New Roman" w:eastAsia="宋体" w:cs="Times New Roman"/>
                      <w:color w:val="auto"/>
                      <w:spacing w:val="0"/>
                      <w:sz w:val="21"/>
                      <w:szCs w:val="21"/>
                      <w:highlight w:val="none"/>
                      <w:lang w:val="zh-TW" w:eastAsia="zh-TW" w:bidi="zh-TW"/>
                    </w:rPr>
                    <w:t>有色金属冶炼、石油加工、化工、焦化、电镀、制革等行业</w:t>
                  </w:r>
                  <w:r>
                    <w:rPr>
                      <w:rFonts w:hint="eastAsia" w:cs="Times New Roman"/>
                      <w:color w:val="auto"/>
                      <w:spacing w:val="0"/>
                      <w:sz w:val="21"/>
                      <w:szCs w:val="21"/>
                      <w:highlight w:val="none"/>
                      <w:lang w:val="zh-TW" w:eastAsia="zh-CN" w:bidi="zh-TW"/>
                    </w:rPr>
                    <w:t>；</w:t>
                  </w:r>
                  <w:r>
                    <w:rPr>
                      <w:rFonts w:hint="eastAsia" w:cs="Times New Roman"/>
                      <w:color w:val="auto"/>
                      <w:spacing w:val="0"/>
                      <w:sz w:val="21"/>
                      <w:szCs w:val="21"/>
                      <w:highlight w:val="none"/>
                      <w:lang w:val="en-US" w:eastAsia="zh-CN" w:bidi="zh-TW"/>
                    </w:rPr>
                    <w:t>不涉及重金属污染物。</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7A3032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2FBCC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vMerge w:val="continue"/>
                  <w:noWrap w:val="0"/>
                  <w:tcMar>
                    <w:top w:w="0" w:type="dxa"/>
                    <w:left w:w="28" w:type="dxa"/>
                    <w:bottom w:w="0" w:type="dxa"/>
                    <w:right w:w="28" w:type="dxa"/>
                  </w:tcMar>
                  <w:vAlign w:val="center"/>
                </w:tcPr>
                <w:p w14:paraId="28C835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569FE9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t>涉重金属行业企业</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17A75F16">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新、改、扩建重点行业建设项目应符合“三线一单”、产业政策、区域环评、规划环评和产业环境准入管控要求。重点区域的新、改、扩建重点行业建设项目应遵循重点重金属污染物排放“减量替代”原则，减量替代比例不低于1.2:1；其他区域遵循“等量替代”原则。</w:t>
                  </w:r>
                </w:p>
                <w:p w14:paraId="245B2F94">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2、根据《产业结构调整指导目录》《限期淘汰产能严重污染环境的工业固体废物的落后生产工艺设备名录》等要求，推动依法淘汰涉重金属落后产能和化解过剩产能。严格执行生态环境保护等相关法规标准，推动经整改仍达不到要求的产能依法依规关闭退出。</w:t>
                  </w:r>
                </w:p>
                <w:p w14:paraId="28A859D5">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3、加快推进专业电镀企业入园，力争到 2025 年底专业电镀企业入园率达到75%。</w:t>
                  </w:r>
                </w:p>
                <w:p w14:paraId="67CCF7E9">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4、加强重金属污染源头防控，减少使用高镉、高砷或高铊的矿石原料。</w:t>
                  </w:r>
                </w:p>
                <w:p w14:paraId="1A8812F1">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5、加强重点行业企业废渣场环境管理，完善防渗漏、防流失、防扬散等措施。</w:t>
                  </w:r>
                </w:p>
              </w:tc>
              <w:tc>
                <w:tcPr>
                  <w:tcW w:w="845" w:type="pct"/>
                  <w:vMerge w:val="continue"/>
                  <w:noWrap w:val="0"/>
                  <w:tcMar>
                    <w:top w:w="0" w:type="dxa"/>
                    <w:left w:w="28" w:type="dxa"/>
                    <w:bottom w:w="0" w:type="dxa"/>
                    <w:right w:w="28" w:type="dxa"/>
                  </w:tcMar>
                  <w:vAlign w:val="center"/>
                </w:tcPr>
                <w:p w14:paraId="098EE2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5CF291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2AC2E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0D39AD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537ADD3C">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市政基础设施用地</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6A8375C7">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w:t>
                  </w:r>
                </w:p>
                <w:p w14:paraId="29783F01">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2、建设和运行污水集中处理设施，应当安全处理、处置污泥，处理、处置后的污泥应当符合国家有关标准。</w:t>
                  </w:r>
                </w:p>
              </w:tc>
              <w:tc>
                <w:tcPr>
                  <w:tcW w:w="845" w:type="pct"/>
                  <w:vMerge w:val="continue"/>
                  <w:tcBorders>
                    <w:bottom w:val="single" w:color="auto" w:sz="4" w:space="0"/>
                  </w:tcBorders>
                  <w:noWrap w:val="0"/>
                  <w:tcMar>
                    <w:top w:w="0" w:type="dxa"/>
                    <w:left w:w="28" w:type="dxa"/>
                    <w:bottom w:w="0" w:type="dxa"/>
                    <w:right w:w="28" w:type="dxa"/>
                  </w:tcMar>
                  <w:vAlign w:val="center"/>
                </w:tcPr>
                <w:p w14:paraId="455F41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2592A6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36381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noWrap w:val="0"/>
                  <w:tcMar>
                    <w:top w:w="0" w:type="dxa"/>
                    <w:left w:w="28" w:type="dxa"/>
                    <w:bottom w:w="0" w:type="dxa"/>
                    <w:right w:w="28" w:type="dxa"/>
                  </w:tcMar>
                  <w:vAlign w:val="center"/>
                </w:tcPr>
                <w:p w14:paraId="36EC14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相关要求</w:t>
                  </w:r>
                </w:p>
              </w:tc>
              <w:tc>
                <w:tcPr>
                  <w:tcW w:w="207" w:type="pct"/>
                  <w:tcBorders>
                    <w:top w:val="single" w:color="auto" w:sz="4" w:space="0"/>
                    <w:bottom w:val="single" w:color="auto" w:sz="4" w:space="0"/>
                  </w:tcBorders>
                  <w:noWrap w:val="0"/>
                  <w:tcMar>
                    <w:top w:w="0" w:type="dxa"/>
                    <w:left w:w="28" w:type="dxa"/>
                    <w:bottom w:w="0" w:type="dxa"/>
                    <w:right w:w="28" w:type="dxa"/>
                  </w:tcMar>
                  <w:vAlign w:val="center"/>
                </w:tcPr>
                <w:p w14:paraId="52E2C3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要素</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6C958393">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b/>
                      <w:bCs/>
                      <w:color w:val="auto"/>
                      <w:spacing w:val="0"/>
                      <w:sz w:val="21"/>
                      <w:szCs w:val="21"/>
                      <w:highlight w:val="none"/>
                      <w:lang w:val="en-US" w:eastAsia="zh-CN" w:bidi="ar-SA"/>
                    </w:rPr>
                  </w:pPr>
                  <w:r>
                    <w:rPr>
                      <w:rFonts w:hint="default" w:ascii="Times New Roman" w:hAnsi="Times New Roman" w:eastAsia="宋体" w:cs="Times New Roman"/>
                      <w:b/>
                      <w:bCs/>
                      <w:color w:val="auto"/>
                      <w:spacing w:val="0"/>
                      <w:sz w:val="21"/>
                      <w:szCs w:val="21"/>
                      <w:highlight w:val="none"/>
                      <w:lang w:val="en-US" w:eastAsia="zh-CN" w:bidi="ar-SA"/>
                    </w:rPr>
                    <w:t>管控类型</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63C32C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sz w:val="21"/>
                      <w:szCs w:val="21"/>
                      <w:highlight w:val="none"/>
                    </w:rPr>
                    <w:t>管控要求</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408FAC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6E00C3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0F735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restart"/>
                  <w:noWrap w:val="0"/>
                  <w:tcMar>
                    <w:top w:w="0" w:type="dxa"/>
                    <w:left w:w="28" w:type="dxa"/>
                    <w:bottom w:w="0" w:type="dxa"/>
                    <w:right w:w="28" w:type="dxa"/>
                  </w:tcMar>
                  <w:vAlign w:val="center"/>
                </w:tcPr>
                <w:p w14:paraId="44552F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全市自然资源总体管控要求</w:t>
                  </w:r>
                </w:p>
              </w:tc>
              <w:tc>
                <w:tcPr>
                  <w:tcW w:w="207" w:type="pct"/>
                  <w:vMerge w:val="restart"/>
                  <w:tcBorders>
                    <w:top w:val="single" w:color="auto" w:sz="4" w:space="0"/>
                  </w:tcBorders>
                  <w:noWrap w:val="0"/>
                  <w:tcMar>
                    <w:top w:w="0" w:type="dxa"/>
                    <w:left w:w="28" w:type="dxa"/>
                    <w:bottom w:w="0" w:type="dxa"/>
                    <w:right w:w="28" w:type="dxa"/>
                  </w:tcMar>
                  <w:vAlign w:val="center"/>
                </w:tcPr>
                <w:p w14:paraId="0F0EA8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水资源</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611ED53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TW" w:bidi="zh-TW"/>
                    </w:rPr>
                  </w:pPr>
                  <w:r>
                    <w:rPr>
                      <w:rFonts w:hint="default" w:ascii="Times New Roman" w:hAnsi="Times New Roman" w:eastAsia="宋体" w:cs="Times New Roman"/>
                      <w:color w:val="auto"/>
                      <w:spacing w:val="0"/>
                      <w:sz w:val="21"/>
                      <w:szCs w:val="21"/>
                      <w:highlight w:val="none"/>
                      <w:lang w:val="zh-TW" w:eastAsia="zh-TW" w:bidi="zh-TW"/>
                    </w:rPr>
                    <w:t>地下水开采重点管控区（地下水严重超采区）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1B6AE97C">
                  <w:pPr>
                    <w:pStyle w:val="229"/>
                    <w:keepNext w:val="0"/>
                    <w:keepLines w:val="0"/>
                    <w:pageBreakBefore w:val="0"/>
                    <w:suppressLineNumbers w:val="0"/>
                    <w:tabs>
                      <w:tab w:val="left" w:pos="264"/>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1、</w:t>
                  </w:r>
                  <w:r>
                    <w:rPr>
                      <w:rFonts w:hint="default" w:ascii="Times New Roman" w:hAnsi="Times New Roman" w:eastAsia="宋体" w:cs="Times New Roman"/>
                      <w:color w:val="auto"/>
                      <w:spacing w:val="0"/>
                      <w:sz w:val="21"/>
                      <w:szCs w:val="21"/>
                      <w:highlight w:val="none"/>
                    </w:rPr>
                    <w:t>地下水禁止开采区，一律禁止开凿新的取水井，对已有的取水井应当制定计划逐步予以关停。</w:t>
                  </w:r>
                </w:p>
                <w:p w14:paraId="20C311BF">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2、</w:t>
                  </w:r>
                  <w:r>
                    <w:rPr>
                      <w:rFonts w:hint="default" w:ascii="Times New Roman" w:hAnsi="Times New Roman" w:eastAsia="宋体" w:cs="Times New Roman"/>
                      <w:color w:val="auto"/>
                      <w:spacing w:val="0"/>
                      <w:sz w:val="21"/>
                      <w:szCs w:val="21"/>
                      <w:highlight w:val="none"/>
                    </w:rPr>
                    <w:t>地下水限制开采区，一般不得开凿新的取水井，确需取用地下水的，应按省市要求进行削减。</w:t>
                  </w:r>
                </w:p>
              </w:tc>
              <w:tc>
                <w:tcPr>
                  <w:tcW w:w="845" w:type="pct"/>
                  <w:vMerge w:val="restart"/>
                  <w:tcBorders>
                    <w:top w:val="single" w:color="auto" w:sz="4" w:space="0"/>
                  </w:tcBorders>
                  <w:noWrap w:val="0"/>
                  <w:tcMar>
                    <w:top w:w="0" w:type="dxa"/>
                    <w:left w:w="28" w:type="dxa"/>
                    <w:bottom w:w="0" w:type="dxa"/>
                    <w:right w:w="28" w:type="dxa"/>
                  </w:tcMar>
                  <w:vAlign w:val="center"/>
                </w:tcPr>
                <w:p w14:paraId="5F27CC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项目位于石家庄市矿区工业园区石钢片区，不在生态保护红线范围内；项目用水</w:t>
                  </w:r>
                  <w:r>
                    <w:rPr>
                      <w:rFonts w:hint="default" w:ascii="Times New Roman" w:hAnsi="Times New Roman" w:eastAsia="宋体" w:cs="Times New Roman"/>
                      <w:color w:val="auto"/>
                      <w:spacing w:val="0"/>
                      <w:kern w:val="0"/>
                      <w:sz w:val="21"/>
                      <w:szCs w:val="21"/>
                      <w:highlight w:val="none"/>
                      <w:lang w:bidi="ar"/>
                    </w:rPr>
                    <w:t>由</w:t>
                  </w:r>
                  <w:r>
                    <w:rPr>
                      <w:rFonts w:hint="default" w:ascii="Times New Roman" w:hAnsi="Times New Roman" w:eastAsia="宋体" w:cs="Times New Roman"/>
                      <w:color w:val="auto"/>
                      <w:spacing w:val="0"/>
                      <w:sz w:val="21"/>
                      <w:szCs w:val="21"/>
                      <w:highlight w:val="none"/>
                      <w:lang w:eastAsia="zh-CN"/>
                    </w:rPr>
                    <w:t>当地</w:t>
                  </w:r>
                  <w:r>
                    <w:rPr>
                      <w:rFonts w:hint="eastAsia" w:cs="Times New Roman"/>
                      <w:color w:val="auto"/>
                      <w:spacing w:val="0"/>
                      <w:sz w:val="21"/>
                      <w:szCs w:val="21"/>
                      <w:highlight w:val="none"/>
                      <w:lang w:val="en-US" w:eastAsia="zh-CN"/>
                    </w:rPr>
                    <w:t>园区</w:t>
                  </w:r>
                  <w:r>
                    <w:rPr>
                      <w:rFonts w:hint="default" w:ascii="Times New Roman" w:hAnsi="Times New Roman" w:eastAsia="宋体" w:cs="Times New Roman"/>
                      <w:color w:val="auto"/>
                      <w:spacing w:val="0"/>
                      <w:sz w:val="21"/>
                      <w:szCs w:val="21"/>
                      <w:highlight w:val="none"/>
                      <w:lang w:eastAsia="zh-CN"/>
                    </w:rPr>
                    <w:t>供水管网</w:t>
                  </w:r>
                  <w:r>
                    <w:rPr>
                      <w:rFonts w:hint="default" w:ascii="Times New Roman" w:hAnsi="Times New Roman" w:eastAsia="宋体" w:cs="Times New Roman"/>
                      <w:color w:val="auto"/>
                      <w:spacing w:val="0"/>
                      <w:sz w:val="21"/>
                      <w:szCs w:val="21"/>
                      <w:highlight w:val="none"/>
                    </w:rPr>
                    <w:t>提供，不取用地下水</w:t>
                  </w:r>
                  <w:r>
                    <w:rPr>
                      <w:rFonts w:hint="eastAsia" w:cs="Times New Roman"/>
                      <w:color w:val="auto"/>
                      <w:spacing w:val="0"/>
                      <w:sz w:val="21"/>
                      <w:szCs w:val="21"/>
                      <w:highlight w:val="none"/>
                      <w:lang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3D2A42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C766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0D79B4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noWrap w:val="0"/>
                  <w:tcMar>
                    <w:top w:w="0" w:type="dxa"/>
                    <w:left w:w="28" w:type="dxa"/>
                    <w:bottom w:w="0" w:type="dxa"/>
                    <w:right w:w="28" w:type="dxa"/>
                  </w:tcMar>
                  <w:vAlign w:val="center"/>
                </w:tcPr>
                <w:p w14:paraId="171BB3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4709A2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TW" w:bidi="zh-TW"/>
                    </w:rPr>
                  </w:pPr>
                  <w:r>
                    <w:rPr>
                      <w:rFonts w:hint="default" w:ascii="Times New Roman" w:hAnsi="Times New Roman" w:eastAsia="宋体" w:cs="Times New Roman"/>
                      <w:color w:val="auto"/>
                      <w:spacing w:val="0"/>
                      <w:sz w:val="21"/>
                      <w:szCs w:val="21"/>
                      <w:highlight w:val="none"/>
                      <w:lang w:val="zh-TW" w:eastAsia="zh-TW" w:bidi="zh-TW"/>
                    </w:rPr>
                    <w:t>生态用水补给区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6A20FCD3">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1、在保障正常供水目标的前提下，相继为主要河流及湖泊湿地进行生态补水，加大水源涵养林修复提质力度，逐步恢复河湖水系、填补地下水亏空水量，增加地下水补给量，恢复地下水水位，改善和修复河流与湖泊湿地生态状况。加强引水管理，合理调度水资源，通过采取引水、补水、限制取水等措施，维持湖泊湿地合理水位。</w:t>
                  </w:r>
                </w:p>
                <w:p w14:paraId="42C51174">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2、探索建立河湖生态水量保障机制，进一步健全南水北调和重要跨界河流补水机制，加大河流湖库水连通工程建设力度，逐步恢复河流湖库生态功能。</w:t>
                  </w:r>
                </w:p>
              </w:tc>
              <w:tc>
                <w:tcPr>
                  <w:tcW w:w="845" w:type="pct"/>
                  <w:vMerge w:val="continue"/>
                  <w:noWrap w:val="0"/>
                  <w:tcMar>
                    <w:top w:w="0" w:type="dxa"/>
                    <w:left w:w="28" w:type="dxa"/>
                    <w:bottom w:w="0" w:type="dxa"/>
                    <w:right w:w="28" w:type="dxa"/>
                  </w:tcMar>
                  <w:vAlign w:val="center"/>
                </w:tcPr>
                <w:p w14:paraId="76933A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67475C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58B0E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vMerge w:val="continue"/>
                  <w:noWrap w:val="0"/>
                  <w:tcMar>
                    <w:top w:w="0" w:type="dxa"/>
                    <w:left w:w="28" w:type="dxa"/>
                    <w:bottom w:w="0" w:type="dxa"/>
                    <w:right w:w="28" w:type="dxa"/>
                  </w:tcMar>
                  <w:vAlign w:val="center"/>
                </w:tcPr>
                <w:p w14:paraId="53FDAEF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noWrap w:val="0"/>
                  <w:tcMar>
                    <w:top w:w="0" w:type="dxa"/>
                    <w:left w:w="28" w:type="dxa"/>
                    <w:bottom w:w="0" w:type="dxa"/>
                    <w:right w:w="28" w:type="dxa"/>
                  </w:tcMar>
                  <w:vAlign w:val="center"/>
                </w:tcPr>
                <w:p w14:paraId="6849AE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2D7D8D2A">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kern w:val="2"/>
                      <w:sz w:val="21"/>
                      <w:szCs w:val="21"/>
                      <w:highlight w:val="none"/>
                      <w:lang w:val="zh-TW" w:eastAsia="zh-TW" w:bidi="zh-TW"/>
                    </w:rPr>
                  </w:pPr>
                  <w:r>
                    <w:rPr>
                      <w:rFonts w:hint="default" w:ascii="Times New Roman" w:hAnsi="Times New Roman" w:eastAsia="宋体" w:cs="Times New Roman"/>
                      <w:color w:val="auto"/>
                      <w:spacing w:val="0"/>
                      <w:sz w:val="21"/>
                      <w:szCs w:val="21"/>
                      <w:highlight w:val="none"/>
                    </w:rPr>
                    <w:t>一般管控区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58A6FC57">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1、</w:t>
                  </w:r>
                  <w:r>
                    <w:rPr>
                      <w:rFonts w:hint="default" w:ascii="Times New Roman" w:hAnsi="Times New Roman" w:eastAsia="宋体" w:cs="Times New Roman"/>
                      <w:color w:val="auto"/>
                      <w:spacing w:val="0"/>
                      <w:sz w:val="21"/>
                      <w:szCs w:val="21"/>
                      <w:highlight w:val="none"/>
                    </w:rPr>
                    <w:t>严格执行</w:t>
                  </w:r>
                  <w:r>
                    <w:rPr>
                      <w:rFonts w:hint="default" w:ascii="Times New Roman" w:hAnsi="Times New Roman" w:eastAsia="宋体" w:cs="Times New Roman"/>
                      <w:color w:val="auto"/>
                      <w:spacing w:val="0"/>
                      <w:sz w:val="21"/>
                      <w:szCs w:val="21"/>
                      <w:highlight w:val="none"/>
                      <w:lang w:val="zh-CN" w:eastAsia="zh-CN"/>
                    </w:rPr>
                    <w:t>“最严</w:t>
                  </w:r>
                  <w:r>
                    <w:rPr>
                      <w:rFonts w:hint="default" w:ascii="Times New Roman" w:hAnsi="Times New Roman" w:eastAsia="宋体" w:cs="Times New Roman"/>
                      <w:color w:val="auto"/>
                      <w:spacing w:val="0"/>
                      <w:sz w:val="21"/>
                      <w:szCs w:val="21"/>
                      <w:highlight w:val="none"/>
                    </w:rPr>
                    <w:t>格水资源管理制度</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确定的用水总量控制指标，加强水资源取水论证，严格水资源总量考核管理，同时全面推进节水型社会建设，提高用水效率。</w:t>
                  </w:r>
                </w:p>
                <w:p w14:paraId="01642D29">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2、</w:t>
                  </w:r>
                  <w:r>
                    <w:rPr>
                      <w:rFonts w:hint="default" w:ascii="Times New Roman" w:hAnsi="Times New Roman" w:eastAsia="宋体" w:cs="Times New Roman"/>
                      <w:color w:val="auto"/>
                      <w:spacing w:val="0"/>
                      <w:sz w:val="21"/>
                      <w:szCs w:val="21"/>
                      <w:highlight w:val="none"/>
                    </w:rPr>
                    <w:t>地下水开采重点管控区外的地下水超采区按照《华北地区地下水超采综合治理行动方案》、《河北省人民政府关于公布地下水超采区、禁止开采区和限制开采区范围的通知》及《关于地下水超采综合治理实施意见》进行管控。</w:t>
                  </w:r>
                </w:p>
              </w:tc>
              <w:tc>
                <w:tcPr>
                  <w:tcW w:w="845" w:type="pct"/>
                  <w:vMerge w:val="continue"/>
                  <w:tcBorders>
                    <w:bottom w:val="single" w:color="auto" w:sz="4" w:space="0"/>
                  </w:tcBorders>
                  <w:noWrap w:val="0"/>
                  <w:tcMar>
                    <w:top w:w="0" w:type="dxa"/>
                    <w:left w:w="28" w:type="dxa"/>
                    <w:bottom w:w="0" w:type="dxa"/>
                    <w:right w:w="28" w:type="dxa"/>
                  </w:tcMar>
                  <w:vAlign w:val="center"/>
                </w:tcPr>
                <w:p w14:paraId="02C40A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441892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3E1E9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7066B6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restart"/>
                  <w:tcBorders>
                    <w:top w:val="single" w:color="auto" w:sz="4" w:space="0"/>
                  </w:tcBorders>
                  <w:noWrap w:val="0"/>
                  <w:tcMar>
                    <w:top w:w="0" w:type="dxa"/>
                    <w:left w:w="28" w:type="dxa"/>
                    <w:bottom w:w="0" w:type="dxa"/>
                    <w:right w:w="28" w:type="dxa"/>
                  </w:tcMar>
                  <w:vAlign w:val="center"/>
                </w:tcPr>
                <w:p w14:paraId="67933A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能源</w:t>
                  </w: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4E8069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TW" w:bidi="zh-TW"/>
                    </w:rPr>
                  </w:pPr>
                  <w:r>
                    <w:rPr>
                      <w:rFonts w:hint="default" w:ascii="Times New Roman" w:hAnsi="Times New Roman" w:eastAsia="宋体" w:cs="Times New Roman"/>
                      <w:color w:val="auto"/>
                      <w:spacing w:val="0"/>
                      <w:sz w:val="21"/>
                      <w:szCs w:val="21"/>
                      <w:highlight w:val="none"/>
                      <w:lang w:val="zh-TW" w:eastAsia="zh-TW" w:bidi="zh-TW"/>
                    </w:rPr>
                    <w:t>高污染燃料禁燃区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2BFC6EAC">
                  <w:pPr>
                    <w:pStyle w:val="229"/>
                    <w:keepNext w:val="0"/>
                    <w:keepLines w:val="0"/>
                    <w:pageBreakBefore w:val="0"/>
                    <w:suppressLineNumbers w:val="0"/>
                    <w:tabs>
                      <w:tab w:val="left" w:pos="264"/>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1、</w:t>
                  </w:r>
                  <w:r>
                    <w:rPr>
                      <w:rFonts w:hint="default" w:ascii="Times New Roman" w:hAnsi="Times New Roman" w:eastAsia="宋体" w:cs="Times New Roman"/>
                      <w:color w:val="auto"/>
                      <w:spacing w:val="0"/>
                      <w:sz w:val="21"/>
                      <w:szCs w:val="21"/>
                      <w:highlight w:val="none"/>
                    </w:rPr>
                    <w:t>在充分落实全市能源高效利用管控要求的前提下，高污染燃料禁燃区内任何单位不得新建、扩建高污染燃料燃用设施，不得将其他燃料燃用设施改造为高污染燃料燃用设施。高污染燃料销售单位应按照要求逐步取消禁燃区内的销售网点。</w:t>
                  </w:r>
                </w:p>
                <w:p w14:paraId="18FF888E">
                  <w:pPr>
                    <w:pStyle w:val="229"/>
                    <w:keepNext w:val="0"/>
                    <w:keepLines w:val="0"/>
                    <w:pageBreakBefore w:val="0"/>
                    <w:suppressLineNumbers w:val="0"/>
                    <w:tabs>
                      <w:tab w:val="left" w:pos="264"/>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2、</w:t>
                  </w:r>
                  <w:r>
                    <w:rPr>
                      <w:rFonts w:hint="default" w:ascii="Times New Roman" w:hAnsi="Times New Roman" w:eastAsia="宋体" w:cs="Times New Roman"/>
                      <w:color w:val="auto"/>
                      <w:spacing w:val="0"/>
                      <w:sz w:val="21"/>
                      <w:szCs w:val="21"/>
                      <w:highlight w:val="none"/>
                    </w:rPr>
                    <w:t>禁燃区内禁止使用原（散）煤、煤砰石、粉煤、煤泥、燃料油（煤焦油、重油和渣油等）、各种可燃废物和直接燃用的生物质燃料、不符合标准的洁净颗粒型煤以及其他国家规定的高污染燃料。</w:t>
                  </w:r>
                </w:p>
                <w:p w14:paraId="147CAAC6">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3、</w:t>
                  </w:r>
                  <w:r>
                    <w:rPr>
                      <w:rFonts w:hint="default" w:ascii="Times New Roman" w:hAnsi="Times New Roman" w:eastAsia="宋体" w:cs="Times New Roman"/>
                      <w:color w:val="auto"/>
                      <w:spacing w:val="0"/>
                      <w:sz w:val="21"/>
                      <w:szCs w:val="21"/>
                      <w:highlight w:val="none"/>
                    </w:rPr>
                    <w:t>在完成供热替代后，禁煤区燃煤发电企业逐步关停。</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77240AC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项目位于石家庄市矿区工业园区石钢片区，不在</w:t>
                  </w:r>
                  <w:r>
                    <w:rPr>
                      <w:rFonts w:hint="default" w:ascii="Times New Roman" w:hAnsi="Times New Roman" w:eastAsia="宋体" w:cs="Times New Roman"/>
                      <w:color w:val="auto"/>
                      <w:spacing w:val="0"/>
                      <w:sz w:val="21"/>
                      <w:szCs w:val="21"/>
                      <w:highlight w:val="none"/>
                      <w:lang w:val="zh-TW" w:eastAsia="zh-TW" w:bidi="zh-TW"/>
                    </w:rPr>
                    <w:t>高污染燃料禁燃区</w:t>
                  </w:r>
                  <w:r>
                    <w:rPr>
                      <w:rFonts w:hint="eastAsia" w:cs="Times New Roman"/>
                      <w:color w:val="auto"/>
                      <w:spacing w:val="0"/>
                      <w:sz w:val="21"/>
                      <w:szCs w:val="21"/>
                      <w:highlight w:val="none"/>
                      <w:lang w:val="zh-TW" w:eastAsia="zh-CN" w:bidi="zh-TW"/>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0EEB9C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042AE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vMerge w:val="continue"/>
                  <w:noWrap w:val="0"/>
                  <w:tcMar>
                    <w:top w:w="0" w:type="dxa"/>
                    <w:left w:w="28" w:type="dxa"/>
                    <w:bottom w:w="0" w:type="dxa"/>
                    <w:right w:w="28" w:type="dxa"/>
                  </w:tcMar>
                  <w:vAlign w:val="center"/>
                </w:tcPr>
                <w:p w14:paraId="4F91D2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p>
              </w:tc>
              <w:tc>
                <w:tcPr>
                  <w:tcW w:w="207" w:type="pct"/>
                  <w:vMerge w:val="continue"/>
                  <w:tcBorders>
                    <w:bottom w:val="single" w:color="auto" w:sz="4" w:space="0"/>
                  </w:tcBorders>
                  <w:noWrap w:val="0"/>
                  <w:tcMar>
                    <w:top w:w="0" w:type="dxa"/>
                    <w:left w:w="28" w:type="dxa"/>
                    <w:bottom w:w="0" w:type="dxa"/>
                    <w:right w:w="28" w:type="dxa"/>
                  </w:tcMar>
                  <w:vAlign w:val="center"/>
                </w:tcPr>
                <w:p w14:paraId="35A073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rPr>
                  </w:pPr>
                </w:p>
              </w:tc>
              <w:tc>
                <w:tcPr>
                  <w:tcW w:w="386" w:type="pct"/>
                  <w:gridSpan w:val="2"/>
                  <w:tcBorders>
                    <w:top w:val="single" w:color="auto" w:sz="4" w:space="0"/>
                    <w:bottom w:val="single" w:color="auto" w:sz="4" w:space="0"/>
                  </w:tcBorders>
                  <w:noWrap w:val="0"/>
                  <w:tcMar>
                    <w:top w:w="0" w:type="dxa"/>
                    <w:left w:w="28" w:type="dxa"/>
                    <w:bottom w:w="0" w:type="dxa"/>
                    <w:right w:w="28" w:type="dxa"/>
                  </w:tcMar>
                  <w:vAlign w:val="center"/>
                </w:tcPr>
                <w:p w14:paraId="1CC546D8">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kern w:val="2"/>
                      <w:sz w:val="21"/>
                      <w:szCs w:val="21"/>
                      <w:highlight w:val="none"/>
                      <w:lang w:val="zh-TW" w:eastAsia="zh-TW" w:bidi="zh-TW"/>
                    </w:rPr>
                  </w:pPr>
                  <w:r>
                    <w:rPr>
                      <w:rFonts w:hint="default" w:ascii="Times New Roman" w:hAnsi="Times New Roman" w:eastAsia="宋体" w:cs="Times New Roman"/>
                      <w:color w:val="auto"/>
                      <w:spacing w:val="0"/>
                      <w:sz w:val="21"/>
                      <w:szCs w:val="21"/>
                      <w:highlight w:val="none"/>
                    </w:rPr>
                    <w:t>一般管控区</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421916F6">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1、</w:t>
                  </w:r>
                  <w:r>
                    <w:rPr>
                      <w:rFonts w:hint="default" w:ascii="Times New Roman" w:hAnsi="Times New Roman" w:eastAsia="宋体" w:cs="Times New Roman"/>
                      <w:color w:val="auto"/>
                      <w:spacing w:val="0"/>
                      <w:sz w:val="21"/>
                      <w:szCs w:val="21"/>
                      <w:highlight w:val="none"/>
                      <w:lang w:eastAsia="zh-CN"/>
                    </w:rPr>
                    <w:t>强</w:t>
                  </w:r>
                  <w:r>
                    <w:rPr>
                      <w:rFonts w:hint="default" w:ascii="Times New Roman" w:hAnsi="Times New Roman" w:eastAsia="宋体" w:cs="Times New Roman"/>
                      <w:color w:val="auto"/>
                      <w:spacing w:val="0"/>
                      <w:sz w:val="21"/>
                      <w:szCs w:val="21"/>
                      <w:highlight w:val="none"/>
                    </w:rPr>
                    <w:t>化能源消费约束，严格实施能源消费总量和强度</w:t>
                  </w:r>
                  <w:r>
                    <w:rPr>
                      <w:rFonts w:hint="default" w:ascii="Times New Roman" w:hAnsi="Times New Roman" w:eastAsia="宋体" w:cs="Times New Roman"/>
                      <w:color w:val="auto"/>
                      <w:spacing w:val="0"/>
                      <w:sz w:val="21"/>
                      <w:szCs w:val="21"/>
                      <w:highlight w:val="none"/>
                      <w:lang w:val="zh-CN" w:eastAsia="zh-CN"/>
                    </w:rPr>
                    <w:t>“双</w:t>
                  </w:r>
                  <w:r>
                    <w:rPr>
                      <w:rFonts w:hint="default" w:ascii="Times New Roman" w:hAnsi="Times New Roman" w:eastAsia="宋体" w:cs="Times New Roman"/>
                      <w:color w:val="auto"/>
                      <w:spacing w:val="0"/>
                      <w:sz w:val="21"/>
                      <w:szCs w:val="21"/>
                      <w:highlight w:val="none"/>
                    </w:rPr>
                    <w:t>控</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。从工艺技术、主要用能设备、节能措施等方面切实加强项目单耗先进性审查，新建高能耗项目单位产品（产值）能耗达到国际先进水平，用能设备达到国家一级能效标准。</w:t>
                  </w:r>
                </w:p>
                <w:p w14:paraId="0A0CD5AC">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2、</w:t>
                  </w:r>
                  <w:r>
                    <w:rPr>
                      <w:rFonts w:hint="default" w:ascii="Times New Roman" w:hAnsi="Times New Roman" w:eastAsia="宋体" w:cs="Times New Roman"/>
                      <w:color w:val="auto"/>
                      <w:spacing w:val="0"/>
                      <w:sz w:val="21"/>
                      <w:szCs w:val="21"/>
                      <w:highlight w:val="none"/>
                    </w:rPr>
                    <w:t>以工业、建筑和交通运输领域为重点，深入推进技术节能和管理节能。推进农业和农村节能，强化商用和民用节能，实施公共机构节能。完善节能措施引导，完善峰谷电价、阶梯气价等价格政策等。</w:t>
                  </w:r>
                </w:p>
                <w:p w14:paraId="75AA2AC1">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3、</w:t>
                  </w:r>
                  <w:r>
                    <w:rPr>
                      <w:rFonts w:hint="default" w:ascii="Times New Roman" w:hAnsi="Times New Roman" w:eastAsia="宋体" w:cs="Times New Roman"/>
                      <w:color w:val="auto"/>
                      <w:spacing w:val="0"/>
                      <w:sz w:val="21"/>
                      <w:szCs w:val="21"/>
                      <w:highlight w:val="none"/>
                    </w:rPr>
                    <w:t>控制煤炭消费总量，加快产业结构向高新高端产业转变，推进钢铁、水泥等重点行业去产能。大力实施散煤替代。</w:t>
                  </w:r>
                </w:p>
                <w:p w14:paraId="5E3456C4">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zh-TW"/>
                    </w:rPr>
                  </w:pPr>
                  <w:r>
                    <w:rPr>
                      <w:rFonts w:hint="default" w:ascii="Times New Roman" w:hAnsi="Times New Roman" w:eastAsia="宋体" w:cs="Times New Roman"/>
                      <w:color w:val="auto"/>
                      <w:spacing w:val="0"/>
                      <w:sz w:val="21"/>
                      <w:szCs w:val="21"/>
                      <w:highlight w:val="none"/>
                      <w:lang w:val="en-US" w:eastAsia="zh-CN"/>
                    </w:rPr>
                    <w:t>4、</w:t>
                  </w:r>
                  <w:r>
                    <w:rPr>
                      <w:rFonts w:hint="default" w:ascii="Times New Roman" w:hAnsi="Times New Roman" w:eastAsia="宋体" w:cs="Times New Roman"/>
                      <w:color w:val="auto"/>
                      <w:spacing w:val="0"/>
                      <w:sz w:val="21"/>
                      <w:szCs w:val="21"/>
                      <w:highlight w:val="none"/>
                    </w:rPr>
                    <w:t>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09E41E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rPr>
                    <w:t>项目位于石家庄市矿区工业园区石钢片区，</w:t>
                  </w:r>
                  <w:r>
                    <w:rPr>
                      <w:rFonts w:hint="default" w:ascii="Times New Roman" w:hAnsi="Times New Roman" w:eastAsia="宋体" w:cs="Times New Roman"/>
                      <w:color w:val="auto"/>
                      <w:spacing w:val="0"/>
                      <w:kern w:val="0"/>
                      <w:sz w:val="21"/>
                      <w:szCs w:val="21"/>
                      <w:highlight w:val="none"/>
                      <w:lang w:bidi="ar"/>
                    </w:rPr>
                    <w:t>属于</w:t>
                  </w:r>
                  <w:r>
                    <w:rPr>
                      <w:rFonts w:hint="eastAsia" w:ascii="Times New Roman" w:hAnsi="Times New Roman" w:eastAsia="宋体" w:cs="Times New Roman"/>
                      <w:color w:val="auto"/>
                      <w:spacing w:val="0"/>
                      <w:kern w:val="0"/>
                      <w:sz w:val="21"/>
                      <w:szCs w:val="21"/>
                      <w:highlight w:val="none"/>
                      <w:lang w:val="en-US" w:eastAsia="zh-CN" w:bidi="ar"/>
                    </w:rPr>
                    <w:t>黑色金属铸造</w:t>
                  </w:r>
                  <w:r>
                    <w:rPr>
                      <w:rFonts w:hint="default" w:ascii="Times New Roman" w:hAnsi="Times New Roman" w:eastAsia="宋体" w:cs="Times New Roman"/>
                      <w:color w:val="auto"/>
                      <w:spacing w:val="0"/>
                      <w:sz w:val="21"/>
                      <w:szCs w:val="21"/>
                      <w:highlight w:val="none"/>
                    </w:rPr>
                    <w:t>，项目用电由</w:t>
                  </w:r>
                  <w:r>
                    <w:rPr>
                      <w:rFonts w:hint="eastAsia" w:ascii="Times New Roman" w:hAnsi="Times New Roman" w:eastAsia="宋体" w:cs="Times New Roman"/>
                      <w:color w:val="auto"/>
                      <w:spacing w:val="0"/>
                      <w:sz w:val="21"/>
                      <w:szCs w:val="21"/>
                      <w:highlight w:val="none"/>
                      <w:lang w:val="en-US" w:eastAsia="zh-CN"/>
                    </w:rPr>
                    <w:t>当地</w:t>
                  </w:r>
                  <w:r>
                    <w:rPr>
                      <w:rFonts w:hint="default" w:ascii="Times New Roman" w:hAnsi="Times New Roman" w:eastAsia="宋体" w:cs="Times New Roman"/>
                      <w:color w:val="auto"/>
                      <w:spacing w:val="0"/>
                      <w:sz w:val="21"/>
                      <w:szCs w:val="21"/>
                      <w:highlight w:val="none"/>
                    </w:rPr>
                    <w:t>供电电网提供</w:t>
                  </w:r>
                  <w:r>
                    <w:rPr>
                      <w:rFonts w:hint="eastAsia" w:ascii="Times New Roman" w:hAnsi="Times New Roman" w:eastAsia="宋体" w:cs="Times New Roman"/>
                      <w:color w:val="auto"/>
                      <w:spacing w:val="0"/>
                      <w:sz w:val="21"/>
                      <w:szCs w:val="21"/>
                      <w:highlight w:val="none"/>
                      <w:lang w:eastAsia="zh-CN"/>
                    </w:rPr>
                    <w:t>；</w:t>
                  </w:r>
                  <w:r>
                    <w:rPr>
                      <w:rFonts w:hint="eastAsia" w:ascii="Times New Roman" w:hAnsi="Times New Roman" w:eastAsia="宋体" w:cs="Times New Roman"/>
                      <w:color w:val="auto"/>
                      <w:spacing w:val="0"/>
                      <w:sz w:val="21"/>
                      <w:szCs w:val="21"/>
                      <w:highlight w:val="none"/>
                      <w:lang w:val="en-US" w:eastAsia="zh-CN"/>
                    </w:rPr>
                    <w:t>不涉及</w:t>
                  </w:r>
                  <w:r>
                    <w:rPr>
                      <w:rFonts w:hint="eastAsia" w:cs="Times New Roman"/>
                      <w:color w:val="auto"/>
                      <w:spacing w:val="0"/>
                      <w:sz w:val="21"/>
                      <w:szCs w:val="21"/>
                      <w:highlight w:val="none"/>
                      <w:lang w:val="en-US" w:eastAsia="zh-CN"/>
                    </w:rPr>
                    <w:t>燃烧</w:t>
                  </w:r>
                  <w:r>
                    <w:rPr>
                      <w:rFonts w:hint="eastAsia" w:ascii="Times New Roman" w:hAnsi="Times New Roman" w:eastAsia="宋体" w:cs="Times New Roman"/>
                      <w:color w:val="auto"/>
                      <w:spacing w:val="0"/>
                      <w:sz w:val="21"/>
                      <w:szCs w:val="21"/>
                      <w:highlight w:val="none"/>
                      <w:lang w:val="en-US" w:eastAsia="zh-CN"/>
                    </w:rPr>
                    <w:t>天然气、煤炭等</w:t>
                  </w:r>
                  <w:r>
                    <w:rPr>
                      <w:rFonts w:hint="eastAsia" w:cs="Times New Roman"/>
                      <w:color w:val="auto"/>
                      <w:spacing w:val="0"/>
                      <w:sz w:val="21"/>
                      <w:szCs w:val="21"/>
                      <w:highlight w:val="none"/>
                      <w:lang w:val="en-US" w:eastAsia="zh-CN"/>
                    </w:rPr>
                    <w:t>。</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0D454A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r w14:paraId="10BA4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89" w:type="pct"/>
                  <w:noWrap w:val="0"/>
                  <w:tcMar>
                    <w:top w:w="0" w:type="dxa"/>
                    <w:left w:w="28" w:type="dxa"/>
                    <w:bottom w:w="0" w:type="dxa"/>
                    <w:right w:w="28" w:type="dxa"/>
                  </w:tcMar>
                  <w:vAlign w:val="center"/>
                </w:tcPr>
                <w:p w14:paraId="5EA46B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相关要求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651757D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分类</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2BC4693E">
                  <w:pPr>
                    <w:pStyle w:val="229"/>
                    <w:keepNext w:val="0"/>
                    <w:keepLines w:val="0"/>
                    <w:pageBreakBefore w:val="0"/>
                    <w:suppressLineNumbers w:val="0"/>
                    <w:tabs>
                      <w:tab w:val="left" w:pos="202"/>
                    </w:tabs>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default" w:ascii="Times New Roman" w:hAnsi="Times New Roman" w:eastAsia="宋体" w:cs="Times New Roman"/>
                      <w:b/>
                      <w:bCs/>
                      <w:color w:val="auto"/>
                      <w:spacing w:val="0"/>
                      <w:sz w:val="21"/>
                      <w:szCs w:val="21"/>
                      <w:highlight w:val="none"/>
                      <w:lang w:val="en-US" w:eastAsia="zh-CN" w:bidi="ar-SA"/>
                    </w:rPr>
                  </w:pPr>
                  <w:r>
                    <w:rPr>
                      <w:rFonts w:hint="default" w:ascii="Times New Roman" w:hAnsi="Times New Roman" w:eastAsia="宋体" w:cs="Times New Roman"/>
                      <w:b/>
                      <w:bCs/>
                      <w:color w:val="auto"/>
                      <w:spacing w:val="0"/>
                      <w:sz w:val="21"/>
                      <w:szCs w:val="21"/>
                      <w:highlight w:val="none"/>
                      <w:lang w:val="en-US" w:eastAsia="zh-CN" w:bidi="ar-SA"/>
                    </w:rPr>
                    <w:t>管控要求</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348B10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kern w:val="0"/>
                      <w:sz w:val="21"/>
                      <w:szCs w:val="21"/>
                      <w:highlight w:val="none"/>
                      <w:lang w:bidi="ar"/>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1B70A3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kern w:val="0"/>
                      <w:sz w:val="21"/>
                      <w:szCs w:val="21"/>
                      <w:highlight w:val="none"/>
                      <w:lang w:bidi="ar"/>
                    </w:rPr>
                    <w:t>对比结果</w:t>
                  </w:r>
                </w:p>
              </w:tc>
            </w:tr>
            <w:tr w14:paraId="0E0F7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389" w:type="pct"/>
                  <w:noWrap w:val="0"/>
                  <w:tcMar>
                    <w:top w:w="0" w:type="dxa"/>
                    <w:left w:w="28" w:type="dxa"/>
                    <w:bottom w:w="0" w:type="dxa"/>
                    <w:right w:w="28" w:type="dxa"/>
                  </w:tcMar>
                  <w:vAlign w:val="center"/>
                </w:tcPr>
                <w:p w14:paraId="395468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全市产业布局总体管控要求</w:t>
                  </w:r>
                </w:p>
              </w:tc>
              <w:tc>
                <w:tcPr>
                  <w:tcW w:w="593" w:type="pct"/>
                  <w:gridSpan w:val="3"/>
                  <w:tcBorders>
                    <w:top w:val="single" w:color="auto" w:sz="4" w:space="0"/>
                    <w:bottom w:val="single" w:color="auto" w:sz="4" w:space="0"/>
                  </w:tcBorders>
                  <w:noWrap w:val="0"/>
                  <w:tcMar>
                    <w:top w:w="0" w:type="dxa"/>
                    <w:left w:w="28" w:type="dxa"/>
                    <w:bottom w:w="0" w:type="dxa"/>
                    <w:right w:w="28" w:type="dxa"/>
                  </w:tcMar>
                  <w:vAlign w:val="center"/>
                </w:tcPr>
                <w:p w14:paraId="380D089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2"/>
                      <w:sz w:val="21"/>
                      <w:szCs w:val="21"/>
                      <w:highlight w:val="none"/>
                      <w:lang w:val="zh-TW" w:eastAsia="zh-CN" w:bidi="zh-TW"/>
                    </w:rPr>
                  </w:pPr>
                  <w:r>
                    <w:rPr>
                      <w:rFonts w:hint="default" w:ascii="Times New Roman" w:hAnsi="Times New Roman" w:eastAsia="宋体" w:cs="Times New Roman"/>
                      <w:color w:val="auto"/>
                      <w:spacing w:val="0"/>
                      <w:sz w:val="21"/>
                      <w:szCs w:val="21"/>
                      <w:highlight w:val="none"/>
                      <w:lang w:val="zh-TW" w:eastAsia="zh-TW" w:bidi="zh-TW"/>
                    </w:rPr>
                    <w:t>产业总体布局要求</w:t>
                  </w:r>
                </w:p>
              </w:tc>
              <w:tc>
                <w:tcPr>
                  <w:tcW w:w="2800" w:type="pct"/>
                  <w:tcBorders>
                    <w:top w:val="single" w:color="auto" w:sz="4" w:space="0"/>
                    <w:bottom w:val="single" w:color="auto" w:sz="4" w:space="0"/>
                  </w:tcBorders>
                  <w:noWrap w:val="0"/>
                  <w:tcMar>
                    <w:top w:w="0" w:type="dxa"/>
                    <w:left w:w="28" w:type="dxa"/>
                    <w:bottom w:w="0" w:type="dxa"/>
                    <w:right w:w="28" w:type="dxa"/>
                  </w:tcMar>
                  <w:vAlign w:val="center"/>
                </w:tcPr>
                <w:p w14:paraId="1D0AF94F">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1、严格建设项目环境准入，新、改、扩建项目的环境影响评价应满足区域、规划环评要求。</w:t>
                  </w:r>
                </w:p>
                <w:p w14:paraId="38983A51">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2、新建、改建、扩建用煤项目，应当实行煤炭的等量或者减量替代。</w:t>
                  </w:r>
                </w:p>
                <w:p w14:paraId="3975A2B2">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3、严格执行国家《产业结构调整指导目录》、《市场准入负面清单》以及《河北省禁止投资的产业目录》中准入要求。</w:t>
                  </w:r>
                </w:p>
                <w:p w14:paraId="3FB6F2DE">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4、严格控制《环境保护综合名录》中“高污染、高环境风险”产品加工项目，城市工业企业退城搬迁改造及产能置换项目除外。</w:t>
                  </w:r>
                </w:p>
                <w:p w14:paraId="3F189647">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5、新建项目一律不得违规占用河库管理范围。</w:t>
                  </w:r>
                </w:p>
                <w:p w14:paraId="606EC99A">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6、以石化、化工、涂装、医药、包装印刷、油品储运销等行业领域为重点，安全高效推进挥发性有机物(VOCs)综合治理，实施原辅材料和产品源头替代、无组织排放和末端深度治理等提升改造工程。</w:t>
                  </w:r>
                </w:p>
                <w:p w14:paraId="7779FAF0">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7、锅炉大气污染物排放控制要求、污染物监测要求、达标判定要求按照河北省地标《锅炉大气污染物排放标准》(DB13/5161-2020)执行。</w:t>
                  </w:r>
                </w:p>
                <w:p w14:paraId="56AA7619">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8、禁止在居民区和学校、医院、疗养院、养老院等单位周边新建、改建、扩建有色金属冶炼、石油加工、焦化、化工、电镀、制革等可能造成土壤污染的建设项目。</w:t>
                  </w:r>
                </w:p>
                <w:p w14:paraId="214AE82E">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9、在地下水超采区控制高耗水产业发展。</w:t>
                  </w:r>
                </w:p>
                <w:p w14:paraId="29136078">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10、涉重金属重点行业企业“十四五”期间依法依规至少开展一轮强制性清洁生产审核，到2025年底，涉重金属重点行业企业基本达到国内清洁生产先进水平。</w:t>
                  </w:r>
                </w:p>
                <w:p w14:paraId="4BCC7C39">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11、按照《关于进一步加强塑料污染治理的实施方案》要求，石家庄城市建成区和重点领域禁止、限制部分塑料制品的生产、销售和使用。</w:t>
                  </w:r>
                </w:p>
                <w:p w14:paraId="62F545FE">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w:t>
                  </w:r>
                </w:p>
                <w:p w14:paraId="0CB79FDE">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食品等重点行业强制性清洁生产审核。</w:t>
                  </w:r>
                </w:p>
                <w:p w14:paraId="1D08D40D">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14:paraId="54A93C7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pacing w:val="0"/>
                      <w:kern w:val="2"/>
                      <w:sz w:val="21"/>
                      <w:szCs w:val="21"/>
                      <w:highlight w:val="none"/>
                      <w:lang w:val="en-US" w:eastAsia="zh-CN" w:bidi="zh-TW"/>
                    </w:rPr>
                  </w:pPr>
                  <w:r>
                    <w:rPr>
                      <w:rFonts w:hint="eastAsia" w:ascii="宋体" w:hAnsi="宋体" w:eastAsia="宋体" w:cs="宋体"/>
                      <w:color w:val="000000"/>
                      <w:kern w:val="0"/>
                      <w:sz w:val="21"/>
                      <w:szCs w:val="21"/>
                      <w:highlight w:val="none"/>
                      <w:lang w:val="en-US" w:eastAsia="zh-CN" w:bidi="ar"/>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845" w:type="pct"/>
                  <w:tcBorders>
                    <w:top w:val="single" w:color="auto" w:sz="4" w:space="0"/>
                    <w:bottom w:val="single" w:color="auto" w:sz="4" w:space="0"/>
                  </w:tcBorders>
                  <w:noWrap w:val="0"/>
                  <w:tcMar>
                    <w:top w:w="0" w:type="dxa"/>
                    <w:left w:w="28" w:type="dxa"/>
                    <w:bottom w:w="0" w:type="dxa"/>
                    <w:right w:w="28" w:type="dxa"/>
                  </w:tcMar>
                  <w:vAlign w:val="center"/>
                </w:tcPr>
                <w:p w14:paraId="58DDD6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kern w:val="0"/>
                      <w:sz w:val="21"/>
                      <w:szCs w:val="21"/>
                      <w:highlight w:val="none"/>
                      <w:lang w:val="en-US" w:eastAsia="zh-CN" w:bidi="ar"/>
                    </w:rPr>
                  </w:pPr>
                  <w:r>
                    <w:rPr>
                      <w:rFonts w:hint="eastAsia" w:ascii="Times New Roman" w:hAnsi="Times New Roman" w:eastAsia="宋体" w:cs="Times New Roman"/>
                      <w:color w:val="auto"/>
                      <w:spacing w:val="0"/>
                      <w:kern w:val="0"/>
                      <w:sz w:val="21"/>
                      <w:szCs w:val="21"/>
                      <w:highlight w:val="none"/>
                      <w:lang w:val="en-US" w:eastAsia="zh-CN" w:bidi="ar"/>
                    </w:rPr>
                    <w:t>1、根据上文分析，本项目满足规划环评要求；</w:t>
                  </w:r>
                </w:p>
                <w:p w14:paraId="17F2BF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Times New Roman" w:hAnsi="Times New Roman" w:eastAsia="宋体" w:cs="Times New Roman"/>
                      <w:color w:val="auto"/>
                      <w:spacing w:val="0"/>
                      <w:kern w:val="0"/>
                      <w:sz w:val="21"/>
                      <w:szCs w:val="21"/>
                      <w:highlight w:val="none"/>
                      <w:lang w:val="en-US" w:eastAsia="zh-CN" w:bidi="ar"/>
                    </w:rPr>
                  </w:pPr>
                  <w:r>
                    <w:rPr>
                      <w:rFonts w:hint="eastAsia" w:ascii="Times New Roman" w:hAnsi="Times New Roman" w:eastAsia="宋体" w:cs="Times New Roman"/>
                      <w:color w:val="auto"/>
                      <w:spacing w:val="0"/>
                      <w:kern w:val="0"/>
                      <w:sz w:val="21"/>
                      <w:szCs w:val="21"/>
                      <w:highlight w:val="none"/>
                      <w:lang w:val="en-US" w:eastAsia="zh-CN" w:bidi="ar"/>
                    </w:rPr>
                    <w:t>2、本项目不涉及燃煤；</w:t>
                  </w:r>
                </w:p>
                <w:p w14:paraId="6439802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000000"/>
                      <w:kern w:val="0"/>
                      <w:sz w:val="21"/>
                      <w:szCs w:val="21"/>
                      <w:highlight w:val="none"/>
                      <w:lang w:val="en-US" w:eastAsia="zh-CN" w:bidi="ar"/>
                    </w:rPr>
                  </w:pPr>
                  <w:r>
                    <w:rPr>
                      <w:rFonts w:hint="eastAsia" w:ascii="Times New Roman" w:hAnsi="Times New Roman" w:eastAsia="宋体" w:cs="Times New Roman"/>
                      <w:color w:val="auto"/>
                      <w:spacing w:val="0"/>
                      <w:kern w:val="0"/>
                      <w:sz w:val="21"/>
                      <w:szCs w:val="21"/>
                      <w:highlight w:val="none"/>
                      <w:lang w:val="en-US" w:eastAsia="zh-CN" w:bidi="ar"/>
                    </w:rPr>
                    <w:t>3、本项目符合</w:t>
                  </w:r>
                  <w:r>
                    <w:rPr>
                      <w:rFonts w:hint="eastAsia" w:ascii="宋体" w:hAnsi="宋体" w:eastAsia="宋体" w:cs="宋体"/>
                      <w:color w:val="000000"/>
                      <w:kern w:val="0"/>
                      <w:sz w:val="21"/>
                      <w:szCs w:val="21"/>
                      <w:highlight w:val="none"/>
                      <w:lang w:val="en-US" w:eastAsia="zh-CN" w:bidi="ar"/>
                    </w:rPr>
                    <w:t>《</w:t>
                  </w:r>
                  <w:r>
                    <w:rPr>
                      <w:rFonts w:hint="default" w:ascii="Times New Roman" w:hAnsi="Times New Roman" w:eastAsia="宋体" w:cs="Times New Roman"/>
                      <w:color w:val="000000"/>
                      <w:kern w:val="0"/>
                      <w:sz w:val="21"/>
                      <w:szCs w:val="21"/>
                      <w:highlight w:val="none"/>
                      <w:lang w:val="en-US" w:eastAsia="zh-CN" w:bidi="ar"/>
                    </w:rPr>
                    <w:t>产业结构调整指导目录》（2024版）、《市场准入负面清单》（2025版）；</w:t>
                  </w:r>
                </w:p>
                <w:p w14:paraId="3C191C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4、不涉及</w:t>
                  </w:r>
                  <w:r>
                    <w:rPr>
                      <w:rFonts w:hint="eastAsia" w:ascii="宋体" w:hAnsi="宋体" w:eastAsia="宋体" w:cs="宋体"/>
                      <w:color w:val="000000"/>
                      <w:kern w:val="0"/>
                      <w:sz w:val="21"/>
                      <w:szCs w:val="21"/>
                      <w:highlight w:val="none"/>
                      <w:lang w:val="en-US" w:eastAsia="zh-CN" w:bidi="ar"/>
                    </w:rPr>
                    <w:t>；</w:t>
                  </w:r>
                </w:p>
                <w:p w14:paraId="4A2E26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5、不涉及；</w:t>
                  </w:r>
                </w:p>
                <w:p w14:paraId="539B5F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6、本项目属于黑色金属铸造行业，不属于石化、化工、涂装、医药、包装印刷、油品储运销等行业；</w:t>
                  </w:r>
                </w:p>
                <w:p w14:paraId="68E2A7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7、不涉及；</w:t>
                  </w:r>
                </w:p>
                <w:p w14:paraId="6AF83E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8、不涉及；</w:t>
                  </w:r>
                </w:p>
                <w:p w14:paraId="4D7E32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9、本项目不采地下水；</w:t>
                  </w:r>
                </w:p>
                <w:p w14:paraId="259B15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10、不涉及；</w:t>
                  </w:r>
                </w:p>
                <w:p w14:paraId="15B088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11、不涉及；</w:t>
                  </w:r>
                </w:p>
                <w:p w14:paraId="287128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12、不涉及；</w:t>
                  </w:r>
                </w:p>
                <w:p w14:paraId="55D042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13、本项目不属于两高项目；</w:t>
                  </w:r>
                </w:p>
                <w:p w14:paraId="73581BE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val="en-US" w:eastAsia="zh-CN" w:bidi="ar"/>
                    </w:rPr>
                    <w:t>14、本项目位于河北石家庄矿区工业园区石钢片区，该园区规划环评已完成审批。</w:t>
                  </w:r>
                </w:p>
              </w:tc>
              <w:tc>
                <w:tcPr>
                  <w:tcW w:w="371" w:type="pct"/>
                  <w:tcBorders>
                    <w:top w:val="single" w:color="auto" w:sz="4" w:space="0"/>
                    <w:bottom w:val="single" w:color="auto" w:sz="4" w:space="0"/>
                    <w:right w:val="single" w:color="auto" w:sz="4" w:space="0"/>
                  </w:tcBorders>
                  <w:noWrap w:val="0"/>
                  <w:tcMar>
                    <w:top w:w="0" w:type="dxa"/>
                    <w:left w:w="28" w:type="dxa"/>
                    <w:bottom w:w="0" w:type="dxa"/>
                    <w:right w:w="28" w:type="dxa"/>
                  </w:tcMar>
                  <w:vAlign w:val="center"/>
                </w:tcPr>
                <w:p w14:paraId="551362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default" w:ascii="Times New Roman" w:hAnsi="Times New Roman" w:eastAsia="宋体" w:cs="Times New Roman"/>
                      <w:color w:val="auto"/>
                      <w:spacing w:val="0"/>
                      <w:kern w:val="0"/>
                      <w:sz w:val="21"/>
                      <w:szCs w:val="21"/>
                      <w:highlight w:val="none"/>
                      <w:lang w:bidi="ar"/>
                    </w:rPr>
                  </w:pPr>
                  <w:r>
                    <w:rPr>
                      <w:rFonts w:hint="default" w:ascii="Times New Roman" w:hAnsi="Times New Roman" w:eastAsia="宋体" w:cs="Times New Roman"/>
                      <w:color w:val="auto"/>
                      <w:spacing w:val="0"/>
                      <w:kern w:val="0"/>
                      <w:sz w:val="21"/>
                      <w:szCs w:val="21"/>
                      <w:highlight w:val="none"/>
                      <w:lang w:bidi="ar"/>
                    </w:rPr>
                    <w:t>符合</w:t>
                  </w:r>
                </w:p>
              </w:tc>
            </w:tr>
          </w:tbl>
          <w:p w14:paraId="5C3B3A08">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pacing w:val="0"/>
                <w:sz w:val="24"/>
                <w:szCs w:val="20"/>
                <w:highlight w:val="none"/>
                <w:lang w:bidi="ar"/>
              </w:rPr>
            </w:pPr>
            <w:r>
              <w:rPr>
                <w:rFonts w:hint="default" w:ascii="Times New Roman" w:hAnsi="Times New Roman" w:cs="Times New Roman"/>
                <w:color w:val="auto"/>
                <w:spacing w:val="0"/>
                <w:sz w:val="24"/>
                <w:szCs w:val="20"/>
                <w:highlight w:val="none"/>
                <w:lang w:bidi="ar"/>
              </w:rPr>
              <w:t>项目所在区域属于井陉矿区重点管控单元</w:t>
            </w:r>
            <w:r>
              <w:rPr>
                <w:rFonts w:hint="eastAsia" w:ascii="Times New Roman" w:hAnsi="Times New Roman" w:cs="Times New Roman"/>
                <w:color w:val="auto"/>
                <w:spacing w:val="0"/>
                <w:sz w:val="24"/>
                <w:szCs w:val="20"/>
                <w:highlight w:val="none"/>
                <w:lang w:val="en-US" w:eastAsia="zh-CN" w:bidi="ar"/>
              </w:rPr>
              <w:t>4</w:t>
            </w:r>
            <w:r>
              <w:rPr>
                <w:rFonts w:hint="default" w:ascii="Times New Roman" w:hAnsi="Times New Roman" w:cs="Times New Roman"/>
                <w:color w:val="auto"/>
                <w:spacing w:val="0"/>
                <w:sz w:val="24"/>
                <w:szCs w:val="20"/>
                <w:highlight w:val="none"/>
                <w:lang w:bidi="ar"/>
              </w:rPr>
              <w:t>，项目与井陉矿区重点管控单元生态环境准入综合管控要求符合性分析见表</w:t>
            </w:r>
            <w:r>
              <w:rPr>
                <w:rFonts w:hint="default" w:ascii="Times New Roman" w:hAnsi="Times New Roman" w:cs="Times New Roman"/>
                <w:color w:val="auto"/>
                <w:spacing w:val="0"/>
                <w:sz w:val="24"/>
                <w:szCs w:val="20"/>
                <w:highlight w:val="none"/>
                <w:lang w:val="en-US" w:eastAsia="zh-CN" w:bidi="ar"/>
              </w:rPr>
              <w:t>1-</w:t>
            </w:r>
            <w:r>
              <w:rPr>
                <w:rFonts w:hint="eastAsia" w:ascii="Times New Roman" w:hAnsi="Times New Roman" w:cs="Times New Roman"/>
                <w:color w:val="auto"/>
                <w:spacing w:val="0"/>
                <w:sz w:val="24"/>
                <w:szCs w:val="20"/>
                <w:highlight w:val="none"/>
                <w:lang w:val="en-US" w:eastAsia="zh-CN" w:bidi="ar"/>
              </w:rPr>
              <w:t>7</w:t>
            </w:r>
            <w:r>
              <w:rPr>
                <w:rFonts w:hint="default" w:ascii="Times New Roman" w:hAnsi="Times New Roman" w:cs="Times New Roman"/>
                <w:color w:val="auto"/>
                <w:spacing w:val="0"/>
                <w:sz w:val="24"/>
                <w:szCs w:val="20"/>
                <w:highlight w:val="none"/>
                <w:lang w:bidi="ar"/>
              </w:rPr>
              <w:t>。</w:t>
            </w:r>
          </w:p>
          <w:p w14:paraId="3933AB46">
            <w:pPr>
              <w:keepNext w:val="0"/>
              <w:keepLines w:val="0"/>
              <w:pageBreakBefore w:val="0"/>
              <w:widowControl w:val="0"/>
              <w:suppressLineNumbers w:val="0"/>
              <w:shd w:val="clear" w:color="auto" w:fill="auto"/>
              <w:kinsoku/>
              <w:wordWrap/>
              <w:overflowPunct/>
              <w:topLinePunct w:val="0"/>
              <w:autoSpaceDE w:val="0"/>
              <w:autoSpaceDN w:val="0"/>
              <w:bidi w:val="0"/>
              <w:adjustRightInd/>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spacing w:val="0"/>
                <w:sz w:val="24"/>
                <w:szCs w:val="20"/>
                <w:highlight w:val="none"/>
              </w:rPr>
            </w:pPr>
            <w:r>
              <w:rPr>
                <w:rFonts w:hint="default" w:ascii="Times New Roman" w:hAnsi="Times New Roman" w:eastAsia="宋体" w:cs="Times New Roman"/>
                <w:b/>
                <w:bCs/>
                <w:color w:val="auto"/>
                <w:spacing w:val="0"/>
                <w:sz w:val="24"/>
                <w:szCs w:val="20"/>
                <w:highlight w:val="none"/>
              </w:rPr>
              <w:t>表</w:t>
            </w:r>
            <w:r>
              <w:rPr>
                <w:rFonts w:hint="default" w:ascii="Times New Roman" w:hAnsi="Times New Roman" w:eastAsia="宋体" w:cs="Times New Roman"/>
                <w:b/>
                <w:bCs/>
                <w:color w:val="auto"/>
                <w:spacing w:val="0"/>
                <w:sz w:val="24"/>
                <w:szCs w:val="20"/>
                <w:highlight w:val="none"/>
                <w:lang w:val="en-US" w:eastAsia="zh-CN"/>
              </w:rPr>
              <w:t>1-</w:t>
            </w:r>
            <w:r>
              <w:rPr>
                <w:rFonts w:hint="eastAsia" w:ascii="Times New Roman" w:hAnsi="Times New Roman" w:eastAsia="宋体" w:cs="Times New Roman"/>
                <w:b/>
                <w:bCs/>
                <w:color w:val="auto"/>
                <w:spacing w:val="0"/>
                <w:sz w:val="24"/>
                <w:szCs w:val="20"/>
                <w:highlight w:val="none"/>
                <w:lang w:val="en-US" w:eastAsia="zh-CN"/>
              </w:rPr>
              <w:t xml:space="preserve">7  </w:t>
            </w:r>
            <w:r>
              <w:rPr>
                <w:rFonts w:hint="default" w:ascii="Times New Roman" w:hAnsi="Times New Roman" w:eastAsia="宋体" w:cs="Times New Roman"/>
                <w:b/>
                <w:bCs/>
                <w:color w:val="auto"/>
                <w:spacing w:val="0"/>
                <w:sz w:val="24"/>
                <w:szCs w:val="20"/>
                <w:highlight w:val="none"/>
              </w:rPr>
              <w:t xml:space="preserve">  本项目与井陉矿区重点管控单元符合性分析一览表</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27" w:type="dxa"/>
                <w:bottom w:w="0" w:type="dxa"/>
                <w:right w:w="227" w:type="dxa"/>
              </w:tblCellMar>
            </w:tblPr>
            <w:tblGrid>
              <w:gridCol w:w="341"/>
              <w:gridCol w:w="326"/>
              <w:gridCol w:w="522"/>
              <w:gridCol w:w="690"/>
              <w:gridCol w:w="3579"/>
              <w:gridCol w:w="1530"/>
              <w:gridCol w:w="251"/>
            </w:tblGrid>
            <w:tr w14:paraId="10E5C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340" w:hRule="atLeast"/>
                <w:jc w:val="center"/>
              </w:trPr>
              <w:tc>
                <w:tcPr>
                  <w:tcW w:w="236" w:type="pct"/>
                  <w:noWrap w:val="0"/>
                  <w:tcMar>
                    <w:top w:w="0" w:type="dxa"/>
                    <w:left w:w="28" w:type="dxa"/>
                    <w:bottom w:w="0" w:type="dxa"/>
                    <w:right w:w="28" w:type="dxa"/>
                  </w:tcMar>
                  <w:vAlign w:val="center"/>
                </w:tcPr>
                <w:p w14:paraId="4A00CF82">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县(市/区)</w:t>
                  </w:r>
                </w:p>
              </w:tc>
              <w:tc>
                <w:tcPr>
                  <w:tcW w:w="225" w:type="pct"/>
                  <w:noWrap w:val="0"/>
                  <w:tcMar>
                    <w:top w:w="0" w:type="dxa"/>
                    <w:left w:w="28" w:type="dxa"/>
                    <w:bottom w:w="0" w:type="dxa"/>
                    <w:right w:w="28" w:type="dxa"/>
                  </w:tcMar>
                  <w:vAlign w:val="center"/>
                </w:tcPr>
                <w:p w14:paraId="7316233B">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单元类别</w:t>
                  </w:r>
                </w:p>
              </w:tc>
              <w:tc>
                <w:tcPr>
                  <w:tcW w:w="360" w:type="pct"/>
                  <w:noWrap w:val="0"/>
                  <w:tcMar>
                    <w:top w:w="0" w:type="dxa"/>
                    <w:left w:w="28" w:type="dxa"/>
                    <w:bottom w:w="0" w:type="dxa"/>
                    <w:right w:w="28" w:type="dxa"/>
                  </w:tcMar>
                  <w:vAlign w:val="center"/>
                </w:tcPr>
                <w:p w14:paraId="43A4160A">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环境要素类别</w:t>
                  </w:r>
                </w:p>
              </w:tc>
              <w:tc>
                <w:tcPr>
                  <w:tcW w:w="476" w:type="pct"/>
                  <w:noWrap w:val="0"/>
                  <w:tcMar>
                    <w:top w:w="0" w:type="dxa"/>
                    <w:left w:w="28" w:type="dxa"/>
                    <w:bottom w:w="0" w:type="dxa"/>
                    <w:right w:w="28" w:type="dxa"/>
                  </w:tcMar>
                  <w:vAlign w:val="center"/>
                </w:tcPr>
                <w:p w14:paraId="5E73E831">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维度</w:t>
                  </w:r>
                </w:p>
              </w:tc>
              <w:tc>
                <w:tcPr>
                  <w:tcW w:w="2470" w:type="pct"/>
                  <w:noWrap w:val="0"/>
                  <w:tcMar>
                    <w:top w:w="0" w:type="dxa"/>
                    <w:left w:w="28" w:type="dxa"/>
                    <w:bottom w:w="0" w:type="dxa"/>
                    <w:right w:w="28" w:type="dxa"/>
                  </w:tcMar>
                  <w:vAlign w:val="center"/>
                </w:tcPr>
                <w:p w14:paraId="0C367A99">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管控措施</w:t>
                  </w:r>
                </w:p>
              </w:tc>
              <w:tc>
                <w:tcPr>
                  <w:tcW w:w="1056" w:type="pct"/>
                  <w:noWrap w:val="0"/>
                  <w:tcMar>
                    <w:top w:w="0" w:type="dxa"/>
                    <w:left w:w="28" w:type="dxa"/>
                    <w:bottom w:w="0" w:type="dxa"/>
                    <w:right w:w="28" w:type="dxa"/>
                  </w:tcMar>
                  <w:vAlign w:val="center"/>
                </w:tcPr>
                <w:p w14:paraId="666654DC">
                  <w:pPr>
                    <w:keepNext w:val="0"/>
                    <w:keepLines w:val="0"/>
                    <w:pageBreakBefore w:val="0"/>
                    <w:widowControl w:val="0"/>
                    <w:suppressLineNumbers w:val="0"/>
                    <w:shd w:val="clear" w:color="auto" w:fill="auto"/>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173" w:type="pct"/>
                  <w:noWrap w:val="0"/>
                  <w:tcMar>
                    <w:top w:w="0" w:type="dxa"/>
                    <w:left w:w="28" w:type="dxa"/>
                    <w:bottom w:w="0" w:type="dxa"/>
                    <w:right w:w="28" w:type="dxa"/>
                  </w:tcMar>
                  <w:vAlign w:val="center"/>
                </w:tcPr>
                <w:p w14:paraId="0E9C5D79">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cs="Times New Roman"/>
                      <w:b/>
                      <w:bCs/>
                      <w:color w:val="auto"/>
                      <w:spacing w:val="-11"/>
                      <w:sz w:val="21"/>
                      <w:szCs w:val="21"/>
                      <w:highlight w:val="none"/>
                    </w:rPr>
                  </w:pPr>
                  <w:r>
                    <w:rPr>
                      <w:rFonts w:hint="default" w:ascii="Times New Roman" w:hAnsi="Times New Roman" w:cs="Times New Roman"/>
                      <w:b/>
                      <w:bCs/>
                      <w:color w:val="auto"/>
                      <w:spacing w:val="-11"/>
                      <w:sz w:val="21"/>
                      <w:szCs w:val="21"/>
                      <w:highlight w:val="none"/>
                    </w:rPr>
                    <w:t>符合性</w:t>
                  </w:r>
                </w:p>
              </w:tc>
            </w:tr>
            <w:tr w14:paraId="0D564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1291" w:hRule="atLeast"/>
                <w:jc w:val="center"/>
              </w:trPr>
              <w:tc>
                <w:tcPr>
                  <w:tcW w:w="236" w:type="pct"/>
                  <w:vMerge w:val="restart"/>
                  <w:noWrap w:val="0"/>
                  <w:tcMar>
                    <w:top w:w="0" w:type="dxa"/>
                    <w:left w:w="28" w:type="dxa"/>
                    <w:bottom w:w="0" w:type="dxa"/>
                    <w:right w:w="28" w:type="dxa"/>
                  </w:tcMar>
                  <w:vAlign w:val="center"/>
                </w:tcPr>
                <w:p w14:paraId="348AA843">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井陉矿区</w:t>
                  </w:r>
                </w:p>
              </w:tc>
              <w:tc>
                <w:tcPr>
                  <w:tcW w:w="225" w:type="pct"/>
                  <w:vMerge w:val="restart"/>
                  <w:noWrap w:val="0"/>
                  <w:tcMar>
                    <w:top w:w="0" w:type="dxa"/>
                    <w:left w:w="28" w:type="dxa"/>
                    <w:bottom w:w="0" w:type="dxa"/>
                    <w:right w:w="28" w:type="dxa"/>
                  </w:tcMar>
                  <w:vAlign w:val="center"/>
                </w:tcPr>
                <w:p w14:paraId="2209CC32">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重点管控单元</w:t>
                  </w:r>
                  <w:r>
                    <w:rPr>
                      <w:rFonts w:hint="eastAsia" w:ascii="宋体" w:hAnsi="宋体" w:eastAsia="宋体" w:cs="宋体"/>
                      <w:color w:val="000000"/>
                      <w:kern w:val="0"/>
                      <w:sz w:val="21"/>
                      <w:szCs w:val="21"/>
                      <w:highlight w:val="none"/>
                      <w:lang w:val="en-US" w:eastAsia="zh-CN" w:bidi="ar"/>
                    </w:rPr>
                    <w:t>4</w:t>
                  </w:r>
                </w:p>
              </w:tc>
              <w:tc>
                <w:tcPr>
                  <w:tcW w:w="360" w:type="pct"/>
                  <w:vMerge w:val="restart"/>
                  <w:noWrap w:val="0"/>
                  <w:tcMar>
                    <w:top w:w="0" w:type="dxa"/>
                    <w:left w:w="28" w:type="dxa"/>
                    <w:bottom w:w="0" w:type="dxa"/>
                    <w:right w:w="28" w:type="dxa"/>
                  </w:tcMar>
                  <w:vAlign w:val="center"/>
                </w:tcPr>
                <w:p w14:paraId="60FDD865">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大气环境受体敏感</w:t>
                  </w:r>
                </w:p>
                <w:p w14:paraId="6BFB54E8">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重点管控区、水环境</w:t>
                  </w:r>
                </w:p>
                <w:p w14:paraId="21AC7E3E">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城镇生活污染重点</w:t>
                  </w:r>
                </w:p>
                <w:p w14:paraId="2F505614">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管控区</w:t>
                  </w:r>
                </w:p>
              </w:tc>
              <w:tc>
                <w:tcPr>
                  <w:tcW w:w="476" w:type="pct"/>
                  <w:noWrap w:val="0"/>
                  <w:tcMar>
                    <w:top w:w="0" w:type="dxa"/>
                    <w:left w:w="28" w:type="dxa"/>
                    <w:bottom w:w="0" w:type="dxa"/>
                    <w:right w:w="28" w:type="dxa"/>
                  </w:tcMar>
                  <w:vAlign w:val="center"/>
                </w:tcPr>
                <w:p w14:paraId="77B7A8CA">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空间布局约束</w:t>
                  </w:r>
                </w:p>
              </w:tc>
              <w:tc>
                <w:tcPr>
                  <w:tcW w:w="2470" w:type="pct"/>
                  <w:noWrap w:val="0"/>
                  <w:tcMar>
                    <w:top w:w="0" w:type="dxa"/>
                    <w:left w:w="28" w:type="dxa"/>
                    <w:bottom w:w="0" w:type="dxa"/>
                    <w:right w:w="28" w:type="dxa"/>
                  </w:tcMar>
                  <w:vAlign w:val="center"/>
                </w:tcPr>
                <w:p w14:paraId="4E88CF7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1、加快城市建成区工业企业搬迁入园或关闭退出。</w:t>
                  </w:r>
                </w:p>
                <w:p w14:paraId="3A1F8D9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2、饮用水水源保护区内严格执行《</w:t>
                  </w:r>
                  <w:r>
                    <w:rPr>
                      <w:rFonts w:hint="eastAsia" w:cs="Times New Roman"/>
                      <w:color w:val="000000"/>
                      <w:kern w:val="0"/>
                      <w:sz w:val="21"/>
                      <w:szCs w:val="21"/>
                      <w:highlight w:val="none"/>
                      <w:lang w:val="en-US" w:eastAsia="zh-CN" w:bidi="ar"/>
                    </w:rPr>
                    <w:t>中华人民共和国</w:t>
                  </w:r>
                  <w:r>
                    <w:rPr>
                      <w:rFonts w:hint="default" w:ascii="Times New Roman" w:hAnsi="Times New Roman" w:eastAsia="宋体" w:cs="Times New Roman"/>
                      <w:color w:val="000000"/>
                      <w:kern w:val="0"/>
                      <w:sz w:val="21"/>
                      <w:szCs w:val="21"/>
                      <w:highlight w:val="none"/>
                      <w:lang w:val="en-US" w:eastAsia="zh-CN" w:bidi="ar"/>
                    </w:rPr>
                    <w:t>水污染防治法》《集中式饮用水水源地规范化建设环境保护技术要求(HJ773-2015)》相关要求。</w:t>
                  </w:r>
                </w:p>
              </w:tc>
              <w:tc>
                <w:tcPr>
                  <w:tcW w:w="1056" w:type="pct"/>
                  <w:noWrap w:val="0"/>
                  <w:tcMar>
                    <w:top w:w="0" w:type="dxa"/>
                    <w:left w:w="28" w:type="dxa"/>
                    <w:bottom w:w="0" w:type="dxa"/>
                    <w:right w:w="28" w:type="dxa"/>
                  </w:tcMar>
                  <w:vAlign w:val="center"/>
                </w:tcPr>
                <w:p w14:paraId="1CFAEB75">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1、本项目位于河北石家庄矿区工业园区石钢片区；2、项目位于饮用水水源保护区准保护区。</w:t>
                  </w:r>
                </w:p>
              </w:tc>
              <w:tc>
                <w:tcPr>
                  <w:tcW w:w="173" w:type="pct"/>
                  <w:noWrap w:val="0"/>
                  <w:tcMar>
                    <w:top w:w="0" w:type="dxa"/>
                    <w:left w:w="28" w:type="dxa"/>
                    <w:bottom w:w="0" w:type="dxa"/>
                    <w:right w:w="28" w:type="dxa"/>
                  </w:tcMar>
                  <w:vAlign w:val="center"/>
                </w:tcPr>
                <w:p w14:paraId="2158F42D">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cs="Times New Roman"/>
                      <w:color w:val="auto"/>
                      <w:spacing w:val="-11"/>
                      <w:sz w:val="21"/>
                      <w:szCs w:val="21"/>
                      <w:highlight w:val="none"/>
                    </w:rPr>
                  </w:pPr>
                  <w:r>
                    <w:rPr>
                      <w:rFonts w:hint="default" w:ascii="Times New Roman" w:hAnsi="Times New Roman" w:cs="Times New Roman"/>
                      <w:color w:val="auto"/>
                      <w:spacing w:val="-11"/>
                      <w:sz w:val="21"/>
                      <w:szCs w:val="21"/>
                      <w:highlight w:val="none"/>
                    </w:rPr>
                    <w:t>符合</w:t>
                  </w:r>
                </w:p>
              </w:tc>
            </w:tr>
            <w:tr w14:paraId="0D728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340" w:hRule="atLeast"/>
                <w:jc w:val="center"/>
              </w:trPr>
              <w:tc>
                <w:tcPr>
                  <w:tcW w:w="236" w:type="pct"/>
                  <w:vMerge w:val="continue"/>
                  <w:noWrap w:val="0"/>
                  <w:tcMar>
                    <w:top w:w="0" w:type="dxa"/>
                    <w:left w:w="28" w:type="dxa"/>
                    <w:bottom w:w="0" w:type="dxa"/>
                    <w:right w:w="28" w:type="dxa"/>
                  </w:tcMar>
                  <w:vAlign w:val="center"/>
                </w:tcPr>
                <w:p w14:paraId="658263EB">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225" w:type="pct"/>
                  <w:vMerge w:val="continue"/>
                  <w:noWrap w:val="0"/>
                  <w:tcMar>
                    <w:top w:w="0" w:type="dxa"/>
                    <w:left w:w="28" w:type="dxa"/>
                    <w:bottom w:w="0" w:type="dxa"/>
                    <w:right w:w="28" w:type="dxa"/>
                  </w:tcMar>
                  <w:vAlign w:val="center"/>
                </w:tcPr>
                <w:p w14:paraId="33724DC9">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360" w:type="pct"/>
                  <w:vMerge w:val="continue"/>
                  <w:noWrap w:val="0"/>
                  <w:tcMar>
                    <w:top w:w="0" w:type="dxa"/>
                    <w:left w:w="28" w:type="dxa"/>
                    <w:bottom w:w="0" w:type="dxa"/>
                    <w:right w:w="28" w:type="dxa"/>
                  </w:tcMar>
                  <w:vAlign w:val="center"/>
                </w:tcPr>
                <w:p w14:paraId="69C67118">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476" w:type="pct"/>
                  <w:noWrap w:val="0"/>
                  <w:tcMar>
                    <w:top w:w="0" w:type="dxa"/>
                    <w:left w:w="28" w:type="dxa"/>
                    <w:bottom w:w="0" w:type="dxa"/>
                    <w:right w:w="28" w:type="dxa"/>
                  </w:tcMar>
                  <w:vAlign w:val="center"/>
                </w:tcPr>
                <w:p w14:paraId="27ED19A7">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污染物排放管控</w:t>
                  </w:r>
                </w:p>
              </w:tc>
              <w:tc>
                <w:tcPr>
                  <w:tcW w:w="2470" w:type="pct"/>
                  <w:noWrap w:val="0"/>
                  <w:tcMar>
                    <w:top w:w="0" w:type="dxa"/>
                    <w:left w:w="28" w:type="dxa"/>
                    <w:bottom w:w="0" w:type="dxa"/>
                    <w:right w:w="28" w:type="dxa"/>
                  </w:tcMar>
                  <w:vAlign w:val="center"/>
                </w:tcPr>
                <w:p w14:paraId="7E38B68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1、重点行业依法实施强制性清洁生产审核。</w:t>
                  </w:r>
                </w:p>
                <w:p w14:paraId="47FD7A4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2、加快配套管网建设。新(改、扩)建向环境水体直接排放污水的排污单位执行《子牙河流域水污染物排放标准》(DB13/2796-2018)排放限值。</w:t>
                  </w:r>
                </w:p>
                <w:p w14:paraId="2ABBEF9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3、提高城镇生活污水收集处理率。</w:t>
                  </w:r>
                </w:p>
              </w:tc>
              <w:tc>
                <w:tcPr>
                  <w:tcW w:w="1056" w:type="pct"/>
                  <w:noWrap w:val="0"/>
                  <w:tcMar>
                    <w:top w:w="0" w:type="dxa"/>
                    <w:left w:w="28" w:type="dxa"/>
                    <w:bottom w:w="0" w:type="dxa"/>
                    <w:right w:w="28" w:type="dxa"/>
                  </w:tcMar>
                  <w:vAlign w:val="center"/>
                </w:tcPr>
                <w:p w14:paraId="7CA797E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本项目不涉及</w:t>
                  </w:r>
                  <w:r>
                    <w:rPr>
                      <w:rFonts w:hint="eastAsia" w:cs="Times New Roman"/>
                      <w:color w:val="000000"/>
                      <w:kern w:val="0"/>
                      <w:sz w:val="21"/>
                      <w:szCs w:val="21"/>
                      <w:highlight w:val="none"/>
                      <w:lang w:val="en-US" w:eastAsia="zh-CN" w:bidi="ar"/>
                    </w:rPr>
                    <w:t>生产废水；生活污水排入防渗旱厕，定期清掏</w:t>
                  </w:r>
                  <w:r>
                    <w:rPr>
                      <w:rFonts w:hint="default" w:ascii="Times New Roman" w:hAnsi="Times New Roman" w:eastAsia="宋体" w:cs="Times New Roman"/>
                      <w:color w:val="000000"/>
                      <w:kern w:val="0"/>
                      <w:sz w:val="21"/>
                      <w:szCs w:val="21"/>
                      <w:highlight w:val="none"/>
                      <w:lang w:val="en-US" w:eastAsia="zh-CN" w:bidi="ar"/>
                    </w:rPr>
                    <w:t>。</w:t>
                  </w:r>
                </w:p>
              </w:tc>
              <w:tc>
                <w:tcPr>
                  <w:tcW w:w="173" w:type="pct"/>
                  <w:noWrap w:val="0"/>
                  <w:tcMar>
                    <w:top w:w="0" w:type="dxa"/>
                    <w:left w:w="28" w:type="dxa"/>
                    <w:bottom w:w="0" w:type="dxa"/>
                    <w:right w:w="28" w:type="dxa"/>
                  </w:tcMar>
                  <w:vAlign w:val="center"/>
                </w:tcPr>
                <w:p w14:paraId="78558BBC">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cs="Times New Roman"/>
                      <w:color w:val="auto"/>
                      <w:spacing w:val="-11"/>
                      <w:sz w:val="21"/>
                      <w:szCs w:val="21"/>
                      <w:highlight w:val="none"/>
                    </w:rPr>
                  </w:pPr>
                  <w:r>
                    <w:rPr>
                      <w:rFonts w:hint="default" w:ascii="Times New Roman" w:hAnsi="Times New Roman" w:cs="Times New Roman"/>
                      <w:color w:val="auto"/>
                      <w:spacing w:val="-11"/>
                      <w:sz w:val="21"/>
                      <w:szCs w:val="21"/>
                      <w:highlight w:val="none"/>
                    </w:rPr>
                    <w:t>符合</w:t>
                  </w:r>
                </w:p>
              </w:tc>
            </w:tr>
            <w:tr w14:paraId="2E6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340" w:hRule="atLeast"/>
                <w:jc w:val="center"/>
              </w:trPr>
              <w:tc>
                <w:tcPr>
                  <w:tcW w:w="236" w:type="pct"/>
                  <w:vMerge w:val="continue"/>
                  <w:noWrap w:val="0"/>
                  <w:tcMar>
                    <w:top w:w="0" w:type="dxa"/>
                    <w:left w:w="28" w:type="dxa"/>
                    <w:bottom w:w="0" w:type="dxa"/>
                    <w:right w:w="28" w:type="dxa"/>
                  </w:tcMar>
                  <w:vAlign w:val="center"/>
                </w:tcPr>
                <w:p w14:paraId="36AA2963">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225" w:type="pct"/>
                  <w:vMerge w:val="continue"/>
                  <w:noWrap w:val="0"/>
                  <w:tcMar>
                    <w:top w:w="0" w:type="dxa"/>
                    <w:left w:w="28" w:type="dxa"/>
                    <w:bottom w:w="0" w:type="dxa"/>
                    <w:right w:w="28" w:type="dxa"/>
                  </w:tcMar>
                  <w:vAlign w:val="center"/>
                </w:tcPr>
                <w:p w14:paraId="418DADFD">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360" w:type="pct"/>
                  <w:vMerge w:val="continue"/>
                  <w:noWrap w:val="0"/>
                  <w:tcMar>
                    <w:top w:w="0" w:type="dxa"/>
                    <w:left w:w="28" w:type="dxa"/>
                    <w:bottom w:w="0" w:type="dxa"/>
                    <w:right w:w="28" w:type="dxa"/>
                  </w:tcMar>
                  <w:vAlign w:val="center"/>
                </w:tcPr>
                <w:p w14:paraId="354CAAAC">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476" w:type="pct"/>
                  <w:noWrap w:val="0"/>
                  <w:tcMar>
                    <w:top w:w="0" w:type="dxa"/>
                    <w:left w:w="28" w:type="dxa"/>
                    <w:bottom w:w="0" w:type="dxa"/>
                    <w:right w:w="28" w:type="dxa"/>
                  </w:tcMar>
                  <w:vAlign w:val="center"/>
                </w:tcPr>
                <w:p w14:paraId="55F74278">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环境风险防控</w:t>
                  </w:r>
                </w:p>
              </w:tc>
              <w:tc>
                <w:tcPr>
                  <w:tcW w:w="2470" w:type="pct"/>
                  <w:noWrap w:val="0"/>
                  <w:tcMar>
                    <w:top w:w="0" w:type="dxa"/>
                    <w:left w:w="28" w:type="dxa"/>
                    <w:bottom w:w="0" w:type="dxa"/>
                    <w:right w:w="28" w:type="dxa"/>
                  </w:tcMar>
                  <w:vAlign w:val="center"/>
                </w:tcPr>
                <w:p w14:paraId="619D6E2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w:t>
                  </w:r>
                </w:p>
              </w:tc>
              <w:tc>
                <w:tcPr>
                  <w:tcW w:w="1056" w:type="pct"/>
                  <w:noWrap w:val="0"/>
                  <w:tcMar>
                    <w:top w:w="0" w:type="dxa"/>
                    <w:left w:w="28" w:type="dxa"/>
                    <w:bottom w:w="0" w:type="dxa"/>
                    <w:right w:w="28" w:type="dxa"/>
                  </w:tcMar>
                  <w:vAlign w:val="center"/>
                </w:tcPr>
                <w:p w14:paraId="7452554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w:t>
                  </w:r>
                </w:p>
              </w:tc>
              <w:tc>
                <w:tcPr>
                  <w:tcW w:w="173" w:type="pct"/>
                  <w:noWrap w:val="0"/>
                  <w:tcMar>
                    <w:top w:w="0" w:type="dxa"/>
                    <w:left w:w="28" w:type="dxa"/>
                    <w:bottom w:w="0" w:type="dxa"/>
                    <w:right w:w="28" w:type="dxa"/>
                  </w:tcMar>
                  <w:vAlign w:val="center"/>
                </w:tcPr>
                <w:p w14:paraId="2D97DEF4">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cs="Times New Roman"/>
                      <w:color w:val="auto"/>
                      <w:spacing w:val="-11"/>
                      <w:sz w:val="21"/>
                      <w:szCs w:val="21"/>
                      <w:highlight w:val="none"/>
                    </w:rPr>
                  </w:pPr>
                  <w:r>
                    <w:rPr>
                      <w:rFonts w:hint="default" w:ascii="Times New Roman" w:hAnsi="Times New Roman" w:cs="Times New Roman"/>
                      <w:color w:val="auto"/>
                      <w:spacing w:val="-11"/>
                      <w:sz w:val="21"/>
                      <w:szCs w:val="21"/>
                      <w:highlight w:val="none"/>
                    </w:rPr>
                    <w:t>符合</w:t>
                  </w:r>
                </w:p>
              </w:tc>
            </w:tr>
            <w:tr w14:paraId="137F5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27" w:type="dxa"/>
                  <w:bottom w:w="0" w:type="dxa"/>
                  <w:right w:w="227" w:type="dxa"/>
                </w:tblCellMar>
              </w:tblPrEx>
              <w:trPr>
                <w:cantSplit/>
                <w:trHeight w:val="90" w:hRule="atLeast"/>
                <w:jc w:val="center"/>
              </w:trPr>
              <w:tc>
                <w:tcPr>
                  <w:tcW w:w="236" w:type="pct"/>
                  <w:vMerge w:val="continue"/>
                  <w:noWrap w:val="0"/>
                  <w:tcMar>
                    <w:top w:w="0" w:type="dxa"/>
                    <w:left w:w="28" w:type="dxa"/>
                    <w:bottom w:w="0" w:type="dxa"/>
                    <w:right w:w="28" w:type="dxa"/>
                  </w:tcMar>
                  <w:vAlign w:val="center"/>
                </w:tcPr>
                <w:p w14:paraId="7BFE3242">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225" w:type="pct"/>
                  <w:vMerge w:val="continue"/>
                  <w:noWrap w:val="0"/>
                  <w:tcMar>
                    <w:top w:w="0" w:type="dxa"/>
                    <w:left w:w="28" w:type="dxa"/>
                    <w:bottom w:w="0" w:type="dxa"/>
                    <w:right w:w="28" w:type="dxa"/>
                  </w:tcMar>
                  <w:vAlign w:val="center"/>
                </w:tcPr>
                <w:p w14:paraId="0353EBF8">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360" w:type="pct"/>
                  <w:vMerge w:val="continue"/>
                  <w:noWrap w:val="0"/>
                  <w:tcMar>
                    <w:top w:w="0" w:type="dxa"/>
                    <w:left w:w="28" w:type="dxa"/>
                    <w:bottom w:w="0" w:type="dxa"/>
                    <w:right w:w="28" w:type="dxa"/>
                  </w:tcMar>
                  <w:vAlign w:val="center"/>
                </w:tcPr>
                <w:p w14:paraId="3166918F">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p>
              </w:tc>
              <w:tc>
                <w:tcPr>
                  <w:tcW w:w="476" w:type="pct"/>
                  <w:noWrap w:val="0"/>
                  <w:tcMar>
                    <w:top w:w="0" w:type="dxa"/>
                    <w:left w:w="28" w:type="dxa"/>
                    <w:bottom w:w="0" w:type="dxa"/>
                    <w:right w:w="28" w:type="dxa"/>
                  </w:tcMar>
                  <w:vAlign w:val="center"/>
                </w:tcPr>
                <w:p w14:paraId="5C5CA194">
                  <w:pPr>
                    <w:keepNext w:val="0"/>
                    <w:keepLines w:val="0"/>
                    <w:widowControl/>
                    <w:suppressLineNumbers w:val="0"/>
                    <w:spacing w:before="0" w:beforeAutospacing="0" w:after="0" w:afterAutospacing="0"/>
                    <w:ind w:left="0" w:right="0"/>
                    <w:jc w:val="center"/>
                    <w:rPr>
                      <w:rFonts w:hint="default" w:ascii="宋体" w:hAnsi="宋体" w:eastAsia="宋体" w:cs="宋体"/>
                      <w:color w:val="000000"/>
                      <w:kern w:val="0"/>
                      <w:sz w:val="21"/>
                      <w:szCs w:val="21"/>
                      <w:highlight w:val="none"/>
                      <w:lang w:val="en-US" w:eastAsia="zh-CN" w:bidi="ar"/>
                    </w:rPr>
                  </w:pPr>
                  <w:r>
                    <w:rPr>
                      <w:rFonts w:hint="default" w:ascii="宋体" w:hAnsi="宋体" w:eastAsia="宋体" w:cs="宋体"/>
                      <w:color w:val="000000"/>
                      <w:kern w:val="0"/>
                      <w:sz w:val="21"/>
                      <w:szCs w:val="21"/>
                      <w:highlight w:val="none"/>
                      <w:lang w:val="en-US" w:eastAsia="zh-CN" w:bidi="ar"/>
                    </w:rPr>
                    <w:t>资源利用效率</w:t>
                  </w:r>
                </w:p>
              </w:tc>
              <w:tc>
                <w:tcPr>
                  <w:tcW w:w="2470" w:type="pct"/>
                  <w:noWrap w:val="0"/>
                  <w:tcMar>
                    <w:top w:w="0" w:type="dxa"/>
                    <w:left w:w="28" w:type="dxa"/>
                    <w:bottom w:w="0" w:type="dxa"/>
                    <w:right w:w="28" w:type="dxa"/>
                  </w:tcMar>
                  <w:vAlign w:val="center"/>
                </w:tcPr>
                <w:p w14:paraId="11CDCF0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1、淘汰集中供热管网覆盖范围内的散煤。</w:t>
                  </w:r>
                </w:p>
              </w:tc>
              <w:tc>
                <w:tcPr>
                  <w:tcW w:w="1056" w:type="pct"/>
                  <w:noWrap w:val="0"/>
                  <w:tcMar>
                    <w:top w:w="0" w:type="dxa"/>
                    <w:left w:w="28" w:type="dxa"/>
                    <w:bottom w:w="0" w:type="dxa"/>
                    <w:right w:w="28" w:type="dxa"/>
                  </w:tcMar>
                  <w:vAlign w:val="center"/>
                </w:tcPr>
                <w:p w14:paraId="21FD36E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不涉及。</w:t>
                  </w:r>
                </w:p>
              </w:tc>
              <w:tc>
                <w:tcPr>
                  <w:tcW w:w="173" w:type="pct"/>
                  <w:noWrap w:val="0"/>
                  <w:tcMar>
                    <w:top w:w="0" w:type="dxa"/>
                    <w:left w:w="28" w:type="dxa"/>
                    <w:bottom w:w="0" w:type="dxa"/>
                    <w:right w:w="28" w:type="dxa"/>
                  </w:tcMar>
                  <w:vAlign w:val="center"/>
                </w:tcPr>
                <w:p w14:paraId="3A89D35C">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cs="Times New Roman"/>
                      <w:color w:val="auto"/>
                      <w:spacing w:val="-11"/>
                      <w:sz w:val="21"/>
                      <w:szCs w:val="21"/>
                      <w:highlight w:val="none"/>
                    </w:rPr>
                  </w:pPr>
                  <w:r>
                    <w:rPr>
                      <w:rFonts w:hint="default" w:ascii="Times New Roman" w:hAnsi="Times New Roman" w:cs="Times New Roman"/>
                      <w:color w:val="auto"/>
                      <w:spacing w:val="-11"/>
                      <w:sz w:val="21"/>
                      <w:szCs w:val="21"/>
                      <w:highlight w:val="none"/>
                    </w:rPr>
                    <w:t>符合</w:t>
                  </w:r>
                </w:p>
              </w:tc>
            </w:tr>
          </w:tbl>
          <w:p w14:paraId="2EA8355A">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Cs/>
                <w:smallCaps w:val="0"/>
                <w:color w:val="auto"/>
                <w:spacing w:val="0"/>
                <w:highlight w:val="none"/>
              </w:rPr>
            </w:pPr>
            <w:r>
              <w:rPr>
                <w:rStyle w:val="215"/>
                <w:rFonts w:hint="default" w:ascii="Times New Roman" w:hAnsi="Times New Roman" w:cs="Times New Roman"/>
                <w:smallCaps w:val="0"/>
                <w:color w:val="auto"/>
                <w:spacing w:val="0"/>
                <w:highlight w:val="none"/>
              </w:rPr>
              <w:t>综上所述</w:t>
            </w:r>
            <w:r>
              <w:rPr>
                <w:rStyle w:val="215"/>
                <w:rFonts w:hint="default" w:ascii="Times New Roman" w:hAnsi="Times New Roman" w:cs="Times New Roman"/>
                <w:smallCaps w:val="0"/>
                <w:color w:val="auto"/>
                <w:spacing w:val="0"/>
                <w:highlight w:val="none"/>
                <w:lang w:eastAsia="zh-CN"/>
              </w:rPr>
              <w:t>，</w:t>
            </w:r>
            <w:r>
              <w:rPr>
                <w:rStyle w:val="215"/>
                <w:rFonts w:hint="default" w:ascii="Times New Roman" w:hAnsi="Times New Roman" w:cs="Times New Roman"/>
                <w:smallCaps w:val="0"/>
                <w:color w:val="auto"/>
                <w:spacing w:val="0"/>
                <w:highlight w:val="none"/>
              </w:rPr>
              <w:t>项目满足</w:t>
            </w:r>
            <w:r>
              <w:rPr>
                <w:rFonts w:hint="default" w:ascii="Times New Roman" w:hAnsi="Times New Roman" w:cs="Times New Roman"/>
                <w:smallCaps w:val="0"/>
                <w:color w:val="auto"/>
                <w:spacing w:val="0"/>
                <w:highlight w:val="none"/>
              </w:rPr>
              <w:t>石家庄市“三线一单”生态环境准入清单（2023年版）</w:t>
            </w:r>
            <w:r>
              <w:rPr>
                <w:rStyle w:val="215"/>
                <w:rFonts w:hint="default" w:ascii="Times New Roman" w:hAnsi="Times New Roman" w:cs="Times New Roman"/>
                <w:smallCaps w:val="0"/>
                <w:color w:val="auto"/>
                <w:spacing w:val="0"/>
                <w:highlight w:val="none"/>
              </w:rPr>
              <w:t>的相关要求。</w:t>
            </w:r>
          </w:p>
          <w:p w14:paraId="57D8E118">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6</w:t>
            </w:r>
            <w:r>
              <w:rPr>
                <w:rFonts w:hint="default" w:ascii="Times New Roman" w:hAnsi="Times New Roman" w:cs="Times New Roman"/>
                <w:b/>
                <w:smallCaps w:val="0"/>
                <w:color w:val="auto"/>
                <w:spacing w:val="0"/>
                <w:highlight w:val="none"/>
              </w:rPr>
              <w:t>、与环境管理政策符合性分析</w:t>
            </w:r>
          </w:p>
          <w:p w14:paraId="03628618">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eastAsia" w:cs="Times New Roman"/>
                <w:smallCaps w:val="0"/>
                <w:color w:val="auto"/>
                <w:spacing w:val="0"/>
                <w:szCs w:val="20"/>
                <w:highlight w:val="none"/>
                <w:lang w:eastAsia="zh-CN"/>
              </w:rPr>
            </w:pPr>
            <w:r>
              <w:rPr>
                <w:rFonts w:hint="default" w:ascii="Times New Roman" w:hAnsi="Times New Roman" w:cs="Times New Roman"/>
                <w:smallCaps w:val="0"/>
                <w:color w:val="auto"/>
                <w:spacing w:val="0"/>
                <w:highlight w:val="none"/>
              </w:rPr>
              <w:t>项目与环境管理政策符合性分析见下表</w:t>
            </w:r>
            <w:r>
              <w:rPr>
                <w:rFonts w:hint="eastAsia" w:cs="Times New Roman"/>
                <w:smallCaps w:val="0"/>
                <w:color w:val="auto"/>
                <w:spacing w:val="0"/>
                <w:highlight w:val="none"/>
                <w:lang w:eastAsia="zh-CN"/>
              </w:rPr>
              <w:t>。</w:t>
            </w:r>
          </w:p>
          <w:p w14:paraId="68641619">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 xml:space="preserve">8    </w:t>
            </w:r>
            <w:r>
              <w:rPr>
                <w:rFonts w:hint="default" w:ascii="Times New Roman" w:hAnsi="Times New Roman" w:cs="Times New Roman"/>
                <w:smallCaps w:val="0"/>
                <w:color w:val="auto"/>
                <w:spacing w:val="0"/>
                <w:highlight w:val="none"/>
              </w:rPr>
              <w:t>与环境管理政策符合性分析一览表</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6"/>
              <w:gridCol w:w="3751"/>
              <w:gridCol w:w="1680"/>
              <w:gridCol w:w="726"/>
            </w:tblGrid>
            <w:tr w14:paraId="1C030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Align w:val="center"/>
                </w:tcPr>
                <w:p w14:paraId="60600CE5">
                  <w:pPr>
                    <w:pStyle w:val="173"/>
                    <w:keepNext w:val="0"/>
                    <w:keepLines w:val="0"/>
                    <w:suppressLineNumbers w:val="0"/>
                    <w:spacing w:before="0" w:beforeAutospacing="0" w:after="0" w:afterAutospacing="0"/>
                    <w:ind w:left="0" w:right="0"/>
                    <w:jc w:val="center"/>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政策文件</w:t>
                  </w:r>
                </w:p>
              </w:tc>
              <w:tc>
                <w:tcPr>
                  <w:tcW w:w="2589" w:type="pct"/>
                  <w:vAlign w:val="center"/>
                </w:tcPr>
                <w:p w14:paraId="761972C8">
                  <w:pPr>
                    <w:pStyle w:val="173"/>
                    <w:keepNext w:val="0"/>
                    <w:keepLines w:val="0"/>
                    <w:suppressLineNumbers w:val="0"/>
                    <w:spacing w:before="0" w:beforeAutospacing="0" w:after="0" w:afterAutospacing="0"/>
                    <w:ind w:left="0" w:right="0"/>
                    <w:jc w:val="center"/>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具体要求</w:t>
                  </w:r>
                </w:p>
              </w:tc>
              <w:tc>
                <w:tcPr>
                  <w:tcW w:w="1159" w:type="pct"/>
                  <w:vAlign w:val="center"/>
                </w:tcPr>
                <w:p w14:paraId="52867C61">
                  <w:pPr>
                    <w:pStyle w:val="173"/>
                    <w:keepNext w:val="0"/>
                    <w:keepLines w:val="0"/>
                    <w:suppressLineNumbers w:val="0"/>
                    <w:spacing w:before="0" w:beforeAutospacing="0" w:after="0" w:afterAutospacing="0"/>
                    <w:ind w:left="0" w:right="0"/>
                    <w:jc w:val="center"/>
                    <w:rPr>
                      <w:rFonts w:hint="default" w:ascii="Times New Roman" w:hAnsi="Times New Roman" w:cs="Times New Roman"/>
                      <w:b/>
                      <w:bCs w:val="0"/>
                      <w:smallCaps w:val="0"/>
                      <w:color w:val="auto"/>
                      <w:spacing w:val="0"/>
                      <w:highlight w:val="none"/>
                    </w:rPr>
                  </w:pPr>
                  <w:r>
                    <w:rPr>
                      <w:rFonts w:hint="default" w:ascii="Times New Roman" w:hAnsi="Times New Roman" w:eastAsia="宋体" w:cs="Times New Roman"/>
                      <w:b/>
                      <w:bCs/>
                      <w:color w:val="auto"/>
                      <w:spacing w:val="0"/>
                      <w:kern w:val="0"/>
                      <w:sz w:val="21"/>
                      <w:szCs w:val="21"/>
                      <w:highlight w:val="none"/>
                      <w:lang w:bidi="ar"/>
                    </w:rPr>
                    <w:t>本项目</w:t>
                  </w:r>
                  <w:r>
                    <w:rPr>
                      <w:rFonts w:hint="eastAsia" w:cs="Times New Roman"/>
                      <w:b/>
                      <w:bCs/>
                      <w:color w:val="auto"/>
                      <w:spacing w:val="0"/>
                      <w:kern w:val="0"/>
                      <w:sz w:val="21"/>
                      <w:szCs w:val="21"/>
                      <w:highlight w:val="none"/>
                      <w:lang w:val="en-US" w:eastAsia="zh-CN" w:bidi="ar"/>
                    </w:rPr>
                    <w:t>情况</w:t>
                  </w:r>
                </w:p>
              </w:tc>
              <w:tc>
                <w:tcPr>
                  <w:tcW w:w="501" w:type="pct"/>
                  <w:vAlign w:val="center"/>
                </w:tcPr>
                <w:p w14:paraId="68CC9379">
                  <w:pPr>
                    <w:pStyle w:val="173"/>
                    <w:keepNext w:val="0"/>
                    <w:keepLines w:val="0"/>
                    <w:suppressLineNumbers w:val="0"/>
                    <w:spacing w:before="0" w:beforeAutospacing="0" w:after="0" w:afterAutospacing="0"/>
                    <w:ind w:left="0" w:right="0"/>
                    <w:jc w:val="center"/>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符合性</w:t>
                  </w:r>
                </w:p>
              </w:tc>
            </w:tr>
            <w:tr w14:paraId="55120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749" w:type="pct"/>
                  <w:vMerge w:val="restart"/>
                  <w:vAlign w:val="center"/>
                </w:tcPr>
                <w:p w14:paraId="7551F94C">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《国务院关于印发水污染防治行动计划的通知》（国发[2015]17号）</w:t>
                  </w:r>
                </w:p>
              </w:tc>
              <w:tc>
                <w:tcPr>
                  <w:tcW w:w="2589" w:type="pct"/>
                  <w:vAlign w:val="center"/>
                </w:tcPr>
                <w:p w14:paraId="00FBB944">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全部取缔不符合国家产业政策的小型造纸、制革、印染、染料、炼焦、炼硫、炼砷、炼油、电镀、农药等严重污染水环境的生产项目</w:t>
                  </w:r>
                  <w:r>
                    <w:rPr>
                      <w:rFonts w:hint="eastAsia" w:cs="Times New Roman"/>
                      <w:smallCaps w:val="0"/>
                      <w:color w:val="auto"/>
                      <w:spacing w:val="0"/>
                      <w:szCs w:val="21"/>
                      <w:highlight w:val="none"/>
                      <w:lang w:eastAsia="zh-CN"/>
                    </w:rPr>
                    <w:t>。</w:t>
                  </w:r>
                </w:p>
              </w:tc>
              <w:tc>
                <w:tcPr>
                  <w:tcW w:w="1159" w:type="pct"/>
                  <w:vAlign w:val="center"/>
                </w:tcPr>
                <w:p w14:paraId="2F3AF14F">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本项目为</w:t>
                  </w:r>
                  <w:r>
                    <w:rPr>
                      <w:rFonts w:hint="eastAsia" w:cs="Times New Roman"/>
                      <w:smallCaps w:val="0"/>
                      <w:color w:val="auto"/>
                      <w:spacing w:val="0"/>
                      <w:szCs w:val="21"/>
                      <w:highlight w:val="none"/>
                      <w:lang w:val="en-US" w:eastAsia="zh-CN"/>
                    </w:rPr>
                    <w:t>黑色金属铸造</w:t>
                  </w:r>
                  <w:r>
                    <w:rPr>
                      <w:rFonts w:hint="default" w:ascii="Times New Roman" w:hAnsi="Times New Roman" w:cs="Times New Roman"/>
                      <w:smallCaps w:val="0"/>
                      <w:color w:val="auto"/>
                      <w:spacing w:val="0"/>
                      <w:szCs w:val="21"/>
                      <w:highlight w:val="none"/>
                    </w:rPr>
                    <w:t>项目</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不属于取缔类</w:t>
                  </w:r>
                  <w:r>
                    <w:rPr>
                      <w:rFonts w:hint="eastAsia" w:cs="Times New Roman"/>
                      <w:smallCaps w:val="0"/>
                      <w:color w:val="auto"/>
                      <w:spacing w:val="0"/>
                      <w:szCs w:val="21"/>
                      <w:highlight w:val="none"/>
                      <w:lang w:eastAsia="zh-CN"/>
                    </w:rPr>
                    <w:t>。</w:t>
                  </w:r>
                </w:p>
              </w:tc>
              <w:tc>
                <w:tcPr>
                  <w:tcW w:w="501" w:type="pct"/>
                  <w:vAlign w:val="center"/>
                </w:tcPr>
                <w:p w14:paraId="6A9252DE">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0C5A0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trPr>
              <w:tc>
                <w:tcPr>
                  <w:tcW w:w="749" w:type="pct"/>
                  <w:vMerge w:val="continue"/>
                  <w:vAlign w:val="center"/>
                </w:tcPr>
                <w:p w14:paraId="29AAAFB7">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58A33E46">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b/>
                      <w:bCs/>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专项整治十大重点行业。制定造纸、焦化、氮肥、有色金属、印染、农副食品加工、原料药制造、制革、农药、电镀等行业专项治理方案</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实施清洁化改造</w:t>
                  </w:r>
                  <w:r>
                    <w:rPr>
                      <w:rFonts w:hint="eastAsia" w:cs="Times New Roman"/>
                      <w:smallCaps w:val="0"/>
                      <w:color w:val="auto"/>
                      <w:spacing w:val="0"/>
                      <w:szCs w:val="21"/>
                      <w:highlight w:val="none"/>
                      <w:lang w:eastAsia="zh-CN"/>
                    </w:rPr>
                    <w:t>。</w:t>
                  </w:r>
                </w:p>
              </w:tc>
              <w:tc>
                <w:tcPr>
                  <w:tcW w:w="1159" w:type="pct"/>
                  <w:vAlign w:val="center"/>
                </w:tcPr>
                <w:p w14:paraId="62A615E3">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本项目为</w:t>
                  </w:r>
                  <w:r>
                    <w:rPr>
                      <w:rFonts w:hint="eastAsia" w:cs="Times New Roman"/>
                      <w:smallCaps w:val="0"/>
                      <w:color w:val="auto"/>
                      <w:spacing w:val="0"/>
                      <w:szCs w:val="21"/>
                      <w:highlight w:val="none"/>
                      <w:lang w:val="en-US" w:eastAsia="zh-CN"/>
                    </w:rPr>
                    <w:t>黑色金属铸造</w:t>
                  </w:r>
                  <w:r>
                    <w:rPr>
                      <w:rFonts w:hint="default" w:ascii="Times New Roman" w:hAnsi="Times New Roman" w:cs="Times New Roman"/>
                      <w:smallCaps w:val="0"/>
                      <w:color w:val="auto"/>
                      <w:spacing w:val="0"/>
                      <w:szCs w:val="21"/>
                      <w:highlight w:val="none"/>
                    </w:rPr>
                    <w:t>项目</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不属于整治类行业</w:t>
                  </w:r>
                  <w:r>
                    <w:rPr>
                      <w:rFonts w:hint="eastAsia" w:cs="Times New Roman"/>
                      <w:smallCaps w:val="0"/>
                      <w:color w:val="auto"/>
                      <w:spacing w:val="0"/>
                      <w:szCs w:val="21"/>
                      <w:highlight w:val="none"/>
                      <w:lang w:eastAsia="zh-CN"/>
                    </w:rPr>
                    <w:t>。</w:t>
                  </w:r>
                </w:p>
              </w:tc>
              <w:tc>
                <w:tcPr>
                  <w:tcW w:w="501" w:type="pct"/>
                  <w:vAlign w:val="center"/>
                </w:tcPr>
                <w:p w14:paraId="56DF01A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10423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5A8F2683">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6BF67017">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b/>
                      <w:bCs/>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调整产业结构</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依法淘汰落后产能；优化空间布局</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合理确定发展布局、结构和规模</w:t>
                  </w:r>
                  <w:r>
                    <w:rPr>
                      <w:rFonts w:hint="eastAsia" w:cs="Times New Roman"/>
                      <w:smallCaps w:val="0"/>
                      <w:color w:val="auto"/>
                      <w:spacing w:val="0"/>
                      <w:szCs w:val="21"/>
                      <w:highlight w:val="none"/>
                      <w:lang w:eastAsia="zh-CN"/>
                    </w:rPr>
                    <w:t>。</w:t>
                  </w:r>
                </w:p>
              </w:tc>
              <w:tc>
                <w:tcPr>
                  <w:tcW w:w="1159" w:type="pct"/>
                  <w:vAlign w:val="center"/>
                </w:tcPr>
                <w:p w14:paraId="03C515F6">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项目不属于</w:t>
                  </w:r>
                  <w:r>
                    <w:rPr>
                      <w:rFonts w:hint="eastAsia" w:cs="Times New Roman"/>
                      <w:smallCaps w:val="0"/>
                      <w:color w:val="auto"/>
                      <w:spacing w:val="0"/>
                      <w:szCs w:val="21"/>
                      <w:highlight w:val="none"/>
                      <w:lang w:eastAsia="zh-CN"/>
                    </w:rPr>
                    <w:t>《产业结构调整指导目录（2024年本）》</w:t>
                  </w:r>
                  <w:r>
                    <w:rPr>
                      <w:rFonts w:hint="default" w:ascii="Times New Roman" w:hAnsi="Times New Roman" w:cs="Times New Roman"/>
                      <w:smallCaps w:val="0"/>
                      <w:color w:val="auto"/>
                      <w:spacing w:val="0"/>
                      <w:szCs w:val="21"/>
                      <w:highlight w:val="none"/>
                    </w:rPr>
                    <w:t>中规定的</w:t>
                  </w:r>
                  <w:r>
                    <w:rPr>
                      <w:rFonts w:hint="eastAsia" w:cs="Times New Roman"/>
                      <w:smallCaps w:val="0"/>
                      <w:color w:val="auto"/>
                      <w:spacing w:val="0"/>
                      <w:szCs w:val="21"/>
                      <w:highlight w:val="none"/>
                      <w:lang w:val="en-US" w:eastAsia="zh-CN"/>
                    </w:rPr>
                    <w:t>鼓励类、</w:t>
                  </w:r>
                  <w:r>
                    <w:rPr>
                      <w:rFonts w:hint="default" w:ascii="Times New Roman" w:hAnsi="Times New Roman" w:cs="Times New Roman"/>
                      <w:smallCaps w:val="0"/>
                      <w:color w:val="auto"/>
                      <w:spacing w:val="0"/>
                      <w:szCs w:val="21"/>
                      <w:highlight w:val="none"/>
                    </w:rPr>
                    <w:t>限制类、淘汰类项目</w:t>
                  </w:r>
                  <w:r>
                    <w:rPr>
                      <w:rFonts w:hint="eastAsia" w:cs="Times New Roman"/>
                      <w:smallCaps w:val="0"/>
                      <w:color w:val="auto"/>
                      <w:spacing w:val="0"/>
                      <w:szCs w:val="21"/>
                      <w:highlight w:val="none"/>
                      <w:lang w:eastAsia="zh-CN"/>
                    </w:rPr>
                    <w:t>，</w:t>
                  </w:r>
                  <w:r>
                    <w:rPr>
                      <w:rFonts w:hint="eastAsia" w:cs="Times New Roman"/>
                      <w:smallCaps w:val="0"/>
                      <w:color w:val="auto"/>
                      <w:spacing w:val="0"/>
                      <w:szCs w:val="21"/>
                      <w:highlight w:val="none"/>
                      <w:lang w:val="en-US" w:eastAsia="zh-CN"/>
                    </w:rPr>
                    <w:t>为允许类建设项目。</w:t>
                  </w:r>
                </w:p>
              </w:tc>
              <w:tc>
                <w:tcPr>
                  <w:tcW w:w="501" w:type="pct"/>
                  <w:vAlign w:val="center"/>
                </w:tcPr>
                <w:p w14:paraId="54FD559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07221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35532308">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6D9D2C9B">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严控地下水超采</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在地面沉降、地裂缝、岩溶塌陷等地质灾害易发区开发利用地下水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应进行地质灾害危险性评估。严格控制开采深层承压水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地热水、矿泉水开发应严格实行取水许可和采矿许可</w:t>
                  </w:r>
                  <w:r>
                    <w:rPr>
                      <w:rFonts w:hint="eastAsia" w:cs="Times New Roman"/>
                      <w:smallCaps w:val="0"/>
                      <w:color w:val="auto"/>
                      <w:spacing w:val="0"/>
                      <w:szCs w:val="21"/>
                      <w:highlight w:val="none"/>
                      <w:lang w:eastAsia="zh-CN"/>
                    </w:rPr>
                    <w:t>。</w:t>
                  </w:r>
                </w:p>
              </w:tc>
              <w:tc>
                <w:tcPr>
                  <w:tcW w:w="1159" w:type="pct"/>
                  <w:vAlign w:val="center"/>
                </w:tcPr>
                <w:p w14:paraId="6AC1FE91">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本项目用水</w:t>
                  </w:r>
                  <w:r>
                    <w:rPr>
                      <w:rFonts w:hint="default" w:ascii="Times New Roman" w:hAnsi="Times New Roman" w:cs="Times New Roman"/>
                      <w:smallCaps w:val="0"/>
                      <w:color w:val="auto"/>
                      <w:spacing w:val="0"/>
                      <w:szCs w:val="21"/>
                      <w:highlight w:val="none"/>
                      <w:lang w:val="en-US" w:eastAsia="zh-CN"/>
                    </w:rPr>
                    <w:t>由园区供水系统供给</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本项目不设自备水井</w:t>
                  </w:r>
                  <w:r>
                    <w:rPr>
                      <w:rFonts w:hint="eastAsia" w:cs="Times New Roman"/>
                      <w:smallCaps w:val="0"/>
                      <w:color w:val="auto"/>
                      <w:spacing w:val="0"/>
                      <w:szCs w:val="21"/>
                      <w:highlight w:val="none"/>
                      <w:lang w:eastAsia="zh-CN"/>
                    </w:rPr>
                    <w:t>。</w:t>
                  </w:r>
                </w:p>
              </w:tc>
              <w:tc>
                <w:tcPr>
                  <w:tcW w:w="501" w:type="pct"/>
                  <w:vAlign w:val="center"/>
                </w:tcPr>
                <w:p w14:paraId="7B7CB58B">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41D12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restart"/>
                  <w:vAlign w:val="center"/>
                </w:tcPr>
                <w:p w14:paraId="485B9F05">
                  <w:pPr>
                    <w:pStyle w:val="173"/>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《河北省水污染防治工作方案》</w:t>
                  </w:r>
                  <w:r>
                    <w:rPr>
                      <w:rFonts w:hint="default" w:ascii="Times New Roman" w:hAnsi="Times New Roman" w:cs="Times New Roman"/>
                      <w:smallCaps w:val="0"/>
                      <w:color w:val="auto"/>
                      <w:spacing w:val="0"/>
                      <w:highlight w:val="none"/>
                      <w:lang w:eastAsia="zh-CN"/>
                    </w:rPr>
                    <w:t>（国发〔2015〕17号）</w:t>
                  </w:r>
                </w:p>
              </w:tc>
              <w:tc>
                <w:tcPr>
                  <w:tcW w:w="2589" w:type="pct"/>
                  <w:vAlign w:val="center"/>
                </w:tcPr>
                <w:p w14:paraId="08B04510">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严控地下水超采</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在地面沉降、地裂缝、岩溶塌陷等地质灾害易发区开发利用地下水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应进行地质灾害危险性评估。严格控制开采深层承压水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地热水、矿泉水开发应严格实行取水许可和采矿许可</w:t>
                  </w:r>
                  <w:r>
                    <w:rPr>
                      <w:rFonts w:hint="eastAsia" w:cs="Times New Roman"/>
                      <w:smallCaps w:val="0"/>
                      <w:color w:val="auto"/>
                      <w:spacing w:val="0"/>
                      <w:szCs w:val="21"/>
                      <w:highlight w:val="none"/>
                      <w:lang w:eastAsia="zh-CN"/>
                    </w:rPr>
                    <w:t>。</w:t>
                  </w:r>
                </w:p>
              </w:tc>
              <w:tc>
                <w:tcPr>
                  <w:tcW w:w="1159" w:type="pct"/>
                  <w:vAlign w:val="center"/>
                </w:tcPr>
                <w:p w14:paraId="070CEC06">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本项目用水</w:t>
                  </w:r>
                  <w:r>
                    <w:rPr>
                      <w:rFonts w:hint="default" w:ascii="Times New Roman" w:hAnsi="Times New Roman" w:cs="Times New Roman"/>
                      <w:smallCaps w:val="0"/>
                      <w:color w:val="auto"/>
                      <w:spacing w:val="0"/>
                      <w:szCs w:val="21"/>
                      <w:highlight w:val="none"/>
                      <w:lang w:val="en-US" w:eastAsia="zh-CN"/>
                    </w:rPr>
                    <w:t>由园区供水系统供给</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本项目不设自备水井</w:t>
                  </w:r>
                  <w:r>
                    <w:rPr>
                      <w:rFonts w:hint="eastAsia" w:cs="Times New Roman"/>
                      <w:smallCaps w:val="0"/>
                      <w:color w:val="auto"/>
                      <w:spacing w:val="0"/>
                      <w:szCs w:val="21"/>
                      <w:highlight w:val="none"/>
                      <w:lang w:eastAsia="zh-CN"/>
                    </w:rPr>
                    <w:t>。</w:t>
                  </w:r>
                </w:p>
              </w:tc>
              <w:tc>
                <w:tcPr>
                  <w:tcW w:w="501" w:type="pct"/>
                  <w:vAlign w:val="center"/>
                </w:tcPr>
                <w:p w14:paraId="7BB52AE2">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0B78E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09430353">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0A9E994A">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对造纸、焦化、氮肥、石油化工、印染、农副食品加工、原料药制造、制革、农药、电镀等“十大”重点行业</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新建、改建、扩建项目实行新增主要污染物排放倍量替代</w:t>
                  </w:r>
                  <w:r>
                    <w:rPr>
                      <w:rFonts w:hint="eastAsia" w:cs="Times New Roman"/>
                      <w:smallCaps w:val="0"/>
                      <w:color w:val="auto"/>
                      <w:spacing w:val="0"/>
                      <w:szCs w:val="21"/>
                      <w:highlight w:val="none"/>
                      <w:lang w:eastAsia="zh-CN"/>
                    </w:rPr>
                    <w:t>。</w:t>
                  </w:r>
                </w:p>
              </w:tc>
              <w:tc>
                <w:tcPr>
                  <w:tcW w:w="1159" w:type="pct"/>
                  <w:vAlign w:val="center"/>
                </w:tcPr>
                <w:p w14:paraId="27BCB129">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本项目不属于所述“十大”重点行业</w:t>
                  </w:r>
                  <w:r>
                    <w:rPr>
                      <w:rFonts w:hint="eastAsia" w:cs="Times New Roman"/>
                      <w:smallCaps w:val="0"/>
                      <w:color w:val="auto"/>
                      <w:spacing w:val="0"/>
                      <w:szCs w:val="21"/>
                      <w:highlight w:val="none"/>
                      <w:lang w:eastAsia="zh-CN"/>
                    </w:rPr>
                    <w:t>。</w:t>
                  </w:r>
                </w:p>
              </w:tc>
              <w:tc>
                <w:tcPr>
                  <w:tcW w:w="501" w:type="pct"/>
                  <w:vAlign w:val="center"/>
                </w:tcPr>
                <w:p w14:paraId="59FD084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77954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3C840182">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3C6147EE">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全面取缔“十小”落后企业。2016年6月底前</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完成全省装备水平低、环保设施差的小型企业排查</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制定和实施不符合国家产业政策的小型造纸、制革、印染、染料、炼焦、炼砷、炼硫、炼油、电镀、农药等严重污染水环境的生产项目取缔实施方案</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于2016年底前全部取缔</w:t>
                  </w:r>
                  <w:r>
                    <w:rPr>
                      <w:rFonts w:hint="eastAsia" w:cs="Times New Roman"/>
                      <w:smallCaps w:val="0"/>
                      <w:color w:val="auto"/>
                      <w:spacing w:val="0"/>
                      <w:szCs w:val="21"/>
                      <w:highlight w:val="none"/>
                      <w:lang w:eastAsia="zh-CN"/>
                    </w:rPr>
                    <w:t>。</w:t>
                  </w:r>
                </w:p>
              </w:tc>
              <w:tc>
                <w:tcPr>
                  <w:tcW w:w="1159" w:type="pct"/>
                  <w:vAlign w:val="center"/>
                </w:tcPr>
                <w:p w14:paraId="05B544B5">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本项目不属于“十小”落后企业</w:t>
                  </w:r>
                  <w:r>
                    <w:rPr>
                      <w:rFonts w:hint="eastAsia" w:cs="Times New Roman"/>
                      <w:smallCaps w:val="0"/>
                      <w:color w:val="auto"/>
                      <w:spacing w:val="0"/>
                      <w:szCs w:val="21"/>
                      <w:highlight w:val="none"/>
                      <w:lang w:eastAsia="zh-CN"/>
                    </w:rPr>
                    <w:t>。</w:t>
                  </w:r>
                </w:p>
              </w:tc>
              <w:tc>
                <w:tcPr>
                  <w:tcW w:w="501" w:type="pct"/>
                  <w:vAlign w:val="center"/>
                </w:tcPr>
                <w:p w14:paraId="2552DCA5">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1C87F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64409DAB">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06F96C11">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严格建设项目取水许可审批</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对取用水总量已达到或超过控制指标的地区</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暂停审批其建设项目新增取水许可；对取用水总量接近控制指标的地区</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限制审批新增取水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逐步实现区域水资源供需平衡</w:t>
                  </w:r>
                  <w:r>
                    <w:rPr>
                      <w:rFonts w:hint="eastAsia" w:cs="Times New Roman"/>
                      <w:smallCaps w:val="0"/>
                      <w:color w:val="auto"/>
                      <w:spacing w:val="0"/>
                      <w:szCs w:val="21"/>
                      <w:highlight w:val="none"/>
                      <w:lang w:eastAsia="zh-CN"/>
                    </w:rPr>
                    <w:t>。</w:t>
                  </w:r>
                </w:p>
              </w:tc>
              <w:tc>
                <w:tcPr>
                  <w:tcW w:w="1159" w:type="pct"/>
                  <w:vAlign w:val="center"/>
                </w:tcPr>
                <w:p w14:paraId="4990FE62">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本项目用水</w:t>
                  </w:r>
                  <w:r>
                    <w:rPr>
                      <w:rFonts w:hint="default" w:ascii="Times New Roman" w:hAnsi="Times New Roman" w:cs="Times New Roman"/>
                      <w:smallCaps w:val="0"/>
                      <w:color w:val="auto"/>
                      <w:spacing w:val="0"/>
                      <w:szCs w:val="21"/>
                      <w:highlight w:val="none"/>
                      <w:lang w:val="en-US" w:eastAsia="zh-CN"/>
                    </w:rPr>
                    <w:t>由园区供水系统供给</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本项目不设自备水井</w:t>
                  </w:r>
                  <w:r>
                    <w:rPr>
                      <w:rFonts w:hint="eastAsia" w:cs="Times New Roman"/>
                      <w:smallCaps w:val="0"/>
                      <w:color w:val="auto"/>
                      <w:spacing w:val="0"/>
                      <w:szCs w:val="21"/>
                      <w:highlight w:val="none"/>
                      <w:lang w:eastAsia="zh-CN"/>
                    </w:rPr>
                    <w:t>。</w:t>
                  </w:r>
                </w:p>
              </w:tc>
              <w:tc>
                <w:tcPr>
                  <w:tcW w:w="501" w:type="pct"/>
                  <w:vAlign w:val="center"/>
                </w:tcPr>
                <w:p w14:paraId="64DAEEB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475CE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6E1271CB">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2E4491E8">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严格控制地下水超采。在唐山、廊坊、保定、沧州、衡水、邢台、邯郸等地面沉降、地裂缝、岩溶塌陷等地质灾害易发区开发利用地下水</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应进行地质灾害危险性评估。严格控制深层承压水开采</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开采矿泉水、地热水和建设地下水源热泵系统应进行建设项目水资源论证</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严格实行取水许可和地下水采矿许可。未经批准和公共供水管网覆盖范围内的自备水井</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于2016年底前一律予以关闭</w:t>
                  </w:r>
                  <w:r>
                    <w:rPr>
                      <w:rFonts w:hint="eastAsia" w:cs="Times New Roman"/>
                      <w:smallCaps w:val="0"/>
                      <w:color w:val="auto"/>
                      <w:spacing w:val="0"/>
                      <w:szCs w:val="21"/>
                      <w:highlight w:val="none"/>
                      <w:lang w:eastAsia="zh-CN"/>
                    </w:rPr>
                    <w:t>。</w:t>
                  </w:r>
                </w:p>
              </w:tc>
              <w:tc>
                <w:tcPr>
                  <w:tcW w:w="1159" w:type="pct"/>
                  <w:vAlign w:val="center"/>
                </w:tcPr>
                <w:p w14:paraId="69512754">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本项目用水</w:t>
                  </w:r>
                  <w:r>
                    <w:rPr>
                      <w:rFonts w:hint="default" w:ascii="Times New Roman" w:hAnsi="Times New Roman" w:cs="Times New Roman"/>
                      <w:smallCaps w:val="0"/>
                      <w:color w:val="auto"/>
                      <w:spacing w:val="0"/>
                      <w:szCs w:val="21"/>
                      <w:highlight w:val="none"/>
                      <w:lang w:val="en-US" w:eastAsia="zh-CN"/>
                    </w:rPr>
                    <w:t>由园区供水系统供给</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本项目不设自备水井</w:t>
                  </w:r>
                  <w:r>
                    <w:rPr>
                      <w:rFonts w:hint="eastAsia" w:cs="Times New Roman"/>
                      <w:smallCaps w:val="0"/>
                      <w:color w:val="auto"/>
                      <w:spacing w:val="0"/>
                      <w:szCs w:val="21"/>
                      <w:highlight w:val="none"/>
                      <w:lang w:eastAsia="zh-CN"/>
                    </w:rPr>
                    <w:t>。</w:t>
                  </w:r>
                </w:p>
              </w:tc>
              <w:tc>
                <w:tcPr>
                  <w:tcW w:w="501" w:type="pct"/>
                  <w:vAlign w:val="center"/>
                </w:tcPr>
                <w:p w14:paraId="64E1153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7D330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Align w:val="center"/>
                </w:tcPr>
                <w:p w14:paraId="0E5D938F">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《河北省水污染防治行动计划》（2016年）</w:t>
                  </w:r>
                </w:p>
              </w:tc>
              <w:tc>
                <w:tcPr>
                  <w:tcW w:w="2589" w:type="pct"/>
                  <w:vAlign w:val="center"/>
                </w:tcPr>
                <w:p w14:paraId="72F9C190">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全省七大水系干流沿岸、重要饮用水水源地补给区</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严格控制化学原料和化学制品制造、医药制造、制革、造纸、焦化、化学纤维制造、石油加工、纺织印染等项目环境风险</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合理布局生产装置及危险化学品仓储等设施。重大项目原则上布局在优化开发区和重点开发区</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并符合城乡规划和土地利用总体规划。造纸、焦化、氮肥、石油化工、印染、农副食品加工、原料药制造、制革、农药、电镀等“十大”重点行业</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新建、改建、扩建项目实行新增主要污染物排放倍量替代。</w:t>
                  </w:r>
                </w:p>
              </w:tc>
              <w:tc>
                <w:tcPr>
                  <w:tcW w:w="1159" w:type="pct"/>
                  <w:vAlign w:val="center"/>
                </w:tcPr>
                <w:p w14:paraId="2A5735AF">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本项目不属于化学原料和化学制品制造、医药制造、制革、造纸、焦化、化学纤维制造、石油加工、纺织印染等项目</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不属于“十大”重点行业。</w:t>
                  </w:r>
                </w:p>
              </w:tc>
              <w:tc>
                <w:tcPr>
                  <w:tcW w:w="501" w:type="pct"/>
                  <w:vAlign w:val="center"/>
                </w:tcPr>
                <w:p w14:paraId="72B02E3D">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17EA6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3" w:hRule="atLeast"/>
              </w:trPr>
              <w:tc>
                <w:tcPr>
                  <w:tcW w:w="749" w:type="pct"/>
                  <w:vMerge w:val="restart"/>
                  <w:vAlign w:val="center"/>
                </w:tcPr>
                <w:p w14:paraId="49F11893">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《石家庄市水污染防治工作实施方案》</w:t>
                  </w:r>
                </w:p>
              </w:tc>
              <w:tc>
                <w:tcPr>
                  <w:tcW w:w="2589" w:type="pct"/>
                  <w:vAlign w:val="center"/>
                </w:tcPr>
                <w:p w14:paraId="55FF1BBA">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遏制地下水超采。严格控制地下水超采。严格控制深层承压水开采</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开采地热水、矿泉水和建设地下水资源热泵系统应当进行建设项目水资源论证</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严格实行取水许可和地下水采矿许可。</w:t>
                  </w:r>
                </w:p>
              </w:tc>
              <w:tc>
                <w:tcPr>
                  <w:tcW w:w="1159" w:type="pct"/>
                  <w:vAlign w:val="center"/>
                </w:tcPr>
                <w:p w14:paraId="44EBFD3F">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本项目不涉及地下水开采。</w:t>
                  </w:r>
                </w:p>
              </w:tc>
              <w:tc>
                <w:tcPr>
                  <w:tcW w:w="501" w:type="pct"/>
                  <w:vAlign w:val="center"/>
                </w:tcPr>
                <w:p w14:paraId="3B98206D">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符合</w:t>
                  </w:r>
                </w:p>
              </w:tc>
            </w:tr>
            <w:tr w14:paraId="43A92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5" w:hRule="atLeast"/>
              </w:trPr>
              <w:tc>
                <w:tcPr>
                  <w:tcW w:w="749" w:type="pct"/>
                  <w:vMerge w:val="continue"/>
                  <w:vAlign w:val="center"/>
                </w:tcPr>
                <w:p w14:paraId="1E8FD409">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12534D77">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抓好工业节水。开展节水诊断、水平衡测试、用水效率评估</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严格用水定额管理。加强工业循环使用</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推进矿井综合利用</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煤炭矿区补充用水、周边地区生产和生态用水</w:t>
                  </w:r>
                  <w:r>
                    <w:rPr>
                      <w:rFonts w:hint="eastAsia" w:cs="Times New Roman"/>
                      <w:smallCaps w:val="0"/>
                      <w:color w:val="auto"/>
                      <w:spacing w:val="0"/>
                      <w:szCs w:val="21"/>
                      <w:highlight w:val="none"/>
                      <w:lang w:val="en-US" w:eastAsia="zh-CN"/>
                    </w:rPr>
                    <w:t>优先</w:t>
                  </w:r>
                  <w:r>
                    <w:rPr>
                      <w:rFonts w:hint="default" w:ascii="Times New Roman" w:hAnsi="Times New Roman" w:cs="Times New Roman"/>
                      <w:smallCaps w:val="0"/>
                      <w:color w:val="auto"/>
                      <w:spacing w:val="0"/>
                      <w:szCs w:val="21"/>
                      <w:highlight w:val="none"/>
                    </w:rPr>
                    <w:t>使用矿井水。加强洗煤废水循环利用。推广先进污水深度处理技术</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加强高耗水企业废水再生回用。落实节水环保“领跑者”制度</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鼓励节水先进企业、工业集聚区用水效率、排污强度等达到更高标准</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支持开展清洁生产、节约用水和污染治理等示范。</w:t>
                  </w:r>
                </w:p>
              </w:tc>
              <w:tc>
                <w:tcPr>
                  <w:tcW w:w="1159" w:type="pct"/>
                  <w:vAlign w:val="center"/>
                </w:tcPr>
                <w:p w14:paraId="5FEF26A2">
                  <w:pPr>
                    <w:keepNext w:val="0"/>
                    <w:keepLines w:val="0"/>
                    <w:pageBreakBefore w:val="0"/>
                    <w:widowControl w:val="0"/>
                    <w:suppressLineNumbers w:val="0"/>
                    <w:shd w:val="clear" w:color="auto" w:fill="auto"/>
                    <w:kinsoku/>
                    <w:wordWrap/>
                    <w:overflowPunct/>
                    <w:topLinePunct w:val="0"/>
                    <w:autoSpaceDE/>
                    <w:autoSpaceDN/>
                    <w:bidi w:val="0"/>
                    <w:spacing w:before="0" w:beforeAutospacing="0" w:after="0" w:afterAutospacing="0" w:line="240" w:lineRule="auto"/>
                    <w:ind w:left="0" w:right="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w:t>
                  </w:r>
                  <w:r>
                    <w:rPr>
                      <w:rFonts w:hint="eastAsia" w:cs="Times New Roman"/>
                      <w:smallCaps w:val="0"/>
                      <w:color w:val="auto"/>
                      <w:spacing w:val="0"/>
                      <w:szCs w:val="21"/>
                      <w:highlight w:val="none"/>
                      <w:lang w:val="en-US" w:eastAsia="zh-CN"/>
                    </w:rPr>
                    <w:t>项目用水量较小，无生产废水；</w:t>
                  </w:r>
                  <w:r>
                    <w:rPr>
                      <w:rFonts w:hint="eastAsia" w:cs="Times New Roman"/>
                      <w:smallCaps w:val="0"/>
                      <w:color w:val="auto"/>
                      <w:spacing w:val="0"/>
                      <w:sz w:val="21"/>
                      <w:szCs w:val="21"/>
                      <w:highlight w:val="none"/>
                      <w:lang w:val="en-US" w:eastAsia="zh-CN"/>
                    </w:rPr>
                    <w:t>生活污水排入防渗旱厕，定期清掏。</w:t>
                  </w:r>
                </w:p>
              </w:tc>
              <w:tc>
                <w:tcPr>
                  <w:tcW w:w="501" w:type="pct"/>
                  <w:vAlign w:val="center"/>
                </w:tcPr>
                <w:p w14:paraId="13D9132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55A6F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restart"/>
                  <w:vAlign w:val="center"/>
                </w:tcPr>
                <w:p w14:paraId="4B130D0C">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《河北省大气污染防治行动计划实施方案》</w:t>
                  </w:r>
                </w:p>
              </w:tc>
              <w:tc>
                <w:tcPr>
                  <w:tcW w:w="2589" w:type="pct"/>
                  <w:vAlign w:val="center"/>
                </w:tcPr>
                <w:p w14:paraId="20DE9C5E">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禁燃区内不得新建燃烧煤炭、重油、渣油等高污染燃料的设施；现有燃烧高污染燃料的设施</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应当限期改用清洁能源；未改用清洁能源替代的高污染燃料设施</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应当配套建设先进工艺的脱硫、脱硝、除尘装置或者采取其他措施</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控制二氧化硫、氮氧化物和烟尘等排放；仍未达到大气污染物排放标准的</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应当停止使用</w:t>
                  </w:r>
                  <w:r>
                    <w:rPr>
                      <w:rFonts w:hint="eastAsia" w:cs="Times New Roman"/>
                      <w:smallCaps w:val="0"/>
                      <w:color w:val="auto"/>
                      <w:spacing w:val="0"/>
                      <w:szCs w:val="21"/>
                      <w:highlight w:val="none"/>
                      <w:lang w:eastAsia="zh-CN"/>
                    </w:rPr>
                    <w:t>。</w:t>
                  </w:r>
                </w:p>
              </w:tc>
              <w:tc>
                <w:tcPr>
                  <w:tcW w:w="1159" w:type="pct"/>
                  <w:vAlign w:val="center"/>
                </w:tcPr>
                <w:p w14:paraId="4A9DA244">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本项目</w:t>
                  </w:r>
                  <w:r>
                    <w:rPr>
                      <w:rFonts w:hint="eastAsia" w:cs="Times New Roman"/>
                      <w:smallCaps w:val="0"/>
                      <w:color w:val="auto"/>
                      <w:spacing w:val="0"/>
                      <w:szCs w:val="21"/>
                      <w:highlight w:val="none"/>
                      <w:lang w:val="en-US" w:eastAsia="zh-CN"/>
                    </w:rPr>
                    <w:t>加热采用电加热，不涉及</w:t>
                  </w:r>
                  <w:r>
                    <w:rPr>
                      <w:rFonts w:hint="default" w:ascii="Times New Roman" w:hAnsi="Times New Roman" w:cs="Times New Roman"/>
                      <w:smallCaps w:val="0"/>
                      <w:color w:val="auto"/>
                      <w:spacing w:val="0"/>
                      <w:szCs w:val="21"/>
                      <w:highlight w:val="none"/>
                    </w:rPr>
                    <w:t>燃烧煤炭、重油、渣油等高污染燃料的设施</w:t>
                  </w:r>
                  <w:r>
                    <w:rPr>
                      <w:rFonts w:hint="eastAsia" w:cs="Times New Roman"/>
                      <w:smallCaps w:val="0"/>
                      <w:color w:val="auto"/>
                      <w:spacing w:val="0"/>
                      <w:szCs w:val="21"/>
                      <w:highlight w:val="none"/>
                      <w:lang w:eastAsia="zh-CN"/>
                    </w:rPr>
                    <w:t>。</w:t>
                  </w:r>
                </w:p>
              </w:tc>
              <w:tc>
                <w:tcPr>
                  <w:tcW w:w="501" w:type="pct"/>
                  <w:vAlign w:val="center"/>
                </w:tcPr>
                <w:p w14:paraId="10B22E9C">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1028A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0E1A039A">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0FBFA48B">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根据国家产业政策</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严格控制新建、改建、扩建钢铁、水泥、平板玻璃、化学合成制药、有色金属冶炼、化工等工业项目</w:t>
                  </w:r>
                  <w:r>
                    <w:rPr>
                      <w:rFonts w:hint="eastAsia" w:cs="Times New Roman"/>
                      <w:smallCaps w:val="0"/>
                      <w:color w:val="auto"/>
                      <w:spacing w:val="0"/>
                      <w:szCs w:val="21"/>
                      <w:highlight w:val="none"/>
                      <w:lang w:eastAsia="zh-CN"/>
                    </w:rPr>
                    <w:t>。</w:t>
                  </w:r>
                </w:p>
              </w:tc>
              <w:tc>
                <w:tcPr>
                  <w:tcW w:w="1159" w:type="pct"/>
                  <w:vAlign w:val="center"/>
                </w:tcPr>
                <w:p w14:paraId="770224FF">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项目不属于所述控制新建、改建及扩建的行业</w:t>
                  </w:r>
                  <w:r>
                    <w:rPr>
                      <w:rFonts w:hint="eastAsia" w:cs="Times New Roman"/>
                      <w:smallCaps w:val="0"/>
                      <w:color w:val="auto"/>
                      <w:spacing w:val="0"/>
                      <w:szCs w:val="21"/>
                      <w:highlight w:val="none"/>
                      <w:lang w:eastAsia="zh-CN"/>
                    </w:rPr>
                    <w:t>。</w:t>
                  </w:r>
                </w:p>
              </w:tc>
              <w:tc>
                <w:tcPr>
                  <w:tcW w:w="501" w:type="pct"/>
                  <w:vAlign w:val="center"/>
                </w:tcPr>
                <w:p w14:paraId="6E1D3073">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18C11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081EBC01">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69DB89C9">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产生含挥发性有机物废气的生产和服务活动</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应当在密闭空间或者设备中进行</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并按照规定安装、使用污染防治设施；无法密闭的</w:t>
                  </w:r>
                  <w:r>
                    <w:rPr>
                      <w:rFonts w:hint="default" w:ascii="Times New Roman" w:hAnsi="Times New Roman" w:cs="Times New Roman"/>
                      <w:smallCaps w:val="0"/>
                      <w:color w:val="auto"/>
                      <w:spacing w:val="0"/>
                      <w:szCs w:val="21"/>
                      <w:highlight w:val="none"/>
                      <w:lang w:eastAsia="zh-CN"/>
                    </w:rPr>
                    <w:t>，</w:t>
                  </w:r>
                  <w:r>
                    <w:rPr>
                      <w:rFonts w:hint="default" w:ascii="Times New Roman" w:hAnsi="Times New Roman" w:cs="Times New Roman"/>
                      <w:smallCaps w:val="0"/>
                      <w:color w:val="auto"/>
                      <w:spacing w:val="0"/>
                      <w:szCs w:val="21"/>
                      <w:highlight w:val="none"/>
                    </w:rPr>
                    <w:t>应当采取措施减少废气排放</w:t>
                  </w:r>
                  <w:r>
                    <w:rPr>
                      <w:rFonts w:hint="eastAsia" w:cs="Times New Roman"/>
                      <w:smallCaps w:val="0"/>
                      <w:color w:val="auto"/>
                      <w:spacing w:val="0"/>
                      <w:szCs w:val="21"/>
                      <w:highlight w:val="none"/>
                      <w:lang w:eastAsia="zh-CN"/>
                    </w:rPr>
                    <w:t>。</w:t>
                  </w:r>
                </w:p>
              </w:tc>
              <w:tc>
                <w:tcPr>
                  <w:tcW w:w="1159" w:type="pct"/>
                  <w:vAlign w:val="center"/>
                </w:tcPr>
                <w:p w14:paraId="15929FDC">
                  <w:pPr>
                    <w:keepNext w:val="0"/>
                    <w:keepLines w:val="0"/>
                    <w:suppressLineNumbers w:val="0"/>
                    <w:shd w:val="clear" w:color="auto" w:fill="auto"/>
                    <w:spacing w:before="0" w:beforeAutospacing="0" w:after="0" w:afterAutospacing="0"/>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项目</w:t>
                  </w:r>
                  <w:r>
                    <w:rPr>
                      <w:rFonts w:hint="eastAsia" w:cs="Times New Roman"/>
                      <w:smallCaps w:val="0"/>
                      <w:color w:val="auto"/>
                      <w:spacing w:val="0"/>
                      <w:szCs w:val="21"/>
                      <w:highlight w:val="none"/>
                      <w:lang w:val="en-US" w:eastAsia="zh-CN"/>
                    </w:rPr>
                    <w:t>产生的有机废气经二级活性炭吸附装置处理。</w:t>
                  </w:r>
                </w:p>
              </w:tc>
              <w:tc>
                <w:tcPr>
                  <w:tcW w:w="501" w:type="pct"/>
                  <w:vAlign w:val="center"/>
                </w:tcPr>
                <w:p w14:paraId="41C861B3">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24BB1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4BC9629C">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p>
              </w:tc>
              <w:tc>
                <w:tcPr>
                  <w:tcW w:w="2589" w:type="pct"/>
                  <w:vAlign w:val="center"/>
                </w:tcPr>
                <w:p w14:paraId="0BE543BF">
                  <w:pPr>
                    <w:keepNext w:val="0"/>
                    <w:keepLines w:val="0"/>
                    <w:suppressLineNumbers w:val="0"/>
                    <w:shd w:val="clear" w:color="auto" w:fill="auto"/>
                    <w:spacing w:before="0" w:beforeAutospacing="0" w:after="0" w:afterAutospacing="0"/>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禁止在人口集中地区从事露天喷漆、喷涂、喷砂、制作玻璃钢以及其他散发有毒有害气体的作业。</w:t>
                  </w:r>
                </w:p>
              </w:tc>
              <w:tc>
                <w:tcPr>
                  <w:tcW w:w="1159" w:type="pct"/>
                  <w:vAlign w:val="center"/>
                </w:tcPr>
                <w:p w14:paraId="36D47D36">
                  <w:pPr>
                    <w:keepNext w:val="0"/>
                    <w:keepLines w:val="0"/>
                    <w:suppressLineNumbers w:val="0"/>
                    <w:shd w:val="clear" w:color="auto" w:fill="auto"/>
                    <w:spacing w:before="0" w:beforeAutospacing="0" w:after="0" w:afterAutospacing="0"/>
                    <w:ind w:left="0" w:right="0"/>
                    <w:jc w:val="center"/>
                    <w:rPr>
                      <w:rFonts w:hint="eastAsia"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Cs w:val="21"/>
                      <w:highlight w:val="none"/>
                    </w:rPr>
                    <w:t>项目不涉及露天喷漆、喷砂等生产工序</w:t>
                  </w:r>
                  <w:r>
                    <w:rPr>
                      <w:rFonts w:hint="eastAsia" w:cs="Times New Roman"/>
                      <w:smallCaps w:val="0"/>
                      <w:color w:val="auto"/>
                      <w:spacing w:val="0"/>
                      <w:szCs w:val="21"/>
                      <w:highlight w:val="none"/>
                      <w:lang w:eastAsia="zh-CN"/>
                    </w:rPr>
                    <w:t>。</w:t>
                  </w:r>
                </w:p>
              </w:tc>
              <w:tc>
                <w:tcPr>
                  <w:tcW w:w="501" w:type="pct"/>
                  <w:vAlign w:val="center"/>
                </w:tcPr>
                <w:p w14:paraId="05D3687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符合</w:t>
                  </w:r>
                </w:p>
              </w:tc>
            </w:tr>
            <w:tr w14:paraId="16D83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Align w:val="center"/>
                </w:tcPr>
                <w:p w14:paraId="07C7A51D">
                  <w:pPr>
                    <w:pStyle w:val="173"/>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《河北省大气污染防治条例》</w:t>
                  </w:r>
                </w:p>
              </w:tc>
              <w:tc>
                <w:tcPr>
                  <w:tcW w:w="2589" w:type="pct"/>
                  <w:vAlign w:val="center"/>
                </w:tcPr>
                <w:p w14:paraId="40037A44">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根据国家产业政策</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严格控制新</w:t>
                  </w:r>
                </w:p>
                <w:p w14:paraId="0E18E1FB">
                  <w:pPr>
                    <w:pStyle w:val="173"/>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建、改建、扩建钢铁、水泥、平板玻璃、化学合成制药、有色金属冶炼、化工等工业项目。在生产经营过程中产生有毒有害大气污染物的</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排污单位应当安装收集净化装置或者采取其他措施</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达到国家和本省规定的排放标准。工业生产、垃圾填埋或者其他活动产生的可燃性气体应当回收利用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不具备回收利用条件的</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应当采取污染防治措施。产生含挥发性有机物废气的生产和服务活动</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应当在密闭空间或者设备中进行</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并按照规定安装、使用污染防治设施</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无法密闭的</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应当采取措施减少废气排放。禁止在人口集中地区从事露天喷漆、喷涂、喷砂、制作玻璃钢以及其他散发有毒有害气体的作业。</w:t>
                  </w:r>
                </w:p>
              </w:tc>
              <w:tc>
                <w:tcPr>
                  <w:tcW w:w="1159" w:type="pct"/>
                  <w:vAlign w:val="center"/>
                </w:tcPr>
                <w:p w14:paraId="6C842262">
                  <w:pPr>
                    <w:pStyle w:val="173"/>
                    <w:keepNext w:val="0"/>
                    <w:keepLines w:val="0"/>
                    <w:suppressLineNumbers w:val="0"/>
                    <w:spacing w:before="0" w:beforeAutospacing="0" w:after="0" w:afterAutospacing="0"/>
                    <w:ind w:left="0" w:right="0"/>
                    <w:jc w:val="center"/>
                    <w:rPr>
                      <w:rFonts w:hint="default"/>
                      <w:szCs w:val="20"/>
                      <w:highlight w:val="none"/>
                      <w:lang w:val="en-US" w:eastAsia="zh-CN"/>
                    </w:rPr>
                  </w:pPr>
                  <w:r>
                    <w:rPr>
                      <w:rFonts w:hint="default" w:ascii="Times New Roman" w:hAnsi="Times New Roman" w:cs="Times New Roman"/>
                      <w:smallCaps w:val="0"/>
                      <w:color w:val="auto"/>
                      <w:spacing w:val="0"/>
                      <w:highlight w:val="none"/>
                    </w:rPr>
                    <w:t>本项目不属于钢铁、水泥、平板玻璃、化学合成制药、有色金属冶炼、化工等工业项目</w:t>
                  </w:r>
                  <w:r>
                    <w:rPr>
                      <w:rFonts w:hint="default" w:ascii="Times New Roman" w:hAnsi="Times New Roman" w:cs="Times New Roman"/>
                      <w:smallCaps w:val="0"/>
                      <w:color w:val="auto"/>
                      <w:spacing w:val="0"/>
                      <w:highlight w:val="none"/>
                      <w:lang w:eastAsia="zh-CN"/>
                    </w:rPr>
                    <w:t>，</w:t>
                  </w:r>
                  <w:r>
                    <w:rPr>
                      <w:rFonts w:hint="eastAsia" w:cs="Times New Roman"/>
                      <w:smallCaps w:val="0"/>
                      <w:color w:val="auto"/>
                      <w:spacing w:val="0"/>
                      <w:szCs w:val="20"/>
                      <w:highlight w:val="none"/>
                      <w:lang w:val="en-US" w:eastAsia="zh-CN"/>
                    </w:rPr>
                    <w:t>本项目产生的废气经布袋除尘器、活性炭吸附装置等设施处理后达标排放；不涉及露天作业。</w:t>
                  </w:r>
                </w:p>
              </w:tc>
              <w:tc>
                <w:tcPr>
                  <w:tcW w:w="501" w:type="pct"/>
                  <w:vAlign w:val="center"/>
                </w:tcPr>
                <w:p w14:paraId="3B33A58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kern w:val="2"/>
                      <w:sz w:val="21"/>
                      <w:szCs w:val="20"/>
                      <w:highlight w:val="none"/>
                      <w:lang w:val="en-US" w:eastAsia="zh-CN" w:bidi="ar-SA"/>
                    </w:rPr>
                  </w:pPr>
                  <w:r>
                    <w:rPr>
                      <w:rFonts w:hint="default" w:ascii="Times New Roman" w:hAnsi="Times New Roman" w:cs="Times New Roman"/>
                      <w:smallCaps w:val="0"/>
                      <w:color w:val="auto"/>
                      <w:spacing w:val="0"/>
                      <w:szCs w:val="20"/>
                      <w:highlight w:val="none"/>
                    </w:rPr>
                    <w:t>符合</w:t>
                  </w:r>
                </w:p>
              </w:tc>
            </w:tr>
            <w:tr w14:paraId="5D2F0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Align w:val="center"/>
                </w:tcPr>
                <w:p w14:paraId="5B470E3B">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szCs w:val="20"/>
                      <w:highlight w:val="none"/>
                      <w:lang w:val="en-US" w:eastAsia="zh-CN"/>
                    </w:rPr>
                  </w:pPr>
                  <w:r>
                    <w:rPr>
                      <w:rFonts w:hint="default" w:ascii="Times New Roman" w:hAnsi="Times New Roman" w:eastAsia="宋体" w:cs="Times New Roman"/>
                      <w:color w:val="auto"/>
                      <w:kern w:val="24"/>
                      <w:sz w:val="21"/>
                      <w:szCs w:val="21"/>
                      <w:highlight w:val="none"/>
                      <w:lang w:eastAsia="zh-CN"/>
                    </w:rPr>
                    <w:t>《重点行业挥发性有机物综合治理方案》</w:t>
                  </w:r>
                  <w:r>
                    <w:rPr>
                      <w:rFonts w:hint="eastAsia" w:ascii="Times New Roman" w:hAnsi="Times New Roman" w:eastAsia="宋体" w:cs="Times New Roman"/>
                      <w:color w:val="auto"/>
                      <w:kern w:val="24"/>
                      <w:sz w:val="21"/>
                      <w:szCs w:val="21"/>
                      <w:highlight w:val="none"/>
                      <w:lang w:eastAsia="zh-CN"/>
                    </w:rPr>
                    <w:t>（环大气〔2019〕53号）</w:t>
                  </w:r>
                </w:p>
              </w:tc>
              <w:tc>
                <w:tcPr>
                  <w:tcW w:w="2589" w:type="pct"/>
                  <w:vAlign w:val="center"/>
                </w:tcPr>
                <w:p w14:paraId="35F5DE73">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1"/>
                      <w:highlight w:val="none"/>
                    </w:rPr>
                  </w:pPr>
                  <w:r>
                    <w:rPr>
                      <w:rFonts w:hint="eastAsia" w:ascii="Times New Roman" w:hAnsi="Times New Roman" w:eastAsia="宋体" w:cs="Times New Roman"/>
                      <w:color w:val="auto"/>
                      <w:kern w:val="0"/>
                      <w:sz w:val="21"/>
                      <w:szCs w:val="21"/>
                      <w:highlight w:val="none"/>
                      <w:lang w:val="en-US" w:eastAsia="zh-CN"/>
                    </w:rPr>
                    <w:t>推进建设适宜高效的治污设施。企业新建治污设施或对现有治污设施实施改造，应依据排放废气的浓度、组分、风量，温度、湿度、压力，以及生产工况等，合理选择治理技术。鼓励企业采用多种技术的组合工艺，提高VOCs治理效率。低浓度、大风量废气，宜采用沸石转轮吸附、活性炭吸附、减风增浓等浓缩技术，提高VOCs浓度后净化处理；高浓度废气，优先进行溶剂回收，难以回收的，宜采用高温焚烧、催化燃烧等技术。油气（溶剂）回收宜采用冷凝+吸附、吸附+吸收、膜分离+吸附等技术。低温等离子、光催化、光氧化技术主要适用于恶臭异味等治理；生物法主要适用于低浓度VOCs废气治理和恶臭异味治理。非水溶性的VOCs废气禁止采用水或水溶液喷淋吸收处理。采用一次性活性炭吸附技术的，应定期更换活性炭，废旧活性炭应再生或处理处置。有条件的工业园区和产业集群等，推广集中喷涂、溶剂集中回收、活性炭集中再生等，加强资源共享，提高VOCs治理效率。</w:t>
                  </w:r>
                </w:p>
              </w:tc>
              <w:tc>
                <w:tcPr>
                  <w:tcW w:w="1159" w:type="pct"/>
                  <w:vAlign w:val="center"/>
                </w:tcPr>
                <w:p w14:paraId="5868050F">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smallCaps w:val="0"/>
                      <w:color w:val="auto"/>
                      <w:spacing w:val="0"/>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本项目VOCs废气采取</w:t>
                  </w:r>
                  <w:r>
                    <w:rPr>
                      <w:rFonts w:hint="eastAsia" w:cs="Times New Roman"/>
                      <w:color w:val="auto"/>
                      <w:kern w:val="0"/>
                      <w:sz w:val="21"/>
                      <w:szCs w:val="21"/>
                      <w:highlight w:val="none"/>
                      <w:lang w:val="en-US" w:eastAsia="zh-CN"/>
                    </w:rPr>
                    <w:t>二级</w:t>
                  </w:r>
                  <w:r>
                    <w:rPr>
                      <w:rFonts w:hint="eastAsia" w:ascii="Times New Roman" w:hAnsi="Times New Roman" w:cs="Times New Roman"/>
                      <w:color w:val="auto"/>
                      <w:kern w:val="0"/>
                      <w:sz w:val="21"/>
                      <w:szCs w:val="21"/>
                      <w:highlight w:val="none"/>
                      <w:lang w:val="en-US" w:eastAsia="zh-CN"/>
                    </w:rPr>
                    <w:t>活性炭吸附装置</w:t>
                  </w:r>
                  <w:r>
                    <w:rPr>
                      <w:rFonts w:hint="eastAsia" w:ascii="Times New Roman" w:hAnsi="Times New Roman" w:eastAsia="宋体" w:cs="Times New Roman"/>
                      <w:color w:val="auto"/>
                      <w:kern w:val="0"/>
                      <w:sz w:val="21"/>
                      <w:szCs w:val="21"/>
                      <w:highlight w:val="none"/>
                      <w:lang w:val="en-US" w:eastAsia="zh-CN"/>
                    </w:rPr>
                    <w:t>处理</w:t>
                  </w:r>
                  <w:r>
                    <w:rPr>
                      <w:rFonts w:hint="eastAsia" w:cs="Times New Roman"/>
                      <w:color w:val="auto"/>
                      <w:kern w:val="0"/>
                      <w:sz w:val="21"/>
                      <w:szCs w:val="21"/>
                      <w:highlight w:val="none"/>
                      <w:lang w:val="en-US" w:eastAsia="zh-CN"/>
                    </w:rPr>
                    <w:t>，并</w:t>
                  </w:r>
                  <w:r>
                    <w:rPr>
                      <w:rFonts w:hint="eastAsia" w:ascii="Times New Roman" w:hAnsi="Times New Roman" w:eastAsia="宋体" w:cs="Times New Roman"/>
                      <w:color w:val="auto"/>
                      <w:kern w:val="0"/>
                      <w:sz w:val="21"/>
                      <w:szCs w:val="21"/>
                      <w:highlight w:val="none"/>
                      <w:lang w:val="en-US" w:eastAsia="zh-CN"/>
                    </w:rPr>
                    <w:t>定期更换活性炭。</w:t>
                  </w:r>
                </w:p>
              </w:tc>
              <w:tc>
                <w:tcPr>
                  <w:tcW w:w="501" w:type="pct"/>
                  <w:vAlign w:val="center"/>
                </w:tcPr>
                <w:p w14:paraId="08CBA586">
                  <w:pPr>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6B69C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restart"/>
                  <w:vAlign w:val="center"/>
                </w:tcPr>
                <w:p w14:paraId="5D50A65D">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0"/>
                      <w:highlight w:val="none"/>
                      <w:lang w:eastAsia="zh-CN"/>
                    </w:rPr>
                  </w:pPr>
                  <w:r>
                    <w:rPr>
                      <w:rFonts w:hint="default" w:ascii="Times New Roman" w:hAnsi="Times New Roman" w:eastAsia="宋体" w:cs="Times New Roman"/>
                      <w:color w:val="auto"/>
                      <w:kern w:val="0"/>
                      <w:sz w:val="21"/>
                      <w:szCs w:val="21"/>
                      <w:highlight w:val="none"/>
                      <w:lang w:val="en-US" w:eastAsia="zh-CN"/>
                    </w:rPr>
                    <w:t>《空气质量持续改善行动计划》（国发〔2023〕24号）</w:t>
                  </w:r>
                </w:p>
              </w:tc>
              <w:tc>
                <w:tcPr>
                  <w:tcW w:w="2589" w:type="pct"/>
                  <w:vAlign w:val="center"/>
                </w:tcPr>
                <w:p w14:paraId="5C7EEC05">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坚决遏制高耗能、高排放、低水平项目盲目上马。新扩建项目严格落实国家产业规划、产业政策、生态环境分区管控方案、规划环评、项目环评、节能审查、产能置换、重点污染物总量控制、污染物排放区域削减、碳排放达峰目标等相关要求，原则上采用清洁运输方式。涉及产能置换的项目，被置换产能及其配套设施关停后，新建项目方可投产</w:t>
                  </w:r>
                  <w:r>
                    <w:rPr>
                      <w:rFonts w:hint="eastAsia" w:ascii="Times New Roman" w:hAnsi="Times New Roman" w:eastAsia="宋体" w:cs="Times New Roman"/>
                      <w:color w:val="auto"/>
                      <w:kern w:val="0"/>
                      <w:sz w:val="21"/>
                      <w:szCs w:val="21"/>
                      <w:highlight w:val="none"/>
                      <w:lang w:val="en-US" w:eastAsia="zh-CN"/>
                    </w:rPr>
                    <w:t>。</w:t>
                  </w:r>
                </w:p>
              </w:tc>
              <w:tc>
                <w:tcPr>
                  <w:tcW w:w="1159" w:type="pct"/>
                  <w:shd w:val="clear" w:color="auto" w:fill="auto"/>
                  <w:vAlign w:val="center"/>
                </w:tcPr>
                <w:p w14:paraId="55CFC1EF">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本项目不属于</w:t>
                  </w:r>
                  <w:r>
                    <w:rPr>
                      <w:rFonts w:hint="default" w:ascii="Times New Roman" w:hAnsi="Times New Roman" w:eastAsia="宋体" w:cs="Times New Roman"/>
                      <w:color w:val="auto"/>
                      <w:kern w:val="0"/>
                      <w:sz w:val="21"/>
                      <w:szCs w:val="21"/>
                      <w:highlight w:val="none"/>
                      <w:lang w:val="en-US" w:eastAsia="zh-CN"/>
                    </w:rPr>
                    <w:t>高耗能、高排放、低水平项目</w:t>
                  </w:r>
                  <w:r>
                    <w:rPr>
                      <w:rFonts w:hint="eastAsia" w:ascii="Times New Roman" w:hAnsi="Times New Roman" w:eastAsia="宋体" w:cs="Times New Roman"/>
                      <w:color w:val="auto"/>
                      <w:kern w:val="0"/>
                      <w:sz w:val="21"/>
                      <w:szCs w:val="21"/>
                      <w:highlight w:val="none"/>
                      <w:lang w:val="en-US" w:eastAsia="zh-CN"/>
                    </w:rPr>
                    <w:t>，项目符合</w:t>
                  </w:r>
                  <w:r>
                    <w:rPr>
                      <w:rFonts w:hint="default" w:ascii="Times New Roman" w:hAnsi="Times New Roman" w:eastAsia="宋体" w:cs="Times New Roman"/>
                      <w:color w:val="auto"/>
                      <w:kern w:val="0"/>
                      <w:sz w:val="21"/>
                      <w:szCs w:val="21"/>
                      <w:highlight w:val="none"/>
                      <w:lang w:val="en-US" w:eastAsia="zh-CN"/>
                    </w:rPr>
                    <w:t>国家产业规划、产业政策、生态环境分区管控方案、规划环评</w:t>
                  </w:r>
                  <w:r>
                    <w:rPr>
                      <w:rFonts w:hint="eastAsia" w:ascii="Times New Roman" w:hAnsi="Times New Roman" w:eastAsia="宋体" w:cs="Times New Roman"/>
                      <w:color w:val="auto"/>
                      <w:kern w:val="0"/>
                      <w:sz w:val="21"/>
                      <w:szCs w:val="21"/>
                      <w:highlight w:val="none"/>
                      <w:lang w:val="en-US" w:eastAsia="zh-CN"/>
                    </w:rPr>
                    <w:t>等要求；物料运输采用清洁能源汽车或国六排放标准汽车。项目不涉及产能置换。</w:t>
                  </w:r>
                </w:p>
              </w:tc>
              <w:tc>
                <w:tcPr>
                  <w:tcW w:w="501" w:type="pct"/>
                  <w:vAlign w:val="center"/>
                </w:tcPr>
                <w:p w14:paraId="6CBAC372">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5FF1E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749" w:type="pct"/>
                  <w:vMerge w:val="continue"/>
                  <w:vAlign w:val="center"/>
                </w:tcPr>
                <w:p w14:paraId="56E0D62C">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203FE728">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优化含VOCs原辅材料和产品结构。严格控制生产和使用高VOCs含量涂料、油墨、胶粘剂、清洗剂等建设项目，提高低（无）VOCs含量产品比重。实施源头替代工程，加大工业涂装、包装印刷和电子行业低（无）VOCs含量原辅材料替代力度</w:t>
                  </w:r>
                  <w:r>
                    <w:rPr>
                      <w:rFonts w:hint="eastAsia" w:ascii="Times New Roman" w:hAnsi="Times New Roman" w:eastAsia="宋体" w:cs="Times New Roman"/>
                      <w:color w:val="auto"/>
                      <w:kern w:val="0"/>
                      <w:sz w:val="21"/>
                      <w:szCs w:val="21"/>
                      <w:highlight w:val="none"/>
                      <w:lang w:val="en-US" w:eastAsia="zh-CN"/>
                    </w:rPr>
                    <w:t>。</w:t>
                  </w:r>
                </w:p>
              </w:tc>
              <w:tc>
                <w:tcPr>
                  <w:tcW w:w="1159" w:type="pct"/>
                  <w:shd w:val="clear" w:color="auto" w:fill="auto"/>
                  <w:vAlign w:val="center"/>
                </w:tcPr>
                <w:p w14:paraId="391C9AB4">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本项目不属于</w:t>
                  </w:r>
                  <w:r>
                    <w:rPr>
                      <w:rFonts w:hint="default" w:ascii="Times New Roman" w:hAnsi="Times New Roman" w:eastAsia="宋体" w:cs="Times New Roman"/>
                      <w:color w:val="auto"/>
                      <w:kern w:val="0"/>
                      <w:sz w:val="21"/>
                      <w:szCs w:val="21"/>
                      <w:highlight w:val="none"/>
                      <w:lang w:val="en-US" w:eastAsia="zh-CN"/>
                    </w:rPr>
                    <w:t>生产和使用高VOCs含量涂料、油墨、胶粘剂、清洗剂等建设项目</w:t>
                  </w:r>
                  <w:r>
                    <w:rPr>
                      <w:rFonts w:hint="eastAsia" w:ascii="Times New Roman" w:hAnsi="Times New Roman" w:eastAsia="宋体" w:cs="Times New Roman"/>
                      <w:color w:val="auto"/>
                      <w:kern w:val="0"/>
                      <w:sz w:val="21"/>
                      <w:szCs w:val="21"/>
                      <w:highlight w:val="none"/>
                      <w:lang w:val="en-US" w:eastAsia="zh-CN"/>
                    </w:rPr>
                    <w:t>。</w:t>
                  </w:r>
                </w:p>
              </w:tc>
              <w:tc>
                <w:tcPr>
                  <w:tcW w:w="501" w:type="pct"/>
                  <w:vAlign w:val="center"/>
                </w:tcPr>
                <w:p w14:paraId="324C3BA8">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20EDD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749" w:type="pct"/>
                  <w:vMerge w:val="continue"/>
                  <w:vAlign w:val="center"/>
                </w:tcPr>
                <w:p w14:paraId="4722CC15">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1E41C112">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大力发展新能源和清洁能源。到2025年，非化石能源消费比重达20%左右，电能占终端能源消费比重达30%左右。持续增加天然气生产供应，新增天然气优先保障居民生活和清洁取暖需求</w:t>
                  </w:r>
                  <w:r>
                    <w:rPr>
                      <w:rFonts w:hint="eastAsia" w:ascii="Times New Roman" w:hAnsi="Times New Roman" w:eastAsia="宋体" w:cs="Times New Roman"/>
                      <w:color w:val="auto"/>
                      <w:kern w:val="0"/>
                      <w:sz w:val="21"/>
                      <w:szCs w:val="21"/>
                      <w:highlight w:val="none"/>
                      <w:lang w:val="en-US" w:eastAsia="zh-CN"/>
                    </w:rPr>
                    <w:t>。</w:t>
                  </w:r>
                </w:p>
              </w:tc>
              <w:tc>
                <w:tcPr>
                  <w:tcW w:w="1159" w:type="pct"/>
                  <w:shd w:val="clear" w:color="auto" w:fill="auto"/>
                  <w:vAlign w:val="center"/>
                </w:tcPr>
                <w:p w14:paraId="6B6DC503">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本项目能源使用电能，不使用煤炭。</w:t>
                  </w:r>
                </w:p>
              </w:tc>
              <w:tc>
                <w:tcPr>
                  <w:tcW w:w="501" w:type="pct"/>
                  <w:vAlign w:val="center"/>
                </w:tcPr>
                <w:p w14:paraId="259B1FC4">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6BEFC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679BE148">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53D5D03B">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强化非道路移动源综合治理。加快推进铁路货场、物流园区、港口、机场、工矿企业内部作业车辆和机械新能源更新改造</w:t>
                  </w:r>
                  <w:r>
                    <w:rPr>
                      <w:rFonts w:hint="eastAsia" w:ascii="Times New Roman" w:hAnsi="Times New Roman" w:eastAsia="宋体" w:cs="Times New Roman"/>
                      <w:color w:val="auto"/>
                      <w:kern w:val="0"/>
                      <w:sz w:val="21"/>
                      <w:szCs w:val="21"/>
                      <w:highlight w:val="none"/>
                      <w:lang w:val="en-US" w:eastAsia="zh-CN"/>
                    </w:rPr>
                    <w:t>。</w:t>
                  </w:r>
                </w:p>
              </w:tc>
              <w:tc>
                <w:tcPr>
                  <w:tcW w:w="1159" w:type="pct"/>
                  <w:shd w:val="clear" w:color="auto" w:fill="auto"/>
                  <w:vAlign w:val="center"/>
                </w:tcPr>
                <w:p w14:paraId="070C11FD">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本项目非道路移动机械动力采用新能源。</w:t>
                  </w:r>
                </w:p>
              </w:tc>
              <w:tc>
                <w:tcPr>
                  <w:tcW w:w="501" w:type="pct"/>
                  <w:vAlign w:val="center"/>
                </w:tcPr>
                <w:p w14:paraId="2E6FA82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234F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Merge w:val="continue"/>
                  <w:vAlign w:val="center"/>
                </w:tcPr>
                <w:p w14:paraId="7E1C2AD5">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5EFF897E">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强化VOCs全流程、全环节综合治理。鼓励储罐使用低泄漏的呼吸阀、紧急泄压阀，定期开展密封性检测。汽车罐车推广使用密封式快速接头。污水处理场所高浓度有机废气要单独收集处理；含VOCs有机废水储罐、装置区集水井（池）有机废气要密闭收集处理。重点区域石化、化工行业集中的城市和重点工业园区，2024年年底前建立统一的泄漏检测与修复信息管理平台。企业开停工、检维修期间，及时收集处理退料、清洗、吹扫等作业产生的VOCs废气。企业不得将火炬燃烧装置作为日常大气污染处理设施。</w:t>
                  </w:r>
                </w:p>
              </w:tc>
              <w:tc>
                <w:tcPr>
                  <w:tcW w:w="1159" w:type="pct"/>
                  <w:shd w:val="clear" w:color="auto" w:fill="auto"/>
                  <w:vAlign w:val="center"/>
                </w:tcPr>
                <w:p w14:paraId="5F1A3831">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本项目生产过程产生的VOCs废气采取</w:t>
                  </w:r>
                  <w:r>
                    <w:rPr>
                      <w:rFonts w:hint="eastAsia" w:cs="Times New Roman"/>
                      <w:color w:val="auto"/>
                      <w:kern w:val="0"/>
                      <w:sz w:val="21"/>
                      <w:szCs w:val="21"/>
                      <w:highlight w:val="none"/>
                      <w:lang w:val="en-US" w:eastAsia="zh-CN"/>
                    </w:rPr>
                    <w:t>二级活性炭吸附装置</w:t>
                  </w:r>
                  <w:r>
                    <w:rPr>
                      <w:rFonts w:hint="eastAsia" w:ascii="Times New Roman" w:hAnsi="Times New Roman" w:eastAsia="宋体" w:cs="Times New Roman"/>
                      <w:color w:val="auto"/>
                      <w:kern w:val="0"/>
                      <w:sz w:val="21"/>
                      <w:szCs w:val="21"/>
                      <w:highlight w:val="none"/>
                      <w:lang w:val="en-US" w:eastAsia="zh-CN"/>
                    </w:rPr>
                    <w:t>治理。</w:t>
                  </w:r>
                </w:p>
              </w:tc>
              <w:tc>
                <w:tcPr>
                  <w:tcW w:w="501" w:type="pct"/>
                  <w:vAlign w:val="center"/>
                </w:tcPr>
                <w:p w14:paraId="3CD8865F">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7C8AD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4" w:hRule="atLeast"/>
              </w:trPr>
              <w:tc>
                <w:tcPr>
                  <w:tcW w:w="749" w:type="pct"/>
                  <w:vMerge w:val="restart"/>
                  <w:vAlign w:val="center"/>
                </w:tcPr>
                <w:p w14:paraId="0E1EA41F">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《河北省空气质量持续改善行动计划实施方案》（冀政发〔2024〕4号）</w:t>
                  </w:r>
                </w:p>
              </w:tc>
              <w:tc>
                <w:tcPr>
                  <w:tcW w:w="2589" w:type="pct"/>
                  <w:vAlign w:val="center"/>
                </w:tcPr>
                <w:p w14:paraId="221B721A">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r>
                    <w:rPr>
                      <w:rFonts w:hint="eastAsia" w:ascii="Times New Roman" w:hAnsi="Times New Roman" w:cs="Times New Roman"/>
                      <w:color w:val="auto"/>
                      <w:kern w:val="0"/>
                      <w:sz w:val="21"/>
                      <w:szCs w:val="21"/>
                      <w:highlight w:val="none"/>
                      <w:lang w:val="en-US" w:eastAsia="zh-CN"/>
                    </w:rPr>
                    <w:t>。</w:t>
                  </w:r>
                </w:p>
              </w:tc>
              <w:tc>
                <w:tcPr>
                  <w:tcW w:w="1159" w:type="pct"/>
                  <w:shd w:val="clear" w:color="auto" w:fill="auto"/>
                  <w:vAlign w:val="center"/>
                </w:tcPr>
                <w:p w14:paraId="587C1E13">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本</w:t>
                  </w:r>
                  <w:r>
                    <w:rPr>
                      <w:rFonts w:hint="default" w:ascii="Times New Roman" w:hAnsi="Times New Roman" w:cs="Times New Roman"/>
                      <w:color w:val="auto"/>
                      <w:kern w:val="0"/>
                      <w:sz w:val="21"/>
                      <w:szCs w:val="21"/>
                      <w:highlight w:val="none"/>
                      <w:lang w:val="en-US" w:eastAsia="zh-CN"/>
                    </w:rPr>
                    <w:t>项目</w:t>
                  </w:r>
                  <w:r>
                    <w:rPr>
                      <w:rFonts w:hint="eastAsia" w:ascii="Times New Roman" w:hAnsi="Times New Roman" w:cs="Times New Roman"/>
                      <w:color w:val="auto"/>
                      <w:kern w:val="0"/>
                      <w:sz w:val="21"/>
                      <w:szCs w:val="21"/>
                      <w:highlight w:val="none"/>
                      <w:lang w:val="en-US" w:eastAsia="zh-CN"/>
                    </w:rPr>
                    <w:t>不属于</w:t>
                  </w:r>
                  <w:r>
                    <w:rPr>
                      <w:rFonts w:hint="default" w:ascii="Times New Roman" w:hAnsi="Times New Roman" w:cs="Times New Roman"/>
                      <w:color w:val="auto"/>
                      <w:kern w:val="0"/>
                      <w:sz w:val="21"/>
                      <w:szCs w:val="21"/>
                      <w:highlight w:val="none"/>
                      <w:lang w:val="en-US" w:eastAsia="zh-CN"/>
                    </w:rPr>
                    <w:t>高耗能、高排放、低水平项目</w:t>
                  </w:r>
                  <w:r>
                    <w:rPr>
                      <w:rFonts w:hint="eastAsia" w:ascii="Times New Roman" w:hAnsi="Times New Roman" w:cs="Times New Roman"/>
                      <w:color w:val="auto"/>
                      <w:kern w:val="0"/>
                      <w:sz w:val="21"/>
                      <w:szCs w:val="21"/>
                      <w:highlight w:val="none"/>
                      <w:lang w:val="en-US" w:eastAsia="zh-CN"/>
                    </w:rPr>
                    <w:t>；项目符合</w:t>
                  </w:r>
                  <w:r>
                    <w:rPr>
                      <w:rFonts w:hint="default" w:ascii="Times New Roman" w:hAnsi="Times New Roman" w:cs="Times New Roman"/>
                      <w:color w:val="auto"/>
                      <w:kern w:val="0"/>
                      <w:sz w:val="21"/>
                      <w:szCs w:val="21"/>
                      <w:highlight w:val="none"/>
                      <w:lang w:val="en-US" w:eastAsia="zh-CN"/>
                    </w:rPr>
                    <w:t>国家和省产业规划、产业政策、生态环境分区管控方案</w:t>
                  </w:r>
                  <w:r>
                    <w:rPr>
                      <w:rFonts w:hint="eastAsia" w:ascii="Times New Roman" w:hAnsi="Times New Roman" w:cs="Times New Roman"/>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lang w:val="en-US" w:eastAsia="zh-CN"/>
                    </w:rPr>
                    <w:t>重点污染物总量控制</w:t>
                  </w:r>
                  <w:r>
                    <w:rPr>
                      <w:rFonts w:hint="eastAsia" w:ascii="Times New Roman" w:hAnsi="Times New Roman" w:cs="Times New Roman"/>
                      <w:color w:val="auto"/>
                      <w:kern w:val="0"/>
                      <w:sz w:val="21"/>
                      <w:szCs w:val="21"/>
                      <w:highlight w:val="none"/>
                      <w:lang w:val="en-US" w:eastAsia="zh-CN"/>
                    </w:rPr>
                    <w:t>等要求；</w:t>
                  </w:r>
                  <w:r>
                    <w:rPr>
                      <w:rFonts w:hint="eastAsia" w:ascii="Times New Roman" w:hAnsi="Times New Roman" w:eastAsia="宋体" w:cs="Times New Roman"/>
                      <w:color w:val="auto"/>
                      <w:kern w:val="0"/>
                      <w:sz w:val="21"/>
                      <w:szCs w:val="21"/>
                      <w:highlight w:val="none"/>
                      <w:lang w:val="en-US" w:eastAsia="zh-CN"/>
                    </w:rPr>
                    <w:t>不涉及产能置换。</w:t>
                  </w:r>
                </w:p>
              </w:tc>
              <w:tc>
                <w:tcPr>
                  <w:tcW w:w="501" w:type="pct"/>
                  <w:vAlign w:val="center"/>
                </w:tcPr>
                <w:p w14:paraId="4F8E6F07">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4C1AB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 w:hRule="atLeast"/>
              </w:trPr>
              <w:tc>
                <w:tcPr>
                  <w:tcW w:w="749" w:type="pct"/>
                  <w:vMerge w:val="continue"/>
                  <w:vAlign w:val="center"/>
                </w:tcPr>
                <w:p w14:paraId="5F559B3B">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285C01D2">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大力发展新能源和清洁能源。大力推动电能替代工作。持续增加天然气供应。稳步推进抽水蓄能、海上风电、生物质能和地热能等开发利用。到2025年，全省可再生能源总装机达到1.14亿千瓦以上、占比达到60%以上，非化石能源消费比重达到13%以上，电能占终端能源消费比重达21%左右</w:t>
                  </w:r>
                  <w:r>
                    <w:rPr>
                      <w:rFonts w:hint="eastAsia" w:ascii="Times New Roman" w:hAnsi="Times New Roman" w:eastAsia="宋体" w:cs="Times New Roman"/>
                      <w:b w:val="0"/>
                      <w:bCs w:val="0"/>
                      <w:color w:val="auto"/>
                      <w:sz w:val="21"/>
                      <w:szCs w:val="21"/>
                      <w:highlight w:val="none"/>
                      <w:lang w:val="en-US" w:eastAsia="zh-CN"/>
                    </w:rPr>
                    <w:t>。</w:t>
                  </w:r>
                </w:p>
              </w:tc>
              <w:tc>
                <w:tcPr>
                  <w:tcW w:w="1159" w:type="pct"/>
                  <w:shd w:val="clear" w:color="auto" w:fill="auto"/>
                  <w:vAlign w:val="center"/>
                </w:tcPr>
                <w:p w14:paraId="4291B0D9">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本项目能源使用电能，不使用煤炭。</w:t>
                  </w:r>
                </w:p>
              </w:tc>
              <w:tc>
                <w:tcPr>
                  <w:tcW w:w="501" w:type="pct"/>
                  <w:vAlign w:val="center"/>
                </w:tcPr>
                <w:p w14:paraId="63A14681">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21C7F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5" w:hRule="atLeast"/>
              </w:trPr>
              <w:tc>
                <w:tcPr>
                  <w:tcW w:w="749" w:type="pct"/>
                  <w:vMerge w:val="continue"/>
                  <w:vAlign w:val="center"/>
                </w:tcPr>
                <w:p w14:paraId="521223E4">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rPr>
                  </w:pPr>
                </w:p>
              </w:tc>
              <w:tc>
                <w:tcPr>
                  <w:tcW w:w="2589" w:type="pct"/>
                  <w:vAlign w:val="center"/>
                </w:tcPr>
                <w:p w14:paraId="22C9785F">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鼓励储罐使用低泄漏的呼吸阀、紧急泄压阀，定期开展密封性检测。污水处理场所加大有机废气收集处理力度。重点区域石化、化工行业集中的城市和区域，2024年建立统一的泄漏检测与修复信息管理平台。加强部门联动，因地制宜解决群众反映集中的油烟及恶臭异味扰民问题</w:t>
                  </w:r>
                  <w:r>
                    <w:rPr>
                      <w:rFonts w:hint="eastAsia" w:ascii="Times New Roman" w:hAnsi="Times New Roman" w:cs="Times New Roman"/>
                      <w:color w:val="auto"/>
                      <w:kern w:val="0"/>
                      <w:sz w:val="21"/>
                      <w:szCs w:val="21"/>
                      <w:highlight w:val="none"/>
                      <w:lang w:val="en-US" w:eastAsia="zh-CN"/>
                    </w:rPr>
                    <w:t>。</w:t>
                  </w:r>
                </w:p>
              </w:tc>
              <w:tc>
                <w:tcPr>
                  <w:tcW w:w="1159" w:type="pct"/>
                  <w:shd w:val="clear" w:color="auto" w:fill="auto"/>
                  <w:vAlign w:val="center"/>
                </w:tcPr>
                <w:p w14:paraId="44BDEEEE">
                  <w:pPr>
                    <w:keepNext w:val="0"/>
                    <w:keepLines w:val="0"/>
                    <w:suppressLineNumbers w:val="0"/>
                    <w:autoSpaceDE w:val="0"/>
                    <w:snapToGrid w:val="0"/>
                    <w:spacing w:before="0" w:beforeAutospacing="0" w:after="0" w:afterAutospacing="0"/>
                    <w:ind w:left="0" w:leftChars="0" w:right="0" w:rightChars="0"/>
                    <w:jc w:val="center"/>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本项目不属于</w:t>
                  </w:r>
                  <w:r>
                    <w:rPr>
                      <w:rFonts w:hint="default" w:ascii="Times New Roman" w:hAnsi="Times New Roman" w:eastAsia="宋体" w:cs="Times New Roman"/>
                      <w:color w:val="auto"/>
                      <w:kern w:val="0"/>
                      <w:sz w:val="21"/>
                      <w:szCs w:val="21"/>
                      <w:highlight w:val="none"/>
                      <w:lang w:val="en-US" w:eastAsia="zh-CN"/>
                    </w:rPr>
                    <w:t>生产和使用高VOCs含量涂料、油墨、胶粘剂、清洗剂等建设项目</w:t>
                  </w:r>
                  <w:r>
                    <w:rPr>
                      <w:rFonts w:hint="eastAsia" w:ascii="Times New Roman" w:hAnsi="Times New Roman" w:eastAsia="宋体" w:cs="Times New Roman"/>
                      <w:color w:val="auto"/>
                      <w:kern w:val="0"/>
                      <w:sz w:val="21"/>
                      <w:szCs w:val="21"/>
                      <w:highlight w:val="none"/>
                      <w:lang w:val="en-US" w:eastAsia="zh-CN"/>
                    </w:rPr>
                    <w:t>。</w:t>
                  </w:r>
                </w:p>
              </w:tc>
              <w:tc>
                <w:tcPr>
                  <w:tcW w:w="501" w:type="pct"/>
                  <w:vAlign w:val="center"/>
                </w:tcPr>
                <w:p w14:paraId="62F5F50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0DE96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trPr>
              <w:tc>
                <w:tcPr>
                  <w:tcW w:w="749" w:type="pct"/>
                  <w:vMerge w:val="restart"/>
                  <w:vAlign w:val="center"/>
                </w:tcPr>
                <w:p w14:paraId="0E007541">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0"/>
                      <w:highlight w:val="none"/>
                      <w:lang w:eastAsia="zh-CN"/>
                    </w:rPr>
                  </w:pPr>
                  <w:r>
                    <w:rPr>
                      <w:rFonts w:hint="default" w:ascii="Times New Roman" w:hAnsi="Times New Roman" w:cs="Times New Roman"/>
                      <w:color w:val="auto"/>
                      <w:kern w:val="0"/>
                      <w:sz w:val="21"/>
                      <w:szCs w:val="21"/>
                      <w:highlight w:val="none"/>
                      <w:lang w:val="en-US" w:eastAsia="zh-CN"/>
                    </w:rPr>
                    <w:t>《石家庄市2025年挥发性有机物治理工作实施方案的通知》</w:t>
                  </w:r>
                </w:p>
              </w:tc>
              <w:tc>
                <w:tcPr>
                  <w:tcW w:w="2589" w:type="pct"/>
                  <w:vAlign w:val="center"/>
                </w:tcPr>
                <w:p w14:paraId="417098CC">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1"/>
                      <w:highlight w:val="none"/>
                      <w:lang w:val="en-US" w:eastAsia="zh-CN"/>
                    </w:rPr>
                  </w:pPr>
                  <w:r>
                    <w:rPr>
                      <w:rFonts w:hint="eastAsia" w:ascii="Times New Roman" w:hAnsi="Times New Roman" w:eastAsia="Tahoma" w:cs="Times New Roman"/>
                      <w:i w:val="0"/>
                      <w:iCs w:val="0"/>
                      <w:caps w:val="0"/>
                      <w:color w:val="auto"/>
                      <w:spacing w:val="-6"/>
                      <w:sz w:val="21"/>
                      <w:szCs w:val="21"/>
                      <w:highlight w:val="none"/>
                      <w:shd w:val="clear" w:color="auto" w:fill="FFFFFF"/>
                      <w:lang w:val="en-US" w:eastAsia="zh-CN"/>
                    </w:rPr>
                    <w:t>大力推进源头替代。按照《河北省低挥发性有机物原辅材料源头替代实施》要求，在工业涂装、包装印刷、家具制造等涉溶剂行业企业3个行业强力推进源头替代工作，溶剂型工业涂料、胶粘剂、油墨使用比例分别下降20%、20%和15%。4月底前，完成100家企业原辅材料替代或部分替代工作。</w:t>
                  </w:r>
                </w:p>
              </w:tc>
              <w:tc>
                <w:tcPr>
                  <w:tcW w:w="1159" w:type="pct"/>
                  <w:vAlign w:val="center"/>
                </w:tcPr>
                <w:p w14:paraId="3ADA6214">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1"/>
                      <w:highlight w:val="none"/>
                      <w:lang w:val="en-US" w:eastAsia="zh-CN"/>
                    </w:rPr>
                  </w:pPr>
                  <w:r>
                    <w:rPr>
                      <w:rFonts w:hint="eastAsia" w:ascii="Times New Roman" w:hAnsi="Times New Roman" w:cs="Times New Roman"/>
                      <w:color w:val="auto"/>
                      <w:kern w:val="0"/>
                      <w:sz w:val="21"/>
                      <w:szCs w:val="21"/>
                      <w:highlight w:val="none"/>
                      <w:lang w:val="en-US" w:eastAsia="zh-CN"/>
                    </w:rPr>
                    <w:t>本项目不属于</w:t>
                  </w:r>
                  <w:r>
                    <w:rPr>
                      <w:rFonts w:hint="eastAsia" w:ascii="Times New Roman" w:hAnsi="Times New Roman" w:eastAsia="Tahoma" w:cs="Times New Roman"/>
                      <w:i w:val="0"/>
                      <w:iCs w:val="0"/>
                      <w:caps w:val="0"/>
                      <w:color w:val="auto"/>
                      <w:spacing w:val="0"/>
                      <w:sz w:val="21"/>
                      <w:szCs w:val="21"/>
                      <w:highlight w:val="none"/>
                      <w:shd w:val="clear" w:color="auto" w:fill="FFFFFF"/>
                      <w:lang w:val="en-US" w:eastAsia="zh-CN"/>
                    </w:rPr>
                    <w:t>工业涂装、包装印刷、家具制造行业。</w:t>
                  </w:r>
                </w:p>
              </w:tc>
              <w:tc>
                <w:tcPr>
                  <w:tcW w:w="501" w:type="pct"/>
                  <w:vAlign w:val="center"/>
                </w:tcPr>
                <w:p w14:paraId="363AABED">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3068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trPr>
              <w:tc>
                <w:tcPr>
                  <w:tcW w:w="749" w:type="pct"/>
                  <w:vMerge w:val="continue"/>
                  <w:vAlign w:val="center"/>
                </w:tcPr>
                <w:p w14:paraId="51C139B2">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0"/>
                      <w:highlight w:val="none"/>
                      <w:lang w:eastAsia="zh-CN"/>
                    </w:rPr>
                  </w:pPr>
                </w:p>
              </w:tc>
              <w:tc>
                <w:tcPr>
                  <w:tcW w:w="2589" w:type="pct"/>
                  <w:vAlign w:val="center"/>
                </w:tcPr>
                <w:p w14:paraId="77FC8963">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6"/>
                      <w:sz w:val="21"/>
                      <w:szCs w:val="21"/>
                      <w:highlight w:val="none"/>
                      <w:lang w:val="en-US" w:eastAsia="zh-CN"/>
                    </w:rPr>
                  </w:pPr>
                  <w:r>
                    <w:rPr>
                      <w:rFonts w:hint="eastAsia" w:ascii="Times New Roman" w:hAnsi="Times New Roman" w:eastAsia="Tahoma" w:cs="Times New Roman"/>
                      <w:i w:val="0"/>
                      <w:iCs w:val="0"/>
                      <w:caps w:val="0"/>
                      <w:color w:val="auto"/>
                      <w:spacing w:val="-6"/>
                      <w:sz w:val="21"/>
                      <w:szCs w:val="21"/>
                      <w:highlight w:val="none"/>
                      <w:shd w:val="clear" w:color="auto" w:fill="FFFFFF"/>
                      <w:lang w:val="en-US" w:eastAsia="zh-CN"/>
                    </w:rPr>
                    <w:t>加快低效治理设施淘汰。对116家使用低温等离子、光氧/催化及其组合治理设施等低效治理设施企业（异味治理、含油废气治理等除外）逐一开展现场核查，3月底前，更换为两级活性炭吸附等适宜治理设施。对确需保留的，相关县（市、区）分局要组织开展评估论证，并向市生态环境局备案管理。</w:t>
                  </w:r>
                </w:p>
              </w:tc>
              <w:tc>
                <w:tcPr>
                  <w:tcW w:w="1159" w:type="pct"/>
                  <w:vAlign w:val="center"/>
                </w:tcPr>
                <w:p w14:paraId="4AAF87F8">
                  <w:pPr>
                    <w:keepNext w:val="0"/>
                    <w:keepLines w:val="0"/>
                    <w:suppressLineNumbers w:val="0"/>
                    <w:autoSpaceDE w:val="0"/>
                    <w:snapToGrid w:val="0"/>
                    <w:spacing w:before="0" w:beforeAutospacing="0" w:after="0" w:afterAutospacing="0"/>
                    <w:ind w:left="0" w:leftChars="0" w:right="0" w:rightChars="0"/>
                    <w:jc w:val="center"/>
                    <w:rPr>
                      <w:rFonts w:hint="default" w:ascii="Times New Roman" w:hAnsi="Times New Roman" w:cs="Times New Roman"/>
                      <w:smallCaps w:val="0"/>
                      <w:color w:val="auto"/>
                      <w:spacing w:val="0"/>
                      <w:szCs w:val="21"/>
                      <w:highlight w:val="none"/>
                      <w:lang w:val="en-US" w:eastAsia="zh-CN"/>
                    </w:rPr>
                  </w:pPr>
                  <w:r>
                    <w:rPr>
                      <w:rFonts w:hint="eastAsia" w:ascii="Times New Roman" w:hAnsi="Times New Roman" w:cs="Times New Roman"/>
                      <w:color w:val="auto"/>
                      <w:kern w:val="0"/>
                      <w:sz w:val="21"/>
                      <w:szCs w:val="21"/>
                      <w:highlight w:val="none"/>
                      <w:lang w:val="en-US" w:eastAsia="zh-CN"/>
                    </w:rPr>
                    <w:t>本项目有机废气采用</w:t>
                  </w:r>
                  <w:r>
                    <w:rPr>
                      <w:rFonts w:hint="eastAsia" w:cs="Times New Roman"/>
                      <w:color w:val="auto"/>
                      <w:kern w:val="0"/>
                      <w:sz w:val="21"/>
                      <w:szCs w:val="21"/>
                      <w:highlight w:val="none"/>
                      <w:lang w:val="en-US" w:eastAsia="zh-CN"/>
                    </w:rPr>
                    <w:t>二级</w:t>
                  </w:r>
                  <w:r>
                    <w:rPr>
                      <w:rFonts w:hint="eastAsia" w:ascii="Times New Roman" w:hAnsi="Times New Roman" w:eastAsia="Tahoma" w:cs="Times New Roman"/>
                      <w:i w:val="0"/>
                      <w:iCs w:val="0"/>
                      <w:caps w:val="0"/>
                      <w:color w:val="auto"/>
                      <w:spacing w:val="0"/>
                      <w:sz w:val="21"/>
                      <w:szCs w:val="21"/>
                      <w:highlight w:val="none"/>
                      <w:shd w:val="clear" w:color="auto" w:fill="FFFFFF"/>
                      <w:lang w:val="en-US" w:eastAsia="zh-CN"/>
                    </w:rPr>
                    <w:t>活性炭吸附</w:t>
                  </w:r>
                  <w:r>
                    <w:rPr>
                      <w:rFonts w:hint="eastAsia" w:ascii="Times New Roman" w:hAnsi="Times New Roman" w:cs="Times New Roman"/>
                      <w:color w:val="auto"/>
                      <w:kern w:val="0"/>
                      <w:sz w:val="21"/>
                      <w:szCs w:val="21"/>
                      <w:highlight w:val="none"/>
                      <w:lang w:val="en-US" w:eastAsia="zh-CN"/>
                    </w:rPr>
                    <w:t>工艺治理</w:t>
                  </w:r>
                  <w:r>
                    <w:rPr>
                      <w:rFonts w:hint="eastAsia" w:cs="Times New Roman"/>
                      <w:color w:val="auto"/>
                      <w:kern w:val="0"/>
                      <w:sz w:val="21"/>
                      <w:szCs w:val="21"/>
                      <w:highlight w:val="none"/>
                      <w:lang w:val="en-US" w:eastAsia="zh-CN"/>
                    </w:rPr>
                    <w:t>，</w:t>
                  </w:r>
                  <w:r>
                    <w:rPr>
                      <w:rFonts w:hint="eastAsia" w:ascii="Times New Roman" w:hAnsi="Times New Roman" w:cs="Times New Roman"/>
                      <w:color w:val="auto"/>
                      <w:kern w:val="0"/>
                      <w:sz w:val="21"/>
                      <w:szCs w:val="21"/>
                      <w:highlight w:val="none"/>
                      <w:lang w:val="en-US" w:eastAsia="zh-CN"/>
                    </w:rPr>
                    <w:t>去除效率较高。</w:t>
                  </w:r>
                </w:p>
              </w:tc>
              <w:tc>
                <w:tcPr>
                  <w:tcW w:w="501" w:type="pct"/>
                  <w:vAlign w:val="center"/>
                </w:tcPr>
                <w:p w14:paraId="02CFA04E">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0"/>
                      <w:highlight w:val="none"/>
                      <w:lang w:val="en-US" w:eastAsia="zh-CN"/>
                    </w:rPr>
                  </w:pPr>
                  <w:r>
                    <w:rPr>
                      <w:rFonts w:hint="default" w:ascii="Times New Roman" w:hAnsi="Times New Roman" w:cs="Times New Roman"/>
                      <w:smallCaps w:val="0"/>
                      <w:color w:val="auto"/>
                      <w:spacing w:val="0"/>
                      <w:szCs w:val="20"/>
                      <w:highlight w:val="none"/>
                      <w:lang w:val="en-US" w:eastAsia="zh-CN"/>
                    </w:rPr>
                    <w:t>符合</w:t>
                  </w:r>
                </w:p>
              </w:tc>
            </w:tr>
            <w:tr w14:paraId="2577C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9" w:type="pct"/>
                  <w:vAlign w:val="center"/>
                </w:tcPr>
                <w:p w14:paraId="674E10F6">
                  <w:pPr>
                    <w:pStyle w:val="173"/>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260" w:lineRule="exact"/>
                    <w:ind w:left="0" w:right="0"/>
                    <w:jc w:val="center"/>
                    <w:textAlignment w:val="baseline"/>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河北省生态环境厅办公室关于进一步做好沙区建设项目环境影响评价工作的通知</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冀环办字函〔2023〕326号</w:t>
                  </w:r>
                </w:p>
              </w:tc>
              <w:tc>
                <w:tcPr>
                  <w:tcW w:w="2589" w:type="pct"/>
                  <w:vAlign w:val="center"/>
                </w:tcPr>
                <w:p w14:paraId="731FD261">
                  <w:pPr>
                    <w:pStyle w:val="134"/>
                    <w:keepNext w:val="0"/>
                    <w:keepLines w:val="0"/>
                    <w:suppressLineNumbers w:val="0"/>
                    <w:shd w:val="clear" w:color="auto" w:fill="auto"/>
                    <w:spacing w:before="0" w:beforeAutospacing="0" w:after="0" w:afterAutospacing="0"/>
                    <w:ind w:left="0" w:right="0" w:hanging="1" w:firstLineChars="0"/>
                    <w:jc w:val="center"/>
                    <w:rPr>
                      <w:rFonts w:hint="default" w:ascii="Times New Roman" w:hAnsi="Times New Roman"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沙区范围主要涉及的地域：</w:t>
                  </w:r>
                </w:p>
                <w:p w14:paraId="260812FD">
                  <w:pPr>
                    <w:pStyle w:val="134"/>
                    <w:keepNext w:val="0"/>
                    <w:keepLines w:val="0"/>
                    <w:suppressLineNumbers w:val="0"/>
                    <w:shd w:val="clear" w:color="auto" w:fill="auto"/>
                    <w:spacing w:before="0" w:beforeAutospacing="0" w:after="0" w:afterAutospacing="0"/>
                    <w:ind w:left="0" w:right="0" w:hanging="1" w:firstLineChars="0"/>
                    <w:jc w:val="center"/>
                    <w:rPr>
                      <w:rFonts w:hint="default" w:ascii="Times New Roman" w:hAnsi="Times New Roman" w:eastAsia="宋体"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石家庄：藁城区、行唐县、晋州市、灵寿县、深泽县、无极县、新乐市、赵县、正定县</w:t>
                  </w:r>
                </w:p>
              </w:tc>
              <w:tc>
                <w:tcPr>
                  <w:tcW w:w="1159" w:type="pct"/>
                  <w:vAlign w:val="center"/>
                </w:tcPr>
                <w:p w14:paraId="63EBD3FE">
                  <w:pPr>
                    <w:pStyle w:val="134"/>
                    <w:keepNext w:val="0"/>
                    <w:keepLines w:val="0"/>
                    <w:suppressLineNumbers w:val="0"/>
                    <w:shd w:val="clear" w:color="auto" w:fill="auto"/>
                    <w:spacing w:before="0" w:beforeAutospacing="0" w:after="0" w:afterAutospacing="0"/>
                    <w:ind w:left="0" w:right="0"/>
                    <w:jc w:val="center"/>
                    <w:rPr>
                      <w:rFonts w:hint="default" w:ascii="Times New Roman" w:hAnsi="Times New Roman" w:eastAsia="宋体" w:cs="Times New Roman"/>
                      <w:smallCaps w:val="0"/>
                      <w:color w:val="auto"/>
                      <w:spacing w:val="0"/>
                      <w:szCs w:val="21"/>
                      <w:highlight w:val="none"/>
                      <w:lang w:val="en-US" w:eastAsia="zh-CN"/>
                    </w:rPr>
                  </w:pPr>
                  <w:r>
                    <w:rPr>
                      <w:rFonts w:hint="default" w:ascii="Times New Roman" w:hAnsi="Times New Roman" w:cs="Times New Roman"/>
                      <w:smallCaps w:val="0"/>
                      <w:color w:val="auto"/>
                      <w:spacing w:val="0"/>
                      <w:szCs w:val="21"/>
                      <w:highlight w:val="none"/>
                      <w:lang w:val="en-US" w:eastAsia="zh-CN"/>
                    </w:rPr>
                    <w:t>项目占地为石家庄市井陉矿区，不在沙区范围内</w:t>
                  </w:r>
                  <w:r>
                    <w:rPr>
                      <w:rFonts w:hint="eastAsia" w:cs="Times New Roman"/>
                      <w:smallCaps w:val="0"/>
                      <w:color w:val="auto"/>
                      <w:spacing w:val="0"/>
                      <w:szCs w:val="21"/>
                      <w:highlight w:val="none"/>
                      <w:lang w:val="en-US" w:eastAsia="zh-CN"/>
                    </w:rPr>
                    <w:t>。</w:t>
                  </w:r>
                </w:p>
              </w:tc>
              <w:tc>
                <w:tcPr>
                  <w:tcW w:w="501" w:type="pct"/>
                  <w:vAlign w:val="center"/>
                </w:tcPr>
                <w:p w14:paraId="713F6588">
                  <w:pPr>
                    <w:pStyle w:val="173"/>
                    <w:keepNext w:val="0"/>
                    <w:keepLines w:val="0"/>
                    <w:suppressLineNumbers w:val="0"/>
                    <w:spacing w:before="0" w:beforeAutospacing="0" w:after="0" w:afterAutospacing="0"/>
                    <w:ind w:left="0" w:right="0"/>
                    <w:jc w:val="center"/>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符合</w:t>
                  </w:r>
                </w:p>
              </w:tc>
            </w:tr>
          </w:tbl>
          <w:p w14:paraId="6D432EC1">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项目符合</w:t>
            </w:r>
            <w:r>
              <w:rPr>
                <w:rFonts w:hint="default" w:ascii="Times New Roman" w:hAnsi="Times New Roman" w:cs="Times New Roman"/>
                <w:smallCaps w:val="0"/>
                <w:color w:val="auto"/>
                <w:spacing w:val="0"/>
                <w:highlight w:val="none"/>
                <w:lang w:val="en-US" w:eastAsia="zh-CN"/>
              </w:rPr>
              <w:t>相关环境</w:t>
            </w:r>
            <w:r>
              <w:rPr>
                <w:rFonts w:hint="default" w:ascii="Times New Roman" w:hAnsi="Times New Roman" w:cs="Times New Roman"/>
                <w:smallCaps w:val="0"/>
                <w:color w:val="auto"/>
                <w:spacing w:val="0"/>
                <w:highlight w:val="none"/>
              </w:rPr>
              <w:t>管理政策的要求。</w:t>
            </w:r>
          </w:p>
          <w:p w14:paraId="71B7B7D7">
            <w:pPr>
              <w:pStyle w:val="187"/>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right="0" w:rightChars="0" w:firstLine="482" w:firstLineChars="200"/>
              <w:jc w:val="both"/>
              <w:textAlignment w:val="auto"/>
              <w:rPr>
                <w:rFonts w:hint="eastAsia"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7、</w:t>
            </w:r>
            <w:r>
              <w:rPr>
                <w:rFonts w:hint="default" w:ascii="Times New Roman" w:hAnsi="Times New Roman" w:cs="Times New Roman"/>
                <w:smallCaps w:val="0"/>
                <w:color w:val="auto"/>
                <w:spacing w:val="0"/>
                <w:highlight w:val="none"/>
              </w:rPr>
              <w:t>《重污染天气重点行业应急减排措施制定技术指南（2021年修订版）》</w:t>
            </w:r>
            <w:r>
              <w:rPr>
                <w:rFonts w:hint="eastAsia" w:ascii="Times New Roman" w:hAnsi="Times New Roman" w:cs="Times New Roman"/>
                <w:smallCaps w:val="0"/>
                <w:color w:val="auto"/>
                <w:spacing w:val="0"/>
                <w:highlight w:val="none"/>
                <w:lang w:val="en-US" w:eastAsia="zh-CN"/>
              </w:rPr>
              <w:t>符合性分析</w:t>
            </w:r>
          </w:p>
          <w:p w14:paraId="35612A13">
            <w:pPr>
              <w:pStyle w:val="187"/>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right="0" w:rightChars="0" w:firstLine="480" w:firstLineChars="200"/>
              <w:jc w:val="both"/>
              <w:textAlignment w:val="auto"/>
              <w:rPr>
                <w:rFonts w:hint="eastAsia" w:cs="Times New Roman"/>
                <w:b w:val="0"/>
                <w:bCs/>
                <w:smallCaps w:val="0"/>
                <w:color w:val="auto"/>
                <w:spacing w:val="0"/>
                <w:highlight w:val="none"/>
                <w:lang w:val="en-US" w:eastAsia="zh-CN"/>
              </w:rPr>
            </w:pPr>
            <w:r>
              <w:rPr>
                <w:rFonts w:hint="eastAsia" w:ascii="Times New Roman" w:hAnsi="Times New Roman" w:cs="Times New Roman"/>
                <w:b w:val="0"/>
                <w:bCs/>
                <w:smallCaps w:val="0"/>
                <w:color w:val="auto"/>
                <w:spacing w:val="0"/>
                <w:highlight w:val="none"/>
                <w:lang w:val="en-US" w:eastAsia="zh-CN"/>
              </w:rPr>
              <w:t>本</w:t>
            </w:r>
            <w:r>
              <w:rPr>
                <w:rFonts w:hint="default" w:ascii="Times New Roman" w:hAnsi="Times New Roman" w:cs="Times New Roman"/>
                <w:b w:val="0"/>
                <w:bCs/>
                <w:smallCaps w:val="0"/>
                <w:color w:val="auto"/>
                <w:spacing w:val="0"/>
                <w:highlight w:val="none"/>
                <w:lang w:val="en-US" w:eastAsia="zh-CN"/>
              </w:rPr>
              <w:t>项目为</w:t>
            </w:r>
            <w:r>
              <w:rPr>
                <w:rFonts w:hint="eastAsia" w:ascii="Times New Roman" w:hAnsi="Times New Roman" w:cs="Times New Roman"/>
                <w:b w:val="0"/>
                <w:bCs/>
                <w:smallCaps w:val="0"/>
                <w:color w:val="auto"/>
                <w:spacing w:val="0"/>
                <w:highlight w:val="none"/>
                <w:lang w:val="en-US" w:eastAsia="zh-CN"/>
              </w:rPr>
              <w:t>黑色金属</w:t>
            </w:r>
            <w:r>
              <w:rPr>
                <w:rFonts w:hint="default" w:ascii="Times New Roman" w:hAnsi="Times New Roman" w:cs="Times New Roman"/>
                <w:b w:val="0"/>
                <w:bCs/>
                <w:smallCaps w:val="0"/>
                <w:color w:val="auto"/>
                <w:spacing w:val="0"/>
                <w:highlight w:val="none"/>
                <w:lang w:val="en-US" w:eastAsia="zh-CN"/>
              </w:rPr>
              <w:t>铸造，加热方式采用电加热方式，对照</w:t>
            </w:r>
            <w:r>
              <w:rPr>
                <w:rFonts w:hint="eastAsia" w:cs="Times New Roman"/>
                <w:b w:val="0"/>
                <w:bCs/>
                <w:smallCaps w:val="0"/>
                <w:color w:val="auto"/>
                <w:spacing w:val="0"/>
                <w:highlight w:val="none"/>
                <w:lang w:val="en-US" w:eastAsia="zh-CN"/>
              </w:rPr>
              <w:t>《</w:t>
            </w:r>
            <w:r>
              <w:rPr>
                <w:rFonts w:hint="default" w:ascii="Times New Roman" w:hAnsi="Times New Roman" w:cs="Times New Roman"/>
                <w:b w:val="0"/>
                <w:bCs/>
                <w:smallCaps w:val="0"/>
                <w:color w:val="auto"/>
                <w:spacing w:val="0"/>
                <w:highlight w:val="none"/>
                <w:lang w:val="en-US" w:eastAsia="zh-CN"/>
              </w:rPr>
              <w:t>重污染天气重点行业应急减排措施制定技术指南（202</w:t>
            </w:r>
            <w:r>
              <w:rPr>
                <w:rFonts w:hint="eastAsia" w:ascii="Times New Roman" w:hAnsi="Times New Roman" w:cs="Times New Roman"/>
                <w:b w:val="0"/>
                <w:bCs/>
                <w:smallCaps w:val="0"/>
                <w:color w:val="auto"/>
                <w:spacing w:val="0"/>
                <w:highlight w:val="none"/>
                <w:lang w:val="en-US" w:eastAsia="zh-CN"/>
              </w:rPr>
              <w:t>1</w:t>
            </w:r>
            <w:r>
              <w:rPr>
                <w:rFonts w:hint="default" w:ascii="Times New Roman" w:hAnsi="Times New Roman" w:cs="Times New Roman"/>
                <w:b w:val="0"/>
                <w:bCs/>
                <w:smallCaps w:val="0"/>
                <w:color w:val="auto"/>
                <w:spacing w:val="0"/>
                <w:highlight w:val="none"/>
                <w:lang w:val="en-US" w:eastAsia="zh-CN"/>
              </w:rPr>
              <w:t>年修订版）</w:t>
            </w:r>
            <w:r>
              <w:rPr>
                <w:rFonts w:hint="eastAsia" w:cs="Times New Roman"/>
                <w:b w:val="0"/>
                <w:bCs/>
                <w:smallCaps w:val="0"/>
                <w:color w:val="auto"/>
                <w:spacing w:val="0"/>
                <w:highlight w:val="none"/>
                <w:lang w:val="en-US" w:eastAsia="zh-CN"/>
              </w:rPr>
              <w:t>》</w:t>
            </w:r>
            <w:r>
              <w:rPr>
                <w:rFonts w:hint="default" w:ascii="Times New Roman" w:hAnsi="Times New Roman" w:cs="Times New Roman"/>
                <w:b w:val="0"/>
                <w:bCs/>
                <w:smallCaps w:val="0"/>
                <w:color w:val="auto"/>
                <w:spacing w:val="0"/>
                <w:highlight w:val="none"/>
                <w:lang w:val="en-US" w:eastAsia="zh-CN"/>
              </w:rPr>
              <w:t>中铸件企业绩效分级指标（采用天然气、电炉熔化设备）情况如下</w:t>
            </w:r>
            <w:r>
              <w:rPr>
                <w:rFonts w:hint="eastAsia" w:cs="Times New Roman"/>
                <w:b w:val="0"/>
                <w:bCs/>
                <w:smallCaps w:val="0"/>
                <w:color w:val="auto"/>
                <w:spacing w:val="0"/>
                <w:highlight w:val="none"/>
                <w:lang w:val="en-US" w:eastAsia="zh-CN"/>
              </w:rPr>
              <w:t>。</w:t>
            </w:r>
          </w:p>
          <w:p w14:paraId="1D558B36">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表1-</w:t>
            </w:r>
            <w:r>
              <w:rPr>
                <w:rFonts w:hint="eastAsia" w:cs="Times New Roman"/>
                <w:smallCaps w:val="0"/>
                <w:color w:val="auto"/>
                <w:spacing w:val="0"/>
                <w:highlight w:val="none"/>
                <w:lang w:val="en-US" w:eastAsia="zh-CN"/>
              </w:rPr>
              <w:t xml:space="preserve">9 </w:t>
            </w:r>
            <w:r>
              <w:rPr>
                <w:rFonts w:hint="default" w:ascii="Times New Roman" w:hAnsi="Times New Roman" w:cs="Times New Roman"/>
                <w:smallCaps w:val="0"/>
                <w:color w:val="auto"/>
                <w:spacing w:val="0"/>
                <w:highlight w:val="none"/>
              </w:rPr>
              <w:t xml:space="preserve">   项目与《重污染天气重点行业应急减排措施制定技术指南（2021年修订版）》</w:t>
            </w:r>
            <w:r>
              <w:rPr>
                <w:rFonts w:hint="eastAsia" w:cs="Times New Roman"/>
                <w:smallCaps w:val="0"/>
                <w:color w:val="auto"/>
                <w:spacing w:val="0"/>
                <w:highlight w:val="none"/>
                <w:lang w:val="en-US" w:eastAsia="zh-CN"/>
              </w:rPr>
              <w:t>铸造</w:t>
            </w:r>
            <w:r>
              <w:rPr>
                <w:rFonts w:hint="default" w:ascii="Times New Roman" w:hAnsi="Times New Roman" w:cs="Times New Roman"/>
                <w:smallCaps w:val="0"/>
                <w:color w:val="auto"/>
                <w:spacing w:val="0"/>
                <w:highlight w:val="none"/>
              </w:rPr>
              <w:t>符合性分析一览表</w:t>
            </w:r>
          </w:p>
          <w:tbl>
            <w:tblPr>
              <w:tblStyle w:val="47"/>
              <w:tblW w:w="499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3"/>
              <w:gridCol w:w="659"/>
              <w:gridCol w:w="3387"/>
              <w:gridCol w:w="1725"/>
              <w:gridCol w:w="725"/>
            </w:tblGrid>
            <w:tr w14:paraId="1D6AF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59E8790F">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rPr>
                      <w:rFonts w:hint="default" w:ascii="Times New Roman" w:hAnsi="Times New Roman" w:cs="Times New Roman"/>
                      <w:b/>
                      <w:bCs w:val="0"/>
                      <w:color w:val="auto"/>
                      <w:spacing w:val="0"/>
                      <w:sz w:val="21"/>
                      <w:szCs w:val="21"/>
                      <w:highlight w:val="none"/>
                    </w:rPr>
                  </w:pPr>
                  <w:r>
                    <w:rPr>
                      <w:rFonts w:hint="default" w:ascii="Times New Roman" w:hAnsi="Times New Roman" w:cs="Times New Roman"/>
                      <w:b/>
                      <w:bCs w:val="0"/>
                      <w:color w:val="auto"/>
                      <w:spacing w:val="0"/>
                      <w:sz w:val="21"/>
                      <w:szCs w:val="21"/>
                      <w:highlight w:val="none"/>
                    </w:rPr>
                    <w:t>差异化指标</w:t>
                  </w:r>
                </w:p>
              </w:tc>
              <w:tc>
                <w:tcPr>
                  <w:tcW w:w="2794" w:type="pct"/>
                  <w:gridSpan w:val="2"/>
                  <w:noWrap w:val="0"/>
                  <w:vAlign w:val="center"/>
                </w:tcPr>
                <w:p w14:paraId="1E90C3E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rPr>
                      <w:rFonts w:hint="default" w:ascii="Times New Roman" w:hAnsi="Times New Roman" w:cs="Times New Roman"/>
                      <w:b/>
                      <w:bCs w:val="0"/>
                      <w:color w:val="auto"/>
                      <w:spacing w:val="0"/>
                      <w:sz w:val="21"/>
                      <w:szCs w:val="21"/>
                      <w:highlight w:val="none"/>
                    </w:rPr>
                  </w:pPr>
                  <w:r>
                    <w:rPr>
                      <w:rFonts w:hint="default" w:ascii="Times New Roman" w:hAnsi="Times New Roman" w:cs="Times New Roman"/>
                      <w:b/>
                      <w:bCs w:val="0"/>
                      <w:color w:val="auto"/>
                      <w:spacing w:val="0"/>
                      <w:sz w:val="21"/>
                      <w:szCs w:val="21"/>
                      <w:highlight w:val="none"/>
                    </w:rPr>
                    <w:t>B级企业</w:t>
                  </w:r>
                </w:p>
              </w:tc>
              <w:tc>
                <w:tcPr>
                  <w:tcW w:w="1191" w:type="pct"/>
                  <w:noWrap w:val="0"/>
                  <w:vAlign w:val="center"/>
                </w:tcPr>
                <w:p w14:paraId="63FCAE2F">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ascii="Times New Roman" w:hAnsi="Times New Roman" w:eastAsia="宋体" w:cs="Times New Roman"/>
                      <w:b/>
                      <w:bCs w:val="0"/>
                      <w:color w:val="auto"/>
                      <w:spacing w:val="0"/>
                      <w:sz w:val="21"/>
                      <w:szCs w:val="21"/>
                      <w:highlight w:val="none"/>
                      <w:lang w:val="en-US" w:eastAsia="zh-CN"/>
                    </w:rPr>
                  </w:pPr>
                  <w:r>
                    <w:rPr>
                      <w:rFonts w:hint="default" w:ascii="Times New Roman" w:hAnsi="Times New Roman" w:cs="Times New Roman"/>
                      <w:b/>
                      <w:bCs w:val="0"/>
                      <w:color w:val="auto"/>
                      <w:spacing w:val="0"/>
                      <w:sz w:val="21"/>
                      <w:szCs w:val="21"/>
                      <w:highlight w:val="none"/>
                    </w:rPr>
                    <w:t>项目</w:t>
                  </w:r>
                  <w:r>
                    <w:rPr>
                      <w:rFonts w:hint="eastAsia" w:cs="Times New Roman"/>
                      <w:b/>
                      <w:bCs w:val="0"/>
                      <w:color w:val="auto"/>
                      <w:spacing w:val="0"/>
                      <w:sz w:val="21"/>
                      <w:szCs w:val="21"/>
                      <w:highlight w:val="none"/>
                      <w:lang w:val="en-US" w:eastAsia="zh-CN"/>
                    </w:rPr>
                    <w:t>情况</w:t>
                  </w:r>
                </w:p>
              </w:tc>
              <w:tc>
                <w:tcPr>
                  <w:tcW w:w="500" w:type="pct"/>
                  <w:noWrap w:val="0"/>
                  <w:vAlign w:val="center"/>
                </w:tcPr>
                <w:p w14:paraId="31FF91A4">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ascii="Times New Roman" w:hAnsi="Times New Roman" w:eastAsia="宋体" w:cs="Times New Roman"/>
                      <w:b/>
                      <w:bCs w:val="0"/>
                      <w:color w:val="auto"/>
                      <w:spacing w:val="0"/>
                      <w:sz w:val="21"/>
                      <w:szCs w:val="21"/>
                      <w:highlight w:val="none"/>
                      <w:lang w:val="en-US" w:eastAsia="zh-CN"/>
                    </w:rPr>
                  </w:pPr>
                  <w:r>
                    <w:rPr>
                      <w:rFonts w:hint="eastAsia" w:cs="Times New Roman"/>
                      <w:b/>
                      <w:bCs w:val="0"/>
                      <w:color w:val="auto"/>
                      <w:spacing w:val="0"/>
                      <w:sz w:val="21"/>
                      <w:szCs w:val="21"/>
                      <w:highlight w:val="none"/>
                      <w:lang w:val="en-US" w:eastAsia="zh-CN"/>
                    </w:rPr>
                    <w:t>符合性</w:t>
                  </w:r>
                </w:p>
              </w:tc>
            </w:tr>
            <w:tr w14:paraId="33D34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7DD0AF83">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rPr>
                      <w:rFonts w:hint="default" w:ascii="Times New Roman" w:hAnsi="Times New Roman" w:eastAsia="宋体" w:cs="Times New Roman"/>
                      <w:bCs/>
                      <w:color w:val="auto"/>
                      <w:spacing w:val="0"/>
                      <w:sz w:val="21"/>
                      <w:szCs w:val="21"/>
                      <w:highlight w:val="none"/>
                    </w:rPr>
                  </w:pPr>
                  <w:r>
                    <w:rPr>
                      <w:rFonts w:hint="eastAsia" w:ascii="宋体" w:hAnsi="宋体" w:eastAsia="宋体" w:cs="宋体"/>
                      <w:color w:val="000000"/>
                      <w:spacing w:val="0"/>
                      <w:kern w:val="0"/>
                      <w:sz w:val="21"/>
                      <w:szCs w:val="21"/>
                      <w:highlight w:val="none"/>
                      <w:lang w:val="en-US" w:eastAsia="zh-CN" w:bidi="ar"/>
                    </w:rPr>
                    <w:t>装备水平及生产工艺</w:t>
                  </w:r>
                </w:p>
              </w:tc>
              <w:tc>
                <w:tcPr>
                  <w:tcW w:w="2794" w:type="pct"/>
                  <w:gridSpan w:val="2"/>
                  <w:noWrap w:val="0"/>
                  <w:vAlign w:val="center"/>
                </w:tcPr>
                <w:p w14:paraId="4B053017">
                  <w:pPr>
                    <w:keepNext w:val="0"/>
                    <w:keepLines w:val="0"/>
                    <w:pageBreakBefore w:val="0"/>
                    <w:widowControl/>
                    <w:numPr>
                      <w:ilvl w:val="0"/>
                      <w:numId w:val="4"/>
                    </w:numPr>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sz w:val="21"/>
                      <w:szCs w:val="21"/>
                      <w:highlight w:val="none"/>
                    </w:rPr>
                  </w:pPr>
                  <w:r>
                    <w:rPr>
                      <w:rFonts w:hint="default" w:ascii="Times New Roman" w:hAnsi="Times New Roman" w:eastAsia="宋体" w:cs="Times New Roman"/>
                      <w:bCs/>
                      <w:color w:val="auto"/>
                      <w:spacing w:val="0"/>
                      <w:sz w:val="21"/>
                      <w:szCs w:val="21"/>
                      <w:highlight w:val="none"/>
                    </w:rPr>
                    <w:t>粘土砂工艺（连续生产一个班次8小时或者至少300件批次连续生产）、消失模工艺采用机械化造型及以上；2、熔模铸造工艺采用机械化制壳及以上；3、压铸等其他铸造工艺暂不考虑装备水平差异，依据其污染治理水平确定绩效</w:t>
                  </w:r>
                </w:p>
              </w:tc>
              <w:tc>
                <w:tcPr>
                  <w:tcW w:w="1191" w:type="pct"/>
                  <w:noWrap w:val="0"/>
                  <w:vAlign w:val="center"/>
                </w:tcPr>
                <w:p w14:paraId="0F467E15">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本项目</w:t>
                  </w:r>
                  <w:r>
                    <w:rPr>
                      <w:rFonts w:hint="eastAsia" w:ascii="Times New Roman" w:hAnsi="Times New Roman" w:eastAsia="宋体" w:cs="Times New Roman"/>
                      <w:color w:val="auto"/>
                      <w:spacing w:val="0"/>
                      <w:sz w:val="21"/>
                      <w:szCs w:val="21"/>
                      <w:highlight w:val="none"/>
                      <w:lang w:val="en-US" w:eastAsia="zh-CN"/>
                    </w:rPr>
                    <w:t>采用覆膜砂</w:t>
                  </w:r>
                  <w:r>
                    <w:rPr>
                      <w:rFonts w:hint="eastAsia" w:cs="Times New Roman"/>
                      <w:color w:val="auto"/>
                      <w:spacing w:val="0"/>
                      <w:sz w:val="21"/>
                      <w:szCs w:val="21"/>
                      <w:highlight w:val="none"/>
                      <w:lang w:val="en-US" w:eastAsia="zh-CN"/>
                    </w:rPr>
                    <w:t>砂</w:t>
                  </w:r>
                  <w:r>
                    <w:rPr>
                      <w:rFonts w:hint="eastAsia" w:ascii="Times New Roman" w:hAnsi="Times New Roman" w:eastAsia="宋体" w:cs="Times New Roman"/>
                      <w:color w:val="auto"/>
                      <w:spacing w:val="0"/>
                      <w:sz w:val="21"/>
                      <w:szCs w:val="21"/>
                      <w:highlight w:val="none"/>
                      <w:lang w:val="en-US" w:eastAsia="zh-CN"/>
                    </w:rPr>
                    <w:t>型铸造工艺</w:t>
                  </w:r>
                  <w:r>
                    <w:rPr>
                      <w:rFonts w:hint="eastAsia" w:cs="Times New Roman"/>
                      <w:color w:val="auto"/>
                      <w:spacing w:val="0"/>
                      <w:sz w:val="21"/>
                      <w:szCs w:val="21"/>
                      <w:highlight w:val="none"/>
                      <w:lang w:val="en-US" w:eastAsia="zh-CN"/>
                    </w:rPr>
                    <w:t>。</w:t>
                  </w:r>
                </w:p>
              </w:tc>
              <w:tc>
                <w:tcPr>
                  <w:tcW w:w="500" w:type="pct"/>
                  <w:noWrap w:val="0"/>
                  <w:vAlign w:val="center"/>
                </w:tcPr>
                <w:p w14:paraId="449CFD9C">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符合</w:t>
                  </w:r>
                </w:p>
              </w:tc>
            </w:tr>
            <w:tr w14:paraId="30C91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21" w:hRule="atLeast"/>
                <w:jc w:val="center"/>
              </w:trPr>
              <w:tc>
                <w:tcPr>
                  <w:tcW w:w="513" w:type="pct"/>
                  <w:vMerge w:val="restart"/>
                  <w:noWrap w:val="0"/>
                  <w:vAlign w:val="center"/>
                </w:tcPr>
                <w:p w14:paraId="5D6436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rPr>
                    <w:t>污染治理技术</w:t>
                  </w:r>
                  <w:r>
                    <w:rPr>
                      <w:rFonts w:hint="default" w:ascii="Times New Roman" w:hAnsi="Times New Roman" w:eastAsia="宋体" w:cs="Times New Roman"/>
                      <w:bCs/>
                      <w:color w:val="auto"/>
                      <w:spacing w:val="0"/>
                      <w:sz w:val="21"/>
                      <w:szCs w:val="21"/>
                      <w:highlight w:val="none"/>
                      <w:lang w:val="en-US" w:eastAsia="zh-CN"/>
                    </w:rPr>
                    <w:t>及收集技术</w:t>
                  </w:r>
                </w:p>
              </w:tc>
              <w:tc>
                <w:tcPr>
                  <w:tcW w:w="2794" w:type="pct"/>
                  <w:gridSpan w:val="2"/>
                  <w:noWrap w:val="0"/>
                  <w:vAlign w:val="center"/>
                </w:tcPr>
                <w:p w14:paraId="7006B5D9">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both"/>
                    <w:rPr>
                      <w:rFonts w:hint="default"/>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、所使用的生产设备具有高密闭性或具有配套的良好除尘设施的工序可不设二次捕集措施；</w:t>
                  </w:r>
                  <w:r>
                    <w:rPr>
                      <w:rFonts w:hint="default" w:ascii="Times New Roman" w:hAnsi="Times New Roman" w:eastAsia="宋体" w:cs="Times New Roman"/>
                      <w:color w:val="000000"/>
                      <w:spacing w:val="0"/>
                      <w:kern w:val="0"/>
                      <w:sz w:val="21"/>
                      <w:szCs w:val="21"/>
                      <w:highlight w:val="none"/>
                      <w:lang w:val="en-US" w:eastAsia="zh-CN" w:bidi="ar"/>
                    </w:rPr>
                    <w:t>PM</w:t>
                  </w:r>
                  <w:r>
                    <w:rPr>
                      <w:rFonts w:hint="eastAsia" w:ascii="宋体" w:hAnsi="宋体" w:eastAsia="宋体" w:cs="宋体"/>
                      <w:color w:val="000000"/>
                      <w:spacing w:val="0"/>
                      <w:kern w:val="0"/>
                      <w:sz w:val="21"/>
                      <w:szCs w:val="21"/>
                      <w:highlight w:val="none"/>
                      <w:lang w:val="en-US" w:eastAsia="zh-CN" w:bidi="ar"/>
                    </w:rPr>
                    <w:t>有逸散工序采取二次捕集措施，捕集排风罩应符合《排风罩的分类及技术条件》（</w:t>
                  </w:r>
                  <w:r>
                    <w:rPr>
                      <w:rFonts w:hint="default" w:ascii="Times New Roman" w:hAnsi="Times New Roman" w:eastAsia="宋体" w:cs="Times New Roman"/>
                      <w:color w:val="000000"/>
                      <w:spacing w:val="0"/>
                      <w:kern w:val="0"/>
                      <w:sz w:val="21"/>
                      <w:szCs w:val="21"/>
                      <w:highlight w:val="none"/>
                      <w:lang w:val="en-US" w:eastAsia="zh-CN" w:bidi="ar"/>
                    </w:rPr>
                    <w:t>GB/T16758</w:t>
                  </w:r>
                  <w:r>
                    <w:rPr>
                      <w:rFonts w:hint="eastAsia" w:ascii="宋体" w:hAnsi="宋体" w:eastAsia="宋体" w:cs="宋体"/>
                      <w:color w:val="000000"/>
                      <w:spacing w:val="0"/>
                      <w:kern w:val="0"/>
                      <w:sz w:val="21"/>
                      <w:szCs w:val="21"/>
                      <w:highlight w:val="none"/>
                      <w:lang w:val="en-US" w:eastAsia="zh-CN" w:bidi="ar"/>
                    </w:rPr>
                    <w:t>）的要求；</w:t>
                  </w:r>
                </w:p>
                <w:p w14:paraId="5A3F8736">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both"/>
                    <w:rPr>
                      <w:rFonts w:hint="default" w:ascii="Times New Roman" w:hAnsi="Times New Roman" w:eastAsia="宋体" w:cs="Times New Roman"/>
                      <w:bCs/>
                      <w:color w:val="auto"/>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2</w:t>
                  </w:r>
                  <w:r>
                    <w:rPr>
                      <w:rFonts w:hint="eastAsia" w:ascii="宋体" w:hAnsi="宋体" w:eastAsia="宋体" w:cs="宋体"/>
                      <w:color w:val="000000"/>
                      <w:spacing w:val="0"/>
                      <w:kern w:val="0"/>
                      <w:sz w:val="21"/>
                      <w:szCs w:val="21"/>
                      <w:highlight w:val="none"/>
                      <w:lang w:val="en-US" w:eastAsia="zh-CN" w:bidi="ar"/>
                    </w:rPr>
                    <w:t>、采用袋式除尘、滤筒除尘等高效除尘工艺</w:t>
                  </w:r>
                </w:p>
              </w:tc>
              <w:tc>
                <w:tcPr>
                  <w:tcW w:w="1191" w:type="pct"/>
                  <w:noWrap w:val="0"/>
                  <w:vAlign w:val="center"/>
                </w:tcPr>
                <w:p w14:paraId="4F210F7E">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1、项目落砂、注砂过程采用集气罩</w:t>
                  </w:r>
                  <w:r>
                    <w:rPr>
                      <w:rFonts w:hint="eastAsia" w:ascii="Times New Roman" w:hAnsi="Times New Roman" w:cs="Times New Roman"/>
                      <w:b w:val="0"/>
                      <w:bCs w:val="0"/>
                      <w:color w:val="auto"/>
                      <w:spacing w:val="0"/>
                      <w:sz w:val="21"/>
                      <w:szCs w:val="21"/>
                      <w:highlight w:val="none"/>
                      <w:vertAlign w:val="baseline"/>
                      <w:lang w:val="en-US" w:eastAsia="zh-CN"/>
                    </w:rPr>
                    <w:t>（三面围挡）</w:t>
                  </w:r>
                  <w:r>
                    <w:rPr>
                      <w:rFonts w:hint="eastAsia" w:cs="Times New Roman"/>
                      <w:color w:val="auto"/>
                      <w:spacing w:val="0"/>
                      <w:sz w:val="21"/>
                      <w:szCs w:val="21"/>
                      <w:highlight w:val="none"/>
                      <w:lang w:val="en-US" w:eastAsia="zh-CN"/>
                    </w:rPr>
                    <w:t>形式；打磨过程在独立的密闭车间内；熔炼区二次密闭；</w:t>
                  </w:r>
                </w:p>
                <w:p w14:paraId="7D96A02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2、颗粒物废气经布袋除尘器处理达标排放。</w:t>
                  </w:r>
                </w:p>
              </w:tc>
              <w:tc>
                <w:tcPr>
                  <w:tcW w:w="500" w:type="pct"/>
                  <w:noWrap w:val="0"/>
                  <w:vAlign w:val="center"/>
                </w:tcPr>
                <w:p w14:paraId="7A0F1C34">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符合</w:t>
                  </w:r>
                </w:p>
              </w:tc>
            </w:tr>
            <w:tr w14:paraId="4E743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5" w:hRule="atLeast"/>
                <w:jc w:val="center"/>
              </w:trPr>
              <w:tc>
                <w:tcPr>
                  <w:tcW w:w="513" w:type="pct"/>
                  <w:vMerge w:val="continue"/>
                  <w:noWrap w:val="0"/>
                  <w:vAlign w:val="center"/>
                </w:tcPr>
                <w:p w14:paraId="3439300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sz w:val="21"/>
                      <w:szCs w:val="21"/>
                      <w:highlight w:val="none"/>
                    </w:rPr>
                  </w:pPr>
                </w:p>
              </w:tc>
              <w:tc>
                <w:tcPr>
                  <w:tcW w:w="2794" w:type="pct"/>
                  <w:gridSpan w:val="2"/>
                  <w:noWrap w:val="0"/>
                  <w:vAlign w:val="center"/>
                </w:tcPr>
                <w:p w14:paraId="02A1CE63">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、制芯（热芯盒）、覆膜砂（壳型）工序</w:t>
                  </w:r>
                  <w:r>
                    <w:rPr>
                      <w:rFonts w:hint="default" w:ascii="Times New Roman" w:hAnsi="Times New Roman" w:eastAsia="宋体" w:cs="Times New Roman"/>
                      <w:color w:val="000000"/>
                      <w:spacing w:val="0"/>
                      <w:kern w:val="0"/>
                      <w:sz w:val="21"/>
                      <w:szCs w:val="21"/>
                      <w:highlight w:val="none"/>
                      <w:lang w:val="en-US" w:eastAsia="zh-CN" w:bidi="ar"/>
                    </w:rPr>
                    <w:t>VOCs</w:t>
                  </w:r>
                  <w:r>
                    <w:rPr>
                      <w:rFonts w:hint="eastAsia" w:ascii="宋体" w:hAnsi="宋体" w:eastAsia="宋体" w:cs="宋体"/>
                      <w:color w:val="000000"/>
                      <w:spacing w:val="0"/>
                      <w:kern w:val="0"/>
                      <w:sz w:val="21"/>
                      <w:szCs w:val="21"/>
                      <w:highlight w:val="none"/>
                      <w:lang w:val="en-US" w:eastAsia="zh-CN" w:bidi="ar"/>
                    </w:rPr>
                    <w:t>采用活性炭吸附或更高效的处理措施；制芯（冷芯盒）工序</w:t>
                  </w:r>
                  <w:r>
                    <w:rPr>
                      <w:rFonts w:hint="default" w:ascii="Times New Roman" w:hAnsi="Times New Roman" w:eastAsia="宋体" w:cs="Times New Roman"/>
                      <w:color w:val="000000"/>
                      <w:spacing w:val="0"/>
                      <w:kern w:val="0"/>
                      <w:sz w:val="21"/>
                      <w:szCs w:val="21"/>
                      <w:highlight w:val="none"/>
                      <w:lang w:val="en-US" w:eastAsia="zh-CN" w:bidi="ar"/>
                    </w:rPr>
                    <w:t>VOCs</w:t>
                  </w:r>
                  <w:r>
                    <w:rPr>
                      <w:rFonts w:hint="eastAsia" w:ascii="宋体" w:hAnsi="宋体" w:eastAsia="宋体" w:cs="宋体"/>
                      <w:color w:val="000000"/>
                      <w:spacing w:val="0"/>
                      <w:kern w:val="0"/>
                      <w:sz w:val="21"/>
                      <w:szCs w:val="21"/>
                      <w:highlight w:val="none"/>
                      <w:lang w:val="en-US" w:eastAsia="zh-CN" w:bidi="ar"/>
                    </w:rPr>
                    <w:t>采用吸收法或更高效处理措施；</w:t>
                  </w:r>
                </w:p>
                <w:p w14:paraId="7263EA9C">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2</w:t>
                  </w:r>
                  <w:r>
                    <w:rPr>
                      <w:rFonts w:hint="eastAsia" w:ascii="宋体" w:hAnsi="宋体" w:eastAsia="宋体" w:cs="宋体"/>
                      <w:color w:val="000000"/>
                      <w:spacing w:val="0"/>
                      <w:kern w:val="0"/>
                      <w:sz w:val="21"/>
                      <w:szCs w:val="21"/>
                      <w:highlight w:val="none"/>
                      <w:lang w:val="en-US" w:eastAsia="zh-CN" w:bidi="ar"/>
                    </w:rPr>
                    <w:t>、消失模、实型铸造工艺的浇注工序采用吸附脱附+蓄热燃烧、吸附脱附+催化燃烧、焚烧法等高效处理设施。</w:t>
                  </w:r>
                </w:p>
                <w:p w14:paraId="7E524EB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ascii="Times New Roman" w:hAnsi="Times New Roman" w:eastAsia="宋体" w:cs="Times New Roman"/>
                      <w:bCs/>
                      <w:color w:val="auto"/>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3</w:t>
                  </w:r>
                  <w:r>
                    <w:rPr>
                      <w:rFonts w:hint="eastAsia" w:ascii="宋体" w:hAnsi="宋体" w:eastAsia="宋体" w:cs="宋体"/>
                      <w:color w:val="000000"/>
                      <w:spacing w:val="0"/>
                      <w:kern w:val="0"/>
                      <w:sz w:val="21"/>
                      <w:szCs w:val="21"/>
                      <w:highlight w:val="none"/>
                      <w:lang w:val="en-US" w:eastAsia="zh-CN" w:bidi="ar"/>
                    </w:rPr>
                    <w:t>、涂装工序采用吸附脱附</w:t>
                  </w:r>
                  <w:r>
                    <w:rPr>
                      <w:rFonts w:hint="default" w:ascii="Times New Roman" w:hAnsi="Times New Roman" w:eastAsia="宋体" w:cs="Times New Roman"/>
                      <w:color w:val="000000"/>
                      <w:spacing w:val="0"/>
                      <w:kern w:val="0"/>
                      <w:sz w:val="21"/>
                      <w:szCs w:val="21"/>
                      <w:highlight w:val="none"/>
                      <w:lang w:val="en-US" w:eastAsia="zh-CN" w:bidi="ar"/>
                    </w:rPr>
                    <w:t>+</w:t>
                  </w:r>
                  <w:r>
                    <w:rPr>
                      <w:rFonts w:hint="eastAsia" w:ascii="宋体" w:hAnsi="宋体" w:eastAsia="宋体" w:cs="宋体"/>
                      <w:color w:val="000000"/>
                      <w:spacing w:val="0"/>
                      <w:kern w:val="0"/>
                      <w:sz w:val="21"/>
                      <w:szCs w:val="21"/>
                      <w:highlight w:val="none"/>
                      <w:lang w:val="en-US" w:eastAsia="zh-CN" w:bidi="ar"/>
                    </w:rPr>
                    <w:t>蓄热燃烧、吸附脱附</w:t>
                  </w:r>
                  <w:r>
                    <w:rPr>
                      <w:rFonts w:hint="default" w:ascii="Times New Roman" w:hAnsi="Times New Roman" w:eastAsia="宋体" w:cs="Times New Roman"/>
                      <w:color w:val="000000"/>
                      <w:spacing w:val="0"/>
                      <w:kern w:val="0"/>
                      <w:sz w:val="21"/>
                      <w:szCs w:val="21"/>
                      <w:highlight w:val="none"/>
                      <w:lang w:val="en-US" w:eastAsia="zh-CN" w:bidi="ar"/>
                    </w:rPr>
                    <w:t>+</w:t>
                  </w:r>
                  <w:r>
                    <w:rPr>
                      <w:rFonts w:hint="eastAsia" w:ascii="宋体" w:hAnsi="宋体" w:eastAsia="宋体" w:cs="宋体"/>
                      <w:color w:val="000000"/>
                      <w:spacing w:val="0"/>
                      <w:kern w:val="0"/>
                      <w:sz w:val="21"/>
                      <w:szCs w:val="21"/>
                      <w:highlight w:val="none"/>
                      <w:lang w:val="en-US" w:eastAsia="zh-CN" w:bidi="ar"/>
                    </w:rPr>
                    <w:t>催化燃烧、焚烧法等高效处理设施；如使用水性、粉末、高固体分、无溶剂、辐射固化等低</w:t>
                  </w:r>
                  <w:r>
                    <w:rPr>
                      <w:rFonts w:hint="default" w:ascii="Times New Roman" w:hAnsi="Times New Roman" w:eastAsia="宋体" w:cs="Times New Roman"/>
                      <w:color w:val="000000"/>
                      <w:spacing w:val="0"/>
                      <w:kern w:val="0"/>
                      <w:sz w:val="21"/>
                      <w:szCs w:val="21"/>
                      <w:highlight w:val="none"/>
                      <w:lang w:val="en-US" w:eastAsia="zh-CN" w:bidi="ar"/>
                    </w:rPr>
                    <w:t>VOCs</w:t>
                  </w:r>
                  <w:r>
                    <w:rPr>
                      <w:rFonts w:hint="eastAsia" w:ascii="宋体" w:hAnsi="宋体" w:eastAsia="宋体" w:cs="宋体"/>
                      <w:color w:val="000000"/>
                      <w:spacing w:val="0"/>
                      <w:kern w:val="0"/>
                      <w:sz w:val="21"/>
                      <w:szCs w:val="21"/>
                      <w:highlight w:val="none"/>
                      <w:lang w:val="en-US" w:eastAsia="zh-CN" w:bidi="ar"/>
                    </w:rPr>
                    <w:t>含量的涂料或采用辊涂、静电喷涂、高压无气喷涂、空气辅助无气喷涂、热喷涂等涂装技术的涂装工序可不设置处理措施。</w:t>
                  </w:r>
                </w:p>
              </w:tc>
              <w:tc>
                <w:tcPr>
                  <w:tcW w:w="1191" w:type="pct"/>
                  <w:noWrap w:val="0"/>
                  <w:vAlign w:val="center"/>
                </w:tcPr>
                <w:p w14:paraId="4DCD5067">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both"/>
                    <w:textAlignment w:val="center"/>
                    <w:rPr>
                      <w:rFonts w:hint="eastAsia" w:ascii="宋体" w:hAnsi="宋体" w:cs="宋体"/>
                      <w:color w:val="000000"/>
                      <w:spacing w:val="0"/>
                      <w:kern w:val="0"/>
                      <w:sz w:val="21"/>
                      <w:szCs w:val="21"/>
                      <w:highlight w:val="none"/>
                      <w:lang w:val="en-US" w:eastAsia="zh-CN" w:bidi="ar"/>
                    </w:rPr>
                  </w:pPr>
                  <w:r>
                    <w:rPr>
                      <w:rFonts w:hint="eastAsia" w:ascii="宋体" w:hAnsi="宋体" w:cs="宋体"/>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覆膜砂（壳型）工序</w:t>
                  </w:r>
                  <w:r>
                    <w:rPr>
                      <w:rFonts w:hint="default" w:ascii="Times New Roman" w:hAnsi="Times New Roman" w:eastAsia="宋体" w:cs="Times New Roman"/>
                      <w:color w:val="000000"/>
                      <w:spacing w:val="0"/>
                      <w:kern w:val="0"/>
                      <w:sz w:val="21"/>
                      <w:szCs w:val="21"/>
                      <w:highlight w:val="none"/>
                      <w:lang w:val="en-US" w:eastAsia="zh-CN" w:bidi="ar"/>
                    </w:rPr>
                    <w:t>VOCs</w:t>
                  </w:r>
                  <w:r>
                    <w:rPr>
                      <w:rFonts w:hint="eastAsia" w:ascii="宋体" w:hAnsi="宋体" w:eastAsia="宋体" w:cs="宋体"/>
                      <w:color w:val="000000"/>
                      <w:spacing w:val="0"/>
                      <w:kern w:val="0"/>
                      <w:sz w:val="21"/>
                      <w:szCs w:val="21"/>
                      <w:highlight w:val="none"/>
                      <w:lang w:val="en-US" w:eastAsia="zh-CN" w:bidi="ar"/>
                    </w:rPr>
                    <w:t>采用</w:t>
                  </w:r>
                  <w:r>
                    <w:rPr>
                      <w:rFonts w:hint="eastAsia" w:ascii="宋体" w:hAnsi="宋体" w:cs="宋体"/>
                      <w:color w:val="000000"/>
                      <w:spacing w:val="0"/>
                      <w:kern w:val="0"/>
                      <w:sz w:val="21"/>
                      <w:szCs w:val="21"/>
                      <w:highlight w:val="none"/>
                      <w:lang w:val="en-US" w:eastAsia="zh-CN" w:bidi="ar"/>
                    </w:rPr>
                    <w:t>二级</w:t>
                  </w:r>
                  <w:r>
                    <w:rPr>
                      <w:rFonts w:hint="eastAsia" w:ascii="宋体" w:hAnsi="宋体" w:eastAsia="宋体" w:cs="宋体"/>
                      <w:color w:val="000000"/>
                      <w:spacing w:val="0"/>
                      <w:kern w:val="0"/>
                      <w:sz w:val="21"/>
                      <w:szCs w:val="21"/>
                      <w:highlight w:val="none"/>
                      <w:lang w:val="en-US" w:eastAsia="zh-CN" w:bidi="ar"/>
                    </w:rPr>
                    <w:t>活性炭吸附</w:t>
                  </w:r>
                  <w:r>
                    <w:rPr>
                      <w:rFonts w:hint="eastAsia" w:ascii="宋体" w:hAnsi="宋体" w:cs="宋体"/>
                      <w:color w:val="000000"/>
                      <w:spacing w:val="0"/>
                      <w:kern w:val="0"/>
                      <w:sz w:val="21"/>
                      <w:szCs w:val="21"/>
                      <w:highlight w:val="none"/>
                      <w:lang w:val="en-US" w:eastAsia="zh-CN" w:bidi="ar"/>
                    </w:rPr>
                    <w:t>。</w:t>
                  </w:r>
                </w:p>
                <w:p w14:paraId="1C36CDB3">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both"/>
                    <w:textAlignment w:val="center"/>
                    <w:rPr>
                      <w:rFonts w:hint="eastAsia" w:ascii="宋体" w:hAnsi="宋体" w:cs="宋体"/>
                      <w:color w:val="000000"/>
                      <w:spacing w:val="0"/>
                      <w:kern w:val="0"/>
                      <w:sz w:val="21"/>
                      <w:szCs w:val="21"/>
                      <w:highlight w:val="none"/>
                      <w:lang w:val="en-US" w:eastAsia="zh-CN" w:bidi="ar"/>
                    </w:rPr>
                  </w:pPr>
                  <w:r>
                    <w:rPr>
                      <w:rFonts w:hint="eastAsia" w:ascii="宋体" w:hAnsi="宋体" w:cs="宋体"/>
                      <w:color w:val="000000"/>
                      <w:spacing w:val="0"/>
                      <w:kern w:val="0"/>
                      <w:sz w:val="21"/>
                      <w:szCs w:val="21"/>
                      <w:highlight w:val="none"/>
                      <w:lang w:val="en-US" w:eastAsia="zh-CN" w:bidi="ar"/>
                    </w:rPr>
                    <w:t>2、不涉及；</w:t>
                  </w:r>
                </w:p>
                <w:p w14:paraId="23600244">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both"/>
                    <w:textAlignment w:val="center"/>
                    <w:rPr>
                      <w:rFonts w:hint="default" w:ascii="宋体" w:hAnsi="宋体" w:cs="宋体"/>
                      <w:color w:val="000000"/>
                      <w:spacing w:val="0"/>
                      <w:kern w:val="0"/>
                      <w:sz w:val="21"/>
                      <w:szCs w:val="21"/>
                      <w:highlight w:val="none"/>
                      <w:lang w:val="en-US" w:eastAsia="zh-CN" w:bidi="ar"/>
                    </w:rPr>
                  </w:pPr>
                  <w:r>
                    <w:rPr>
                      <w:rFonts w:hint="eastAsia" w:ascii="宋体" w:hAnsi="宋体" w:cs="宋体"/>
                      <w:color w:val="000000"/>
                      <w:spacing w:val="0"/>
                      <w:kern w:val="0"/>
                      <w:sz w:val="21"/>
                      <w:szCs w:val="21"/>
                      <w:highlight w:val="none"/>
                      <w:lang w:val="en-US" w:eastAsia="zh-CN" w:bidi="ar"/>
                    </w:rPr>
                    <w:t>3、不涉及。</w:t>
                  </w:r>
                </w:p>
              </w:tc>
              <w:tc>
                <w:tcPr>
                  <w:tcW w:w="500" w:type="pct"/>
                  <w:noWrap w:val="0"/>
                  <w:vAlign w:val="center"/>
                </w:tcPr>
                <w:p w14:paraId="79943B38">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ascii="宋体" w:hAnsi="宋体" w:eastAsia="宋体" w:cs="宋体"/>
                      <w:color w:val="000000"/>
                      <w:spacing w:val="0"/>
                      <w:kern w:val="0"/>
                      <w:sz w:val="21"/>
                      <w:szCs w:val="21"/>
                      <w:highlight w:val="none"/>
                      <w:lang w:val="en-US" w:eastAsia="zh-CN" w:bidi="ar"/>
                    </w:rPr>
                  </w:pPr>
                  <w:r>
                    <w:rPr>
                      <w:rFonts w:hint="eastAsia" w:cs="Times New Roman"/>
                      <w:color w:val="auto"/>
                      <w:spacing w:val="0"/>
                      <w:sz w:val="21"/>
                      <w:szCs w:val="21"/>
                      <w:highlight w:val="none"/>
                      <w:lang w:val="en-US" w:eastAsia="zh-CN"/>
                    </w:rPr>
                    <w:t>符合</w:t>
                  </w:r>
                </w:p>
              </w:tc>
            </w:tr>
            <w:tr w14:paraId="45C3B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80" w:hRule="atLeast"/>
                <w:jc w:val="center"/>
              </w:trPr>
              <w:tc>
                <w:tcPr>
                  <w:tcW w:w="513" w:type="pct"/>
                  <w:noWrap w:val="0"/>
                  <w:vAlign w:val="center"/>
                </w:tcPr>
                <w:p w14:paraId="022C149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sz w:val="21"/>
                      <w:szCs w:val="21"/>
                      <w:highlight w:val="none"/>
                      <w:lang w:bidi="ar"/>
                    </w:rPr>
                  </w:pPr>
                  <w:r>
                    <w:rPr>
                      <w:rFonts w:hint="default" w:ascii="Times New Roman" w:hAnsi="Times New Roman" w:eastAsia="宋体" w:cs="Times New Roman"/>
                      <w:bCs/>
                      <w:color w:val="auto"/>
                      <w:spacing w:val="0"/>
                      <w:sz w:val="21"/>
                      <w:szCs w:val="21"/>
                      <w:highlight w:val="none"/>
                      <w:lang w:bidi="ar"/>
                    </w:rPr>
                    <w:t>排放限值</w:t>
                  </w:r>
                </w:p>
              </w:tc>
              <w:tc>
                <w:tcPr>
                  <w:tcW w:w="2794" w:type="pct"/>
                  <w:gridSpan w:val="2"/>
                  <w:noWrap w:val="0"/>
                  <w:vAlign w:val="center"/>
                </w:tcPr>
                <w:p w14:paraId="04B81EAF">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spacing w:val="0"/>
                      <w:sz w:val="21"/>
                      <w:szCs w:val="21"/>
                      <w:highlight w:val="none"/>
                    </w:rPr>
                  </w:pPr>
                  <w:r>
                    <w:rPr>
                      <w:rFonts w:hint="default" w:ascii="Times New Roman" w:hAnsi="Times New Roman" w:eastAsia="宋体" w:cs="Times New Roman"/>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PM</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SO</w:t>
                  </w:r>
                  <w:r>
                    <w:rPr>
                      <w:rFonts w:hint="default" w:ascii="Times New Roman" w:hAnsi="Times New Roman" w:eastAsia="宋体" w:cs="Times New Roman"/>
                      <w:color w:val="000000"/>
                      <w:spacing w:val="0"/>
                      <w:kern w:val="0"/>
                      <w:sz w:val="21"/>
                      <w:szCs w:val="21"/>
                      <w:highlight w:val="none"/>
                      <w:vertAlign w:val="subscript"/>
                      <w:lang w:val="en-US" w:eastAsia="zh-CN" w:bidi="ar"/>
                    </w:rPr>
                    <w:t>2</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NOx</w:t>
                  </w:r>
                  <w:r>
                    <w:rPr>
                      <w:rFonts w:hint="eastAsia" w:ascii="宋体" w:hAnsi="宋体" w:eastAsia="宋体" w:cs="宋体"/>
                      <w:color w:val="000000"/>
                      <w:spacing w:val="0"/>
                      <w:kern w:val="0"/>
                      <w:sz w:val="21"/>
                      <w:szCs w:val="21"/>
                      <w:highlight w:val="none"/>
                      <w:lang w:val="en-US" w:eastAsia="zh-CN" w:bidi="ar"/>
                    </w:rPr>
                    <w:t>排放浓度分别不高于</w:t>
                  </w:r>
                  <w:r>
                    <w:rPr>
                      <w:rFonts w:hint="default" w:ascii="Times New Roman" w:hAnsi="Times New Roman" w:eastAsia="宋体" w:cs="Times New Roman"/>
                      <w:color w:val="000000"/>
                      <w:spacing w:val="0"/>
                      <w:kern w:val="0"/>
                      <w:sz w:val="21"/>
                      <w:szCs w:val="21"/>
                      <w:highlight w:val="none"/>
                      <w:lang w:val="en-US" w:eastAsia="zh-CN" w:bidi="ar"/>
                    </w:rPr>
                    <w:t>20</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100</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300mg/m</w:t>
                  </w:r>
                  <w:r>
                    <w:rPr>
                      <w:rFonts w:hint="default" w:ascii="Times New Roman" w:hAnsi="Times New Roman" w:eastAsia="宋体" w:cs="Times New Roman"/>
                      <w:color w:val="000000"/>
                      <w:spacing w:val="0"/>
                      <w:kern w:val="0"/>
                      <w:sz w:val="21"/>
                      <w:szCs w:val="21"/>
                      <w:highlight w:val="none"/>
                      <w:vertAlign w:val="superscript"/>
                      <w:lang w:val="en-US" w:eastAsia="zh-CN" w:bidi="ar"/>
                    </w:rPr>
                    <w:t>3</w:t>
                  </w:r>
                  <w:r>
                    <w:rPr>
                      <w:rFonts w:hint="eastAsia" w:ascii="Times New Roman" w:hAnsi="Times New Roman" w:eastAsia="宋体" w:cs="Times New Roman"/>
                      <w:color w:val="000000"/>
                      <w:spacing w:val="0"/>
                      <w:kern w:val="0"/>
                      <w:sz w:val="21"/>
                      <w:szCs w:val="21"/>
                      <w:highlight w:val="none"/>
                      <w:vertAlign w:val="baseline"/>
                      <w:lang w:val="en-US" w:eastAsia="zh-CN" w:bidi="ar"/>
                    </w:rPr>
                    <w:t>；</w:t>
                  </w:r>
                </w:p>
                <w:p w14:paraId="79DC1759">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eastAsia" w:ascii="宋体" w:hAnsi="宋体" w:eastAsia="宋体" w:cs="宋体"/>
                      <w:color w:val="000000"/>
                      <w:spacing w:val="0"/>
                      <w:kern w:val="0"/>
                      <w:sz w:val="21"/>
                      <w:szCs w:val="21"/>
                      <w:highlight w:val="none"/>
                      <w:lang w:val="en-US" w:eastAsia="zh-CN" w:bidi="ar"/>
                    </w:rPr>
                  </w:pPr>
                  <w:r>
                    <w:rPr>
                      <w:rFonts w:hint="default" w:ascii="Times New Roman" w:hAnsi="Times New Roman" w:eastAsia="宋体" w:cs="Times New Roman"/>
                      <w:color w:val="000000"/>
                      <w:spacing w:val="0"/>
                      <w:kern w:val="0"/>
                      <w:sz w:val="21"/>
                      <w:szCs w:val="21"/>
                      <w:highlight w:val="none"/>
                      <w:lang w:val="en-US" w:eastAsia="zh-CN" w:bidi="ar"/>
                    </w:rPr>
                    <w:t>2</w:t>
                  </w:r>
                  <w:r>
                    <w:rPr>
                      <w:rFonts w:hint="eastAsia" w:ascii="宋体" w:hAnsi="宋体" w:eastAsia="宋体" w:cs="宋体"/>
                      <w:color w:val="000000"/>
                      <w:spacing w:val="0"/>
                      <w:kern w:val="0"/>
                      <w:sz w:val="21"/>
                      <w:szCs w:val="21"/>
                      <w:highlight w:val="none"/>
                      <w:lang w:val="en-US" w:eastAsia="zh-CN" w:bidi="ar"/>
                    </w:rPr>
                    <w:t>、在连续一年的监测数据中，车间或生产设施排气筒排放的</w:t>
                  </w:r>
                  <w:r>
                    <w:rPr>
                      <w:rFonts w:hint="default" w:ascii="Times New Roman" w:hAnsi="Times New Roman" w:eastAsia="宋体" w:cs="Times New Roman"/>
                      <w:color w:val="000000"/>
                      <w:spacing w:val="0"/>
                      <w:kern w:val="0"/>
                      <w:sz w:val="21"/>
                      <w:szCs w:val="21"/>
                      <w:highlight w:val="none"/>
                      <w:lang w:val="en-US" w:eastAsia="zh-CN" w:bidi="ar"/>
                    </w:rPr>
                    <w:t>NMHC</w:t>
                  </w:r>
                  <w:r>
                    <w:rPr>
                      <w:rFonts w:hint="eastAsia" w:ascii="宋体" w:hAnsi="宋体" w:eastAsia="宋体" w:cs="宋体"/>
                      <w:color w:val="000000"/>
                      <w:spacing w:val="0"/>
                      <w:kern w:val="0"/>
                      <w:sz w:val="21"/>
                      <w:szCs w:val="21"/>
                      <w:highlight w:val="none"/>
                      <w:lang w:val="en-US" w:eastAsia="zh-CN" w:bidi="ar"/>
                    </w:rPr>
                    <w:t>为</w:t>
                  </w:r>
                  <w:r>
                    <w:rPr>
                      <w:rFonts w:hint="default" w:ascii="Times New Roman" w:hAnsi="Times New Roman" w:eastAsia="宋体" w:cs="Times New Roman"/>
                      <w:color w:val="000000"/>
                      <w:spacing w:val="0"/>
                      <w:kern w:val="0"/>
                      <w:sz w:val="21"/>
                      <w:szCs w:val="21"/>
                      <w:highlight w:val="none"/>
                      <w:lang w:val="en-US" w:eastAsia="zh-CN" w:bidi="ar"/>
                    </w:rPr>
                    <w:t>30-40mg/m</w:t>
                  </w:r>
                  <w:r>
                    <w:rPr>
                      <w:rFonts w:hint="default" w:ascii="Times New Roman" w:hAnsi="Times New Roman" w:eastAsia="宋体" w:cs="Times New Roman"/>
                      <w:color w:val="000000"/>
                      <w:spacing w:val="0"/>
                      <w:kern w:val="0"/>
                      <w:sz w:val="21"/>
                      <w:szCs w:val="21"/>
                      <w:highlight w:val="none"/>
                      <w:vertAlign w:val="superscript"/>
                      <w:lang w:val="en-US" w:eastAsia="zh-CN" w:bidi="ar"/>
                    </w:rPr>
                    <w:t>3</w:t>
                  </w:r>
                  <w:r>
                    <w:rPr>
                      <w:rFonts w:hint="eastAsia" w:ascii="宋体" w:hAnsi="宋体" w:eastAsia="宋体" w:cs="宋体"/>
                      <w:color w:val="000000"/>
                      <w:spacing w:val="0"/>
                      <w:kern w:val="0"/>
                      <w:sz w:val="21"/>
                      <w:szCs w:val="21"/>
                      <w:highlight w:val="none"/>
                      <w:lang w:val="en-US" w:eastAsia="zh-CN" w:bidi="ar"/>
                    </w:rPr>
                    <w:t>、</w:t>
                  </w:r>
                  <w:r>
                    <w:rPr>
                      <w:rFonts w:hint="default" w:ascii="Times New Roman" w:hAnsi="Times New Roman" w:eastAsia="宋体" w:cs="Times New Roman"/>
                      <w:color w:val="000000"/>
                      <w:spacing w:val="0"/>
                      <w:kern w:val="0"/>
                      <w:sz w:val="21"/>
                      <w:szCs w:val="21"/>
                      <w:highlight w:val="none"/>
                      <w:lang w:val="en-US" w:eastAsia="zh-CN" w:bidi="ar"/>
                    </w:rPr>
                    <w:t>TVOC</w:t>
                  </w:r>
                  <w:r>
                    <w:rPr>
                      <w:rFonts w:hint="eastAsia" w:ascii="宋体" w:hAnsi="宋体" w:eastAsia="宋体" w:cs="宋体"/>
                      <w:color w:val="000000"/>
                      <w:spacing w:val="0"/>
                      <w:kern w:val="0"/>
                      <w:sz w:val="21"/>
                      <w:szCs w:val="21"/>
                      <w:highlight w:val="none"/>
                      <w:lang w:val="en-US" w:eastAsia="zh-CN" w:bidi="ar"/>
                    </w:rPr>
                    <w:t>为</w:t>
                  </w:r>
                  <w:r>
                    <w:rPr>
                      <w:rFonts w:hint="default" w:ascii="Times New Roman" w:hAnsi="Times New Roman" w:eastAsia="宋体" w:cs="Times New Roman"/>
                      <w:color w:val="000000"/>
                      <w:spacing w:val="0"/>
                      <w:kern w:val="0"/>
                      <w:sz w:val="21"/>
                      <w:szCs w:val="21"/>
                      <w:highlight w:val="none"/>
                      <w:lang w:val="en-US" w:eastAsia="zh-CN" w:bidi="ar"/>
                    </w:rPr>
                    <w:t>50-60mg/m</w:t>
                  </w:r>
                  <w:r>
                    <w:rPr>
                      <w:rFonts w:hint="default" w:ascii="Times New Roman" w:hAnsi="Times New Roman" w:eastAsia="宋体" w:cs="Times New Roman"/>
                      <w:color w:val="000000"/>
                      <w:spacing w:val="0"/>
                      <w:kern w:val="0"/>
                      <w:sz w:val="21"/>
                      <w:szCs w:val="21"/>
                      <w:highlight w:val="none"/>
                      <w:vertAlign w:val="superscript"/>
                      <w:lang w:val="en-US" w:eastAsia="zh-CN" w:bidi="ar"/>
                    </w:rPr>
                    <w:t>3</w:t>
                  </w:r>
                  <w:r>
                    <w:rPr>
                      <w:rFonts w:hint="eastAsia" w:ascii="宋体" w:hAnsi="宋体" w:eastAsia="宋体" w:cs="宋体"/>
                      <w:color w:val="000000"/>
                      <w:spacing w:val="0"/>
                      <w:kern w:val="0"/>
                      <w:sz w:val="21"/>
                      <w:szCs w:val="21"/>
                      <w:highlight w:val="none"/>
                      <w:lang w:val="en-US" w:eastAsia="zh-CN" w:bidi="ar"/>
                    </w:rPr>
                    <w:t>；</w:t>
                  </w:r>
                </w:p>
                <w:p w14:paraId="03D53147">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color w:val="000000"/>
                      <w:spacing w:val="0"/>
                      <w:kern w:val="0"/>
                      <w:sz w:val="21"/>
                      <w:szCs w:val="21"/>
                      <w:highlight w:val="none"/>
                      <w:lang w:val="en-US" w:eastAsia="zh-CN" w:bidi="ar"/>
                    </w:rPr>
                    <w:t>3</w:t>
                  </w:r>
                  <w:r>
                    <w:rPr>
                      <w:rFonts w:hint="eastAsia" w:ascii="宋体" w:hAnsi="宋体" w:eastAsia="宋体" w:cs="宋体"/>
                      <w:color w:val="000000"/>
                      <w:spacing w:val="0"/>
                      <w:kern w:val="0"/>
                      <w:sz w:val="21"/>
                      <w:szCs w:val="21"/>
                      <w:highlight w:val="none"/>
                      <w:lang w:val="en-US" w:eastAsia="zh-CN" w:bidi="ar"/>
                    </w:rPr>
                    <w:t>、厂区内无组织排放监控点</w:t>
                  </w:r>
                  <w:r>
                    <w:rPr>
                      <w:rFonts w:hint="default" w:ascii="Times New Roman" w:hAnsi="Times New Roman" w:eastAsia="宋体" w:cs="Times New Roman"/>
                      <w:color w:val="000000"/>
                      <w:spacing w:val="0"/>
                      <w:kern w:val="0"/>
                      <w:sz w:val="21"/>
                      <w:szCs w:val="21"/>
                      <w:highlight w:val="none"/>
                      <w:lang w:val="en-US" w:eastAsia="zh-CN" w:bidi="ar"/>
                    </w:rPr>
                    <w:t>NMHC</w:t>
                  </w:r>
                  <w:r>
                    <w:rPr>
                      <w:rFonts w:hint="eastAsia" w:ascii="宋体" w:hAnsi="宋体" w:eastAsia="宋体" w:cs="宋体"/>
                      <w:color w:val="000000"/>
                      <w:spacing w:val="0"/>
                      <w:kern w:val="0"/>
                      <w:sz w:val="21"/>
                      <w:szCs w:val="21"/>
                      <w:highlight w:val="none"/>
                      <w:lang w:val="en-US" w:eastAsia="zh-CN" w:bidi="ar"/>
                    </w:rPr>
                    <w:t>的小时平均浓度值不超过</w:t>
                  </w:r>
                  <w:r>
                    <w:rPr>
                      <w:rFonts w:hint="default" w:ascii="Times New Roman" w:hAnsi="Times New Roman" w:eastAsia="宋体" w:cs="Times New Roman"/>
                      <w:color w:val="000000"/>
                      <w:spacing w:val="0"/>
                      <w:kern w:val="0"/>
                      <w:sz w:val="21"/>
                      <w:szCs w:val="21"/>
                      <w:highlight w:val="none"/>
                      <w:lang w:val="en-US" w:eastAsia="zh-CN" w:bidi="ar"/>
                    </w:rPr>
                    <w:t>6mg/m</w:t>
                  </w:r>
                  <w:r>
                    <w:rPr>
                      <w:rFonts w:hint="default" w:ascii="Times New Roman" w:hAnsi="Times New Roman" w:eastAsia="宋体" w:cs="Times New Roman"/>
                      <w:color w:val="000000"/>
                      <w:spacing w:val="0"/>
                      <w:kern w:val="0"/>
                      <w:sz w:val="21"/>
                      <w:szCs w:val="21"/>
                      <w:highlight w:val="none"/>
                      <w:vertAlign w:val="superscript"/>
                      <w:lang w:val="en-US" w:eastAsia="zh-CN" w:bidi="ar"/>
                    </w:rPr>
                    <w:t>3</w:t>
                  </w:r>
                  <w:r>
                    <w:rPr>
                      <w:rFonts w:hint="eastAsia" w:ascii="宋体" w:hAnsi="宋体" w:eastAsia="宋体" w:cs="宋体"/>
                      <w:color w:val="000000"/>
                      <w:spacing w:val="0"/>
                      <w:kern w:val="0"/>
                      <w:sz w:val="21"/>
                      <w:szCs w:val="21"/>
                      <w:highlight w:val="none"/>
                      <w:lang w:val="en-US" w:eastAsia="zh-CN" w:bidi="ar"/>
                    </w:rPr>
                    <w:t>、任意一次浓度值不超过</w:t>
                  </w:r>
                  <w:r>
                    <w:rPr>
                      <w:rFonts w:hint="default" w:ascii="Times New Roman" w:hAnsi="Times New Roman" w:eastAsia="宋体" w:cs="Times New Roman"/>
                      <w:color w:val="000000"/>
                      <w:spacing w:val="0"/>
                      <w:kern w:val="0"/>
                      <w:sz w:val="21"/>
                      <w:szCs w:val="21"/>
                      <w:highlight w:val="none"/>
                      <w:lang w:val="en-US" w:eastAsia="zh-CN" w:bidi="ar"/>
                    </w:rPr>
                    <w:t>20mg/m</w:t>
                  </w:r>
                  <w:r>
                    <w:rPr>
                      <w:rFonts w:hint="default" w:ascii="Times New Roman" w:hAnsi="Times New Roman" w:eastAsia="宋体" w:cs="Times New Roman"/>
                      <w:color w:val="000000"/>
                      <w:spacing w:val="0"/>
                      <w:kern w:val="0"/>
                      <w:sz w:val="21"/>
                      <w:szCs w:val="21"/>
                      <w:highlight w:val="none"/>
                      <w:vertAlign w:val="superscript"/>
                      <w:lang w:val="en-US" w:eastAsia="zh-CN" w:bidi="ar"/>
                    </w:rPr>
                    <w:t>3</w:t>
                  </w:r>
                  <w:r>
                    <w:rPr>
                      <w:rFonts w:hint="eastAsia" w:ascii="宋体" w:hAnsi="宋体" w:eastAsia="宋体" w:cs="宋体"/>
                      <w:color w:val="000000"/>
                      <w:spacing w:val="0"/>
                      <w:kern w:val="0"/>
                      <w:sz w:val="21"/>
                      <w:szCs w:val="21"/>
                      <w:highlight w:val="none"/>
                      <w:lang w:val="en-US" w:eastAsia="zh-CN" w:bidi="ar"/>
                    </w:rPr>
                    <w:t>；</w:t>
                  </w:r>
                </w:p>
              </w:tc>
              <w:tc>
                <w:tcPr>
                  <w:tcW w:w="1191" w:type="pct"/>
                  <w:noWrap w:val="0"/>
                  <w:vAlign w:val="center"/>
                </w:tcPr>
                <w:p w14:paraId="2BDB0CCE">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本项目参照执行。</w:t>
                  </w:r>
                </w:p>
              </w:tc>
              <w:tc>
                <w:tcPr>
                  <w:tcW w:w="500" w:type="pct"/>
                  <w:noWrap w:val="0"/>
                  <w:vAlign w:val="center"/>
                </w:tcPr>
                <w:p w14:paraId="6873727A">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符合</w:t>
                  </w:r>
                </w:p>
              </w:tc>
            </w:tr>
            <w:tr w14:paraId="4983A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7DA1CC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sz w:val="21"/>
                      <w:szCs w:val="21"/>
                      <w:highlight w:val="none"/>
                      <w:lang w:bidi="ar"/>
                    </w:rPr>
                  </w:pPr>
                  <w:r>
                    <w:rPr>
                      <w:rFonts w:hint="default" w:ascii="Times New Roman" w:hAnsi="Times New Roman" w:eastAsia="宋体" w:cs="Times New Roman"/>
                      <w:bCs/>
                      <w:color w:val="auto"/>
                      <w:spacing w:val="0"/>
                      <w:kern w:val="2"/>
                      <w:sz w:val="21"/>
                      <w:szCs w:val="21"/>
                      <w:highlight w:val="none"/>
                      <w:lang w:val="en-US" w:eastAsia="zh-CN" w:bidi="ar"/>
                    </w:rPr>
                    <w:t>无组织管控</w:t>
                  </w:r>
                </w:p>
              </w:tc>
              <w:tc>
                <w:tcPr>
                  <w:tcW w:w="2794" w:type="pct"/>
                  <w:gridSpan w:val="2"/>
                  <w:noWrap w:val="0"/>
                  <w:vAlign w:val="center"/>
                </w:tcPr>
                <w:p w14:paraId="32770CF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both"/>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1、物料储存</w:t>
                  </w:r>
                </w:p>
                <w:p w14:paraId="79F7DCC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left"/>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1）煤粉、膨润土、硅砂等粉状物料应袋装或罐装，并储存于半封闭储库、堆棚及以上措施；（2）生铁、废钢、焦炭和铁合金等粒状、块状散装物料应储存于半封闭储库及以上措施，半封闭储库应至少两面有围墙（围挡）及屋顶，并对物料采取覆盖或喷淋（雾）等抑尘措施；熔模铸造淋砂工序在半封闭空间内操作，配备除尘设施。</w:t>
                  </w:r>
                </w:p>
                <w:p w14:paraId="2DC4A46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both"/>
                    <w:textAlignment w:val="auto"/>
                    <w:rPr>
                      <w:rFonts w:hint="eastAsia"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2、物料转移和输送</w:t>
                  </w:r>
                  <w:r>
                    <w:rPr>
                      <w:rFonts w:hint="eastAsia" w:cs="Times New Roman"/>
                      <w:bCs/>
                      <w:color w:val="auto"/>
                      <w:spacing w:val="0"/>
                      <w:kern w:val="2"/>
                      <w:sz w:val="21"/>
                      <w:szCs w:val="21"/>
                      <w:highlight w:val="none"/>
                      <w:lang w:val="en-US" w:eastAsia="zh-CN" w:bidi="ar"/>
                    </w:rPr>
                    <w:t>（</w:t>
                  </w:r>
                  <w:r>
                    <w:rPr>
                      <w:rFonts w:hint="default" w:ascii="Times New Roman" w:hAnsi="Times New Roman" w:eastAsia="宋体" w:cs="Times New Roman"/>
                      <w:bCs/>
                      <w:color w:val="auto"/>
                      <w:spacing w:val="0"/>
                      <w:kern w:val="2"/>
                      <w:sz w:val="21"/>
                      <w:szCs w:val="21"/>
                      <w:highlight w:val="none"/>
                      <w:lang w:val="en-US" w:eastAsia="zh-CN" w:bidi="ar"/>
                    </w:rPr>
                    <w:t>同A级企业</w:t>
                  </w:r>
                  <w:r>
                    <w:rPr>
                      <w:rFonts w:hint="eastAsia" w:cs="Times New Roman"/>
                      <w:bCs/>
                      <w:color w:val="auto"/>
                      <w:spacing w:val="0"/>
                      <w:kern w:val="2"/>
                      <w:sz w:val="21"/>
                      <w:szCs w:val="21"/>
                      <w:highlight w:val="none"/>
                      <w:lang w:val="en-US" w:eastAsia="zh-CN" w:bidi="ar"/>
                    </w:rPr>
                    <w:t>）</w:t>
                  </w:r>
                </w:p>
                <w:p w14:paraId="76D54259">
                  <w:pPr>
                    <w:keepNext w:val="0"/>
                    <w:keepLines w:val="0"/>
                    <w:widowControl/>
                    <w:suppressLineNumbers w:val="0"/>
                    <w:spacing w:before="0" w:beforeAutospacing="0" w:after="0" w:afterAutospacing="0"/>
                    <w:ind w:left="0" w:right="0"/>
                    <w:jc w:val="left"/>
                    <w:rPr>
                      <w:rFonts w:hint="default" w:cs="Times New Roman"/>
                      <w:bCs/>
                      <w:color w:val="auto"/>
                      <w:spacing w:val="0"/>
                      <w:kern w:val="2"/>
                      <w:sz w:val="21"/>
                      <w:szCs w:val="21"/>
                      <w:highlight w:val="none"/>
                      <w:lang w:val="en-US" w:eastAsia="zh-CN" w:bidi="ar"/>
                    </w:rPr>
                  </w:pPr>
                  <w:r>
                    <w:rPr>
                      <w:rFonts w:hint="eastAsia" w:ascii="宋体" w:hAnsi="宋体" w:eastAsia="宋体" w:cs="宋体"/>
                      <w:color w:val="auto"/>
                      <w:spacing w:val="0"/>
                      <w:kern w:val="0"/>
                      <w:sz w:val="21"/>
                      <w:szCs w:val="21"/>
                      <w:highlight w:val="none"/>
                      <w:lang w:val="en-US" w:eastAsia="zh-CN" w:bidi="ar"/>
                    </w:rPr>
                    <w:t>（</w:t>
                  </w:r>
                  <w:r>
                    <w:rPr>
                      <w:rFonts w:hint="default" w:ascii="Times New Roman" w:hAnsi="Times New Roman" w:eastAsia="宋体" w:cs="Times New Roman"/>
                      <w:color w:val="auto"/>
                      <w:spacing w:val="0"/>
                      <w:kern w:val="0"/>
                      <w:sz w:val="21"/>
                      <w:szCs w:val="21"/>
                      <w:highlight w:val="none"/>
                      <w:lang w:val="en-US" w:eastAsia="zh-CN" w:bidi="ar"/>
                    </w:rPr>
                    <w:t>1</w:t>
                  </w:r>
                  <w:r>
                    <w:rPr>
                      <w:rFonts w:hint="eastAsia" w:ascii="宋体" w:hAnsi="宋体" w:eastAsia="宋体" w:cs="宋体"/>
                      <w:color w:val="auto"/>
                      <w:spacing w:val="0"/>
                      <w:kern w:val="0"/>
                      <w:sz w:val="21"/>
                      <w:szCs w:val="21"/>
                      <w:highlight w:val="none"/>
                      <w:lang w:val="en-US" w:eastAsia="zh-CN" w:bidi="ar"/>
                    </w:rPr>
                    <w:t>）粉状、粒状等易散发粉尘的物料厂内转移、输送时，应采取密闭或覆盖等抑尘措施；转移、输送、装卸过程中应采取集气除尘措施，或喷淋（雾）等抑尘措施；（</w:t>
                  </w:r>
                  <w:r>
                    <w:rPr>
                      <w:rFonts w:hint="default" w:ascii="Times New Roman" w:hAnsi="Times New Roman" w:eastAsia="宋体" w:cs="Times New Roman"/>
                      <w:color w:val="auto"/>
                      <w:spacing w:val="0"/>
                      <w:kern w:val="0"/>
                      <w:sz w:val="21"/>
                      <w:szCs w:val="21"/>
                      <w:highlight w:val="none"/>
                      <w:lang w:val="en-US" w:eastAsia="zh-CN" w:bidi="ar"/>
                    </w:rPr>
                    <w:t>2</w:t>
                  </w:r>
                  <w:r>
                    <w:rPr>
                      <w:rFonts w:hint="eastAsia" w:ascii="宋体" w:hAnsi="宋体" w:eastAsia="宋体" w:cs="宋体"/>
                      <w:color w:val="auto"/>
                      <w:spacing w:val="0"/>
                      <w:kern w:val="0"/>
                      <w:sz w:val="21"/>
                      <w:szCs w:val="21"/>
                      <w:highlight w:val="none"/>
                      <w:lang w:val="en-US" w:eastAsia="zh-CN" w:bidi="ar"/>
                    </w:rPr>
                    <w:t>）除尘器卸灰口应采取密闭措施，除尘灰不得直接卸落到地面。除尘灰采取袋装、罐装等密闭措施收集、存放和运输；（</w:t>
                  </w:r>
                  <w:r>
                    <w:rPr>
                      <w:rFonts w:hint="default" w:ascii="Times New Roman" w:hAnsi="Times New Roman" w:eastAsia="宋体" w:cs="Times New Roman"/>
                      <w:color w:val="auto"/>
                      <w:spacing w:val="0"/>
                      <w:kern w:val="0"/>
                      <w:sz w:val="21"/>
                      <w:szCs w:val="21"/>
                      <w:highlight w:val="none"/>
                      <w:lang w:val="en-US" w:eastAsia="zh-CN" w:bidi="ar"/>
                    </w:rPr>
                    <w:t>3</w:t>
                  </w:r>
                  <w:r>
                    <w:rPr>
                      <w:rFonts w:hint="eastAsia" w:ascii="宋体" w:hAnsi="宋体" w:eastAsia="宋体" w:cs="宋体"/>
                      <w:color w:val="auto"/>
                      <w:spacing w:val="0"/>
                      <w:kern w:val="0"/>
                      <w:sz w:val="21"/>
                      <w:szCs w:val="21"/>
                      <w:highlight w:val="none"/>
                      <w:lang w:val="en-US" w:eastAsia="zh-CN" w:bidi="ar"/>
                    </w:rPr>
                    <w:t>）厂区道路硬化，并采取清扫、洒水等措施，保持清洁。</w:t>
                  </w:r>
                </w:p>
                <w:p w14:paraId="790182F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both"/>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3、铸造</w:t>
                  </w:r>
                </w:p>
                <w:p w14:paraId="3C1906F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1）孕育、变质、炉外精炼、除气等金属液预处理工序PM排放环节应安装半封闭空间，并配备除尘设施；（2）浇注工序设置浇注区或浇注段，用外部罩的罩口应尽可能接近污染源；落砂、抛丸清理、砂处理工序应在密闭设备内操作，废气收集至除尘设施；（3）对于树脂砂工艺生产特殊尺寸（特大等）铸件或使用地坑造型的，浇注和冷却工序采取固定式或移动式集气设备，并配备废气处理设施，待砂型冷却至无可见烟尘外逸时，环保设备方可停止运行；对于水玻璃砂工艺生产特殊尺寸（特大等）铸件或使用地坑造型的，浇注工序采取固定式或移动式集气设备，并配备除尘设施设置集气罩；落砂工序应采取有效集气除尘或抑尘措施；（4）清理（去除浇冒口、铲飞边毛刺等）和浇包、渣包的维修等工序在封闭设备或排风柜内操作，废气收集至除尘设施；（5）车间不得有可见烟粉尘外逸</w:t>
                  </w:r>
                  <w:r>
                    <w:rPr>
                      <w:rFonts w:hint="eastAsia" w:cs="Times New Roman"/>
                      <w:bCs/>
                      <w:color w:val="auto"/>
                      <w:spacing w:val="0"/>
                      <w:kern w:val="2"/>
                      <w:sz w:val="21"/>
                      <w:szCs w:val="21"/>
                      <w:highlight w:val="none"/>
                      <w:lang w:val="en-US" w:eastAsia="zh-CN" w:bidi="ar"/>
                    </w:rPr>
                    <w:t>。</w:t>
                  </w:r>
                </w:p>
              </w:tc>
              <w:tc>
                <w:tcPr>
                  <w:tcW w:w="1191" w:type="pct"/>
                  <w:noWrap w:val="0"/>
                  <w:vAlign w:val="center"/>
                </w:tcPr>
                <w:p w14:paraId="48F00027">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40" w:lineRule="exact"/>
                    <w:ind w:left="0" w:right="0"/>
                    <w:textAlignment w:val="auto"/>
                    <w:rPr>
                      <w:rFonts w:hint="eastAsia"/>
                      <w:color w:val="auto"/>
                      <w:spacing w:val="0"/>
                      <w:sz w:val="21"/>
                      <w:szCs w:val="21"/>
                      <w:highlight w:val="none"/>
                      <w:lang w:val="en-US" w:eastAsia="zh-CN"/>
                    </w:rPr>
                  </w:pPr>
                  <w:r>
                    <w:rPr>
                      <w:rFonts w:hint="eastAsia" w:ascii="宋体" w:hAnsi="宋体" w:cs="宋体"/>
                      <w:color w:val="auto"/>
                      <w:spacing w:val="0"/>
                      <w:sz w:val="21"/>
                      <w:szCs w:val="21"/>
                      <w:highlight w:val="none"/>
                      <w:lang w:val="en-US" w:eastAsia="zh-CN"/>
                    </w:rPr>
                    <w:t>1、米铁、废钢和铁合金等粒状、块状散装物料储存于车间原料区，原料区建</w:t>
                  </w:r>
                  <w:r>
                    <w:rPr>
                      <w:rFonts w:hint="default" w:ascii="宋体" w:hAnsi="宋体" w:cs="宋体"/>
                      <w:color w:val="auto"/>
                      <w:spacing w:val="0"/>
                      <w:sz w:val="21"/>
                      <w:szCs w:val="21"/>
                      <w:highlight w:val="none"/>
                      <w:lang w:val="en-US" w:eastAsia="zh-CN"/>
                    </w:rPr>
                    <w:t>半封闭储库；</w:t>
                  </w:r>
                  <w:r>
                    <w:rPr>
                      <w:rFonts w:hint="eastAsia"/>
                      <w:color w:val="auto"/>
                      <w:spacing w:val="0"/>
                      <w:sz w:val="21"/>
                      <w:szCs w:val="21"/>
                      <w:highlight w:val="none"/>
                      <w:lang w:val="en-US" w:eastAsia="zh-CN"/>
                    </w:rPr>
                    <w:t>设置雾炮进行喷淋。</w:t>
                  </w:r>
                </w:p>
                <w:p w14:paraId="68A2A2FB">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40" w:lineRule="exact"/>
                    <w:ind w:left="0" w:right="0"/>
                    <w:textAlignment w:val="auto"/>
                    <w:rPr>
                      <w:rFonts w:hint="eastAsia"/>
                      <w:color w:val="auto"/>
                      <w:spacing w:val="0"/>
                      <w:sz w:val="21"/>
                      <w:szCs w:val="21"/>
                      <w:highlight w:val="none"/>
                      <w:lang w:val="en-US" w:eastAsia="zh-CN"/>
                    </w:rPr>
                  </w:pPr>
                  <w:r>
                    <w:rPr>
                      <w:rFonts w:hint="eastAsia"/>
                      <w:color w:val="auto"/>
                      <w:spacing w:val="0"/>
                      <w:sz w:val="21"/>
                      <w:szCs w:val="21"/>
                      <w:highlight w:val="none"/>
                      <w:lang w:val="en-US" w:eastAsia="zh-CN"/>
                    </w:rPr>
                    <w:t>2、粉状、粒状等易散发粉尘的物料厂内转移、输送应采取密闭或覆盖等抑尘措施。</w:t>
                  </w:r>
                </w:p>
                <w:p w14:paraId="238A45ED">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40" w:lineRule="exact"/>
                    <w:ind w:left="0" w:right="0"/>
                    <w:textAlignment w:val="auto"/>
                    <w:rPr>
                      <w:rFonts w:hint="eastAsia"/>
                      <w:spacing w:val="0"/>
                      <w:sz w:val="21"/>
                      <w:szCs w:val="21"/>
                      <w:highlight w:val="none"/>
                      <w:lang w:val="en-US" w:eastAsia="zh-CN"/>
                    </w:rPr>
                  </w:pPr>
                  <w:r>
                    <w:rPr>
                      <w:rFonts w:hint="eastAsia"/>
                      <w:color w:val="auto"/>
                      <w:spacing w:val="0"/>
                      <w:sz w:val="21"/>
                      <w:szCs w:val="21"/>
                      <w:highlight w:val="none"/>
                      <w:lang w:val="en-US" w:eastAsia="zh-CN"/>
                    </w:rPr>
                    <w:t>3、落砂、打磨工序应设置固定工位，并采取抑尘措施或配备集气、除尘装置设施；</w:t>
                  </w:r>
                  <w:r>
                    <w:rPr>
                      <w:rFonts w:hint="default"/>
                      <w:color w:val="auto"/>
                      <w:spacing w:val="0"/>
                      <w:sz w:val="21"/>
                      <w:szCs w:val="21"/>
                      <w:highlight w:val="none"/>
                      <w:lang w:val="en-US" w:eastAsia="zh-CN"/>
                    </w:rPr>
                    <w:t>浇注工序设置浇注区，用外部罩的罩口应尽可能接近污染源</w:t>
                  </w:r>
                  <w:r>
                    <w:rPr>
                      <w:rFonts w:hint="eastAsia"/>
                      <w:color w:val="auto"/>
                      <w:spacing w:val="0"/>
                      <w:sz w:val="21"/>
                      <w:szCs w:val="21"/>
                      <w:highlight w:val="none"/>
                      <w:lang w:val="en-US" w:eastAsia="zh-CN"/>
                    </w:rPr>
                    <w:t>。</w:t>
                  </w:r>
                </w:p>
                <w:p w14:paraId="2EC8807E">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40" w:lineRule="exact"/>
                    <w:ind w:left="0" w:right="0"/>
                    <w:textAlignment w:val="auto"/>
                    <w:rPr>
                      <w:rFonts w:hint="eastAsia"/>
                      <w:color w:val="auto"/>
                      <w:spacing w:val="0"/>
                      <w:sz w:val="21"/>
                      <w:szCs w:val="21"/>
                      <w:highlight w:val="none"/>
                      <w:lang w:val="en-US" w:eastAsia="zh-CN"/>
                    </w:rPr>
                  </w:pPr>
                  <w:r>
                    <w:rPr>
                      <w:rFonts w:hint="eastAsia"/>
                      <w:color w:val="auto"/>
                      <w:spacing w:val="0"/>
                      <w:sz w:val="21"/>
                      <w:szCs w:val="21"/>
                      <w:highlight w:val="none"/>
                      <w:lang w:val="en-US" w:eastAsia="zh-CN"/>
                    </w:rPr>
                    <w:t>4、除尘器灰仓卸灰不应直接卸落到地面，卸灰口应采取密闭。除尘灰采取密闭措施收集、存放和运输。</w:t>
                  </w:r>
                </w:p>
                <w:p w14:paraId="440FCFC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eastAsia"/>
                      <w:color w:val="auto"/>
                      <w:spacing w:val="0"/>
                      <w:sz w:val="21"/>
                      <w:szCs w:val="21"/>
                      <w:highlight w:val="none"/>
                      <w:lang w:val="en-US" w:eastAsia="zh-CN"/>
                    </w:rPr>
                    <w:t xml:space="preserve">5、厂区道路应硬化，并采取清扫、洒水等措施，保持清洁。 </w:t>
                  </w:r>
                </w:p>
              </w:tc>
              <w:tc>
                <w:tcPr>
                  <w:tcW w:w="500" w:type="pct"/>
                  <w:noWrap w:val="0"/>
                  <w:vAlign w:val="center"/>
                </w:tcPr>
                <w:p w14:paraId="2730703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center"/>
                    <w:rPr>
                      <w:rFonts w:hint="eastAsia" w:ascii="Times New Roman" w:hAnsi="Times New Roman" w:eastAsia="宋体" w:cs="Times New Roman"/>
                      <w:bCs/>
                      <w:color w:val="auto"/>
                      <w:spacing w:val="0"/>
                      <w:kern w:val="2"/>
                      <w:sz w:val="21"/>
                      <w:szCs w:val="21"/>
                      <w:highlight w:val="none"/>
                      <w:lang w:val="en-US" w:eastAsia="zh-CN" w:bidi="ar"/>
                    </w:rPr>
                  </w:pPr>
                  <w:r>
                    <w:rPr>
                      <w:rFonts w:hint="eastAsia" w:cs="Times New Roman"/>
                      <w:color w:val="auto"/>
                      <w:spacing w:val="0"/>
                      <w:sz w:val="21"/>
                      <w:szCs w:val="21"/>
                      <w:highlight w:val="none"/>
                      <w:lang w:val="en-US" w:eastAsia="zh-CN"/>
                    </w:rPr>
                    <w:t>符合</w:t>
                  </w:r>
                </w:p>
              </w:tc>
            </w:tr>
            <w:tr w14:paraId="25887D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09D34232">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bidi="ar"/>
                    </w:rPr>
                  </w:pPr>
                  <w:r>
                    <w:rPr>
                      <w:rFonts w:hint="default" w:ascii="Times New Roman" w:hAnsi="Times New Roman" w:eastAsia="宋体" w:cs="Times New Roman"/>
                      <w:bCs/>
                      <w:color w:val="auto"/>
                      <w:spacing w:val="0"/>
                      <w:kern w:val="2"/>
                      <w:sz w:val="21"/>
                      <w:szCs w:val="21"/>
                      <w:highlight w:val="none"/>
                      <w:lang w:val="en-US" w:eastAsia="zh-CN" w:bidi="ar"/>
                    </w:rPr>
                    <w:t>监测监控水平</w:t>
                  </w:r>
                </w:p>
              </w:tc>
              <w:tc>
                <w:tcPr>
                  <w:tcW w:w="2794" w:type="pct"/>
                  <w:gridSpan w:val="2"/>
                  <w:noWrap w:val="0"/>
                  <w:vAlign w:val="center"/>
                </w:tcPr>
                <w:p w14:paraId="523D1C1F">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、料场出入口等易产生</w:t>
                  </w:r>
                  <w:r>
                    <w:rPr>
                      <w:rFonts w:hint="default" w:ascii="Times New Roman" w:hAnsi="Times New Roman" w:eastAsia="宋体" w:cs="Times New Roman"/>
                      <w:color w:val="000000"/>
                      <w:spacing w:val="0"/>
                      <w:kern w:val="0"/>
                      <w:sz w:val="21"/>
                      <w:szCs w:val="21"/>
                      <w:highlight w:val="none"/>
                      <w:lang w:val="en-US" w:eastAsia="zh-CN" w:bidi="ar"/>
                    </w:rPr>
                    <w:t>PM</w:t>
                  </w:r>
                  <w:r>
                    <w:rPr>
                      <w:rFonts w:hint="eastAsia" w:ascii="宋体" w:hAnsi="宋体" w:eastAsia="宋体" w:cs="宋体"/>
                      <w:color w:val="000000"/>
                      <w:spacing w:val="0"/>
                      <w:kern w:val="0"/>
                      <w:sz w:val="21"/>
                      <w:szCs w:val="21"/>
                      <w:highlight w:val="none"/>
                      <w:lang w:val="en-US" w:eastAsia="zh-CN" w:bidi="ar"/>
                    </w:rPr>
                    <w:t>排放环节，安装高清视频监控设施。视频监控数据保存三个月以上；</w:t>
                  </w:r>
                  <w:r>
                    <w:rPr>
                      <w:rFonts w:hint="default" w:ascii="Times New Roman" w:hAnsi="Times New Roman" w:eastAsia="宋体" w:cs="Times New Roman"/>
                      <w:color w:val="000000"/>
                      <w:spacing w:val="0"/>
                      <w:kern w:val="0"/>
                      <w:sz w:val="21"/>
                      <w:szCs w:val="21"/>
                      <w:highlight w:val="none"/>
                      <w:lang w:val="en-US" w:eastAsia="zh-CN" w:bidi="ar"/>
                    </w:rPr>
                    <w:t>2</w:t>
                  </w:r>
                  <w:r>
                    <w:rPr>
                      <w:rFonts w:hint="eastAsia" w:ascii="宋体" w:hAnsi="宋体" w:eastAsia="宋体" w:cs="宋体"/>
                      <w:color w:val="000000"/>
                      <w:spacing w:val="0"/>
                      <w:kern w:val="0"/>
                      <w:sz w:val="21"/>
                      <w:szCs w:val="21"/>
                      <w:highlight w:val="none"/>
                      <w:lang w:val="en-US" w:eastAsia="zh-CN" w:bidi="ar"/>
                    </w:rPr>
                    <w:t>、主要生产设施与污染防治设施分表计电</w:t>
                  </w:r>
                  <w:r>
                    <w:rPr>
                      <w:rFonts w:hint="eastAsia" w:ascii="宋体" w:hAnsi="宋体" w:cs="宋体"/>
                      <w:color w:val="000000"/>
                      <w:spacing w:val="0"/>
                      <w:kern w:val="0"/>
                      <w:sz w:val="21"/>
                      <w:szCs w:val="21"/>
                      <w:highlight w:val="none"/>
                      <w:lang w:val="en-US" w:eastAsia="zh-CN" w:bidi="ar"/>
                    </w:rPr>
                    <w:t>。</w:t>
                  </w:r>
                </w:p>
              </w:tc>
              <w:tc>
                <w:tcPr>
                  <w:tcW w:w="1191" w:type="pct"/>
                  <w:noWrap w:val="0"/>
                  <w:vAlign w:val="center"/>
                </w:tcPr>
                <w:p w14:paraId="4142061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企业按要求执行。</w:t>
                  </w:r>
                </w:p>
              </w:tc>
              <w:tc>
                <w:tcPr>
                  <w:tcW w:w="500" w:type="pct"/>
                  <w:noWrap w:val="0"/>
                  <w:vAlign w:val="center"/>
                </w:tcPr>
                <w:p w14:paraId="6B33469B">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符合</w:t>
                  </w:r>
                </w:p>
              </w:tc>
            </w:tr>
            <w:tr w14:paraId="5AE36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vMerge w:val="restart"/>
                  <w:noWrap w:val="0"/>
                  <w:vAlign w:val="center"/>
                </w:tcPr>
                <w:p w14:paraId="32BADC8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环境管理水平</w:t>
                  </w:r>
                </w:p>
              </w:tc>
              <w:tc>
                <w:tcPr>
                  <w:tcW w:w="455" w:type="pct"/>
                  <w:noWrap w:val="0"/>
                  <w:vAlign w:val="center"/>
                </w:tcPr>
                <w:p w14:paraId="3306424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sz w:val="21"/>
                      <w:szCs w:val="21"/>
                      <w:highlight w:val="none"/>
                      <w:lang w:bidi="ar"/>
                    </w:rPr>
                    <w:t>环保档案</w:t>
                  </w:r>
                </w:p>
              </w:tc>
              <w:tc>
                <w:tcPr>
                  <w:tcW w:w="2339" w:type="pct"/>
                  <w:noWrap w:val="0"/>
                  <w:vAlign w:val="center"/>
                </w:tcPr>
                <w:p w14:paraId="662731B3">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ascii="Times New Roman" w:hAnsi="Times New Roman" w:eastAsia="宋体" w:cs="Times New Roman"/>
                      <w:bCs/>
                      <w:color w:val="auto"/>
                      <w:spacing w:val="0"/>
                      <w:kern w:val="2"/>
                      <w:sz w:val="21"/>
                      <w:szCs w:val="21"/>
                      <w:highlight w:val="none"/>
                      <w:lang w:val="en-US" w:eastAsia="zh-CN" w:bidi="ar"/>
                    </w:rPr>
                  </w:pPr>
                  <w:r>
                    <w:rPr>
                      <w:rFonts w:hint="eastAsia" w:ascii="宋体" w:hAnsi="宋体" w:eastAsia="宋体" w:cs="宋体"/>
                      <w:color w:val="000000"/>
                      <w:spacing w:val="0"/>
                      <w:kern w:val="0"/>
                      <w:sz w:val="21"/>
                      <w:szCs w:val="21"/>
                      <w:highlight w:val="none"/>
                      <w:lang w:val="en-US" w:eastAsia="zh-CN" w:bidi="ar"/>
                    </w:rPr>
                    <w:t>环保档案齐全：</w:t>
                  </w:r>
                  <w:r>
                    <w:rPr>
                      <w:rFonts w:hint="default" w:ascii="Times New Roman" w:hAnsi="Times New Roman" w:eastAsia="宋体" w:cs="Times New Roman"/>
                      <w:color w:val="000000"/>
                      <w:spacing w:val="0"/>
                      <w:kern w:val="0"/>
                      <w:sz w:val="21"/>
                      <w:szCs w:val="21"/>
                      <w:highlight w:val="none"/>
                      <w:lang w:val="en-US" w:eastAsia="zh-CN" w:bidi="ar"/>
                    </w:rPr>
                    <w:t>1</w:t>
                  </w:r>
                  <w:r>
                    <w:rPr>
                      <w:rFonts w:hint="eastAsia" w:ascii="宋体" w:hAnsi="宋体" w:eastAsia="宋体" w:cs="宋体"/>
                      <w:color w:val="000000"/>
                      <w:spacing w:val="0"/>
                      <w:kern w:val="0"/>
                      <w:sz w:val="21"/>
                      <w:szCs w:val="21"/>
                      <w:highlight w:val="none"/>
                      <w:lang w:val="en-US" w:eastAsia="zh-CN" w:bidi="ar"/>
                    </w:rPr>
                    <w:t>、环评批复文件；</w:t>
                  </w:r>
                  <w:r>
                    <w:rPr>
                      <w:rFonts w:hint="default" w:ascii="Times New Roman" w:hAnsi="Times New Roman" w:eastAsia="宋体" w:cs="Times New Roman"/>
                      <w:color w:val="000000"/>
                      <w:spacing w:val="0"/>
                      <w:kern w:val="0"/>
                      <w:sz w:val="21"/>
                      <w:szCs w:val="21"/>
                      <w:highlight w:val="none"/>
                      <w:lang w:val="en-US" w:eastAsia="zh-CN" w:bidi="ar"/>
                    </w:rPr>
                    <w:t>2</w:t>
                  </w:r>
                  <w:r>
                    <w:rPr>
                      <w:rFonts w:hint="eastAsia" w:ascii="宋体" w:hAnsi="宋体" w:eastAsia="宋体" w:cs="宋体"/>
                      <w:color w:val="000000"/>
                      <w:spacing w:val="0"/>
                      <w:kern w:val="0"/>
                      <w:sz w:val="21"/>
                      <w:szCs w:val="21"/>
                      <w:highlight w:val="none"/>
                      <w:lang w:val="en-US" w:eastAsia="zh-CN" w:bidi="ar"/>
                    </w:rPr>
                    <w:t>、排污许可证及季度、年度执行报告；</w:t>
                  </w:r>
                  <w:r>
                    <w:rPr>
                      <w:rFonts w:hint="default" w:ascii="Times New Roman" w:hAnsi="Times New Roman" w:eastAsia="宋体" w:cs="Times New Roman"/>
                      <w:color w:val="000000"/>
                      <w:spacing w:val="0"/>
                      <w:kern w:val="0"/>
                      <w:sz w:val="21"/>
                      <w:szCs w:val="21"/>
                      <w:highlight w:val="none"/>
                      <w:lang w:val="en-US" w:eastAsia="zh-CN" w:bidi="ar"/>
                    </w:rPr>
                    <w:t>3</w:t>
                  </w:r>
                  <w:r>
                    <w:rPr>
                      <w:rFonts w:hint="eastAsia" w:ascii="宋体" w:hAnsi="宋体" w:eastAsia="宋体" w:cs="宋体"/>
                      <w:color w:val="000000"/>
                      <w:spacing w:val="0"/>
                      <w:kern w:val="0"/>
                      <w:sz w:val="21"/>
                      <w:szCs w:val="21"/>
                      <w:highlight w:val="none"/>
                      <w:lang w:val="en-US" w:eastAsia="zh-CN" w:bidi="ar"/>
                    </w:rPr>
                    <w:t>、竣工验收文件；</w:t>
                  </w:r>
                  <w:r>
                    <w:rPr>
                      <w:rFonts w:hint="default" w:ascii="Times New Roman" w:hAnsi="Times New Roman" w:eastAsia="宋体" w:cs="Times New Roman"/>
                      <w:color w:val="000000"/>
                      <w:spacing w:val="0"/>
                      <w:kern w:val="0"/>
                      <w:sz w:val="21"/>
                      <w:szCs w:val="21"/>
                      <w:highlight w:val="none"/>
                      <w:lang w:val="en-US" w:eastAsia="zh-CN" w:bidi="ar"/>
                    </w:rPr>
                    <w:t>4</w:t>
                  </w:r>
                  <w:r>
                    <w:rPr>
                      <w:rFonts w:hint="eastAsia" w:ascii="宋体" w:hAnsi="宋体" w:eastAsia="宋体" w:cs="宋体"/>
                      <w:color w:val="000000"/>
                      <w:spacing w:val="0"/>
                      <w:kern w:val="0"/>
                      <w:sz w:val="21"/>
                      <w:szCs w:val="21"/>
                      <w:highlight w:val="none"/>
                      <w:lang w:val="en-US" w:eastAsia="zh-CN" w:bidi="ar"/>
                    </w:rPr>
                    <w:t>、废气治理设施运行管理规程；</w:t>
                  </w:r>
                  <w:r>
                    <w:rPr>
                      <w:rFonts w:hint="default" w:ascii="Times New Roman" w:hAnsi="Times New Roman" w:eastAsia="宋体" w:cs="Times New Roman"/>
                      <w:color w:val="000000"/>
                      <w:spacing w:val="0"/>
                      <w:kern w:val="0"/>
                      <w:sz w:val="21"/>
                      <w:szCs w:val="21"/>
                      <w:highlight w:val="none"/>
                      <w:lang w:val="en-US" w:eastAsia="zh-CN" w:bidi="ar"/>
                    </w:rPr>
                    <w:t>5</w:t>
                  </w:r>
                  <w:r>
                    <w:rPr>
                      <w:rFonts w:hint="eastAsia" w:ascii="宋体" w:hAnsi="宋体" w:eastAsia="宋体" w:cs="宋体"/>
                      <w:color w:val="000000"/>
                      <w:spacing w:val="0"/>
                      <w:kern w:val="0"/>
                      <w:sz w:val="21"/>
                      <w:szCs w:val="21"/>
                      <w:highlight w:val="none"/>
                      <w:lang w:val="en-US" w:eastAsia="zh-CN" w:bidi="ar"/>
                    </w:rPr>
                    <w:t>、一年内第三方废气监测报告</w:t>
                  </w:r>
                </w:p>
              </w:tc>
              <w:tc>
                <w:tcPr>
                  <w:tcW w:w="1191" w:type="pct"/>
                  <w:vMerge w:val="restart"/>
                  <w:noWrap w:val="0"/>
                  <w:vAlign w:val="center"/>
                </w:tcPr>
                <w:p w14:paraId="7EDBEBBE">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bCs w:val="0"/>
                      <w:color w:val="auto"/>
                      <w:spacing w:val="0"/>
                      <w:sz w:val="21"/>
                      <w:szCs w:val="21"/>
                      <w:highlight w:val="none"/>
                    </w:rPr>
                    <w:t>项目要求建设完成后进行申领排污许可证，进行</w:t>
                  </w:r>
                  <w:r>
                    <w:rPr>
                      <w:rFonts w:hint="default" w:ascii="Times New Roman" w:hAnsi="Times New Roman" w:eastAsia="宋体" w:cs="Times New Roman"/>
                      <w:color w:val="auto"/>
                      <w:spacing w:val="0"/>
                      <w:sz w:val="21"/>
                      <w:szCs w:val="21"/>
                      <w:highlight w:val="none"/>
                    </w:rPr>
                    <w:t>竣工环保验收，并根据</w:t>
                  </w:r>
                  <w:r>
                    <w:rPr>
                      <w:rFonts w:hint="default" w:ascii="Times New Roman" w:hAnsi="Times New Roman" w:eastAsia="宋体" w:cs="Times New Roman"/>
                      <w:bCs w:val="0"/>
                      <w:color w:val="auto"/>
                      <w:spacing w:val="0"/>
                      <w:sz w:val="21"/>
                      <w:szCs w:val="21"/>
                      <w:highlight w:val="none"/>
                    </w:rPr>
                    <w:t>要求制定</w:t>
                  </w:r>
                  <w:r>
                    <w:rPr>
                      <w:rFonts w:hint="default" w:ascii="Times New Roman" w:hAnsi="Times New Roman" w:eastAsia="宋体" w:cs="Times New Roman"/>
                      <w:color w:val="auto"/>
                      <w:spacing w:val="0"/>
                      <w:sz w:val="21"/>
                      <w:szCs w:val="21"/>
                      <w:highlight w:val="none"/>
                    </w:rPr>
                    <w:t>环境管理制度、生产设施运行管理规程</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废气污染治理设施运行管理规程、台账制度等，厂内配备具备相应的环境管理能力的专职环保人员，按要求进行污染源自行检测，并做好</w:t>
                  </w:r>
                  <w:r>
                    <w:rPr>
                      <w:rFonts w:hint="default" w:ascii="Times New Roman" w:hAnsi="Times New Roman" w:eastAsia="宋体" w:cs="Times New Roman"/>
                      <w:color w:val="auto"/>
                      <w:spacing w:val="0"/>
                      <w:sz w:val="21"/>
                      <w:szCs w:val="21"/>
                      <w:highlight w:val="none"/>
                      <w:lang w:val="en-US" w:eastAsia="zh-CN"/>
                    </w:rPr>
                    <w:t>台账</w:t>
                  </w:r>
                  <w:r>
                    <w:rPr>
                      <w:rFonts w:hint="default" w:ascii="Times New Roman" w:hAnsi="Times New Roman" w:eastAsia="宋体" w:cs="Times New Roman"/>
                      <w:color w:val="auto"/>
                      <w:spacing w:val="0"/>
                      <w:sz w:val="21"/>
                      <w:szCs w:val="21"/>
                      <w:highlight w:val="none"/>
                    </w:rPr>
                    <w:t>记录。</w:t>
                  </w:r>
                </w:p>
              </w:tc>
              <w:tc>
                <w:tcPr>
                  <w:tcW w:w="500" w:type="pct"/>
                  <w:vMerge w:val="restart"/>
                  <w:noWrap w:val="0"/>
                  <w:vAlign w:val="center"/>
                </w:tcPr>
                <w:p w14:paraId="2137421C">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r>
                    <w:rPr>
                      <w:rFonts w:hint="eastAsia" w:cs="Times New Roman"/>
                      <w:color w:val="auto"/>
                      <w:spacing w:val="0"/>
                      <w:sz w:val="21"/>
                      <w:szCs w:val="21"/>
                      <w:highlight w:val="none"/>
                      <w:lang w:val="en-US" w:eastAsia="zh-CN"/>
                    </w:rPr>
                    <w:t>符合</w:t>
                  </w:r>
                </w:p>
              </w:tc>
            </w:tr>
            <w:tr w14:paraId="7D3DF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6" w:hRule="atLeast"/>
                <w:jc w:val="center"/>
              </w:trPr>
              <w:tc>
                <w:tcPr>
                  <w:tcW w:w="513" w:type="pct"/>
                  <w:vMerge w:val="continue"/>
                  <w:noWrap w:val="0"/>
                  <w:vAlign w:val="center"/>
                </w:tcPr>
                <w:p w14:paraId="140440A9">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p>
              </w:tc>
              <w:tc>
                <w:tcPr>
                  <w:tcW w:w="455" w:type="pct"/>
                  <w:noWrap w:val="0"/>
                  <w:vAlign w:val="center"/>
                </w:tcPr>
                <w:p w14:paraId="383162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sz w:val="21"/>
                      <w:szCs w:val="21"/>
                      <w:highlight w:val="none"/>
                      <w:lang w:bidi="ar"/>
                    </w:rPr>
                    <w:t>台账记录</w:t>
                  </w:r>
                </w:p>
              </w:tc>
              <w:tc>
                <w:tcPr>
                  <w:tcW w:w="2339" w:type="pct"/>
                  <w:noWrap w:val="0"/>
                  <w:vAlign w:val="center"/>
                </w:tcPr>
                <w:p w14:paraId="52A7871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3、废气治理设备清单：主要污染治理设备、设计说明书、运行记录、CEMS小时数据等（如需）；5、运输管理电子台账（包括出入厂记录、车牌号、VIN号、发动机编号和排放阶段等）；7、废气治理设施运行管理规程</w:t>
                  </w:r>
                </w:p>
              </w:tc>
              <w:tc>
                <w:tcPr>
                  <w:tcW w:w="1191" w:type="pct"/>
                  <w:vMerge w:val="continue"/>
                  <w:noWrap w:val="0"/>
                  <w:vAlign w:val="center"/>
                </w:tcPr>
                <w:p w14:paraId="05F5D1E4">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p>
              </w:tc>
              <w:tc>
                <w:tcPr>
                  <w:tcW w:w="500" w:type="pct"/>
                  <w:vMerge w:val="continue"/>
                  <w:noWrap w:val="0"/>
                  <w:vAlign w:val="center"/>
                </w:tcPr>
                <w:p w14:paraId="6E37BDA9">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p>
              </w:tc>
            </w:tr>
            <w:tr w14:paraId="2C337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vMerge w:val="continue"/>
                  <w:noWrap w:val="0"/>
                  <w:vAlign w:val="center"/>
                </w:tcPr>
                <w:p w14:paraId="02E2CFEF">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color w:val="auto"/>
                      <w:spacing w:val="0"/>
                      <w:kern w:val="0"/>
                      <w:sz w:val="21"/>
                      <w:szCs w:val="21"/>
                      <w:highlight w:val="none"/>
                      <w:lang w:val="en-US" w:eastAsia="zh-CN" w:bidi="ar"/>
                    </w:rPr>
                  </w:pPr>
                </w:p>
              </w:tc>
              <w:tc>
                <w:tcPr>
                  <w:tcW w:w="455" w:type="pct"/>
                  <w:noWrap w:val="0"/>
                  <w:vAlign w:val="center"/>
                </w:tcPr>
                <w:p w14:paraId="73DF2EBD">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sz w:val="21"/>
                      <w:szCs w:val="21"/>
                      <w:highlight w:val="none"/>
                      <w:lang w:bidi="ar"/>
                    </w:rPr>
                    <w:t>人员配置</w:t>
                  </w:r>
                </w:p>
              </w:tc>
              <w:tc>
                <w:tcPr>
                  <w:tcW w:w="2339" w:type="pct"/>
                  <w:noWrap w:val="0"/>
                  <w:vAlign w:val="center"/>
                </w:tcPr>
                <w:p w14:paraId="5008B93A">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left"/>
                    <w:rPr>
                      <w:rFonts w:hint="default" w:ascii="Times New Roman" w:hAnsi="Times New Roman" w:eastAsia="宋体" w:cs="Times New Roman"/>
                      <w:bCs/>
                      <w:color w:val="auto"/>
                      <w:spacing w:val="0"/>
                      <w:kern w:val="2"/>
                      <w:sz w:val="21"/>
                      <w:szCs w:val="21"/>
                      <w:highlight w:val="none"/>
                      <w:lang w:val="en-US" w:eastAsia="zh-CN" w:bidi="ar"/>
                    </w:rPr>
                  </w:pPr>
                  <w:r>
                    <w:rPr>
                      <w:rFonts w:hint="eastAsia" w:ascii="宋体" w:hAnsi="宋体" w:eastAsia="宋体" w:cs="宋体"/>
                      <w:color w:val="000000"/>
                      <w:spacing w:val="0"/>
                      <w:kern w:val="0"/>
                      <w:sz w:val="21"/>
                      <w:szCs w:val="21"/>
                      <w:highlight w:val="none"/>
                      <w:lang w:val="en-US" w:eastAsia="zh-CN" w:bidi="ar"/>
                    </w:rPr>
                    <w:t>设置环保部门，</w:t>
                  </w:r>
                  <w:r>
                    <w:rPr>
                      <w:rFonts w:hint="default" w:ascii="Times New Roman" w:hAnsi="Times New Roman" w:eastAsia="宋体" w:cs="Times New Roman"/>
                      <w:bCs/>
                      <w:color w:val="auto"/>
                      <w:spacing w:val="0"/>
                      <w:kern w:val="2"/>
                      <w:sz w:val="21"/>
                      <w:szCs w:val="21"/>
                      <w:highlight w:val="none"/>
                      <w:lang w:val="en-US" w:eastAsia="zh-CN" w:bidi="ar"/>
                    </w:rPr>
                    <w:t>配备专职环保人员，并具备相应的环境管理能力</w:t>
                  </w:r>
                </w:p>
              </w:tc>
              <w:tc>
                <w:tcPr>
                  <w:tcW w:w="1191" w:type="pct"/>
                  <w:vMerge w:val="continue"/>
                  <w:noWrap w:val="0"/>
                  <w:vAlign w:val="center"/>
                </w:tcPr>
                <w:p w14:paraId="3854CF67">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p>
              </w:tc>
              <w:tc>
                <w:tcPr>
                  <w:tcW w:w="500" w:type="pct"/>
                  <w:vMerge w:val="continue"/>
                  <w:noWrap w:val="0"/>
                  <w:vAlign w:val="center"/>
                </w:tcPr>
                <w:p w14:paraId="4C4F4548">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color w:val="auto"/>
                      <w:spacing w:val="0"/>
                      <w:sz w:val="21"/>
                      <w:szCs w:val="21"/>
                      <w:highlight w:val="none"/>
                    </w:rPr>
                  </w:pPr>
                </w:p>
              </w:tc>
            </w:tr>
            <w:tr w14:paraId="740AFD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71E9E8B2">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运输方式</w:t>
                  </w:r>
                </w:p>
              </w:tc>
              <w:tc>
                <w:tcPr>
                  <w:tcW w:w="2794" w:type="pct"/>
                  <w:gridSpan w:val="2"/>
                  <w:noWrap w:val="0"/>
                  <w:vAlign w:val="center"/>
                </w:tcPr>
                <w:p w14:paraId="020DEC49">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eastAsia"/>
                      <w:spacing w:val="0"/>
                      <w:sz w:val="21"/>
                      <w:szCs w:val="21"/>
                      <w:highlight w:val="none"/>
                    </w:rPr>
                  </w:pPr>
                  <w:r>
                    <w:rPr>
                      <w:rFonts w:hint="eastAsia"/>
                      <w:spacing w:val="0"/>
                      <w:sz w:val="21"/>
                      <w:szCs w:val="21"/>
                      <w:highlight w:val="none"/>
                    </w:rPr>
                    <w:t>1、物料公路运输使用达到国五及以上排放标准重型载货车辆（含燃气）或新能源车辆比例不低于80%，其他车辆达到国四排放标准；</w:t>
                  </w:r>
                </w:p>
                <w:p w14:paraId="44CE5B5D">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eastAsia"/>
                      <w:spacing w:val="0"/>
                      <w:sz w:val="21"/>
                      <w:szCs w:val="21"/>
                      <w:highlight w:val="none"/>
                    </w:rPr>
                  </w:pPr>
                  <w:r>
                    <w:rPr>
                      <w:rFonts w:hint="eastAsia"/>
                      <w:spacing w:val="0"/>
                      <w:sz w:val="21"/>
                      <w:szCs w:val="21"/>
                      <w:highlight w:val="none"/>
                    </w:rPr>
                    <w:t>2、厂内运输车辆达到国五及以上排放标准（含燃气）或使用新能源车辆的比例不低于80%，其他车辆达到国四排放标准；</w:t>
                  </w:r>
                </w:p>
                <w:p w14:paraId="72843C6D">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eastAsia"/>
                      <w:spacing w:val="0"/>
                      <w:sz w:val="21"/>
                      <w:szCs w:val="21"/>
                      <w:highlight w:val="none"/>
                    </w:rPr>
                  </w:pPr>
                  <w:r>
                    <w:rPr>
                      <w:rFonts w:hint="eastAsia"/>
                      <w:spacing w:val="0"/>
                      <w:sz w:val="21"/>
                      <w:szCs w:val="21"/>
                      <w:highlight w:val="none"/>
                    </w:rPr>
                    <w:t>3、危废运输全部使用国五及以上或新能源车辆；</w:t>
                  </w:r>
                </w:p>
                <w:p w14:paraId="3051F8E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eastAsia"/>
                      <w:spacing w:val="0"/>
                      <w:sz w:val="21"/>
                      <w:szCs w:val="21"/>
                      <w:highlight w:val="none"/>
                    </w:rPr>
                    <w:t>4、厂内非道路移动机械全部达到国三及以上排放标准或使用新能源机械</w:t>
                  </w:r>
                </w:p>
              </w:tc>
              <w:tc>
                <w:tcPr>
                  <w:tcW w:w="1191" w:type="pct"/>
                  <w:noWrap w:val="0"/>
                  <w:vAlign w:val="center"/>
                </w:tcPr>
                <w:p w14:paraId="21468B2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bCs w:val="0"/>
                      <w:color w:val="auto"/>
                      <w:spacing w:val="0"/>
                      <w:sz w:val="21"/>
                      <w:szCs w:val="21"/>
                      <w:highlight w:val="none"/>
                    </w:rPr>
                    <w:t>项目要求建设完成后</w:t>
                  </w:r>
                  <w:r>
                    <w:rPr>
                      <w:rFonts w:hint="default" w:ascii="Times New Roman" w:hAnsi="Times New Roman" w:eastAsia="宋体" w:cs="Times New Roman"/>
                      <w:color w:val="auto"/>
                      <w:spacing w:val="0"/>
                      <w:sz w:val="21"/>
                      <w:szCs w:val="21"/>
                      <w:highlight w:val="none"/>
                    </w:rPr>
                    <w:t>物料、产品全部使用符合要求运输车辆及运输方式</w:t>
                  </w:r>
                  <w:r>
                    <w:rPr>
                      <w:rFonts w:hint="eastAsia" w:cs="Times New Roman"/>
                      <w:color w:val="auto"/>
                      <w:spacing w:val="0"/>
                      <w:sz w:val="21"/>
                      <w:szCs w:val="21"/>
                      <w:highlight w:val="none"/>
                      <w:lang w:eastAsia="zh-CN"/>
                    </w:rPr>
                    <w:t>。</w:t>
                  </w:r>
                </w:p>
              </w:tc>
              <w:tc>
                <w:tcPr>
                  <w:tcW w:w="500" w:type="pct"/>
                  <w:noWrap w:val="0"/>
                  <w:vAlign w:val="center"/>
                </w:tcPr>
                <w:p w14:paraId="66508D3E">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eastAsia="宋体" w:cs="Times New Roman"/>
                      <w:bCs w:val="0"/>
                      <w:color w:val="auto"/>
                      <w:spacing w:val="0"/>
                      <w:sz w:val="21"/>
                      <w:szCs w:val="21"/>
                      <w:highlight w:val="none"/>
                    </w:rPr>
                  </w:pPr>
                  <w:r>
                    <w:rPr>
                      <w:rFonts w:hint="eastAsia" w:cs="Times New Roman"/>
                      <w:color w:val="auto"/>
                      <w:spacing w:val="0"/>
                      <w:sz w:val="21"/>
                      <w:szCs w:val="21"/>
                      <w:highlight w:val="none"/>
                      <w:lang w:val="en-US" w:eastAsia="zh-CN"/>
                    </w:rPr>
                    <w:t>符合</w:t>
                  </w:r>
                </w:p>
              </w:tc>
            </w:tr>
            <w:tr w14:paraId="716CF7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13" w:type="pct"/>
                  <w:noWrap w:val="0"/>
                  <w:vAlign w:val="center"/>
                </w:tcPr>
                <w:p w14:paraId="5E410311">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bidi="ar"/>
                    </w:rPr>
                  </w:pPr>
                  <w:r>
                    <w:rPr>
                      <w:rFonts w:hint="default" w:ascii="Times New Roman" w:hAnsi="Times New Roman" w:eastAsia="宋体" w:cs="Times New Roman"/>
                      <w:bCs/>
                      <w:color w:val="auto"/>
                      <w:spacing w:val="0"/>
                      <w:kern w:val="2"/>
                      <w:sz w:val="21"/>
                      <w:szCs w:val="21"/>
                      <w:highlight w:val="none"/>
                      <w:lang w:val="en-US" w:eastAsia="zh-CN" w:bidi="ar"/>
                    </w:rPr>
                    <w:t>运输监管</w:t>
                  </w:r>
                </w:p>
              </w:tc>
              <w:tc>
                <w:tcPr>
                  <w:tcW w:w="2794" w:type="pct"/>
                  <w:gridSpan w:val="2"/>
                  <w:noWrap w:val="0"/>
                  <w:vAlign w:val="center"/>
                </w:tcPr>
                <w:p w14:paraId="455FA17A">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auto"/>
                    <w:rPr>
                      <w:rFonts w:hint="default" w:ascii="Times New Roman" w:hAnsi="Times New Roman" w:eastAsia="宋体" w:cs="Times New Roman"/>
                      <w:bCs/>
                      <w:color w:val="auto"/>
                      <w:spacing w:val="0"/>
                      <w:kern w:val="2"/>
                      <w:sz w:val="21"/>
                      <w:szCs w:val="21"/>
                      <w:highlight w:val="none"/>
                      <w:lang w:val="en-US" w:eastAsia="zh-CN" w:bidi="ar"/>
                    </w:rPr>
                  </w:pPr>
                  <w:r>
                    <w:rPr>
                      <w:rFonts w:hint="default" w:ascii="Times New Roman" w:hAnsi="Times New Roman" w:eastAsia="宋体" w:cs="Times New Roman"/>
                      <w:bCs/>
                      <w:color w:val="auto"/>
                      <w:spacing w:val="0"/>
                      <w:kern w:val="2"/>
                      <w:sz w:val="21"/>
                      <w:szCs w:val="21"/>
                      <w:highlight w:val="none"/>
                      <w:lang w:val="en-US" w:eastAsia="zh-CN" w:bidi="ar"/>
                    </w:rPr>
                    <w:t>参照《重污染天气重点行业移动源应急管理技术指南》建立门禁视频监控系统和电子台账</w:t>
                  </w:r>
                </w:p>
              </w:tc>
              <w:tc>
                <w:tcPr>
                  <w:tcW w:w="1191" w:type="pct"/>
                  <w:noWrap w:val="0"/>
                  <w:vAlign w:val="center"/>
                </w:tcPr>
                <w:p w14:paraId="42F26BEE">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cs="Times New Roman"/>
                      <w:bCs/>
                      <w:color w:val="auto"/>
                      <w:spacing w:val="0"/>
                      <w:sz w:val="21"/>
                      <w:szCs w:val="21"/>
                      <w:highlight w:val="none"/>
                    </w:rPr>
                    <w:t>项目要求建设完成后按照相关要求</w:t>
                  </w:r>
                  <w:r>
                    <w:rPr>
                      <w:rFonts w:hint="default" w:ascii="Times New Roman" w:hAnsi="Times New Roman" w:cs="Times New Roman"/>
                      <w:color w:val="auto"/>
                      <w:spacing w:val="0"/>
                      <w:sz w:val="21"/>
                      <w:szCs w:val="21"/>
                      <w:highlight w:val="none"/>
                    </w:rPr>
                    <w:t>建立门禁视频监控系统和电子台账</w:t>
                  </w:r>
                  <w:r>
                    <w:rPr>
                      <w:rFonts w:hint="eastAsia" w:cs="Times New Roman"/>
                      <w:color w:val="auto"/>
                      <w:spacing w:val="0"/>
                      <w:sz w:val="21"/>
                      <w:szCs w:val="21"/>
                      <w:highlight w:val="none"/>
                      <w:lang w:eastAsia="zh-CN"/>
                    </w:rPr>
                    <w:t>。</w:t>
                  </w:r>
                </w:p>
              </w:tc>
              <w:tc>
                <w:tcPr>
                  <w:tcW w:w="500" w:type="pct"/>
                  <w:noWrap w:val="0"/>
                  <w:vAlign w:val="center"/>
                </w:tcPr>
                <w:p w14:paraId="07866A35">
                  <w:pPr>
                    <w:keepNext w:val="0"/>
                    <w:keepLines w:val="0"/>
                    <w:pageBreakBefore w:val="0"/>
                    <w:widowControl/>
                    <w:suppressLineNumbers w:val="0"/>
                    <w:kinsoku/>
                    <w:wordWrap/>
                    <w:overflowPunct/>
                    <w:topLinePunct w:val="0"/>
                    <w:autoSpaceDE/>
                    <w:autoSpaceDN/>
                    <w:bidi w:val="0"/>
                    <w:spacing w:before="0" w:beforeAutospacing="0" w:after="0" w:afterAutospacing="0" w:line="240" w:lineRule="exact"/>
                    <w:ind w:left="0" w:right="0"/>
                    <w:jc w:val="center"/>
                    <w:textAlignment w:val="center"/>
                    <w:rPr>
                      <w:rFonts w:hint="default" w:ascii="Times New Roman" w:hAnsi="Times New Roman" w:cs="Times New Roman"/>
                      <w:bCs/>
                      <w:color w:val="auto"/>
                      <w:spacing w:val="0"/>
                      <w:sz w:val="21"/>
                      <w:szCs w:val="21"/>
                      <w:highlight w:val="none"/>
                    </w:rPr>
                  </w:pPr>
                  <w:r>
                    <w:rPr>
                      <w:rFonts w:hint="eastAsia" w:cs="Times New Roman"/>
                      <w:color w:val="auto"/>
                      <w:spacing w:val="0"/>
                      <w:sz w:val="21"/>
                      <w:szCs w:val="21"/>
                      <w:highlight w:val="none"/>
                      <w:lang w:val="en-US" w:eastAsia="zh-CN"/>
                    </w:rPr>
                    <w:t>符合</w:t>
                  </w:r>
                </w:p>
              </w:tc>
            </w:tr>
          </w:tbl>
          <w:p w14:paraId="7B9504C9">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本项目符合《重污染天气重点行业应急减排措施制定技术指南（2021年修订版）》中</w:t>
            </w:r>
            <w:r>
              <w:rPr>
                <w:rFonts w:hint="eastAsia" w:cs="Times New Roman"/>
                <w:smallCaps w:val="0"/>
                <w:color w:val="auto"/>
                <w:spacing w:val="0"/>
                <w:highlight w:val="none"/>
                <w:lang w:val="en-US" w:eastAsia="zh-CN"/>
              </w:rPr>
              <w:t>铸造行业</w:t>
            </w:r>
            <w:r>
              <w:rPr>
                <w:rFonts w:hint="default" w:ascii="Times New Roman" w:hAnsi="Times New Roman" w:cs="Times New Roman"/>
                <w:smallCaps w:val="0"/>
                <w:color w:val="auto"/>
                <w:spacing w:val="0"/>
                <w:highlight w:val="none"/>
                <w:lang w:val="en-US" w:eastAsia="zh-CN"/>
              </w:rPr>
              <w:t>要求。</w:t>
            </w:r>
          </w:p>
          <w:p w14:paraId="750787F0">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eastAsia" w:ascii="Times New Roman" w:hAnsi="Times New Roman" w:cs="Times New Roman"/>
                <w:b/>
                <w:bCs/>
                <w:smallCaps w:val="0"/>
                <w:color w:val="auto"/>
                <w:spacing w:val="0"/>
                <w:sz w:val="24"/>
                <w:szCs w:val="22"/>
                <w:highlight w:val="none"/>
                <w:lang w:val="en-US" w:eastAsia="zh-CN"/>
              </w:rPr>
            </w:pPr>
            <w:r>
              <w:rPr>
                <w:rFonts w:hint="eastAsia" w:ascii="Times New Roman" w:hAnsi="Times New Roman" w:cs="Times New Roman"/>
                <w:b/>
                <w:bCs/>
                <w:smallCaps w:val="0"/>
                <w:color w:val="auto"/>
                <w:spacing w:val="0"/>
                <w:sz w:val="24"/>
                <w:szCs w:val="22"/>
                <w:highlight w:val="none"/>
                <w:lang w:val="en-US" w:eastAsia="zh-CN"/>
              </w:rPr>
              <w:t>8、与行业相关政策要求符合性分析</w:t>
            </w:r>
          </w:p>
          <w:p w14:paraId="4CD574E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eastAsia="宋体" w:cs="Times New Roman"/>
                <w:b/>
                <w:sz w:val="24"/>
                <w:szCs w:val="22"/>
                <w:highlight w:val="none"/>
              </w:rPr>
            </w:pPr>
            <w:r>
              <w:rPr>
                <w:rFonts w:hint="default" w:ascii="Times New Roman" w:hAnsi="Times New Roman" w:eastAsia="宋体" w:cs="Times New Roman"/>
                <w:b/>
                <w:sz w:val="24"/>
                <w:szCs w:val="22"/>
                <w:highlight w:val="none"/>
              </w:rPr>
              <w:t>表</w:t>
            </w:r>
            <w:r>
              <w:rPr>
                <w:rFonts w:hint="eastAsia" w:ascii="Times New Roman" w:hAnsi="Times New Roman" w:eastAsia="宋体" w:cs="Times New Roman"/>
                <w:b/>
                <w:sz w:val="24"/>
                <w:szCs w:val="22"/>
                <w:highlight w:val="none"/>
                <w:lang w:val="en-US" w:eastAsia="zh-CN"/>
              </w:rPr>
              <w:t>1-</w:t>
            </w:r>
            <w:r>
              <w:rPr>
                <w:rFonts w:hint="eastAsia" w:ascii="Times New Roman" w:hAnsi="Times New Roman" w:cs="Times New Roman"/>
                <w:b/>
                <w:sz w:val="24"/>
                <w:szCs w:val="22"/>
                <w:highlight w:val="none"/>
                <w:lang w:val="en-US" w:eastAsia="zh-CN"/>
              </w:rPr>
              <w:t>10</w:t>
            </w:r>
            <w:r>
              <w:rPr>
                <w:rFonts w:hint="eastAsia" w:ascii="Times New Roman" w:hAnsi="Times New Roman" w:eastAsia="宋体" w:cs="Times New Roman"/>
                <w:b/>
                <w:sz w:val="24"/>
                <w:szCs w:val="22"/>
                <w:highlight w:val="none"/>
                <w:lang w:val="en-US" w:eastAsia="zh-CN"/>
              </w:rPr>
              <w:t xml:space="preserve"> </w:t>
            </w:r>
            <w:r>
              <w:rPr>
                <w:rFonts w:hint="default" w:ascii="Times New Roman" w:hAnsi="Times New Roman" w:eastAsia="宋体" w:cs="Times New Roman"/>
                <w:b/>
                <w:sz w:val="24"/>
                <w:szCs w:val="22"/>
                <w:highlight w:val="none"/>
              </w:rPr>
              <w:t xml:space="preserve"> </w:t>
            </w:r>
            <w:r>
              <w:rPr>
                <w:rFonts w:hint="eastAsia" w:ascii="Times New Roman" w:hAnsi="Times New Roman" w:eastAsia="宋体" w:cs="Times New Roman"/>
                <w:b/>
                <w:sz w:val="24"/>
                <w:szCs w:val="22"/>
                <w:highlight w:val="none"/>
              </w:rPr>
              <w:t xml:space="preserve">  </w:t>
            </w:r>
            <w:r>
              <w:rPr>
                <w:rFonts w:hint="default" w:ascii="Times New Roman" w:hAnsi="Times New Roman" w:eastAsia="宋体" w:cs="Times New Roman"/>
                <w:b/>
                <w:sz w:val="24"/>
                <w:szCs w:val="22"/>
                <w:highlight w:val="none"/>
              </w:rPr>
              <w:t>项目与铸造</w:t>
            </w:r>
            <w:r>
              <w:rPr>
                <w:rFonts w:hint="eastAsia" w:ascii="Times New Roman" w:hAnsi="Times New Roman" w:eastAsia="宋体" w:cs="Times New Roman"/>
                <w:b/>
                <w:sz w:val="24"/>
                <w:szCs w:val="22"/>
                <w:highlight w:val="none"/>
                <w:lang w:val="en-US" w:eastAsia="zh-CN"/>
              </w:rPr>
              <w:t>行业相关要求</w:t>
            </w:r>
            <w:r>
              <w:rPr>
                <w:rFonts w:hint="default" w:ascii="Times New Roman" w:hAnsi="Times New Roman" w:eastAsia="宋体" w:cs="Times New Roman"/>
                <w:b/>
                <w:sz w:val="24"/>
                <w:szCs w:val="22"/>
                <w:highlight w:val="none"/>
              </w:rPr>
              <w:t>符合性分析一览表</w:t>
            </w:r>
          </w:p>
          <w:tbl>
            <w:tblPr>
              <w:tblStyle w:val="47"/>
              <w:tblW w:w="4995"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28" w:type="dxa"/>
                <w:bottom w:w="0" w:type="dxa"/>
                <w:right w:w="28" w:type="dxa"/>
              </w:tblCellMar>
            </w:tblPr>
            <w:tblGrid>
              <w:gridCol w:w="517"/>
              <w:gridCol w:w="600"/>
              <w:gridCol w:w="3270"/>
              <w:gridCol w:w="2265"/>
              <w:gridCol w:w="584"/>
            </w:tblGrid>
            <w:tr w14:paraId="0BBA5B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3031" w:type="pct"/>
                  <w:gridSpan w:val="3"/>
                  <w:tcBorders>
                    <w:tl2br w:val="nil"/>
                    <w:tr2bl w:val="nil"/>
                  </w:tcBorders>
                  <w:noWrap w:val="0"/>
                  <w:tcMar>
                    <w:top w:w="0" w:type="dxa"/>
                    <w:left w:w="0" w:type="dxa"/>
                    <w:bottom w:w="0" w:type="dxa"/>
                    <w:right w:w="0" w:type="dxa"/>
                  </w:tcMar>
                  <w:vAlign w:val="center"/>
                </w:tcPr>
                <w:p w14:paraId="4ABE79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firstLine="0" w:firstLineChars="0"/>
                    <w:jc w:val="center"/>
                    <w:textAlignment w:val="center"/>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lang w:val="en-US" w:eastAsia="zh-CN"/>
                    </w:rPr>
                    <w:t>相关环保政策要求</w:t>
                  </w:r>
                </w:p>
              </w:tc>
              <w:tc>
                <w:tcPr>
                  <w:tcW w:w="1565" w:type="pct"/>
                  <w:tcBorders>
                    <w:tl2br w:val="nil"/>
                    <w:tr2bl w:val="nil"/>
                  </w:tcBorders>
                  <w:noWrap w:val="0"/>
                  <w:tcMar>
                    <w:top w:w="0" w:type="dxa"/>
                    <w:left w:w="0" w:type="dxa"/>
                    <w:bottom w:w="0" w:type="dxa"/>
                    <w:right w:w="0" w:type="dxa"/>
                  </w:tcMar>
                  <w:vAlign w:val="center"/>
                </w:tcPr>
                <w:p w14:paraId="3D9BDD2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firstLine="0" w:firstLineChars="0"/>
                    <w:jc w:val="center"/>
                    <w:textAlignment w:val="center"/>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本项目情况</w:t>
                  </w:r>
                </w:p>
              </w:tc>
              <w:tc>
                <w:tcPr>
                  <w:tcW w:w="403" w:type="pct"/>
                  <w:tcBorders>
                    <w:tl2br w:val="nil"/>
                    <w:tr2bl w:val="nil"/>
                  </w:tcBorders>
                  <w:noWrap w:val="0"/>
                  <w:tcMar>
                    <w:top w:w="0" w:type="dxa"/>
                    <w:left w:w="0" w:type="dxa"/>
                    <w:bottom w:w="0" w:type="dxa"/>
                    <w:right w:w="0" w:type="dxa"/>
                  </w:tcMar>
                  <w:vAlign w:val="center"/>
                </w:tcPr>
                <w:p w14:paraId="6774B5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firstLine="0" w:firstLineChars="0"/>
                    <w:jc w:val="center"/>
                    <w:textAlignment w:val="center"/>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符合性</w:t>
                  </w:r>
                </w:p>
              </w:tc>
            </w:tr>
            <w:tr w14:paraId="5D0EE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75" w:hRule="atLeast"/>
                <w:jc w:val="center"/>
              </w:trPr>
              <w:tc>
                <w:tcPr>
                  <w:tcW w:w="357" w:type="pct"/>
                  <w:vMerge w:val="restart"/>
                  <w:noWrap w:val="0"/>
                  <w:tcMar>
                    <w:top w:w="0" w:type="dxa"/>
                    <w:left w:w="0" w:type="dxa"/>
                    <w:bottom w:w="0" w:type="dxa"/>
                    <w:right w:w="0" w:type="dxa"/>
                  </w:tcMar>
                  <w:vAlign w:val="center"/>
                </w:tcPr>
                <w:p w14:paraId="330CF703">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《工业和信息化部 国家发展改革委 生态环境部 关于推动铸造和锻压行业高质量发展的指导意见》</w:t>
                  </w:r>
                  <w:r>
                    <w:rPr>
                      <w:rFonts w:hint="default" w:ascii="Times New Roman" w:hAnsi="Times New Roman"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工信部联通装</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2023</w:t>
                  </w:r>
                  <w:r>
                    <w:rPr>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40号</w:t>
                  </w:r>
                  <w:r>
                    <w:rPr>
                      <w:rFonts w:hint="default" w:ascii="Times New Roman" w:hAnsi="Times New Roman" w:cs="Times New Roman"/>
                      <w:color w:val="auto"/>
                      <w:spacing w:val="0"/>
                      <w:sz w:val="21"/>
                      <w:szCs w:val="21"/>
                      <w:highlight w:val="none"/>
                      <w:lang w:eastAsia="zh-CN"/>
                    </w:rPr>
                    <w:t>）</w:t>
                  </w:r>
                </w:p>
              </w:tc>
              <w:tc>
                <w:tcPr>
                  <w:tcW w:w="414" w:type="pct"/>
                  <w:noWrap w:val="0"/>
                  <w:tcMar>
                    <w:top w:w="0" w:type="dxa"/>
                    <w:left w:w="0" w:type="dxa"/>
                    <w:bottom w:w="0" w:type="dxa"/>
                    <w:right w:w="0" w:type="dxa"/>
                  </w:tcMar>
                  <w:vAlign w:val="center"/>
                </w:tcPr>
                <w:p w14:paraId="1D71DFDA">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3"/>
                      <w:rFonts w:hint="default" w:ascii="Times New Roman" w:hAnsi="Times New Roman" w:eastAsia="宋体" w:cs="Times New Roman"/>
                      <w:color w:val="auto"/>
                      <w:spacing w:val="0"/>
                      <w:sz w:val="21"/>
                      <w:szCs w:val="21"/>
                      <w:highlight w:val="none"/>
                    </w:rPr>
                    <w:t>发展先进铸造工艺与装备</w:t>
                  </w:r>
                </w:p>
              </w:tc>
              <w:tc>
                <w:tcPr>
                  <w:tcW w:w="2259" w:type="pct"/>
                  <w:noWrap w:val="0"/>
                  <w:tcMar>
                    <w:top w:w="0" w:type="dxa"/>
                    <w:left w:w="0" w:type="dxa"/>
                    <w:bottom w:w="0" w:type="dxa"/>
                    <w:right w:w="0" w:type="dxa"/>
                  </w:tcMar>
                  <w:vAlign w:val="center"/>
                </w:tcPr>
                <w:p w14:paraId="541A0AB1">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4"/>
                      <w:rFonts w:hint="default" w:ascii="Times New Roman" w:hAnsi="Times New Roman" w:eastAsia="宋体" w:cs="Times New Roman"/>
                      <w:color w:val="auto"/>
                      <w:spacing w:val="0"/>
                      <w:sz w:val="21"/>
                      <w:szCs w:val="21"/>
                      <w:highlight w:val="none"/>
                    </w:rPr>
                    <w:t>重点发展高紧实度粘土砂自动化造型、高效自硬砂铸造、精密组芯造型、壳型铸造、离心铸造、金属型铸造、铁模覆砂、消失模/V法/实型铸造、轻合金高压/挤压/差压/低压/半固态/调压铸造、硅溶胶熔模铸造、短流程铸造、砂型3D打印等先进铸造工艺与装备。</w:t>
                  </w:r>
                </w:p>
              </w:tc>
              <w:tc>
                <w:tcPr>
                  <w:tcW w:w="1565" w:type="pct"/>
                  <w:noWrap w:val="0"/>
                  <w:tcMar>
                    <w:top w:w="0" w:type="dxa"/>
                    <w:left w:w="0" w:type="dxa"/>
                    <w:bottom w:w="0" w:type="dxa"/>
                    <w:right w:w="0" w:type="dxa"/>
                  </w:tcMar>
                  <w:vAlign w:val="center"/>
                </w:tcPr>
                <w:p w14:paraId="046BAB5F">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cs="Times New Roman"/>
                      <w:color w:val="auto"/>
                      <w:spacing w:val="0"/>
                      <w:sz w:val="21"/>
                      <w:szCs w:val="21"/>
                      <w:highlight w:val="none"/>
                      <w:lang w:val="en-US" w:eastAsia="zh-CN"/>
                    </w:rPr>
                    <w:t>拟建</w:t>
                  </w:r>
                  <w:r>
                    <w:rPr>
                      <w:rFonts w:hint="default" w:ascii="Times New Roman" w:hAnsi="Times New Roman" w:eastAsia="宋体" w:cs="Times New Roman"/>
                      <w:color w:val="auto"/>
                      <w:spacing w:val="0"/>
                      <w:sz w:val="21"/>
                      <w:szCs w:val="21"/>
                      <w:highlight w:val="none"/>
                      <w:lang w:eastAsia="zh-CN"/>
                    </w:rPr>
                    <w:t>项目</w:t>
                  </w:r>
                  <w:r>
                    <w:rPr>
                      <w:rFonts w:hint="default" w:ascii="Times New Roman" w:hAnsi="Times New Roman" w:eastAsia="宋体" w:cs="Times New Roman"/>
                      <w:color w:val="auto"/>
                      <w:spacing w:val="0"/>
                      <w:sz w:val="21"/>
                      <w:szCs w:val="21"/>
                      <w:highlight w:val="none"/>
                    </w:rPr>
                    <w:t>拟采用</w:t>
                  </w:r>
                  <w:r>
                    <w:rPr>
                      <w:rStyle w:val="234"/>
                      <w:rFonts w:hint="default" w:ascii="Times New Roman" w:hAnsi="Times New Roman" w:eastAsia="宋体" w:cs="Times New Roman"/>
                      <w:color w:val="auto"/>
                      <w:spacing w:val="0"/>
                      <w:sz w:val="21"/>
                      <w:szCs w:val="21"/>
                      <w:highlight w:val="none"/>
                    </w:rPr>
                    <w:t>壳型铸造</w:t>
                  </w:r>
                  <w:r>
                    <w:rPr>
                      <w:rFonts w:hint="default" w:ascii="Times New Roman" w:hAnsi="Times New Roman" w:eastAsia="宋体" w:cs="Times New Roman"/>
                      <w:color w:val="auto"/>
                      <w:spacing w:val="0"/>
                      <w:sz w:val="21"/>
                      <w:szCs w:val="21"/>
                      <w:highlight w:val="none"/>
                    </w:rPr>
                    <w:t>，为重点发展的先进铸造工艺。</w:t>
                  </w:r>
                </w:p>
              </w:tc>
              <w:tc>
                <w:tcPr>
                  <w:tcW w:w="403" w:type="pct"/>
                  <w:noWrap w:val="0"/>
                  <w:tcMar>
                    <w:top w:w="0" w:type="dxa"/>
                    <w:left w:w="0" w:type="dxa"/>
                    <w:bottom w:w="0" w:type="dxa"/>
                    <w:right w:w="0" w:type="dxa"/>
                  </w:tcMar>
                  <w:vAlign w:val="center"/>
                </w:tcPr>
                <w:p w14:paraId="64C64D09">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77689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57" w:type="pct"/>
                  <w:vMerge w:val="continue"/>
                  <w:noWrap w:val="0"/>
                  <w:tcMar>
                    <w:top w:w="0" w:type="dxa"/>
                    <w:left w:w="0" w:type="dxa"/>
                    <w:bottom w:w="0" w:type="dxa"/>
                    <w:right w:w="0" w:type="dxa"/>
                  </w:tcMar>
                  <w:vAlign w:val="center"/>
                </w:tcPr>
                <w:p w14:paraId="0942F7B0">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p>
              </w:tc>
              <w:tc>
                <w:tcPr>
                  <w:tcW w:w="414" w:type="pct"/>
                  <w:noWrap w:val="0"/>
                  <w:tcMar>
                    <w:top w:w="0" w:type="dxa"/>
                    <w:left w:w="0" w:type="dxa"/>
                    <w:bottom w:w="0" w:type="dxa"/>
                    <w:right w:w="0" w:type="dxa"/>
                  </w:tcMar>
                  <w:vAlign w:val="center"/>
                </w:tcPr>
                <w:p w14:paraId="03BD901B">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3"/>
                      <w:rFonts w:hint="default" w:ascii="Times New Roman" w:hAnsi="Times New Roman" w:eastAsia="宋体" w:cs="Times New Roman"/>
                      <w:color w:val="auto"/>
                      <w:spacing w:val="0"/>
                      <w:sz w:val="21"/>
                      <w:szCs w:val="21"/>
                      <w:highlight w:val="none"/>
                    </w:rPr>
                    <w:t>推进产业结构优化</w:t>
                  </w:r>
                </w:p>
              </w:tc>
              <w:tc>
                <w:tcPr>
                  <w:tcW w:w="2259" w:type="pct"/>
                  <w:noWrap w:val="0"/>
                  <w:tcMar>
                    <w:top w:w="0" w:type="dxa"/>
                    <w:left w:w="0" w:type="dxa"/>
                    <w:bottom w:w="0" w:type="dxa"/>
                    <w:right w:w="0" w:type="dxa"/>
                  </w:tcMar>
                  <w:vAlign w:val="center"/>
                </w:tcPr>
                <w:p w14:paraId="519444F3">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4"/>
                      <w:rFonts w:hint="default" w:ascii="Times New Roman" w:hAnsi="Times New Roman" w:eastAsia="宋体" w:cs="Times New Roman"/>
                      <w:color w:val="auto"/>
                      <w:spacing w:val="0"/>
                      <w:sz w:val="21"/>
                      <w:szCs w:val="21"/>
                      <w:highlight w:val="none"/>
                    </w:rPr>
                    <w:t>严格执行节能、环保、质量、安全技术等相关法律法规标准和《产业结构调整指导目录》等政策，依法依规淘汰工艺装备落后、污染物排放不达标、生产安全无保障的落后产能。鼓励大气污染防治重点区域加大淘汰落后力度。铸造企业不得采用无芯工频感应电炉、无磁轭</w:t>
                  </w:r>
                  <w:r>
                    <w:rPr>
                      <w:rStyle w:val="234"/>
                      <w:rFonts w:hint="default" w:ascii="Times New Roman" w:hAnsi="Times New Roman"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≥0.25吨</w:t>
                  </w:r>
                  <w:r>
                    <w:rPr>
                      <w:rStyle w:val="234"/>
                      <w:rFonts w:hint="default" w:ascii="Times New Roman" w:hAnsi="Times New Roman"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铝壳中频感应电炉、水玻璃熔模精密铸造氯化铵硬化模壳、铝合金六氯乙烷精炼等淘汰类工艺和装备。加快存量项目升级改造，推进企业合理选择低污染、低能耗、经济高效的先进工艺技术，提升行业竞争能力。</w:t>
                  </w:r>
                </w:p>
              </w:tc>
              <w:tc>
                <w:tcPr>
                  <w:tcW w:w="1565" w:type="pct"/>
                  <w:noWrap w:val="0"/>
                  <w:tcMar>
                    <w:top w:w="0" w:type="dxa"/>
                    <w:left w:w="0" w:type="dxa"/>
                    <w:bottom w:w="0" w:type="dxa"/>
                    <w:right w:w="0" w:type="dxa"/>
                  </w:tcMar>
                  <w:vAlign w:val="center"/>
                </w:tcPr>
                <w:p w14:paraId="32DD6786">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本项目符合相关</w:t>
                  </w:r>
                  <w:r>
                    <w:rPr>
                      <w:rStyle w:val="234"/>
                      <w:rFonts w:hint="default" w:ascii="Times New Roman" w:hAnsi="Times New Roman" w:eastAsia="宋体" w:cs="Times New Roman"/>
                      <w:color w:val="auto"/>
                      <w:spacing w:val="0"/>
                      <w:sz w:val="21"/>
                      <w:szCs w:val="21"/>
                      <w:highlight w:val="none"/>
                    </w:rPr>
                    <w:t>法律法规标准，</w:t>
                  </w:r>
                  <w:r>
                    <w:rPr>
                      <w:rFonts w:hint="eastAsia" w:cs="Times New Roman"/>
                      <w:color w:val="auto"/>
                      <w:spacing w:val="0"/>
                      <w:sz w:val="21"/>
                      <w:szCs w:val="21"/>
                      <w:highlight w:val="none"/>
                      <w:lang w:val="en-US" w:eastAsia="zh-CN"/>
                    </w:rPr>
                    <w:t>不属于</w:t>
                  </w:r>
                  <w:r>
                    <w:rPr>
                      <w:rStyle w:val="234"/>
                      <w:rFonts w:hint="default" w:ascii="Times New Roman" w:hAnsi="Times New Roman" w:eastAsia="宋体" w:cs="Times New Roman"/>
                      <w:color w:val="auto"/>
                      <w:spacing w:val="0"/>
                      <w:sz w:val="21"/>
                      <w:szCs w:val="21"/>
                      <w:highlight w:val="none"/>
                    </w:rPr>
                    <w:t>《产业结构调整指导目录</w:t>
                  </w:r>
                  <w:r>
                    <w:rPr>
                      <w:rStyle w:val="234"/>
                      <w:rFonts w:hint="eastAsia" w:cs="Times New Roman"/>
                      <w:color w:val="auto"/>
                      <w:spacing w:val="0"/>
                      <w:sz w:val="21"/>
                      <w:szCs w:val="21"/>
                      <w:highlight w:val="none"/>
                      <w:lang w:eastAsia="zh-CN"/>
                    </w:rPr>
                    <w:t>（</w:t>
                  </w:r>
                  <w:r>
                    <w:rPr>
                      <w:rStyle w:val="234"/>
                      <w:rFonts w:hint="eastAsia" w:cs="Times New Roman"/>
                      <w:color w:val="auto"/>
                      <w:spacing w:val="0"/>
                      <w:sz w:val="21"/>
                      <w:szCs w:val="21"/>
                      <w:highlight w:val="none"/>
                      <w:lang w:val="en-US" w:eastAsia="zh-CN"/>
                    </w:rPr>
                    <w:t>2024年版</w:t>
                  </w:r>
                  <w:r>
                    <w:rPr>
                      <w:rStyle w:val="234"/>
                      <w:rFonts w:hint="eastAsia"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w:t>
                  </w:r>
                  <w:r>
                    <w:rPr>
                      <w:rFonts w:hint="eastAsia" w:cs="Times New Roman"/>
                      <w:color w:val="auto"/>
                      <w:spacing w:val="0"/>
                      <w:sz w:val="21"/>
                      <w:szCs w:val="21"/>
                      <w:highlight w:val="none"/>
                      <w:lang w:val="en-US" w:eastAsia="zh-CN"/>
                    </w:rPr>
                    <w:t>禁止、淘汰类项目</w:t>
                  </w:r>
                  <w:r>
                    <w:rPr>
                      <w:rFonts w:hint="default" w:ascii="Times New Roman" w:hAnsi="Times New Roman" w:eastAsia="宋体" w:cs="Times New Roman"/>
                      <w:color w:val="auto"/>
                      <w:spacing w:val="0"/>
                      <w:sz w:val="21"/>
                      <w:szCs w:val="21"/>
                      <w:highlight w:val="none"/>
                    </w:rPr>
                    <w:t>，同时项目不属于《市场准入负面清单</w:t>
                  </w:r>
                  <w:r>
                    <w:rPr>
                      <w:rFonts w:hint="default" w:ascii="Times New Roman" w:hAnsi="Times New Roman"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202</w:t>
                  </w:r>
                  <w:r>
                    <w:rPr>
                      <w:rFonts w:hint="eastAsia" w:cs="Times New Roman"/>
                      <w:color w:val="auto"/>
                      <w:spacing w:val="0"/>
                      <w:sz w:val="21"/>
                      <w:szCs w:val="21"/>
                      <w:highlight w:val="none"/>
                      <w:lang w:val="en-US" w:eastAsia="zh-CN"/>
                    </w:rPr>
                    <w:t>5</w:t>
                  </w:r>
                  <w:r>
                    <w:rPr>
                      <w:rFonts w:hint="default" w:ascii="Times New Roman" w:hAnsi="Times New Roman" w:eastAsia="宋体" w:cs="Times New Roman"/>
                      <w:color w:val="auto"/>
                      <w:spacing w:val="0"/>
                      <w:sz w:val="21"/>
                      <w:szCs w:val="21"/>
                      <w:highlight w:val="none"/>
                    </w:rPr>
                    <w:t>年版</w:t>
                  </w:r>
                  <w:r>
                    <w:rPr>
                      <w:rFonts w:hint="default" w:ascii="Times New Roman" w:hAnsi="Times New Roman"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》禁止事项，项目建设符合国家产业政策。项目工艺和设备均不属于淘汰类和禁止类，生产工艺为国家重点发展的先进铸造工艺。</w:t>
                  </w:r>
                </w:p>
              </w:tc>
              <w:tc>
                <w:tcPr>
                  <w:tcW w:w="403" w:type="pct"/>
                  <w:noWrap w:val="0"/>
                  <w:tcMar>
                    <w:top w:w="0" w:type="dxa"/>
                    <w:left w:w="0" w:type="dxa"/>
                    <w:bottom w:w="0" w:type="dxa"/>
                    <w:right w:w="0" w:type="dxa"/>
                  </w:tcMar>
                  <w:vAlign w:val="center"/>
                </w:tcPr>
                <w:p w14:paraId="2F21344A">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79441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57" w:type="pct"/>
                  <w:vMerge w:val="continue"/>
                  <w:noWrap w:val="0"/>
                  <w:tcMar>
                    <w:top w:w="0" w:type="dxa"/>
                    <w:left w:w="0" w:type="dxa"/>
                    <w:bottom w:w="0" w:type="dxa"/>
                    <w:right w:w="0" w:type="dxa"/>
                  </w:tcMar>
                  <w:vAlign w:val="center"/>
                </w:tcPr>
                <w:p w14:paraId="2B2AE86D">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p>
              </w:tc>
              <w:tc>
                <w:tcPr>
                  <w:tcW w:w="414" w:type="pct"/>
                  <w:noWrap w:val="0"/>
                  <w:tcMar>
                    <w:top w:w="0" w:type="dxa"/>
                    <w:left w:w="0" w:type="dxa"/>
                    <w:bottom w:w="0" w:type="dxa"/>
                    <w:right w:w="0" w:type="dxa"/>
                  </w:tcMar>
                  <w:vAlign w:val="center"/>
                </w:tcPr>
                <w:p w14:paraId="6AF237BD">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3"/>
                      <w:rFonts w:hint="default" w:ascii="Times New Roman" w:hAnsi="Times New Roman" w:eastAsia="宋体" w:cs="Times New Roman"/>
                      <w:color w:val="auto"/>
                      <w:spacing w:val="0"/>
                      <w:sz w:val="21"/>
                      <w:szCs w:val="21"/>
                      <w:highlight w:val="none"/>
                    </w:rPr>
                    <w:t>支持高端项目建设</w:t>
                  </w:r>
                </w:p>
              </w:tc>
              <w:tc>
                <w:tcPr>
                  <w:tcW w:w="2259" w:type="pct"/>
                  <w:noWrap w:val="0"/>
                  <w:tcMar>
                    <w:top w:w="0" w:type="dxa"/>
                    <w:left w:w="0" w:type="dxa"/>
                    <w:bottom w:w="0" w:type="dxa"/>
                    <w:right w:w="0" w:type="dxa"/>
                  </w:tcMar>
                  <w:vAlign w:val="center"/>
                </w:tcPr>
                <w:p w14:paraId="0261ACAC">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lang w:val="en-US" w:eastAsia="zh-CN"/>
                    </w:rPr>
                  </w:pPr>
                  <w:r>
                    <w:rPr>
                      <w:rStyle w:val="234"/>
                      <w:rFonts w:hint="default" w:ascii="Times New Roman" w:hAnsi="Times New Roman" w:eastAsia="宋体" w:cs="Times New Roman"/>
                      <w:color w:val="auto"/>
                      <w:spacing w:val="0"/>
                      <w:sz w:val="21"/>
                      <w:szCs w:val="21"/>
                      <w:highlight w:val="none"/>
                    </w:rPr>
                    <w:t>严格审批新建、改扩建项目，确保项目备案、环评、排污许可、安评、节能审查等手续清晰、完备，项目建设符合国家相关法律法规标准要求。严格落实主要污染物排放总量控制、能源消耗总量和强度调控制度，坚决遏制不符合要求的项目盲目发展和低水平重复建设，防止产能盲目扩张，切实推进产业结构优化升级</w:t>
                  </w:r>
                  <w:r>
                    <w:rPr>
                      <w:rStyle w:val="234"/>
                      <w:rFonts w:hint="default" w:ascii="Times New Roman" w:hAnsi="Times New Roman" w:eastAsia="宋体" w:cs="Times New Roman"/>
                      <w:color w:val="auto"/>
                      <w:spacing w:val="0"/>
                      <w:sz w:val="21"/>
                      <w:szCs w:val="21"/>
                      <w:highlight w:val="none"/>
                      <w:lang w:eastAsia="zh-CN"/>
                    </w:rPr>
                    <w:t>。</w:t>
                  </w:r>
                </w:p>
              </w:tc>
              <w:tc>
                <w:tcPr>
                  <w:tcW w:w="1565" w:type="pct"/>
                  <w:noWrap w:val="0"/>
                  <w:tcMar>
                    <w:top w:w="0" w:type="dxa"/>
                    <w:left w:w="0" w:type="dxa"/>
                    <w:bottom w:w="0" w:type="dxa"/>
                    <w:right w:w="0" w:type="dxa"/>
                  </w:tcMar>
                  <w:vAlign w:val="center"/>
                </w:tcPr>
                <w:p w14:paraId="2452A2B3">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本</w:t>
                  </w:r>
                  <w:r>
                    <w:rPr>
                      <w:rFonts w:hint="default" w:ascii="Times New Roman" w:hAnsi="Times New Roman" w:eastAsia="宋体" w:cs="Times New Roman"/>
                      <w:color w:val="auto"/>
                      <w:spacing w:val="0"/>
                      <w:sz w:val="21"/>
                      <w:szCs w:val="21"/>
                      <w:highlight w:val="none"/>
                      <w:lang w:eastAsia="zh-CN"/>
                    </w:rPr>
                    <w:t>项目</w:t>
                  </w:r>
                  <w:r>
                    <w:rPr>
                      <w:rFonts w:hint="default" w:ascii="Times New Roman" w:hAnsi="Times New Roman" w:eastAsia="宋体" w:cs="Times New Roman"/>
                      <w:color w:val="auto"/>
                      <w:spacing w:val="0"/>
                      <w:sz w:val="21"/>
                      <w:szCs w:val="21"/>
                      <w:highlight w:val="none"/>
                    </w:rPr>
                    <w:t>拟按要求办理环评审批手续，项目建设</w:t>
                  </w:r>
                  <w:r>
                    <w:rPr>
                      <w:rStyle w:val="234"/>
                      <w:rFonts w:hint="default" w:ascii="Times New Roman" w:hAnsi="Times New Roman" w:eastAsia="宋体" w:cs="Times New Roman"/>
                      <w:color w:val="auto"/>
                      <w:spacing w:val="0"/>
                      <w:sz w:val="21"/>
                      <w:szCs w:val="21"/>
                      <w:highlight w:val="none"/>
                    </w:rPr>
                    <w:t>符合国家相关法律法规标准要求</w:t>
                  </w:r>
                  <w:r>
                    <w:rPr>
                      <w:rStyle w:val="234"/>
                      <w:rFonts w:hint="default" w:ascii="Times New Roman" w:hAnsi="Times New Roman" w:eastAsia="宋体" w:cs="Times New Roman"/>
                      <w:color w:val="auto"/>
                      <w:spacing w:val="0"/>
                      <w:sz w:val="21"/>
                      <w:szCs w:val="21"/>
                      <w:highlight w:val="none"/>
                      <w:lang w:eastAsia="zh-CN"/>
                    </w:rPr>
                    <w:t>；本项目严格落实</w:t>
                  </w:r>
                  <w:r>
                    <w:rPr>
                      <w:rStyle w:val="234"/>
                      <w:rFonts w:hint="default" w:ascii="Times New Roman" w:hAnsi="Times New Roman" w:eastAsia="宋体" w:cs="Times New Roman"/>
                      <w:color w:val="auto"/>
                      <w:spacing w:val="0"/>
                      <w:sz w:val="21"/>
                      <w:szCs w:val="21"/>
                      <w:highlight w:val="none"/>
                    </w:rPr>
                    <w:t>污染物排放总量、能源消耗总量</w:t>
                  </w:r>
                  <w:r>
                    <w:rPr>
                      <w:rStyle w:val="234"/>
                      <w:rFonts w:hint="default" w:ascii="Times New Roman" w:hAnsi="Times New Roman" w:eastAsia="宋体"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同时项目生产工艺</w:t>
                  </w:r>
                  <w:r>
                    <w:rPr>
                      <w:rFonts w:hint="eastAsia" w:cs="Times New Roman"/>
                      <w:color w:val="auto"/>
                      <w:spacing w:val="0"/>
                      <w:sz w:val="21"/>
                      <w:szCs w:val="21"/>
                      <w:highlight w:val="none"/>
                      <w:lang w:val="en-US" w:eastAsia="zh-CN"/>
                    </w:rPr>
                    <w:t>不属于</w:t>
                  </w:r>
                  <w:r>
                    <w:rPr>
                      <w:rStyle w:val="234"/>
                      <w:rFonts w:hint="default" w:ascii="Times New Roman" w:hAnsi="Times New Roman" w:eastAsia="宋体" w:cs="Times New Roman"/>
                      <w:color w:val="auto"/>
                      <w:spacing w:val="0"/>
                      <w:sz w:val="21"/>
                      <w:szCs w:val="21"/>
                      <w:highlight w:val="none"/>
                    </w:rPr>
                    <w:t>《产业结构调整指导目录</w:t>
                  </w:r>
                  <w:r>
                    <w:rPr>
                      <w:rStyle w:val="234"/>
                      <w:rFonts w:hint="eastAsia" w:cs="Times New Roman"/>
                      <w:color w:val="auto"/>
                      <w:spacing w:val="0"/>
                      <w:sz w:val="21"/>
                      <w:szCs w:val="21"/>
                      <w:highlight w:val="none"/>
                      <w:lang w:eastAsia="zh-CN"/>
                    </w:rPr>
                    <w:t>（</w:t>
                  </w:r>
                  <w:r>
                    <w:rPr>
                      <w:rStyle w:val="234"/>
                      <w:rFonts w:hint="eastAsia" w:cs="Times New Roman"/>
                      <w:color w:val="auto"/>
                      <w:spacing w:val="0"/>
                      <w:sz w:val="21"/>
                      <w:szCs w:val="21"/>
                      <w:highlight w:val="none"/>
                      <w:lang w:val="en-US" w:eastAsia="zh-CN"/>
                    </w:rPr>
                    <w:t>2024年版</w:t>
                  </w:r>
                  <w:r>
                    <w:rPr>
                      <w:rStyle w:val="234"/>
                      <w:rFonts w:hint="eastAsia"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w:t>
                  </w:r>
                  <w:r>
                    <w:rPr>
                      <w:rFonts w:hint="eastAsia" w:cs="Times New Roman"/>
                      <w:color w:val="auto"/>
                      <w:spacing w:val="0"/>
                      <w:sz w:val="21"/>
                      <w:szCs w:val="21"/>
                      <w:highlight w:val="none"/>
                      <w:lang w:val="en-US" w:eastAsia="zh-CN"/>
                    </w:rPr>
                    <w:t>禁止、淘汰类项目</w:t>
                  </w:r>
                  <w:r>
                    <w:rPr>
                      <w:rFonts w:hint="default" w:ascii="Times New Roman" w:hAnsi="Times New Roman" w:eastAsia="宋体" w:cs="Times New Roman"/>
                      <w:color w:val="auto"/>
                      <w:spacing w:val="0"/>
                      <w:sz w:val="21"/>
                      <w:szCs w:val="21"/>
                      <w:highlight w:val="none"/>
                    </w:rPr>
                    <w:t>，同时项目不属于《市场准入负面清单</w:t>
                  </w:r>
                  <w:r>
                    <w:rPr>
                      <w:rFonts w:hint="default" w:ascii="Times New Roman" w:hAnsi="Times New Roman"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202</w:t>
                  </w:r>
                  <w:r>
                    <w:rPr>
                      <w:rFonts w:hint="eastAsia" w:cs="Times New Roman"/>
                      <w:color w:val="auto"/>
                      <w:spacing w:val="0"/>
                      <w:sz w:val="21"/>
                      <w:szCs w:val="21"/>
                      <w:highlight w:val="none"/>
                      <w:lang w:val="en-US" w:eastAsia="zh-CN"/>
                    </w:rPr>
                    <w:t>5</w:t>
                  </w:r>
                  <w:r>
                    <w:rPr>
                      <w:rFonts w:hint="default" w:ascii="Times New Roman" w:hAnsi="Times New Roman" w:eastAsia="宋体" w:cs="Times New Roman"/>
                      <w:color w:val="auto"/>
                      <w:spacing w:val="0"/>
                      <w:sz w:val="21"/>
                      <w:szCs w:val="21"/>
                      <w:highlight w:val="none"/>
                    </w:rPr>
                    <w:t>年版</w:t>
                  </w:r>
                  <w:r>
                    <w:rPr>
                      <w:rFonts w:hint="default" w:ascii="Times New Roman" w:hAnsi="Times New Roman"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highlight w:val="none"/>
                    </w:rPr>
                    <w:t>》禁止事项，项目建设符合国家产业政策。</w:t>
                  </w:r>
                </w:p>
              </w:tc>
              <w:tc>
                <w:tcPr>
                  <w:tcW w:w="403" w:type="pct"/>
                  <w:noWrap w:val="0"/>
                  <w:tcMar>
                    <w:top w:w="0" w:type="dxa"/>
                    <w:left w:w="0" w:type="dxa"/>
                    <w:bottom w:w="0" w:type="dxa"/>
                    <w:right w:w="0" w:type="dxa"/>
                  </w:tcMar>
                  <w:vAlign w:val="center"/>
                </w:tcPr>
                <w:p w14:paraId="1A364B7C">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2C096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57" w:type="pct"/>
                  <w:vMerge w:val="continue"/>
                  <w:noWrap w:val="0"/>
                  <w:tcMar>
                    <w:top w:w="0" w:type="dxa"/>
                    <w:left w:w="0" w:type="dxa"/>
                    <w:bottom w:w="0" w:type="dxa"/>
                    <w:right w:w="0" w:type="dxa"/>
                  </w:tcMar>
                  <w:vAlign w:val="center"/>
                </w:tcPr>
                <w:p w14:paraId="5AE63078">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p>
              </w:tc>
              <w:tc>
                <w:tcPr>
                  <w:tcW w:w="414" w:type="pct"/>
                  <w:vMerge w:val="restart"/>
                  <w:noWrap w:val="0"/>
                  <w:tcMar>
                    <w:top w:w="0" w:type="dxa"/>
                    <w:left w:w="0" w:type="dxa"/>
                    <w:bottom w:w="0" w:type="dxa"/>
                    <w:right w:w="0" w:type="dxa"/>
                  </w:tcMar>
                  <w:vAlign w:val="center"/>
                </w:tcPr>
                <w:p w14:paraId="1596BE8E">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3"/>
                      <w:rFonts w:hint="default" w:ascii="Times New Roman" w:hAnsi="Times New Roman" w:eastAsia="宋体" w:cs="Times New Roman"/>
                      <w:color w:val="auto"/>
                      <w:spacing w:val="0"/>
                      <w:sz w:val="21"/>
                      <w:szCs w:val="21"/>
                      <w:highlight w:val="none"/>
                    </w:rPr>
                    <w:t>提升</w:t>
                  </w:r>
                  <w:r>
                    <w:rPr>
                      <w:rStyle w:val="234"/>
                      <w:rFonts w:hint="default" w:ascii="Times New Roman" w:hAnsi="Times New Roman" w:eastAsia="宋体" w:cs="Times New Roman"/>
                      <w:color w:val="auto"/>
                      <w:spacing w:val="0"/>
                      <w:sz w:val="21"/>
                      <w:szCs w:val="21"/>
                      <w:highlight w:val="none"/>
                    </w:rPr>
                    <w:t>环保</w:t>
                  </w:r>
                  <w:r>
                    <w:rPr>
                      <w:rStyle w:val="233"/>
                      <w:rFonts w:hint="default" w:ascii="Times New Roman" w:hAnsi="Times New Roman" w:eastAsia="宋体" w:cs="Times New Roman"/>
                      <w:color w:val="auto"/>
                      <w:spacing w:val="0"/>
                      <w:sz w:val="21"/>
                      <w:szCs w:val="21"/>
                      <w:highlight w:val="none"/>
                    </w:rPr>
                    <w:t>治理水平</w:t>
                  </w:r>
                </w:p>
              </w:tc>
              <w:tc>
                <w:tcPr>
                  <w:tcW w:w="2259" w:type="pct"/>
                  <w:noWrap w:val="0"/>
                  <w:tcMar>
                    <w:top w:w="0" w:type="dxa"/>
                    <w:left w:w="0" w:type="dxa"/>
                    <w:bottom w:w="0" w:type="dxa"/>
                    <w:right w:w="0" w:type="dxa"/>
                  </w:tcMar>
                  <w:vAlign w:val="center"/>
                </w:tcPr>
                <w:p w14:paraId="456B1DFA">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4"/>
                      <w:rFonts w:hint="default" w:ascii="Times New Roman" w:hAnsi="Times New Roman" w:eastAsia="宋体" w:cs="Times New Roman"/>
                      <w:color w:val="auto"/>
                      <w:spacing w:val="0"/>
                      <w:sz w:val="21"/>
                      <w:szCs w:val="21"/>
                      <w:highlight w:val="none"/>
                    </w:rPr>
                    <w:t>依法申领排污许可证，严格持证排污、按证排污并按排污许可证规定落实自行监测、台账记录、执行报告、信息公开等要求。</w:t>
                  </w:r>
                </w:p>
              </w:tc>
              <w:tc>
                <w:tcPr>
                  <w:tcW w:w="1565" w:type="pct"/>
                  <w:noWrap w:val="0"/>
                  <w:tcMar>
                    <w:top w:w="0" w:type="dxa"/>
                    <w:left w:w="0" w:type="dxa"/>
                    <w:bottom w:w="0" w:type="dxa"/>
                    <w:right w:w="0" w:type="dxa"/>
                  </w:tcMar>
                  <w:vAlign w:val="center"/>
                </w:tcPr>
                <w:p w14:paraId="1CC430F8">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拟在项目实际排污前申请排污许可证，落实排污许可相关管理要求。</w:t>
                  </w:r>
                </w:p>
              </w:tc>
              <w:tc>
                <w:tcPr>
                  <w:tcW w:w="403" w:type="pct"/>
                  <w:noWrap w:val="0"/>
                  <w:tcMar>
                    <w:top w:w="0" w:type="dxa"/>
                    <w:left w:w="0" w:type="dxa"/>
                    <w:bottom w:w="0" w:type="dxa"/>
                    <w:right w:w="0" w:type="dxa"/>
                  </w:tcMar>
                  <w:vAlign w:val="center"/>
                </w:tcPr>
                <w:p w14:paraId="030888C1">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r w14:paraId="4EAA7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357" w:type="pct"/>
                  <w:vMerge w:val="continue"/>
                  <w:noWrap w:val="0"/>
                  <w:tcMar>
                    <w:top w:w="0" w:type="dxa"/>
                    <w:left w:w="0" w:type="dxa"/>
                    <w:bottom w:w="0" w:type="dxa"/>
                    <w:right w:w="0" w:type="dxa"/>
                  </w:tcMar>
                  <w:vAlign w:val="center"/>
                </w:tcPr>
                <w:p w14:paraId="6BDDF7F7">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p>
              </w:tc>
              <w:tc>
                <w:tcPr>
                  <w:tcW w:w="414" w:type="pct"/>
                  <w:vMerge w:val="continue"/>
                  <w:noWrap w:val="0"/>
                  <w:tcMar>
                    <w:top w:w="0" w:type="dxa"/>
                    <w:left w:w="0" w:type="dxa"/>
                    <w:bottom w:w="0" w:type="dxa"/>
                    <w:right w:w="0" w:type="dxa"/>
                  </w:tcMar>
                  <w:vAlign w:val="center"/>
                </w:tcPr>
                <w:p w14:paraId="74D59270">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p>
              </w:tc>
              <w:tc>
                <w:tcPr>
                  <w:tcW w:w="2259" w:type="pct"/>
                  <w:noWrap w:val="0"/>
                  <w:tcMar>
                    <w:top w:w="0" w:type="dxa"/>
                    <w:left w:w="0" w:type="dxa"/>
                    <w:bottom w:w="0" w:type="dxa"/>
                    <w:right w:w="0" w:type="dxa"/>
                  </w:tcMar>
                  <w:vAlign w:val="center"/>
                </w:tcPr>
                <w:p w14:paraId="3DE8001E">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Style w:val="234"/>
                      <w:rFonts w:hint="default" w:ascii="Times New Roman" w:hAnsi="Times New Roman" w:eastAsia="宋体" w:cs="Times New Roman"/>
                      <w:color w:val="auto"/>
                      <w:spacing w:val="0"/>
                      <w:sz w:val="21"/>
                      <w:szCs w:val="21"/>
                      <w:highlight w:val="none"/>
                    </w:rPr>
                    <w:t>铸造企业严格执行《铸造工业大气污染物排放标准》</w:t>
                  </w:r>
                  <w:r>
                    <w:rPr>
                      <w:rStyle w:val="234"/>
                      <w:rFonts w:hint="default" w:ascii="Times New Roman" w:hAnsi="Times New Roman"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GB39726</w:t>
                  </w:r>
                  <w:r>
                    <w:rPr>
                      <w:rStyle w:val="234"/>
                      <w:rFonts w:hint="default" w:ascii="Times New Roman" w:hAnsi="Times New Roman" w:cs="Times New Roman"/>
                      <w:color w:val="auto"/>
                      <w:spacing w:val="0"/>
                      <w:sz w:val="21"/>
                      <w:szCs w:val="21"/>
                      <w:highlight w:val="none"/>
                      <w:lang w:eastAsia="zh-CN"/>
                    </w:rPr>
                    <w:t>）</w:t>
                  </w:r>
                  <w:r>
                    <w:rPr>
                      <w:rStyle w:val="234"/>
                      <w:rFonts w:hint="default" w:ascii="Times New Roman" w:hAnsi="Times New Roman" w:eastAsia="宋体" w:cs="Times New Roman"/>
                      <w:color w:val="auto"/>
                      <w:spacing w:val="0"/>
                      <w:sz w:val="21"/>
                      <w:szCs w:val="21"/>
                      <w:highlight w:val="none"/>
                    </w:rPr>
                    <w:t>及地方排放标准，加强无组织排放控制，不能稳定达标排放的，限期完成设施升级改造，不具备改造条件及改造后仍不能达标的，依法依规进行淘汰。</w:t>
                  </w:r>
                </w:p>
              </w:tc>
              <w:tc>
                <w:tcPr>
                  <w:tcW w:w="1565" w:type="pct"/>
                  <w:noWrap w:val="0"/>
                  <w:tcMar>
                    <w:top w:w="0" w:type="dxa"/>
                    <w:left w:w="0" w:type="dxa"/>
                    <w:bottom w:w="0" w:type="dxa"/>
                    <w:right w:w="0" w:type="dxa"/>
                  </w:tcMar>
                  <w:vAlign w:val="center"/>
                </w:tcPr>
                <w:p w14:paraId="5B35AA6B">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本项目拟加强废气收集及治理，确保污染物达标排放，减少无组织废气产生。</w:t>
                  </w:r>
                </w:p>
              </w:tc>
              <w:tc>
                <w:tcPr>
                  <w:tcW w:w="403" w:type="pct"/>
                  <w:noWrap w:val="0"/>
                  <w:tcMar>
                    <w:top w:w="0" w:type="dxa"/>
                    <w:left w:w="0" w:type="dxa"/>
                    <w:bottom w:w="0" w:type="dxa"/>
                    <w:right w:w="0" w:type="dxa"/>
                  </w:tcMar>
                  <w:vAlign w:val="center"/>
                </w:tcPr>
                <w:p w14:paraId="4E342FC1">
                  <w:pPr>
                    <w:pStyle w:val="23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符合</w:t>
                  </w:r>
                </w:p>
              </w:tc>
            </w:tr>
          </w:tbl>
          <w:p w14:paraId="2F3C8F8A">
            <w:pPr>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Cs w:val="20"/>
                <w:highlight w:val="none"/>
                <w:lang w:eastAsia="zh-CN"/>
              </w:rPr>
            </w:pPr>
          </w:p>
        </w:tc>
      </w:tr>
    </w:tbl>
    <w:p w14:paraId="6D12AFA7">
      <w:pPr>
        <w:rPr>
          <w:rFonts w:hint="default" w:ascii="Times New Roman" w:hAnsi="Times New Roman" w:eastAsia="黑体" w:cs="Times New Roman"/>
          <w:smallCaps w:val="0"/>
          <w:color w:val="auto"/>
          <w:spacing w:val="0"/>
          <w:sz w:val="30"/>
          <w:highlight w:val="none"/>
        </w:rPr>
        <w:sectPr>
          <w:footerReference r:id="rId5" w:type="default"/>
          <w:pgSz w:w="11906" w:h="16838"/>
          <w:pgMar w:top="1701" w:right="1531" w:bottom="1701" w:left="1531" w:header="851" w:footer="1077" w:gutter="0"/>
          <w:pgNumType w:start="1"/>
          <w:cols w:space="720" w:num="1"/>
          <w:docGrid w:linePitch="312" w:charSpace="0"/>
        </w:sectPr>
      </w:pPr>
    </w:p>
    <w:p w14:paraId="27D8B024">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6" w:name="_Toc18151"/>
      <w:r>
        <w:rPr>
          <w:rFonts w:hint="default" w:ascii="Times New Roman" w:hAnsi="Times New Roman" w:eastAsia="黑体" w:cs="Times New Roman"/>
          <w:smallCaps w:val="0"/>
          <w:snapToGrid w:val="0"/>
          <w:color w:val="auto"/>
          <w:spacing w:val="0"/>
          <w:sz w:val="30"/>
          <w:szCs w:val="30"/>
          <w:highlight w:val="none"/>
        </w:rPr>
        <w:t>二、建设项目工程分析</w:t>
      </w:r>
      <w:bookmarkEnd w:id="6"/>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8385"/>
      </w:tblGrid>
      <w:tr w14:paraId="4DA1DE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5" w:type="dxa"/>
            <w:vAlign w:val="center"/>
          </w:tcPr>
          <w:p w14:paraId="50F63044">
            <w:pPr>
              <w:pStyle w:val="41"/>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Cs w:val="21"/>
                <w:highlight w:val="none"/>
              </w:rPr>
              <w:t>建设内容</w:t>
            </w:r>
          </w:p>
        </w:tc>
        <w:tc>
          <w:tcPr>
            <w:tcW w:w="8385" w:type="dxa"/>
          </w:tcPr>
          <w:p w14:paraId="27DACCC8">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leftChars="0" w:right="0" w:firstLine="0" w:firstLineChars="0"/>
              <w:textAlignment w:val="auto"/>
              <w:rPr>
                <w:rFonts w:hint="default" w:ascii="Times New Roman" w:hAnsi="Times New Roman" w:cs="Times New Roman"/>
                <w:b/>
                <w:bCs/>
                <w:smallCaps w:val="0"/>
                <w:color w:val="auto"/>
                <w:spacing w:val="0"/>
                <w:highlight w:val="none"/>
                <w:lang w:val="en-US" w:eastAsia="zh-CN"/>
              </w:rPr>
            </w:pPr>
            <w:r>
              <w:rPr>
                <w:rFonts w:hint="default" w:ascii="Times New Roman" w:hAnsi="Times New Roman" w:cs="Times New Roman"/>
                <w:b/>
                <w:bCs/>
                <w:smallCaps w:val="0"/>
                <w:color w:val="auto"/>
                <w:spacing w:val="0"/>
                <w:highlight w:val="none"/>
                <w:lang w:val="en-US" w:eastAsia="zh-CN"/>
              </w:rPr>
              <w:t>一、项目背景</w:t>
            </w:r>
          </w:p>
          <w:p w14:paraId="303F8DF9">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2"/>
              <w:textAlignment w:val="auto"/>
              <w:rPr>
                <w:rFonts w:hint="default" w:ascii="Times New Roman" w:hAnsi="Times New Roman" w:cs="Times New Roman"/>
                <w:b w:val="0"/>
                <w:bCs w:val="0"/>
                <w:smallCaps w:val="0"/>
                <w:color w:val="auto"/>
                <w:spacing w:val="0"/>
                <w:highlight w:val="none"/>
                <w:lang w:eastAsia="zh-CN"/>
              </w:rPr>
            </w:pPr>
            <w:r>
              <w:rPr>
                <w:rFonts w:hint="default" w:ascii="Times New Roman" w:hAnsi="Times New Roman" w:cs="Times New Roman"/>
                <w:b w:val="0"/>
                <w:bCs w:val="0"/>
                <w:smallCaps w:val="0"/>
                <w:color w:val="auto"/>
                <w:spacing w:val="0"/>
                <w:highlight w:val="none"/>
                <w:lang w:val="en-US" w:eastAsia="zh-CN"/>
              </w:rPr>
              <w:t>石家庄旭兰电气设备有限公司</w:t>
            </w:r>
            <w:r>
              <w:rPr>
                <w:rFonts w:hint="eastAsia" w:cs="Times New Roman"/>
                <w:b w:val="0"/>
                <w:bCs w:val="0"/>
                <w:smallCaps w:val="0"/>
                <w:color w:val="auto"/>
                <w:spacing w:val="0"/>
                <w:highlight w:val="none"/>
                <w:lang w:val="en-US" w:eastAsia="zh-CN"/>
              </w:rPr>
              <w:t>计划投资600万元建设高铁接触网配件铸造生产线建设项目</w:t>
            </w:r>
            <w:r>
              <w:rPr>
                <w:rFonts w:hint="default" w:ascii="Times New Roman" w:hAnsi="Times New Roman" w:cs="Times New Roman"/>
                <w:b w:val="0"/>
                <w:bCs w:val="0"/>
                <w:smallCaps w:val="0"/>
                <w:color w:val="auto"/>
                <w:spacing w:val="0"/>
                <w:highlight w:val="none"/>
                <w:lang w:val="en-US" w:eastAsia="zh-CN"/>
              </w:rPr>
              <w:t>。根据</w:t>
            </w:r>
            <w:r>
              <w:rPr>
                <w:rFonts w:hint="default" w:ascii="Times New Roman" w:hAnsi="Times New Roman" w:cs="Times New Roman"/>
                <w:color w:val="auto"/>
                <w:sz w:val="24"/>
                <w:szCs w:val="24"/>
                <w:highlight w:val="none"/>
                <w:lang w:eastAsia="zh-CN"/>
              </w:rPr>
              <w:t>《中华人民共和国环境保护法》、《中华人民共和国环境影响评价法》、《建设项目环境保护管理条例》（国务院第682号令）</w:t>
            </w:r>
            <w:r>
              <w:rPr>
                <w:rFonts w:hint="default" w:ascii="Times New Roman" w:hAnsi="Times New Roman" w:cs="Times New Roman"/>
                <w:b w:val="0"/>
                <w:bCs w:val="0"/>
                <w:smallCaps w:val="0"/>
                <w:color w:val="auto"/>
                <w:spacing w:val="0"/>
                <w:highlight w:val="none"/>
                <w:lang w:val="en-US" w:eastAsia="zh-CN"/>
              </w:rPr>
              <w:t>以及《建设项目环境影响评价分类管理名录</w:t>
            </w:r>
            <w:r>
              <w:rPr>
                <w:rFonts w:hint="eastAsia" w:cs="Times New Roman"/>
                <w:b w:val="0"/>
                <w:bCs w:val="0"/>
                <w:smallCaps w:val="0"/>
                <w:color w:val="auto"/>
                <w:spacing w:val="0"/>
                <w:highlight w:val="none"/>
                <w:lang w:val="en-US" w:eastAsia="zh-CN"/>
              </w:rPr>
              <w:t>（2021年版）</w:t>
            </w:r>
            <w:r>
              <w:rPr>
                <w:rFonts w:hint="default" w:ascii="Times New Roman" w:hAnsi="Times New Roman" w:cs="Times New Roman"/>
                <w:b w:val="0"/>
                <w:bCs w:val="0"/>
                <w:smallCaps w:val="0"/>
                <w:color w:val="auto"/>
                <w:spacing w:val="0"/>
                <w:highlight w:val="none"/>
                <w:lang w:val="en-US" w:eastAsia="zh-CN"/>
              </w:rPr>
              <w:t>》的有关规定，该项目属于三十、金属制品业“68 铸造及其他金属制品制造”中“其他（仅分割、焊接、组装的除外）”</w:t>
            </w:r>
            <w:r>
              <w:rPr>
                <w:rFonts w:hint="eastAsia" w:cs="Times New Roman"/>
                <w:b w:val="0"/>
                <w:bCs w:val="0"/>
                <w:smallCaps w:val="0"/>
                <w:color w:val="auto"/>
                <w:spacing w:val="0"/>
                <w:highlight w:val="none"/>
                <w:lang w:val="en-US" w:eastAsia="zh-CN"/>
              </w:rPr>
              <w:t>，</w:t>
            </w:r>
            <w:r>
              <w:rPr>
                <w:rFonts w:hint="default" w:ascii="Times New Roman" w:hAnsi="Times New Roman" w:cs="Times New Roman"/>
                <w:b w:val="0"/>
                <w:bCs w:val="0"/>
                <w:smallCaps w:val="0"/>
                <w:color w:val="auto"/>
                <w:spacing w:val="0"/>
                <w:highlight w:val="none"/>
                <w:lang w:val="en-US" w:eastAsia="zh-CN"/>
              </w:rPr>
              <w:t>应编制环境影响报告表。石家庄旭兰电气设备有限公司委托我公司承担该项目的环境影响报告表的编制工作，接受委托后，环评单位立即开展了现场踏勘、资料收集等工作，并按照《环境影响评价技术导则》的规定编制完成了本项目环境影响报告表。</w:t>
            </w:r>
          </w:p>
          <w:p w14:paraId="04F89325">
            <w:pPr>
              <w:pStyle w:val="171"/>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right="0" w:rightChars="0"/>
              <w:textAlignment w:val="auto"/>
              <w:rPr>
                <w:rFonts w:hint="eastAsia" w:cs="Times New Roman"/>
                <w:b/>
                <w:bCs/>
                <w:smallCaps w:val="0"/>
                <w:color w:val="auto"/>
                <w:spacing w:val="0"/>
                <w:highlight w:val="none"/>
                <w:lang w:val="en-US" w:eastAsia="zh-CN"/>
              </w:rPr>
            </w:pPr>
            <w:r>
              <w:rPr>
                <w:rFonts w:hint="eastAsia" w:cs="Times New Roman"/>
                <w:b/>
                <w:bCs/>
                <w:smallCaps w:val="0"/>
                <w:color w:val="auto"/>
                <w:spacing w:val="0"/>
                <w:highlight w:val="none"/>
                <w:lang w:val="en-US" w:eastAsia="zh-CN"/>
              </w:rPr>
              <w:t>二、项目概况</w:t>
            </w:r>
          </w:p>
          <w:p w14:paraId="7498BBF6">
            <w:pPr>
              <w:pStyle w:val="171"/>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right="0" w:rightChars="0" w:firstLine="482" w:firstLineChars="200"/>
              <w:textAlignment w:val="auto"/>
              <w:rPr>
                <w:rFonts w:hint="default" w:ascii="Times New Roman" w:hAnsi="Times New Roman" w:cs="Times New Roman"/>
                <w:b/>
                <w:bCs/>
                <w:smallCaps w:val="0"/>
                <w:color w:val="auto"/>
                <w:spacing w:val="0"/>
                <w:highlight w:val="none"/>
              </w:rPr>
            </w:pPr>
            <w:r>
              <w:rPr>
                <w:rFonts w:hint="eastAsia" w:cs="Times New Roman"/>
                <w:b/>
                <w:bCs/>
                <w:smallCaps w:val="0"/>
                <w:color w:val="auto"/>
                <w:spacing w:val="0"/>
                <w:highlight w:val="none"/>
                <w:lang w:val="en-US" w:eastAsia="zh-CN"/>
              </w:rPr>
              <w:t>1、</w:t>
            </w:r>
            <w:r>
              <w:rPr>
                <w:rFonts w:hint="default" w:ascii="Times New Roman" w:hAnsi="Times New Roman" w:cs="Times New Roman"/>
                <w:b/>
                <w:bCs/>
                <w:smallCaps w:val="0"/>
                <w:color w:val="auto"/>
                <w:spacing w:val="0"/>
                <w:highlight w:val="none"/>
              </w:rPr>
              <w:t>项目基本情况</w:t>
            </w:r>
          </w:p>
          <w:p w14:paraId="7AEB7DBE">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eastAsia" w:ascii="Times New Roman" w:hAnsi="Times New Roman" w:eastAsia="宋体"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（1）项目名称：</w:t>
            </w:r>
            <w:r>
              <w:rPr>
                <w:rFonts w:hint="eastAsia" w:cs="Times New Roman"/>
                <w:smallCaps w:val="0"/>
                <w:color w:val="auto"/>
                <w:spacing w:val="0"/>
                <w:highlight w:val="none"/>
                <w:lang w:eastAsia="zh-CN"/>
              </w:rPr>
              <w:t>高铁接触网配件铸造生产线建设项目。</w:t>
            </w:r>
          </w:p>
          <w:p w14:paraId="07DF0863">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（2）建设单位：</w:t>
            </w:r>
            <w:r>
              <w:rPr>
                <w:rFonts w:hint="default" w:ascii="Times New Roman" w:hAnsi="Times New Roman" w:cs="Times New Roman"/>
                <w:b w:val="0"/>
                <w:bCs w:val="0"/>
                <w:smallCaps w:val="0"/>
                <w:color w:val="auto"/>
                <w:spacing w:val="0"/>
                <w:highlight w:val="none"/>
                <w:lang w:val="en-US" w:eastAsia="zh-CN"/>
              </w:rPr>
              <w:t>石家庄旭兰电气设备有限公司</w:t>
            </w:r>
            <w:r>
              <w:rPr>
                <w:rFonts w:hint="eastAsia" w:cs="Times New Roman"/>
                <w:b w:val="0"/>
                <w:bCs w:val="0"/>
                <w:smallCaps w:val="0"/>
                <w:color w:val="auto"/>
                <w:spacing w:val="0"/>
                <w:highlight w:val="none"/>
                <w:lang w:val="en-US" w:eastAsia="zh-CN"/>
              </w:rPr>
              <w:t>。</w:t>
            </w:r>
          </w:p>
          <w:p w14:paraId="7D7C4290">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eastAsia"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（3）</w:t>
            </w:r>
            <w:r>
              <w:rPr>
                <w:rFonts w:hint="default" w:ascii="Times New Roman" w:hAnsi="Times New Roman" w:cs="Times New Roman"/>
                <w:smallCaps w:val="0"/>
                <w:color w:val="auto"/>
                <w:spacing w:val="0"/>
                <w:highlight w:val="none"/>
                <w:lang w:val="en-US" w:eastAsia="zh-CN"/>
              </w:rPr>
              <w:t>项目性质</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新建。</w:t>
            </w:r>
          </w:p>
          <w:p w14:paraId="7CE41079">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cs="Times New Roman"/>
                <w:color w:val="auto"/>
                <w:sz w:val="24"/>
                <w:szCs w:val="24"/>
                <w:highlight w:val="none"/>
              </w:rPr>
            </w:pPr>
            <w:r>
              <w:rPr>
                <w:rFonts w:hint="default" w:ascii="Times New Roman" w:hAnsi="Times New Roman" w:cs="Times New Roman"/>
                <w:smallCaps w:val="0"/>
                <w:color w:val="auto"/>
                <w:spacing w:val="0"/>
                <w:highlight w:val="none"/>
              </w:rPr>
              <w:t>（4）建设地点及周边关系：本项目位于石家庄市井陉矿区鑫鸿产业园</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号厂房</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属于</w:t>
            </w:r>
            <w:r>
              <w:rPr>
                <w:rFonts w:hint="default" w:ascii="Times New Roman" w:hAnsi="Times New Roman" w:cs="Times New Roman"/>
                <w:color w:val="auto"/>
                <w:sz w:val="24"/>
                <w:highlight w:val="none"/>
              </w:rPr>
              <w:t>石家庄市矿区工业园区石钢片区</w:t>
            </w:r>
            <w:r>
              <w:rPr>
                <w:rFonts w:hint="eastAsia" w:ascii="Times New Roman" w:hAnsi="Times New Roman" w:cs="Times New Roman"/>
                <w:color w:val="auto"/>
                <w:sz w:val="24"/>
                <w:highlight w:val="none"/>
                <w:lang w:eastAsia="zh-CN"/>
              </w:rPr>
              <w:t>；</w:t>
            </w:r>
            <w:r>
              <w:rPr>
                <w:rFonts w:hint="eastAsia" w:ascii="Times New Roman" w:hAnsi="Times New Roman" w:cs="Times New Roman"/>
                <w:color w:val="auto"/>
                <w:sz w:val="24"/>
                <w:highlight w:val="none"/>
                <w:lang w:val="en-US" w:eastAsia="zh-CN"/>
              </w:rPr>
              <w:t>本次租赁河北鑫鸿工业园建设发展有限公司现有5号厂房，项目</w:t>
            </w:r>
            <w:r>
              <w:rPr>
                <w:rFonts w:hint="default" w:ascii="Times New Roman" w:hAnsi="Times New Roman" w:cs="Times New Roman"/>
                <w:color w:val="auto"/>
                <w:sz w:val="24"/>
                <w:szCs w:val="24"/>
                <w:highlight w:val="none"/>
              </w:rPr>
              <w:t>中心地理坐标为东经114°2′34.111″，北纬38°6′27.106″。</w:t>
            </w:r>
          </w:p>
          <w:p w14:paraId="206D9DE1">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highlight w:val="none"/>
              </w:rPr>
            </w:pPr>
            <w:r>
              <w:rPr>
                <w:rFonts w:hint="eastAsia" w:ascii="Times New Roman" w:hAnsi="Times New Roman" w:cs="Times New Roman"/>
                <w:color w:val="auto"/>
                <w:sz w:val="24"/>
                <w:szCs w:val="24"/>
                <w:highlight w:val="none"/>
                <w:lang w:val="en-US" w:eastAsia="zh-CN"/>
              </w:rPr>
              <w:t>厂房</w:t>
            </w:r>
            <w:r>
              <w:rPr>
                <w:rFonts w:hint="default" w:ascii="Times New Roman" w:hAnsi="Times New Roman" w:cs="Times New Roman"/>
                <w:color w:val="auto"/>
                <w:sz w:val="24"/>
                <w:szCs w:val="24"/>
                <w:highlight w:val="none"/>
              </w:rPr>
              <w:t>东侧为</w:t>
            </w:r>
            <w:r>
              <w:rPr>
                <w:rFonts w:hint="eastAsia" w:ascii="Times New Roman" w:hAnsi="Times New Roman" w:cs="Times New Roman"/>
                <w:color w:val="auto"/>
                <w:sz w:val="24"/>
                <w:szCs w:val="24"/>
                <w:highlight w:val="none"/>
                <w:lang w:val="en-US" w:eastAsia="zh-CN"/>
              </w:rPr>
              <w:t>闲置厂房</w:t>
            </w:r>
            <w:r>
              <w:rPr>
                <w:rFonts w:hint="default" w:ascii="Times New Roman" w:hAnsi="Times New Roman" w:cs="Times New Roman"/>
                <w:color w:val="auto"/>
                <w:sz w:val="24"/>
                <w:szCs w:val="24"/>
                <w:highlight w:val="none"/>
              </w:rPr>
              <w:t>，南侧为石家庄煜工精密科技有限公司，</w:t>
            </w:r>
            <w:r>
              <w:rPr>
                <w:rFonts w:hint="eastAsia" w:ascii="Times New Roman" w:hAnsi="Times New Roman" w:cs="Times New Roman"/>
                <w:color w:val="auto"/>
                <w:sz w:val="24"/>
                <w:szCs w:val="24"/>
                <w:highlight w:val="none"/>
                <w:lang w:val="en-US" w:eastAsia="zh-CN"/>
              </w:rPr>
              <w:t>北侧</w:t>
            </w:r>
            <w:r>
              <w:rPr>
                <w:rFonts w:hint="eastAsia" w:cs="Times New Roman"/>
                <w:color w:val="auto"/>
                <w:sz w:val="24"/>
                <w:szCs w:val="24"/>
                <w:highlight w:val="none"/>
                <w:lang w:val="en-US" w:eastAsia="zh-CN"/>
              </w:rPr>
              <w:t>为</w:t>
            </w:r>
            <w:r>
              <w:rPr>
                <w:rFonts w:hint="default" w:ascii="Times New Roman" w:hAnsi="Times New Roman" w:cs="Times New Roman"/>
                <w:color w:val="auto"/>
                <w:sz w:val="24"/>
                <w:szCs w:val="24"/>
                <w:highlight w:val="none"/>
              </w:rPr>
              <w:t>河北</w:t>
            </w:r>
            <w:r>
              <w:rPr>
                <w:rFonts w:hint="eastAsia" w:ascii="Times New Roman" w:hAnsi="Times New Roman" w:cs="Times New Roman"/>
                <w:color w:val="auto"/>
                <w:sz w:val="24"/>
                <w:szCs w:val="24"/>
                <w:highlight w:val="none"/>
                <w:lang w:val="en-US" w:eastAsia="zh-CN"/>
              </w:rPr>
              <w:t>鑫</w:t>
            </w:r>
            <w:r>
              <w:rPr>
                <w:rFonts w:hint="eastAsia"/>
                <w:color w:val="231916"/>
                <w:sz w:val="24"/>
                <w:szCs w:val="22"/>
                <w:highlight w:val="none"/>
              </w:rPr>
              <w:t>泱</w:t>
            </w:r>
            <w:r>
              <w:rPr>
                <w:rFonts w:hint="eastAsia"/>
                <w:color w:val="231916"/>
                <w:sz w:val="24"/>
                <w:szCs w:val="22"/>
                <w:highlight w:val="none"/>
                <w:lang w:val="en-US" w:eastAsia="zh-CN"/>
              </w:rPr>
              <w:t>再生物资回收</w:t>
            </w:r>
            <w:r>
              <w:rPr>
                <w:rFonts w:hint="default" w:ascii="Times New Roman" w:hAnsi="Times New Roman" w:cs="Times New Roman"/>
                <w:color w:val="auto"/>
                <w:sz w:val="24"/>
                <w:szCs w:val="24"/>
                <w:highlight w:val="none"/>
              </w:rPr>
              <w:t>有限公司，</w:t>
            </w:r>
            <w:r>
              <w:rPr>
                <w:rFonts w:hint="eastAsia" w:ascii="Times New Roman" w:hAnsi="Times New Roman" w:cs="Times New Roman"/>
                <w:color w:val="auto"/>
                <w:sz w:val="24"/>
                <w:szCs w:val="24"/>
                <w:highlight w:val="none"/>
                <w:lang w:val="en-US" w:eastAsia="zh-CN"/>
              </w:rPr>
              <w:t>西侧</w:t>
            </w:r>
            <w:r>
              <w:rPr>
                <w:rFonts w:hint="default" w:ascii="Times New Roman" w:hAnsi="Times New Roman" w:cs="Times New Roman"/>
                <w:color w:val="auto"/>
                <w:sz w:val="24"/>
                <w:szCs w:val="24"/>
                <w:highlight w:val="none"/>
              </w:rPr>
              <w:t>为河北鑫</w:t>
            </w:r>
            <w:r>
              <w:rPr>
                <w:rFonts w:hint="eastAsia" w:ascii="Times New Roman" w:hAnsi="Times New Roman" w:cs="Times New Roman"/>
                <w:color w:val="auto"/>
                <w:sz w:val="24"/>
                <w:szCs w:val="24"/>
                <w:highlight w:val="none"/>
                <w:lang w:val="en-US" w:eastAsia="zh-CN"/>
              </w:rPr>
              <w:t>山建材</w:t>
            </w:r>
            <w:r>
              <w:rPr>
                <w:rFonts w:hint="default" w:ascii="Times New Roman" w:hAnsi="Times New Roman" w:cs="Times New Roman"/>
                <w:color w:val="auto"/>
                <w:sz w:val="24"/>
                <w:szCs w:val="24"/>
                <w:highlight w:val="none"/>
              </w:rPr>
              <w:t>有限公司。</w:t>
            </w:r>
            <w:r>
              <w:rPr>
                <w:rFonts w:hint="eastAsia" w:ascii="Times New Roman" w:hAnsi="Times New Roman" w:cs="Times New Roman"/>
                <w:color w:val="auto"/>
                <w:sz w:val="24"/>
                <w:szCs w:val="24"/>
                <w:highlight w:val="none"/>
                <w:lang w:val="en-US" w:eastAsia="zh-CN"/>
              </w:rPr>
              <w:t>根据现场调查，</w:t>
            </w:r>
            <w:r>
              <w:rPr>
                <w:rFonts w:hint="default" w:ascii="Times New Roman" w:hAnsi="Times New Roman" w:cs="Times New Roman"/>
                <w:color w:val="auto"/>
                <w:sz w:val="24"/>
                <w:szCs w:val="24"/>
                <w:highlight w:val="none"/>
              </w:rPr>
              <w:t>距项目最近的敏感点为</w:t>
            </w:r>
            <w:r>
              <w:rPr>
                <w:rFonts w:hint="eastAsia" w:ascii="Times New Roman" w:hAnsi="Times New Roman" w:cs="Times New Roman"/>
                <w:color w:val="auto"/>
                <w:sz w:val="24"/>
                <w:szCs w:val="24"/>
                <w:highlight w:val="none"/>
                <w:lang w:val="en-US" w:eastAsia="zh-CN"/>
              </w:rPr>
              <w:t>西侧360m处的贾庄村</w:t>
            </w:r>
            <w:r>
              <w:rPr>
                <w:rFonts w:hint="eastAsia" w:cs="Times New Roman"/>
                <w:color w:val="auto"/>
                <w:sz w:val="24"/>
                <w:szCs w:val="24"/>
                <w:highlight w:val="none"/>
                <w:lang w:eastAsia="zh-CN"/>
              </w:rPr>
              <w:t>。</w:t>
            </w:r>
          </w:p>
          <w:p w14:paraId="70E638C4">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项目地理位置见附图1</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周边关系见附图2</w:t>
            </w:r>
            <w:r>
              <w:rPr>
                <w:rFonts w:hint="eastAsia" w:cs="Times New Roman"/>
                <w:smallCaps w:val="0"/>
                <w:color w:val="auto"/>
                <w:spacing w:val="0"/>
                <w:highlight w:val="none"/>
                <w:lang w:eastAsia="zh-CN"/>
              </w:rPr>
              <w:t>。</w:t>
            </w:r>
          </w:p>
          <w:p w14:paraId="1FD35AE5">
            <w:pPr>
              <w:pStyle w:val="171"/>
              <w:keepNext w:val="0"/>
              <w:keepLines w:val="0"/>
              <w:pageBreakBefore w:val="0"/>
              <w:numPr>
                <w:ilvl w:val="0"/>
                <w:numId w:val="5"/>
              </w:numPr>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highlight w:val="none"/>
                <w:lang w:eastAsia="zh-CN"/>
              </w:rPr>
            </w:pPr>
            <w:r>
              <w:rPr>
                <w:rFonts w:hint="default" w:ascii="Times New Roman" w:hAnsi="Times New Roman" w:cs="Times New Roman"/>
                <w:smallCaps w:val="0"/>
                <w:color w:val="auto"/>
                <w:spacing w:val="0"/>
                <w:highlight w:val="none"/>
                <w:lang w:val="en-US" w:eastAsia="zh-CN"/>
              </w:rPr>
              <w:t>项目占地：项目占地为工业用地，占地面积</w:t>
            </w:r>
            <w:r>
              <w:rPr>
                <w:rFonts w:hint="eastAsia" w:cs="Times New Roman"/>
                <w:smallCaps w:val="0"/>
                <w:color w:val="auto"/>
                <w:spacing w:val="0"/>
                <w:highlight w:val="none"/>
                <w:lang w:val="en-US" w:eastAsia="zh-CN"/>
              </w:rPr>
              <w:t>6291</w:t>
            </w:r>
            <w:r>
              <w:rPr>
                <w:rFonts w:hint="default" w:ascii="Times New Roman" w:hAnsi="Times New Roman" w:cs="Times New Roman"/>
                <w:smallCaps w:val="0"/>
                <w:color w:val="auto"/>
                <w:spacing w:val="0"/>
                <w:highlight w:val="none"/>
                <w:lang w:val="en-US" w:eastAsia="zh-CN"/>
              </w:rPr>
              <w:t>m</w:t>
            </w:r>
            <w:r>
              <w:rPr>
                <w:rFonts w:hint="default" w:ascii="Times New Roman" w:hAnsi="Times New Roman" w:cs="Times New Roman"/>
                <w:smallCaps w:val="0"/>
                <w:color w:val="auto"/>
                <w:spacing w:val="0"/>
                <w:highlight w:val="none"/>
                <w:vertAlign w:val="superscript"/>
                <w:lang w:val="en-US" w:eastAsia="zh-CN"/>
              </w:rPr>
              <w:t>2</w:t>
            </w:r>
            <w:r>
              <w:rPr>
                <w:rFonts w:hint="default" w:ascii="Times New Roman" w:hAnsi="Times New Roman" w:cs="Times New Roman"/>
                <w:smallCaps w:val="0"/>
                <w:color w:val="auto"/>
                <w:spacing w:val="0"/>
                <w:highlight w:val="none"/>
                <w:lang w:eastAsia="zh-CN"/>
              </w:rPr>
              <w:t>。</w:t>
            </w:r>
          </w:p>
          <w:p w14:paraId="2492D914">
            <w:pPr>
              <w:pStyle w:val="171"/>
              <w:keepNext w:val="0"/>
              <w:keepLines w:val="0"/>
              <w:pageBreakBefore w:val="0"/>
              <w:numPr>
                <w:ilvl w:val="0"/>
                <w:numId w:val="5"/>
              </w:numPr>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szCs w:val="20"/>
                <w:highlight w:val="none"/>
                <w:lang w:eastAsia="zh-CN"/>
              </w:rPr>
            </w:pPr>
            <w:r>
              <w:rPr>
                <w:rFonts w:hint="eastAsia"/>
                <w:highlight w:val="none"/>
                <w:lang w:val="en-US" w:eastAsia="zh-CN"/>
              </w:rPr>
              <w:t>项目投资及环保投资：本项目总投资600万元，其中环保投资30万元，环保投资占比5.00%。</w:t>
            </w:r>
          </w:p>
          <w:p w14:paraId="19DD1DCE">
            <w:pPr>
              <w:pStyle w:val="171"/>
              <w:keepNext w:val="0"/>
              <w:keepLines w:val="0"/>
              <w:pageBreakBefore w:val="0"/>
              <w:numPr>
                <w:ilvl w:val="0"/>
                <w:numId w:val="5"/>
              </w:numPr>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highlight w:val="none"/>
                <w:lang w:val="en-US" w:eastAsia="zh-CN"/>
              </w:rPr>
            </w:pPr>
            <w:r>
              <w:rPr>
                <w:rFonts w:hint="default" w:ascii="Times New Roman" w:hAnsi="Times New Roman" w:cs="Times New Roman"/>
                <w:b w:val="0"/>
                <w:bCs w:val="0"/>
                <w:smallCaps w:val="0"/>
                <w:color w:val="auto"/>
                <w:spacing w:val="0"/>
                <w:szCs w:val="20"/>
                <w:highlight w:val="none"/>
                <w:lang w:val="en-US" w:eastAsia="zh-CN"/>
              </w:rPr>
              <w:t>劳动定员及工作制度</w:t>
            </w:r>
            <w:r>
              <w:rPr>
                <w:rFonts w:hint="eastAsia" w:ascii="Times New Roman" w:hAnsi="Times New Roman" w:cs="Times New Roman"/>
                <w:b w:val="0"/>
                <w:bCs w:val="0"/>
                <w:smallCaps w:val="0"/>
                <w:color w:val="auto"/>
                <w:spacing w:val="0"/>
                <w:szCs w:val="20"/>
                <w:highlight w:val="none"/>
                <w:lang w:val="en-US" w:eastAsia="zh-CN"/>
              </w:rPr>
              <w:t>：</w:t>
            </w:r>
            <w:r>
              <w:rPr>
                <w:rFonts w:hint="default" w:ascii="Times New Roman" w:hAnsi="Times New Roman" w:cs="Times New Roman"/>
                <w:smallCaps w:val="0"/>
                <w:color w:val="auto"/>
                <w:spacing w:val="0"/>
                <w:szCs w:val="20"/>
                <w:highlight w:val="none"/>
                <w:lang w:eastAsia="zh-CN"/>
              </w:rPr>
              <w:t>劳动定员</w:t>
            </w:r>
            <w:r>
              <w:rPr>
                <w:rFonts w:hint="eastAsia" w:cs="Times New Roman"/>
                <w:smallCaps w:val="0"/>
                <w:color w:val="auto"/>
                <w:spacing w:val="0"/>
                <w:szCs w:val="20"/>
                <w:highlight w:val="none"/>
                <w:lang w:val="en-US" w:eastAsia="zh-CN"/>
              </w:rPr>
              <w:t>为6人</w:t>
            </w:r>
            <w:r>
              <w:rPr>
                <w:rFonts w:hint="eastAsia"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lang w:eastAsia="zh-CN"/>
              </w:rPr>
              <w:t>项目实行</w:t>
            </w:r>
            <w:r>
              <w:rPr>
                <w:rFonts w:hint="eastAsia" w:cs="Times New Roman"/>
                <w:smallCaps w:val="0"/>
                <w:color w:val="auto"/>
                <w:spacing w:val="0"/>
                <w:szCs w:val="20"/>
                <w:highlight w:val="none"/>
                <w:lang w:val="en-US" w:eastAsia="zh-CN"/>
              </w:rPr>
              <w:t>单班</w:t>
            </w:r>
            <w:r>
              <w:rPr>
                <w:rFonts w:hint="default" w:ascii="Times New Roman" w:hAnsi="Times New Roman" w:cs="Times New Roman"/>
                <w:smallCaps w:val="0"/>
                <w:color w:val="auto"/>
                <w:spacing w:val="0"/>
                <w:szCs w:val="20"/>
                <w:highlight w:val="none"/>
                <w:lang w:eastAsia="zh-CN"/>
              </w:rPr>
              <w:t>工作制，每班</w:t>
            </w:r>
            <w:r>
              <w:rPr>
                <w:rFonts w:hint="eastAsia" w:cs="Times New Roman"/>
                <w:smallCaps w:val="0"/>
                <w:color w:val="auto"/>
                <w:spacing w:val="0"/>
                <w:szCs w:val="20"/>
                <w:highlight w:val="none"/>
                <w:lang w:val="en-US" w:eastAsia="zh-CN"/>
              </w:rPr>
              <w:t>10</w:t>
            </w:r>
            <w:r>
              <w:rPr>
                <w:rFonts w:hint="default" w:ascii="Times New Roman" w:hAnsi="Times New Roman" w:cs="Times New Roman"/>
                <w:smallCaps w:val="0"/>
                <w:color w:val="auto"/>
                <w:spacing w:val="0"/>
                <w:szCs w:val="20"/>
                <w:highlight w:val="none"/>
                <w:lang w:eastAsia="zh-CN"/>
              </w:rPr>
              <w:t>小时，</w:t>
            </w:r>
            <w:r>
              <w:rPr>
                <w:rFonts w:hint="eastAsia" w:cs="Times New Roman"/>
                <w:smallCaps w:val="0"/>
                <w:color w:val="auto"/>
                <w:spacing w:val="0"/>
                <w:szCs w:val="20"/>
                <w:highlight w:val="none"/>
                <w:lang w:eastAsia="zh-CN"/>
              </w:rPr>
              <w:t>年工作300天</w:t>
            </w:r>
            <w:r>
              <w:rPr>
                <w:rFonts w:hint="default" w:ascii="Times New Roman" w:hAnsi="Times New Roman" w:cs="Times New Roman"/>
                <w:smallCaps w:val="0"/>
                <w:color w:val="auto"/>
                <w:spacing w:val="0"/>
                <w:szCs w:val="20"/>
                <w:highlight w:val="none"/>
                <w:lang w:eastAsia="zh-CN"/>
              </w:rPr>
              <w:t>。</w:t>
            </w:r>
          </w:p>
          <w:p w14:paraId="2476F127">
            <w:pPr>
              <w:pStyle w:val="171"/>
              <w:keepNext w:val="0"/>
              <w:keepLines w:val="0"/>
              <w:pageBreakBefore w:val="0"/>
              <w:numPr>
                <w:ilvl w:val="0"/>
                <w:numId w:val="5"/>
              </w:numPr>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highlight w:val="none"/>
                <w:lang w:val="en-US" w:eastAsia="zh-CN"/>
              </w:rPr>
            </w:pPr>
            <w:r>
              <w:rPr>
                <w:rFonts w:hint="eastAsia"/>
                <w:highlight w:val="none"/>
                <w:lang w:val="en-US" w:eastAsia="zh-CN"/>
              </w:rPr>
              <w:t>主要建设内容及规模：项目总建筑面积6291</w:t>
            </w:r>
            <w:r>
              <w:rPr>
                <w:rFonts w:hint="default" w:ascii="Times New Roman" w:hAnsi="Times New Roman" w:cs="Times New Roman"/>
                <w:smallCaps w:val="0"/>
                <w:color w:val="auto"/>
                <w:spacing w:val="0"/>
                <w:highlight w:val="none"/>
                <w:lang w:val="en-US" w:eastAsia="zh-CN"/>
              </w:rPr>
              <w:t>m</w:t>
            </w:r>
            <w:r>
              <w:rPr>
                <w:rFonts w:hint="default" w:ascii="Times New Roman" w:hAnsi="Times New Roman" w:cs="Times New Roman"/>
                <w:smallCaps w:val="0"/>
                <w:color w:val="auto"/>
                <w:spacing w:val="0"/>
                <w:highlight w:val="none"/>
                <w:vertAlign w:val="superscript"/>
                <w:lang w:val="en-US" w:eastAsia="zh-CN"/>
              </w:rPr>
              <w:t>2</w:t>
            </w:r>
            <w:r>
              <w:rPr>
                <w:rFonts w:hint="eastAsia"/>
                <w:highlight w:val="none"/>
                <w:lang w:val="en-US" w:eastAsia="zh-CN"/>
              </w:rPr>
              <w:t>，年生产高铁接触网专用坠砣3000吨。项目设置原料储存区，成品存放区，生产区，建设高铁接触网专用坠砣覆膜砂铸造生产线一条，配套相关环保，安全等附属设施。</w:t>
            </w:r>
          </w:p>
          <w:p w14:paraId="13C43AC6">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1</w:t>
            </w:r>
            <w:r>
              <w:rPr>
                <w:rFonts w:hint="default" w:ascii="Times New Roman" w:hAnsi="Times New Roman" w:cs="Times New Roman"/>
                <w:smallCaps w:val="0"/>
                <w:color w:val="auto"/>
                <w:spacing w:val="0"/>
                <w:highlight w:val="none"/>
              </w:rPr>
              <w:t xml:space="preserve">    项目主要建设内容组成一览表</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0" w:type="dxa"/>
                <w:bottom w:w="0" w:type="dxa"/>
                <w:right w:w="0" w:type="dxa"/>
              </w:tblCellMar>
            </w:tblPr>
            <w:tblGrid>
              <w:gridCol w:w="908"/>
              <w:gridCol w:w="1108"/>
              <w:gridCol w:w="6140"/>
            </w:tblGrid>
            <w:tr w14:paraId="0347C7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4" w:hRule="atLeast"/>
                <w:jc w:val="center"/>
              </w:trPr>
              <w:tc>
                <w:tcPr>
                  <w:tcW w:w="1236" w:type="pct"/>
                  <w:gridSpan w:val="2"/>
                  <w:vAlign w:val="center"/>
                </w:tcPr>
                <w:p w14:paraId="1B099FAE">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项目名称</w:t>
                  </w:r>
                </w:p>
              </w:tc>
              <w:tc>
                <w:tcPr>
                  <w:tcW w:w="3763" w:type="pct"/>
                  <w:vAlign w:val="center"/>
                </w:tcPr>
                <w:p w14:paraId="3D086A17">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主要建设内容</w:t>
                  </w:r>
                </w:p>
              </w:tc>
            </w:tr>
            <w:tr w14:paraId="7A7A2A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557" w:type="pct"/>
                  <w:vAlign w:val="center"/>
                </w:tcPr>
                <w:p w14:paraId="15FFC44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主体工程</w:t>
                  </w:r>
                </w:p>
              </w:tc>
              <w:tc>
                <w:tcPr>
                  <w:tcW w:w="679" w:type="pct"/>
                  <w:vAlign w:val="center"/>
                </w:tcPr>
                <w:p w14:paraId="12F51D0D">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cs="Times New Roman"/>
                      <w:smallCaps w:val="0"/>
                      <w:color w:val="auto"/>
                      <w:spacing w:val="0"/>
                      <w:sz w:val="21"/>
                      <w:szCs w:val="21"/>
                      <w:highlight w:val="none"/>
                      <w:lang w:val="en-US" w:eastAsia="zh-CN"/>
                    </w:rPr>
                    <w:t>5号厂房</w:t>
                  </w:r>
                </w:p>
              </w:tc>
              <w:tc>
                <w:tcPr>
                  <w:tcW w:w="3763" w:type="pct"/>
                  <w:vAlign w:val="center"/>
                </w:tcPr>
                <w:p w14:paraId="1EF9919B">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厂房长约157m，宽约40m，高度10米；</w:t>
                  </w:r>
                  <w:r>
                    <w:rPr>
                      <w:rFonts w:hint="default" w:ascii="Times New Roman" w:hAnsi="Times New Roman" w:cs="Times New Roman"/>
                      <w:smallCaps w:val="0"/>
                      <w:color w:val="auto"/>
                      <w:spacing w:val="0"/>
                      <w:sz w:val="21"/>
                      <w:szCs w:val="21"/>
                      <w:highlight w:val="none"/>
                      <w:lang w:val="en-US" w:eastAsia="zh-CN"/>
                    </w:rPr>
                    <w:t>占地面积</w:t>
                  </w:r>
                  <w:r>
                    <w:rPr>
                      <w:rFonts w:hint="eastAsia" w:cs="Times New Roman"/>
                      <w:smallCaps w:val="0"/>
                      <w:color w:val="auto"/>
                      <w:spacing w:val="0"/>
                      <w:sz w:val="21"/>
                      <w:szCs w:val="21"/>
                      <w:highlight w:val="none"/>
                      <w:lang w:val="en-US" w:eastAsia="zh-CN"/>
                    </w:rPr>
                    <w:t>6291</w:t>
                  </w:r>
                  <w:r>
                    <w:rPr>
                      <w:rFonts w:hint="default" w:ascii="Times New Roman" w:hAnsi="Times New Roman" w:cs="Times New Roman"/>
                      <w:smallCaps w:val="0"/>
                      <w:color w:val="auto"/>
                      <w:spacing w:val="0"/>
                      <w:sz w:val="21"/>
                      <w:szCs w:val="21"/>
                      <w:highlight w:val="none"/>
                      <w:lang w:val="en-US" w:eastAsia="zh-CN"/>
                    </w:rPr>
                    <w:t>m</w:t>
                  </w:r>
                  <w:r>
                    <w:rPr>
                      <w:rFonts w:hint="default" w:ascii="Times New Roman" w:hAnsi="Times New Roman" w:cs="Times New Roman"/>
                      <w:smallCaps w:val="0"/>
                      <w:color w:val="auto"/>
                      <w:spacing w:val="0"/>
                      <w:sz w:val="21"/>
                      <w:szCs w:val="21"/>
                      <w:highlight w:val="none"/>
                      <w:vertAlign w:val="superscript"/>
                      <w:lang w:val="en-US" w:eastAsia="zh-CN"/>
                    </w:rPr>
                    <w:t>2</w:t>
                  </w: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rPr>
                    <w:t>建设高铁接触网专用坠砣覆膜砂铸造生产线一条</w:t>
                  </w:r>
                  <w:r>
                    <w:rPr>
                      <w:rFonts w:hint="eastAsia" w:ascii="Times New Roman" w:hAnsi="Times New Roman" w:cs="Times New Roman"/>
                      <w:smallCaps w:val="0"/>
                      <w:color w:val="auto"/>
                      <w:spacing w:val="0"/>
                      <w:sz w:val="21"/>
                      <w:szCs w:val="21"/>
                      <w:highlight w:val="none"/>
                      <w:lang w:eastAsia="zh-CN"/>
                    </w:rPr>
                    <w:t>；</w:t>
                  </w:r>
                  <w:r>
                    <w:rPr>
                      <w:rFonts w:hint="eastAsia" w:ascii="Times New Roman" w:hAnsi="Times New Roman" w:cs="Times New Roman"/>
                      <w:smallCaps w:val="0"/>
                      <w:color w:val="auto"/>
                      <w:spacing w:val="0"/>
                      <w:sz w:val="21"/>
                      <w:szCs w:val="21"/>
                      <w:highlight w:val="none"/>
                      <w:lang w:val="en-US" w:eastAsia="zh-CN"/>
                    </w:rPr>
                    <w:t>内设成品区、原料区、</w:t>
                  </w:r>
                  <w:r>
                    <w:rPr>
                      <w:rFonts w:hint="eastAsia" w:cs="Times New Roman"/>
                      <w:smallCaps w:val="0"/>
                      <w:color w:val="auto"/>
                      <w:spacing w:val="0"/>
                      <w:sz w:val="21"/>
                      <w:szCs w:val="21"/>
                      <w:highlight w:val="none"/>
                      <w:lang w:val="en-US" w:eastAsia="zh-CN"/>
                    </w:rPr>
                    <w:t>制壳</w:t>
                  </w:r>
                  <w:r>
                    <w:rPr>
                      <w:rFonts w:hint="eastAsia" w:ascii="Times New Roman" w:hAnsi="Times New Roman" w:cs="Times New Roman"/>
                      <w:smallCaps w:val="0"/>
                      <w:color w:val="auto"/>
                      <w:spacing w:val="0"/>
                      <w:sz w:val="21"/>
                      <w:szCs w:val="21"/>
                      <w:highlight w:val="none"/>
                      <w:lang w:val="en-US" w:eastAsia="zh-CN"/>
                    </w:rPr>
                    <w:t>区、打磨区、办公区</w:t>
                  </w:r>
                  <w:r>
                    <w:rPr>
                      <w:rFonts w:hint="eastAsia" w:cs="Times New Roman"/>
                      <w:smallCaps w:val="0"/>
                      <w:color w:val="auto"/>
                      <w:spacing w:val="0"/>
                      <w:sz w:val="21"/>
                      <w:szCs w:val="21"/>
                      <w:highlight w:val="none"/>
                      <w:lang w:val="en-US" w:eastAsia="zh-CN"/>
                    </w:rPr>
                    <w:t>、浇注区、熔炼区、注砂落砂区</w:t>
                  </w:r>
                  <w:r>
                    <w:rPr>
                      <w:rFonts w:hint="eastAsia" w:ascii="Times New Roman" w:hAnsi="Times New Roman" w:cs="Times New Roman"/>
                      <w:smallCaps w:val="0"/>
                      <w:color w:val="auto"/>
                      <w:spacing w:val="0"/>
                      <w:sz w:val="21"/>
                      <w:szCs w:val="21"/>
                      <w:highlight w:val="none"/>
                      <w:lang w:val="en-US" w:eastAsia="zh-CN"/>
                    </w:rPr>
                    <w:t>等</w:t>
                  </w:r>
                </w:p>
              </w:tc>
            </w:tr>
            <w:tr w14:paraId="0259EF5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restart"/>
                  <w:vAlign w:val="center"/>
                </w:tcPr>
                <w:p w14:paraId="69DB93CF">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储运工程</w:t>
                  </w:r>
                </w:p>
              </w:tc>
              <w:tc>
                <w:tcPr>
                  <w:tcW w:w="679" w:type="pct"/>
                  <w:vAlign w:val="center"/>
                </w:tcPr>
                <w:p w14:paraId="598625D5">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原料区</w:t>
                  </w:r>
                </w:p>
              </w:tc>
              <w:tc>
                <w:tcPr>
                  <w:tcW w:w="3763" w:type="pct"/>
                  <w:vAlign w:val="center"/>
                </w:tcPr>
                <w:p w14:paraId="2DF82F0D">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eastAsia" w:ascii="Times New Roman" w:hAnsi="Times New Roman" w:eastAsia="宋体" w:cs="Times New Roman"/>
                      <w:smallCaps w:val="0"/>
                      <w:color w:val="auto"/>
                      <w:spacing w:val="0"/>
                      <w:sz w:val="21"/>
                      <w:szCs w:val="21"/>
                      <w:highlight w:val="none"/>
                      <w:lang w:eastAsia="zh-CN"/>
                    </w:rPr>
                  </w:pPr>
                  <w:r>
                    <w:rPr>
                      <w:rFonts w:hint="default" w:ascii="Times New Roman" w:hAnsi="Times New Roman" w:cs="Times New Roman"/>
                      <w:smallCaps w:val="0"/>
                      <w:color w:val="auto"/>
                      <w:spacing w:val="0"/>
                      <w:sz w:val="21"/>
                      <w:szCs w:val="21"/>
                      <w:highlight w:val="none"/>
                    </w:rPr>
                    <w:t>在</w:t>
                  </w:r>
                  <w:r>
                    <w:rPr>
                      <w:rFonts w:hint="eastAsia" w:ascii="Times New Roman" w:hAnsi="Times New Roman" w:cs="Times New Roman"/>
                      <w:smallCaps w:val="0"/>
                      <w:color w:val="auto"/>
                      <w:spacing w:val="0"/>
                      <w:sz w:val="21"/>
                      <w:szCs w:val="21"/>
                      <w:highlight w:val="none"/>
                      <w:lang w:val="en-US" w:eastAsia="zh-CN"/>
                    </w:rPr>
                    <w:t>5号厂房东北部</w:t>
                  </w: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rPr>
                    <w:t>主要用于原料的存放</w:t>
                  </w:r>
                  <w:r>
                    <w:rPr>
                      <w:rFonts w:hint="eastAsia" w:cs="Times New Roman"/>
                      <w:smallCaps w:val="0"/>
                      <w:color w:val="auto"/>
                      <w:spacing w:val="0"/>
                      <w:sz w:val="21"/>
                      <w:szCs w:val="21"/>
                      <w:highlight w:val="none"/>
                      <w:lang w:eastAsia="zh-CN"/>
                    </w:rPr>
                    <w:t>；</w:t>
                  </w:r>
                  <w:r>
                    <w:rPr>
                      <w:rFonts w:hint="eastAsia" w:ascii="宋体" w:hAnsi="宋体" w:cs="宋体"/>
                      <w:color w:val="auto"/>
                      <w:sz w:val="21"/>
                      <w:szCs w:val="21"/>
                      <w:highlight w:val="none"/>
                      <w:lang w:val="en-US" w:eastAsia="zh-CN"/>
                    </w:rPr>
                    <w:t>原料区建</w:t>
                  </w:r>
                  <w:r>
                    <w:rPr>
                      <w:rFonts w:hint="default" w:ascii="宋体" w:hAnsi="宋体" w:cs="宋体"/>
                      <w:color w:val="auto"/>
                      <w:sz w:val="21"/>
                      <w:szCs w:val="21"/>
                      <w:highlight w:val="none"/>
                      <w:lang w:val="en-US" w:eastAsia="zh-CN"/>
                    </w:rPr>
                    <w:t>半封闭储库</w:t>
                  </w:r>
                </w:p>
              </w:tc>
            </w:tr>
            <w:tr w14:paraId="11FB197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101" w:hRule="atLeast"/>
                <w:jc w:val="center"/>
              </w:trPr>
              <w:tc>
                <w:tcPr>
                  <w:tcW w:w="557" w:type="pct"/>
                  <w:vMerge w:val="continue"/>
                  <w:vAlign w:val="center"/>
                </w:tcPr>
                <w:p w14:paraId="66AAD3AC">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54F9997D">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eastAsia="zh-CN"/>
                    </w:rPr>
                  </w:pPr>
                  <w:r>
                    <w:rPr>
                      <w:rFonts w:hint="default" w:ascii="Times New Roman" w:hAnsi="Times New Roman" w:cs="Times New Roman"/>
                      <w:smallCaps w:val="0"/>
                      <w:color w:val="auto"/>
                      <w:spacing w:val="0"/>
                      <w:sz w:val="21"/>
                      <w:szCs w:val="21"/>
                      <w:highlight w:val="none"/>
                      <w:lang w:val="en-US" w:eastAsia="zh-CN"/>
                    </w:rPr>
                    <w:t>成品区</w:t>
                  </w:r>
                </w:p>
              </w:tc>
              <w:tc>
                <w:tcPr>
                  <w:tcW w:w="3763" w:type="pct"/>
                  <w:vAlign w:val="center"/>
                </w:tcPr>
                <w:p w14:paraId="108D9953">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在</w:t>
                  </w:r>
                  <w:r>
                    <w:rPr>
                      <w:rFonts w:hint="eastAsia" w:ascii="Times New Roman" w:hAnsi="Times New Roman" w:cs="Times New Roman"/>
                      <w:smallCaps w:val="0"/>
                      <w:color w:val="auto"/>
                      <w:spacing w:val="0"/>
                      <w:sz w:val="21"/>
                      <w:szCs w:val="21"/>
                      <w:highlight w:val="none"/>
                      <w:lang w:val="en-US" w:eastAsia="zh-CN"/>
                    </w:rPr>
                    <w:t>5号厂房中部，</w:t>
                  </w:r>
                  <w:r>
                    <w:rPr>
                      <w:rFonts w:hint="default" w:ascii="Times New Roman" w:hAnsi="Times New Roman" w:cs="Times New Roman"/>
                      <w:smallCaps w:val="0"/>
                      <w:color w:val="auto"/>
                      <w:spacing w:val="0"/>
                      <w:sz w:val="21"/>
                      <w:szCs w:val="21"/>
                      <w:highlight w:val="none"/>
                    </w:rPr>
                    <w:t>主要用于产品的存放</w:t>
                  </w:r>
                </w:p>
              </w:tc>
            </w:tr>
            <w:tr w14:paraId="7594C41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302" w:hRule="atLeast"/>
                <w:jc w:val="center"/>
              </w:trPr>
              <w:tc>
                <w:tcPr>
                  <w:tcW w:w="557" w:type="pct"/>
                  <w:vMerge w:val="continue"/>
                  <w:vAlign w:val="center"/>
                </w:tcPr>
                <w:p w14:paraId="109FE249">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shd w:val="clear" w:color="auto" w:fill="auto"/>
                  <w:vAlign w:val="center"/>
                </w:tcPr>
                <w:p w14:paraId="5C394799">
                  <w:pPr>
                    <w:pStyle w:val="173"/>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固废储存</w:t>
                  </w:r>
                </w:p>
              </w:tc>
              <w:tc>
                <w:tcPr>
                  <w:tcW w:w="3763" w:type="pct"/>
                  <w:shd w:val="clear" w:color="auto" w:fill="auto"/>
                  <w:vAlign w:val="center"/>
                </w:tcPr>
                <w:p w14:paraId="5625C39D">
                  <w:pPr>
                    <w:pStyle w:val="173"/>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设置一般固废暂存区</w:t>
                  </w:r>
                  <w:r>
                    <w:rPr>
                      <w:rFonts w:hint="default" w:ascii="Times New Roman" w:hAnsi="Times New Roman" w:cs="Times New Roman"/>
                      <w:smallCaps w:val="0"/>
                      <w:color w:val="auto"/>
                      <w:spacing w:val="0"/>
                      <w:sz w:val="21"/>
                      <w:szCs w:val="21"/>
                      <w:highlight w:val="none"/>
                      <w:lang w:eastAsia="zh-CN"/>
                    </w:rPr>
                    <w:t>，</w:t>
                  </w:r>
                  <w:r>
                    <w:rPr>
                      <w:rFonts w:hint="default" w:ascii="Times New Roman" w:hAnsi="Times New Roman" w:cs="Times New Roman"/>
                      <w:smallCaps w:val="0"/>
                      <w:color w:val="auto"/>
                      <w:spacing w:val="0"/>
                      <w:sz w:val="21"/>
                      <w:szCs w:val="21"/>
                      <w:highlight w:val="none"/>
                    </w:rPr>
                    <w:t>主要用于暂存项目产生的一般固废</w:t>
                  </w:r>
                </w:p>
              </w:tc>
            </w:tr>
            <w:tr w14:paraId="20D543B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Align w:val="center"/>
                </w:tcPr>
                <w:p w14:paraId="3C8D2180">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辅助工程</w:t>
                  </w:r>
                </w:p>
              </w:tc>
              <w:tc>
                <w:tcPr>
                  <w:tcW w:w="679" w:type="pct"/>
                  <w:vAlign w:val="center"/>
                </w:tcPr>
                <w:p w14:paraId="6D20F383">
                  <w:pPr>
                    <w:keepNext w:val="0"/>
                    <w:keepLines w:val="0"/>
                    <w:pageBreakBefore w:val="0"/>
                    <w:widowControl w:val="0"/>
                    <w:suppressLineNumbers w:val="0"/>
                    <w:kinsoku/>
                    <w:wordWrap/>
                    <w:overflowPunct/>
                    <w:bidi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办公</w:t>
                  </w:r>
                  <w:r>
                    <w:rPr>
                      <w:rFonts w:hint="eastAsia" w:ascii="Times New Roman" w:hAnsi="Times New Roman" w:cs="Times New Roman"/>
                      <w:smallCaps w:val="0"/>
                      <w:color w:val="auto"/>
                      <w:spacing w:val="0"/>
                      <w:sz w:val="21"/>
                      <w:szCs w:val="21"/>
                      <w:highlight w:val="none"/>
                      <w:lang w:val="en-US" w:eastAsia="zh-CN"/>
                    </w:rPr>
                    <w:t>区</w:t>
                  </w:r>
                </w:p>
              </w:tc>
              <w:tc>
                <w:tcPr>
                  <w:tcW w:w="3763" w:type="pct"/>
                  <w:vAlign w:val="center"/>
                </w:tcPr>
                <w:p w14:paraId="12978C5D">
                  <w:pPr>
                    <w:keepNext w:val="0"/>
                    <w:keepLines w:val="0"/>
                    <w:pageBreakBefore w:val="0"/>
                    <w:widowControl w:val="0"/>
                    <w:suppressLineNumbers w:val="0"/>
                    <w:kinsoku/>
                    <w:wordWrap/>
                    <w:overflowPunct/>
                    <w:bidi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cs="Times New Roman"/>
                      <w:smallCaps w:val="0"/>
                      <w:color w:val="auto"/>
                      <w:spacing w:val="0"/>
                      <w:sz w:val="21"/>
                      <w:szCs w:val="21"/>
                      <w:highlight w:val="none"/>
                      <w:lang w:val="en-US" w:eastAsia="zh-CN"/>
                    </w:rPr>
                    <w:t>位于5号厂房西北角，</w:t>
                  </w:r>
                  <w:r>
                    <w:rPr>
                      <w:rFonts w:hint="default" w:ascii="Times New Roman" w:hAnsi="Times New Roman" w:cs="Times New Roman"/>
                      <w:smallCaps w:val="0"/>
                      <w:color w:val="auto"/>
                      <w:spacing w:val="0"/>
                      <w:sz w:val="21"/>
                      <w:szCs w:val="21"/>
                      <w:highlight w:val="none"/>
                    </w:rPr>
                    <w:t>主要用于办公。</w:t>
                  </w:r>
                </w:p>
              </w:tc>
            </w:tr>
            <w:tr w14:paraId="4E8E12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229" w:hRule="atLeast"/>
                <w:jc w:val="center"/>
              </w:trPr>
              <w:tc>
                <w:tcPr>
                  <w:tcW w:w="557" w:type="pct"/>
                  <w:vMerge w:val="restart"/>
                  <w:vAlign w:val="center"/>
                </w:tcPr>
                <w:p w14:paraId="56EA689C">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公用工程</w:t>
                  </w:r>
                </w:p>
              </w:tc>
              <w:tc>
                <w:tcPr>
                  <w:tcW w:w="679" w:type="pct"/>
                  <w:vAlign w:val="center"/>
                </w:tcPr>
                <w:p w14:paraId="39E3D29D">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供电工程</w:t>
                  </w:r>
                </w:p>
              </w:tc>
              <w:tc>
                <w:tcPr>
                  <w:tcW w:w="3763" w:type="pct"/>
                  <w:vAlign w:val="center"/>
                </w:tcPr>
                <w:p w14:paraId="7C7ED28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项目用电</w:t>
                  </w:r>
                  <w:r>
                    <w:rPr>
                      <w:rFonts w:hint="default" w:ascii="Times New Roman" w:hAnsi="Times New Roman" w:cs="Times New Roman"/>
                      <w:smallCaps w:val="0"/>
                      <w:color w:val="auto"/>
                      <w:spacing w:val="0"/>
                      <w:sz w:val="21"/>
                      <w:szCs w:val="21"/>
                      <w:highlight w:val="none"/>
                      <w:lang w:eastAsia="zh-CN"/>
                    </w:rPr>
                    <w:t>由园区供电管网</w:t>
                  </w:r>
                  <w:r>
                    <w:rPr>
                      <w:rFonts w:hint="default" w:ascii="Times New Roman" w:hAnsi="Times New Roman" w:cs="Times New Roman"/>
                      <w:smallCaps w:val="0"/>
                      <w:color w:val="auto"/>
                      <w:spacing w:val="0"/>
                      <w:sz w:val="21"/>
                      <w:szCs w:val="21"/>
                      <w:highlight w:val="none"/>
                    </w:rPr>
                    <w:t>提供</w:t>
                  </w:r>
                </w:p>
              </w:tc>
            </w:tr>
            <w:tr w14:paraId="21EE0A3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continue"/>
                  <w:vAlign w:val="center"/>
                </w:tcPr>
                <w:p w14:paraId="3FAACF92">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7021698E">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供水工程</w:t>
                  </w:r>
                </w:p>
              </w:tc>
              <w:tc>
                <w:tcPr>
                  <w:tcW w:w="3763" w:type="pct"/>
                  <w:vAlign w:val="center"/>
                </w:tcPr>
                <w:p w14:paraId="02528380">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项目用水由</w:t>
                  </w:r>
                  <w:r>
                    <w:rPr>
                      <w:rFonts w:hint="default" w:ascii="Times New Roman" w:hAnsi="Times New Roman" w:cs="Times New Roman"/>
                      <w:smallCaps w:val="0"/>
                      <w:color w:val="auto"/>
                      <w:spacing w:val="0"/>
                      <w:sz w:val="21"/>
                      <w:szCs w:val="21"/>
                      <w:highlight w:val="none"/>
                      <w:lang w:eastAsia="zh-CN"/>
                    </w:rPr>
                    <w:t>园区供水管网</w:t>
                  </w:r>
                  <w:r>
                    <w:rPr>
                      <w:rFonts w:hint="default" w:ascii="Times New Roman" w:hAnsi="Times New Roman" w:cs="Times New Roman"/>
                      <w:smallCaps w:val="0"/>
                      <w:color w:val="auto"/>
                      <w:spacing w:val="0"/>
                      <w:sz w:val="21"/>
                      <w:szCs w:val="21"/>
                      <w:highlight w:val="none"/>
                    </w:rPr>
                    <w:t>提供</w:t>
                  </w:r>
                </w:p>
              </w:tc>
            </w:tr>
            <w:tr w14:paraId="3D28763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continue"/>
                  <w:vAlign w:val="center"/>
                </w:tcPr>
                <w:p w14:paraId="256DB112">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0A1671A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排水工程</w:t>
                  </w:r>
                </w:p>
              </w:tc>
              <w:tc>
                <w:tcPr>
                  <w:tcW w:w="3763" w:type="pct"/>
                  <w:vAlign w:val="center"/>
                </w:tcPr>
                <w:p w14:paraId="03E7A45C">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本项目</w:t>
                  </w:r>
                  <w:r>
                    <w:rPr>
                      <w:rFonts w:hint="default" w:ascii="Times New Roman" w:hAnsi="Times New Roman" w:cs="Times New Roman"/>
                      <w:smallCaps w:val="0"/>
                      <w:color w:val="auto"/>
                      <w:spacing w:val="0"/>
                      <w:sz w:val="21"/>
                      <w:szCs w:val="21"/>
                      <w:highlight w:val="none"/>
                      <w:lang w:eastAsia="zh-CN"/>
                    </w:rPr>
                    <w:t>冷却水循环使用，</w:t>
                  </w:r>
                  <w:r>
                    <w:rPr>
                      <w:rFonts w:hint="eastAsia" w:cs="Times New Roman"/>
                      <w:smallCaps w:val="0"/>
                      <w:color w:val="auto"/>
                      <w:spacing w:val="0"/>
                      <w:sz w:val="21"/>
                      <w:szCs w:val="21"/>
                      <w:highlight w:val="none"/>
                      <w:lang w:val="en-US" w:eastAsia="zh-CN"/>
                    </w:rPr>
                    <w:t>不外排</w:t>
                  </w:r>
                  <w:r>
                    <w:rPr>
                      <w:rFonts w:hint="default" w:ascii="Times New Roman" w:hAnsi="Times New Roman" w:cs="Times New Roman"/>
                      <w:smallCaps w:val="0"/>
                      <w:color w:val="auto"/>
                      <w:spacing w:val="0"/>
                      <w:sz w:val="21"/>
                      <w:szCs w:val="21"/>
                      <w:highlight w:val="none"/>
                    </w:rPr>
                    <w:t>；</w:t>
                  </w:r>
                  <w:r>
                    <w:rPr>
                      <w:rFonts w:hint="eastAsia" w:cs="Times New Roman"/>
                      <w:smallCaps w:val="0"/>
                      <w:color w:val="auto"/>
                      <w:spacing w:val="0"/>
                      <w:sz w:val="21"/>
                      <w:szCs w:val="21"/>
                      <w:highlight w:val="none"/>
                      <w:lang w:val="en-US" w:eastAsia="zh-CN"/>
                    </w:rPr>
                    <w:t>生活污水泼洒抑尘，不外排</w:t>
                  </w:r>
                </w:p>
              </w:tc>
            </w:tr>
            <w:tr w14:paraId="0E3FA65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restart"/>
                  <w:vAlign w:val="center"/>
                </w:tcPr>
                <w:p w14:paraId="3A86E373">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环保工程</w:t>
                  </w:r>
                </w:p>
              </w:tc>
              <w:tc>
                <w:tcPr>
                  <w:tcW w:w="679" w:type="pct"/>
                  <w:vAlign w:val="center"/>
                </w:tcPr>
                <w:p w14:paraId="41A2245E">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废气</w:t>
                  </w:r>
                </w:p>
              </w:tc>
              <w:tc>
                <w:tcPr>
                  <w:tcW w:w="3763" w:type="pct"/>
                  <w:vAlign w:val="center"/>
                </w:tcPr>
                <w:p w14:paraId="125470F5">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电炉熔炼区采用集气罩+二次密闭、落砂注砂废气经集气罩（三面围挡）收集，经1套布袋除尘器处理后，1根25m高排气筒排放；制壳、浇注废气经集气罩收集，经1套布袋除尘器+二级活性炭吸附装置处理后，1根25m高排气筒排放；打磨工序位于独立密闭设备间内，经集气罩收集，经1套布袋除尘器处理后，1根25m高排气筒排放。</w:t>
                  </w:r>
                </w:p>
              </w:tc>
            </w:tr>
            <w:tr w14:paraId="775C0EB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continue"/>
                  <w:vAlign w:val="center"/>
                </w:tcPr>
                <w:p w14:paraId="5D0F457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2FF5C100">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废水</w:t>
                  </w:r>
                </w:p>
              </w:tc>
              <w:tc>
                <w:tcPr>
                  <w:tcW w:w="3763" w:type="pct"/>
                  <w:vAlign w:val="center"/>
                </w:tcPr>
                <w:p w14:paraId="5B7D68B4">
                  <w:pPr>
                    <w:pStyle w:val="173"/>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rPr>
                    <w:t>本项目</w:t>
                  </w:r>
                  <w:r>
                    <w:rPr>
                      <w:rFonts w:hint="default" w:ascii="Times New Roman" w:hAnsi="Times New Roman" w:cs="Times New Roman"/>
                      <w:smallCaps w:val="0"/>
                      <w:color w:val="auto"/>
                      <w:spacing w:val="0"/>
                      <w:sz w:val="21"/>
                      <w:szCs w:val="21"/>
                      <w:highlight w:val="none"/>
                      <w:lang w:eastAsia="zh-CN"/>
                    </w:rPr>
                    <w:t>冷却水循环使用，</w:t>
                  </w:r>
                  <w:r>
                    <w:rPr>
                      <w:rFonts w:hint="eastAsia" w:cs="Times New Roman"/>
                      <w:smallCaps w:val="0"/>
                      <w:color w:val="auto"/>
                      <w:spacing w:val="0"/>
                      <w:sz w:val="21"/>
                      <w:szCs w:val="21"/>
                      <w:highlight w:val="none"/>
                      <w:lang w:val="en-US" w:eastAsia="zh-CN"/>
                    </w:rPr>
                    <w:t>不外排</w:t>
                  </w:r>
                  <w:r>
                    <w:rPr>
                      <w:rFonts w:hint="default" w:cs="Times New Roman"/>
                      <w:smallCaps w:val="0"/>
                      <w:color w:val="auto"/>
                      <w:spacing w:val="0"/>
                      <w:sz w:val="21"/>
                      <w:szCs w:val="21"/>
                      <w:highlight w:val="none"/>
                      <w:lang w:val="en-US" w:eastAsia="zh-CN"/>
                    </w:rPr>
                    <w:t>；</w:t>
                  </w:r>
                  <w:r>
                    <w:rPr>
                      <w:rFonts w:hint="eastAsia" w:cs="Times New Roman"/>
                      <w:smallCaps w:val="0"/>
                      <w:color w:val="auto"/>
                      <w:spacing w:val="0"/>
                      <w:sz w:val="21"/>
                      <w:szCs w:val="21"/>
                      <w:highlight w:val="none"/>
                      <w:lang w:val="en-US" w:eastAsia="zh-CN"/>
                    </w:rPr>
                    <w:t>雾炮用水全部消耗；生活污水排入防渗旱厕，定期清掏。</w:t>
                  </w:r>
                </w:p>
              </w:tc>
            </w:tr>
            <w:tr w14:paraId="0B0528D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continue"/>
                  <w:vAlign w:val="center"/>
                </w:tcPr>
                <w:p w14:paraId="46E4080C">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0498F877">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噪声</w:t>
                  </w:r>
                </w:p>
              </w:tc>
              <w:tc>
                <w:tcPr>
                  <w:tcW w:w="3763" w:type="pct"/>
                  <w:vAlign w:val="center"/>
                </w:tcPr>
                <w:p w14:paraId="29F96313">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eastAsia="zh-CN"/>
                    </w:rPr>
                  </w:pPr>
                  <w:r>
                    <w:rPr>
                      <w:rFonts w:hint="default" w:ascii="Times New Roman" w:hAnsi="Times New Roman" w:cs="Times New Roman"/>
                      <w:smallCaps w:val="0"/>
                      <w:color w:val="auto"/>
                      <w:spacing w:val="0"/>
                      <w:sz w:val="21"/>
                      <w:szCs w:val="21"/>
                      <w:highlight w:val="none"/>
                      <w:lang w:eastAsia="zh-CN"/>
                    </w:rPr>
                    <w:t>选用低噪声设备、基础减振、厂房隔声等措施</w:t>
                  </w:r>
                </w:p>
              </w:tc>
            </w:tr>
            <w:tr w14:paraId="62CA819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557" w:type="pct"/>
                  <w:vMerge w:val="continue"/>
                  <w:vAlign w:val="center"/>
                </w:tcPr>
                <w:p w14:paraId="1FDE9B1B">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tcBorders>
                    <w:bottom w:val="single" w:color="auto" w:sz="4" w:space="0"/>
                  </w:tcBorders>
                  <w:vAlign w:val="center"/>
                </w:tcPr>
                <w:p w14:paraId="5CE76DF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固体废物</w:t>
                  </w:r>
                </w:p>
              </w:tc>
              <w:tc>
                <w:tcPr>
                  <w:tcW w:w="3763" w:type="pct"/>
                  <w:tcBorders>
                    <w:bottom w:val="single" w:color="auto" w:sz="4" w:space="0"/>
                  </w:tcBorders>
                  <w:vAlign w:val="center"/>
                </w:tcPr>
                <w:p w14:paraId="67EF49C8">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eastAsia" w:ascii="Times New Roman" w:hAnsi="Times New Roman" w:eastAsia="宋体" w:cs="Times New Roman"/>
                      <w:smallCaps w:val="0"/>
                      <w:color w:val="auto"/>
                      <w:spacing w:val="0"/>
                      <w:highlight w:val="none"/>
                      <w:lang w:val="en-US" w:eastAsia="zh-CN"/>
                    </w:rPr>
                    <w:t>不合格壳芯、废砂交厂家回收再生利用；浇注废渣、</w:t>
                  </w:r>
                  <w:r>
                    <w:rPr>
                      <w:rFonts w:hint="eastAsia" w:cs="Times New Roman"/>
                      <w:smallCaps w:val="0"/>
                      <w:color w:val="auto"/>
                      <w:spacing w:val="0"/>
                      <w:highlight w:val="none"/>
                      <w:lang w:val="en-US" w:eastAsia="zh-CN"/>
                    </w:rPr>
                    <w:t>浇冒口</w:t>
                  </w:r>
                  <w:r>
                    <w:rPr>
                      <w:rFonts w:hint="eastAsia" w:ascii="Times New Roman" w:hAnsi="Times New Roman" w:eastAsia="宋体" w:cs="Times New Roman"/>
                      <w:smallCaps w:val="0"/>
                      <w:color w:val="auto"/>
                      <w:spacing w:val="0"/>
                      <w:highlight w:val="none"/>
                      <w:lang w:val="en-US" w:eastAsia="zh-CN"/>
                    </w:rPr>
                    <w:t>、不合格品</w:t>
                  </w:r>
                  <w:r>
                    <w:rPr>
                      <w:rFonts w:hint="eastAsia" w:cs="Times New Roman"/>
                      <w:smallCaps w:val="0"/>
                      <w:color w:val="auto"/>
                      <w:spacing w:val="0"/>
                      <w:highlight w:val="none"/>
                      <w:lang w:val="en-US" w:eastAsia="zh-CN"/>
                    </w:rPr>
                    <w:t>重新回到中频炉利用；</w:t>
                  </w:r>
                  <w:r>
                    <w:rPr>
                      <w:rFonts w:hint="eastAsia" w:ascii="Times New Roman" w:hAnsi="Times New Roman" w:eastAsia="宋体" w:cs="Times New Roman"/>
                      <w:smallCaps w:val="0"/>
                      <w:color w:val="auto"/>
                      <w:spacing w:val="0"/>
                      <w:highlight w:val="none"/>
                      <w:lang w:val="en-US" w:eastAsia="zh-CN"/>
                    </w:rPr>
                    <w:t>废布袋、除尘灰</w:t>
                  </w:r>
                  <w:r>
                    <w:rPr>
                      <w:rFonts w:hint="eastAsia" w:cs="Times New Roman"/>
                      <w:smallCaps w:val="0"/>
                      <w:color w:val="auto"/>
                      <w:spacing w:val="0"/>
                      <w:highlight w:val="none"/>
                      <w:lang w:val="en-US" w:eastAsia="zh-CN"/>
                    </w:rPr>
                    <w:t>、铁渣外售综合利用；生活垃圾交环卫部门收集处理</w:t>
                  </w:r>
                </w:p>
              </w:tc>
            </w:tr>
            <w:tr w14:paraId="58A95A4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557" w:type="pct"/>
                  <w:vMerge w:val="continue"/>
                  <w:vAlign w:val="center"/>
                </w:tcPr>
                <w:p w14:paraId="0CABB759">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tcBorders>
                    <w:top w:val="single" w:color="auto" w:sz="4" w:space="0"/>
                  </w:tcBorders>
                  <w:vAlign w:val="center"/>
                </w:tcPr>
                <w:p w14:paraId="1D409FE1">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危险废物</w:t>
                  </w:r>
                </w:p>
              </w:tc>
              <w:tc>
                <w:tcPr>
                  <w:tcW w:w="3763" w:type="pct"/>
                  <w:tcBorders>
                    <w:top w:val="single" w:color="auto" w:sz="4" w:space="0"/>
                  </w:tcBorders>
                  <w:vAlign w:val="center"/>
                </w:tcPr>
                <w:p w14:paraId="2D5200B9">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lang w:eastAsia="zh-CN"/>
                    </w:rPr>
                  </w:pPr>
                  <w:r>
                    <w:rPr>
                      <w:rFonts w:hint="eastAsia" w:cs="Times New Roman"/>
                      <w:smallCaps w:val="0"/>
                      <w:color w:val="auto"/>
                      <w:spacing w:val="0"/>
                      <w:sz w:val="21"/>
                      <w:szCs w:val="21"/>
                      <w:highlight w:val="none"/>
                      <w:lang w:val="en-US" w:eastAsia="zh-CN"/>
                    </w:rPr>
                    <w:t>废活性炭、</w:t>
                  </w:r>
                  <w:r>
                    <w:rPr>
                      <w:rFonts w:hint="default" w:ascii="Times New Roman" w:hAnsi="Times New Roman" w:cs="Times New Roman"/>
                      <w:smallCaps w:val="0"/>
                      <w:color w:val="auto"/>
                      <w:spacing w:val="0"/>
                      <w:sz w:val="21"/>
                      <w:szCs w:val="21"/>
                      <w:highlight w:val="none"/>
                      <w:lang w:val="en-US" w:eastAsia="zh-CN"/>
                    </w:rPr>
                    <w:t>废润滑油、废润滑油桶即产即清</w:t>
                  </w:r>
                  <w:r>
                    <w:rPr>
                      <w:rFonts w:hint="eastAsia" w:cs="Times New Roman"/>
                      <w:smallCaps w:val="0"/>
                      <w:color w:val="auto"/>
                      <w:spacing w:val="0"/>
                      <w:sz w:val="21"/>
                      <w:szCs w:val="21"/>
                      <w:highlight w:val="none"/>
                      <w:lang w:val="en-US" w:eastAsia="zh-CN"/>
                    </w:rPr>
                    <w:t>交由有危废处置资质单位处置</w:t>
                  </w:r>
                </w:p>
              </w:tc>
            </w:tr>
            <w:tr w14:paraId="397B505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557" w:type="pct"/>
                  <w:vMerge w:val="continue"/>
                  <w:vAlign w:val="center"/>
                </w:tcPr>
                <w:p w14:paraId="28C2AD43">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rPr>
                  </w:pPr>
                </w:p>
              </w:tc>
              <w:tc>
                <w:tcPr>
                  <w:tcW w:w="679" w:type="pct"/>
                  <w:vAlign w:val="center"/>
                </w:tcPr>
                <w:p w14:paraId="629879A6">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防渗</w:t>
                  </w:r>
                </w:p>
              </w:tc>
              <w:tc>
                <w:tcPr>
                  <w:tcW w:w="3763" w:type="pct"/>
                  <w:vAlign w:val="center"/>
                </w:tcPr>
                <w:p w14:paraId="4F729125">
                  <w:pPr>
                    <w:pStyle w:val="173"/>
                    <w:keepNext w:val="0"/>
                    <w:keepLines w:val="0"/>
                    <w:pageBreakBefore w:val="0"/>
                    <w:widowControl w:val="0"/>
                    <w:suppressLineNumbers w:val="0"/>
                    <w:kinsoku/>
                    <w:wordWrap/>
                    <w:overflowPunct/>
                    <w:bidi w:val="0"/>
                    <w:spacing w:before="0" w:beforeAutospacing="0" w:after="0" w:afterAutospacing="0" w:line="300" w:lineRule="exact"/>
                    <w:ind w:left="0" w:right="0"/>
                    <w:rPr>
                      <w:rFonts w:hint="default" w:ascii="Times New Roman" w:hAnsi="Times New Roman" w:cs="Times New Roman"/>
                      <w:smallCaps w:val="0"/>
                      <w:color w:val="auto"/>
                      <w:spacing w:val="0"/>
                      <w:sz w:val="21"/>
                      <w:szCs w:val="21"/>
                      <w:highlight w:val="none"/>
                      <w:lang w:eastAsia="zh-CN"/>
                    </w:rPr>
                  </w:pPr>
                  <w:r>
                    <w:rPr>
                      <w:rFonts w:hint="default" w:ascii="Times New Roman" w:hAnsi="Times New Roman" w:eastAsia="宋体" w:cs="Times New Roman"/>
                      <w:smallCaps w:val="0"/>
                      <w:color w:val="auto"/>
                      <w:spacing w:val="0"/>
                      <w:sz w:val="21"/>
                      <w:szCs w:val="21"/>
                      <w:highlight w:val="none"/>
                      <w:lang w:val="en-US" w:eastAsia="zh-CN"/>
                    </w:rPr>
                    <w:t>一般防渗：生产车间地面防渗措施，其等效黏土防渗层Mb≥1.5m，渗透系数≤10</w:t>
                  </w:r>
                  <w:r>
                    <w:rPr>
                      <w:rFonts w:hint="default" w:ascii="Times New Roman" w:hAnsi="Times New Roman" w:eastAsia="宋体" w:cs="Times New Roman"/>
                      <w:smallCaps w:val="0"/>
                      <w:color w:val="auto"/>
                      <w:spacing w:val="0"/>
                      <w:sz w:val="21"/>
                      <w:szCs w:val="21"/>
                      <w:highlight w:val="none"/>
                      <w:vertAlign w:val="superscript"/>
                      <w:lang w:val="en-US" w:eastAsia="zh-CN"/>
                    </w:rPr>
                    <w:t>-7</w:t>
                  </w:r>
                  <w:r>
                    <w:rPr>
                      <w:rFonts w:hint="default" w:ascii="Times New Roman" w:hAnsi="Times New Roman" w:eastAsia="宋体" w:cs="Times New Roman"/>
                      <w:smallCaps w:val="0"/>
                      <w:color w:val="auto"/>
                      <w:spacing w:val="0"/>
                      <w:sz w:val="21"/>
                      <w:szCs w:val="21"/>
                      <w:highlight w:val="none"/>
                      <w:lang w:val="en-US" w:eastAsia="zh-CN"/>
                    </w:rPr>
                    <w:t>cm/s</w:t>
                  </w:r>
                </w:p>
              </w:tc>
            </w:tr>
          </w:tbl>
          <w:p w14:paraId="7D45E01E">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2</w:t>
            </w:r>
            <w:r>
              <w:rPr>
                <w:rFonts w:hint="default" w:ascii="Times New Roman" w:hAnsi="Times New Roman" w:cs="Times New Roman"/>
                <w:b/>
                <w:smallCaps w:val="0"/>
                <w:color w:val="auto"/>
                <w:spacing w:val="0"/>
                <w:highlight w:val="none"/>
              </w:rPr>
              <w:t>、主要产品及产能</w:t>
            </w:r>
          </w:p>
          <w:p w14:paraId="1275B556">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本</w:t>
            </w:r>
            <w:r>
              <w:rPr>
                <w:rFonts w:hint="default" w:ascii="Times New Roman" w:hAnsi="Times New Roman" w:cs="Times New Roman"/>
                <w:smallCaps w:val="0"/>
                <w:color w:val="auto"/>
                <w:spacing w:val="0"/>
                <w:highlight w:val="none"/>
                <w:lang w:val="en-US" w:eastAsia="zh-CN"/>
              </w:rPr>
              <w:t>项目完成后，年产</w:t>
            </w:r>
            <w:r>
              <w:rPr>
                <w:rFonts w:hint="eastAsia" w:cs="Times New Roman"/>
                <w:smallCaps w:val="0"/>
                <w:color w:val="auto"/>
                <w:spacing w:val="0"/>
                <w:highlight w:val="none"/>
                <w:lang w:val="en-US" w:eastAsia="zh-CN"/>
              </w:rPr>
              <w:t>3000</w:t>
            </w:r>
            <w:r>
              <w:rPr>
                <w:rFonts w:hint="default" w:ascii="Times New Roman" w:hAnsi="Times New Roman" w:cs="Times New Roman"/>
                <w:smallCaps w:val="0"/>
                <w:color w:val="auto"/>
                <w:spacing w:val="0"/>
                <w:highlight w:val="none"/>
                <w:lang w:val="en-US" w:eastAsia="zh-CN"/>
              </w:rPr>
              <w:t>吨高铁接触网专用坠砣。</w:t>
            </w:r>
          </w:p>
          <w:p w14:paraId="410E9310">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本项目</w:t>
            </w:r>
            <w:r>
              <w:rPr>
                <w:rFonts w:hint="default" w:ascii="Times New Roman" w:hAnsi="Times New Roman" w:cs="Times New Roman"/>
                <w:smallCaps w:val="0"/>
                <w:color w:val="auto"/>
                <w:spacing w:val="0"/>
                <w:highlight w:val="none"/>
              </w:rPr>
              <w:t>主要产品一览表</w:t>
            </w:r>
          </w:p>
          <w:tbl>
            <w:tblPr>
              <w:tblStyle w:val="4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4"/>
              <w:gridCol w:w="1129"/>
              <w:gridCol w:w="1594"/>
              <w:gridCol w:w="3299"/>
            </w:tblGrid>
            <w:tr w14:paraId="674FA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08" w:type="pct"/>
                  <w:vAlign w:val="center"/>
                </w:tcPr>
                <w:p w14:paraId="40B225E7">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产品</w:t>
                  </w:r>
                  <w:r>
                    <w:rPr>
                      <w:rFonts w:hint="default" w:ascii="Times New Roman" w:hAnsi="Times New Roman" w:cs="Times New Roman"/>
                      <w:b/>
                      <w:bCs w:val="0"/>
                      <w:smallCaps w:val="0"/>
                      <w:color w:val="auto"/>
                      <w:spacing w:val="0"/>
                      <w:highlight w:val="none"/>
                      <w:lang w:val="en-US" w:eastAsia="zh-CN"/>
                    </w:rPr>
                    <w:t>名称</w:t>
                  </w:r>
                </w:p>
              </w:tc>
              <w:tc>
                <w:tcPr>
                  <w:tcW w:w="692" w:type="pct"/>
                  <w:vAlign w:val="center"/>
                </w:tcPr>
                <w:p w14:paraId="327ED7B6">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产能</w:t>
                  </w:r>
                </w:p>
              </w:tc>
              <w:tc>
                <w:tcPr>
                  <w:tcW w:w="977" w:type="pct"/>
                  <w:vAlign w:val="center"/>
                </w:tcPr>
                <w:p w14:paraId="6BBEE2CF">
                  <w:pPr>
                    <w:pStyle w:val="173"/>
                    <w:keepNext w:val="0"/>
                    <w:keepLines w:val="0"/>
                    <w:suppressLineNumbers w:val="0"/>
                    <w:spacing w:before="0" w:beforeAutospacing="0" w:after="0" w:afterAutospacing="0"/>
                    <w:ind w:left="0" w:right="0"/>
                    <w:rPr>
                      <w:rFonts w:hint="default" w:ascii="Times New Roman" w:hAnsi="Times New Roman" w:eastAsia="宋体" w:cs="Times New Roman"/>
                      <w:b/>
                      <w:bCs w:val="0"/>
                      <w:smallCaps w:val="0"/>
                      <w:color w:val="auto"/>
                      <w:spacing w:val="0"/>
                      <w:highlight w:val="none"/>
                      <w:lang w:eastAsia="zh-CN"/>
                    </w:rPr>
                  </w:pPr>
                  <w:r>
                    <w:rPr>
                      <w:rFonts w:hint="default" w:ascii="Times New Roman" w:hAnsi="Times New Roman" w:cs="Times New Roman"/>
                      <w:b/>
                      <w:bCs w:val="0"/>
                      <w:smallCaps w:val="0"/>
                      <w:color w:val="auto"/>
                      <w:spacing w:val="0"/>
                      <w:highlight w:val="none"/>
                      <w:lang w:val="en-US" w:eastAsia="zh-CN"/>
                    </w:rPr>
                    <w:t>单位</w:t>
                  </w:r>
                </w:p>
              </w:tc>
              <w:tc>
                <w:tcPr>
                  <w:tcW w:w="2022" w:type="pct"/>
                  <w:vAlign w:val="center"/>
                </w:tcPr>
                <w:p w14:paraId="7D0296FF">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lang w:val="en-US" w:eastAsia="zh-CN"/>
                    </w:rPr>
                  </w:pPr>
                  <w:r>
                    <w:rPr>
                      <w:rFonts w:hint="eastAsia" w:cs="Times New Roman"/>
                      <w:b/>
                      <w:bCs w:val="0"/>
                      <w:smallCaps w:val="0"/>
                      <w:color w:val="auto"/>
                      <w:spacing w:val="0"/>
                      <w:highlight w:val="none"/>
                      <w:lang w:val="en-US" w:eastAsia="zh-CN"/>
                    </w:rPr>
                    <w:t>规格</w:t>
                  </w:r>
                </w:p>
              </w:tc>
            </w:tr>
            <w:tr w14:paraId="0FB4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08" w:type="pct"/>
                  <w:vAlign w:val="center"/>
                </w:tcPr>
                <w:p w14:paraId="6A8ADC66">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bCs/>
                      <w:spacing w:val="0"/>
                      <w:sz w:val="21"/>
                      <w:highlight w:val="none"/>
                    </w:rPr>
                    <w:t>高铁接触网专用坠砣</w:t>
                  </w:r>
                </w:p>
              </w:tc>
              <w:tc>
                <w:tcPr>
                  <w:tcW w:w="692" w:type="pct"/>
                  <w:vAlign w:val="center"/>
                </w:tcPr>
                <w:p w14:paraId="58E9103A">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3000</w:t>
                  </w:r>
                </w:p>
              </w:tc>
              <w:tc>
                <w:tcPr>
                  <w:tcW w:w="977" w:type="pct"/>
                  <w:vAlign w:val="center"/>
                </w:tcPr>
                <w:p w14:paraId="59CF33BE">
                  <w:pPr>
                    <w:pStyle w:val="173"/>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t/a</w:t>
                  </w:r>
                </w:p>
              </w:tc>
              <w:tc>
                <w:tcPr>
                  <w:tcW w:w="2022" w:type="pct"/>
                  <w:vAlign w:val="center"/>
                </w:tcPr>
                <w:p w14:paraId="41B5ACB7">
                  <w:pPr>
                    <w:pStyle w:val="173"/>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重量25</w:t>
                  </w:r>
                  <w:r>
                    <w:rPr>
                      <w:rFonts w:hint="eastAsia" w:cs="Times New Roman"/>
                      <w:smallCaps w:val="0"/>
                      <w:color w:val="auto"/>
                      <w:spacing w:val="0"/>
                      <w:highlight w:val="none"/>
                      <w:lang w:val="en-US" w:eastAsia="zh-CN"/>
                    </w:rPr>
                    <w:t>kg</w:t>
                  </w:r>
                  <w:r>
                    <w:rPr>
                      <w:rFonts w:hint="default" w:ascii="Times New Roman" w:hAnsi="Times New Roman" w:cs="Times New Roman"/>
                      <w:smallCaps w:val="0"/>
                      <w:color w:val="auto"/>
                      <w:spacing w:val="0"/>
                      <w:highlight w:val="none"/>
                      <w:lang w:val="en-US" w:eastAsia="zh-CN"/>
                    </w:rPr>
                    <w:t>，直径360mm，厚度36mm</w:t>
                  </w:r>
                </w:p>
              </w:tc>
            </w:tr>
          </w:tbl>
          <w:p w14:paraId="6EFAD93F">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3</w:t>
            </w:r>
            <w:r>
              <w:rPr>
                <w:rFonts w:hint="default" w:ascii="Times New Roman" w:hAnsi="Times New Roman" w:cs="Times New Roman"/>
                <w:b/>
                <w:smallCaps w:val="0"/>
                <w:color w:val="auto"/>
                <w:spacing w:val="0"/>
                <w:highlight w:val="none"/>
              </w:rPr>
              <w:t>、主要设备</w:t>
            </w:r>
          </w:p>
          <w:p w14:paraId="682881C0">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highlight w:val="none"/>
              </w:rPr>
              <w:t>项目主要设备见表2-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w:t>
            </w:r>
          </w:p>
          <w:p w14:paraId="17D8BB80">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 xml:space="preserve"> </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本</w:t>
            </w:r>
            <w:r>
              <w:rPr>
                <w:rFonts w:hint="default" w:ascii="Times New Roman" w:hAnsi="Times New Roman" w:cs="Times New Roman"/>
                <w:smallCaps w:val="0"/>
                <w:color w:val="auto"/>
                <w:spacing w:val="0"/>
                <w:highlight w:val="none"/>
                <w:lang w:val="en-US" w:eastAsia="zh-CN"/>
              </w:rPr>
              <w:t>项目</w:t>
            </w:r>
            <w:r>
              <w:rPr>
                <w:rFonts w:hint="eastAsia" w:cs="Times New Roman"/>
                <w:smallCaps w:val="0"/>
                <w:color w:val="auto"/>
                <w:spacing w:val="0"/>
                <w:highlight w:val="none"/>
                <w:lang w:val="en-US" w:eastAsia="zh-CN"/>
              </w:rPr>
              <w:t>主要生产</w:t>
            </w:r>
            <w:r>
              <w:rPr>
                <w:rFonts w:hint="default" w:ascii="Times New Roman" w:hAnsi="Times New Roman" w:cs="Times New Roman"/>
                <w:smallCaps w:val="0"/>
                <w:color w:val="auto"/>
                <w:spacing w:val="0"/>
                <w:highlight w:val="none"/>
              </w:rPr>
              <w:t>设备一览表</w:t>
            </w:r>
          </w:p>
          <w:tbl>
            <w:tblPr>
              <w:tblStyle w:val="47"/>
              <w:tblW w:w="4998"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670"/>
              <w:gridCol w:w="1238"/>
              <w:gridCol w:w="2366"/>
              <w:gridCol w:w="1533"/>
              <w:gridCol w:w="1355"/>
              <w:gridCol w:w="994"/>
            </w:tblGrid>
            <w:tr w14:paraId="4762AA5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02" w:hRule="atLeast"/>
              </w:trPr>
              <w:tc>
                <w:tcPr>
                  <w:tcW w:w="411" w:type="pct"/>
                  <w:noWrap w:val="0"/>
                  <w:vAlign w:val="center"/>
                </w:tcPr>
                <w:p w14:paraId="712B6353">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序号</w:t>
                  </w:r>
                </w:p>
              </w:tc>
              <w:tc>
                <w:tcPr>
                  <w:tcW w:w="758" w:type="pct"/>
                  <w:noWrap w:val="0"/>
                  <w:vAlign w:val="center"/>
                </w:tcPr>
                <w:p w14:paraId="18016A60">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eastAsia="宋体" w:cs="Times New Roman"/>
                      <w:b/>
                      <w:bCs w:val="0"/>
                      <w:smallCaps w:val="0"/>
                      <w:color w:val="auto"/>
                      <w:spacing w:val="0"/>
                      <w:sz w:val="21"/>
                      <w:szCs w:val="21"/>
                      <w:highlight w:val="none"/>
                      <w:lang w:val="en-US" w:eastAsia="zh-CN"/>
                    </w:rPr>
                  </w:pPr>
                  <w:r>
                    <w:rPr>
                      <w:rFonts w:hint="default" w:ascii="Times New Roman" w:hAnsi="Times New Roman" w:cs="Times New Roman"/>
                      <w:b/>
                      <w:bCs w:val="0"/>
                      <w:smallCaps w:val="0"/>
                      <w:color w:val="auto"/>
                      <w:spacing w:val="0"/>
                      <w:sz w:val="21"/>
                      <w:szCs w:val="21"/>
                      <w:highlight w:val="none"/>
                      <w:lang w:val="en-US" w:eastAsia="zh-CN"/>
                    </w:rPr>
                    <w:t>工艺</w:t>
                  </w:r>
                </w:p>
              </w:tc>
              <w:tc>
                <w:tcPr>
                  <w:tcW w:w="1449" w:type="pct"/>
                  <w:noWrap w:val="0"/>
                  <w:vAlign w:val="center"/>
                </w:tcPr>
                <w:p w14:paraId="3A5C193D">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设备名称</w:t>
                  </w:r>
                </w:p>
              </w:tc>
              <w:tc>
                <w:tcPr>
                  <w:tcW w:w="939" w:type="pct"/>
                  <w:noWrap w:val="0"/>
                  <w:vAlign w:val="center"/>
                </w:tcPr>
                <w:p w14:paraId="1453AB15">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eastAsia="宋体" w:cs="Times New Roman"/>
                      <w:b/>
                      <w:bCs w:val="0"/>
                      <w:smallCaps w:val="0"/>
                      <w:color w:val="auto"/>
                      <w:spacing w:val="0"/>
                      <w:sz w:val="21"/>
                      <w:szCs w:val="21"/>
                      <w:highlight w:val="none"/>
                      <w:lang w:eastAsia="zh-CN"/>
                    </w:rPr>
                  </w:pPr>
                  <w:r>
                    <w:rPr>
                      <w:rFonts w:hint="default" w:ascii="Times New Roman" w:hAnsi="Times New Roman" w:cs="Times New Roman"/>
                      <w:b/>
                      <w:bCs w:val="0"/>
                      <w:smallCaps w:val="0"/>
                      <w:color w:val="auto"/>
                      <w:spacing w:val="0"/>
                      <w:sz w:val="21"/>
                      <w:szCs w:val="21"/>
                      <w:highlight w:val="none"/>
                      <w:lang w:val="en-US" w:eastAsia="zh-CN"/>
                    </w:rPr>
                    <w:t>规格型号</w:t>
                  </w:r>
                </w:p>
              </w:tc>
              <w:tc>
                <w:tcPr>
                  <w:tcW w:w="830" w:type="pct"/>
                  <w:noWrap w:val="0"/>
                  <w:vAlign w:val="center"/>
                </w:tcPr>
                <w:p w14:paraId="77856CC0">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eastAsia="宋体" w:cs="Times New Roman"/>
                      <w:b/>
                      <w:bCs w:val="0"/>
                      <w:smallCaps w:val="0"/>
                      <w:color w:val="auto"/>
                      <w:spacing w:val="0"/>
                      <w:sz w:val="21"/>
                      <w:szCs w:val="21"/>
                      <w:highlight w:val="none"/>
                      <w:lang w:eastAsia="zh-CN"/>
                    </w:rPr>
                  </w:pPr>
                  <w:r>
                    <w:rPr>
                      <w:rFonts w:hint="default" w:ascii="Times New Roman" w:hAnsi="Times New Roman" w:cs="Times New Roman"/>
                      <w:b/>
                      <w:bCs w:val="0"/>
                      <w:smallCaps w:val="0"/>
                      <w:color w:val="auto"/>
                      <w:spacing w:val="0"/>
                      <w:sz w:val="21"/>
                      <w:szCs w:val="21"/>
                      <w:highlight w:val="none"/>
                    </w:rPr>
                    <w:t>数量</w:t>
                  </w:r>
                  <w:r>
                    <w:rPr>
                      <w:rFonts w:hint="default" w:ascii="Times New Roman" w:hAnsi="Times New Roman" w:cs="Times New Roman"/>
                      <w:b/>
                      <w:bCs w:val="0"/>
                      <w:smallCaps w:val="0"/>
                      <w:color w:val="auto"/>
                      <w:spacing w:val="0"/>
                      <w:sz w:val="21"/>
                      <w:szCs w:val="21"/>
                      <w:highlight w:val="none"/>
                      <w:lang w:eastAsia="zh-CN"/>
                    </w:rPr>
                    <w:t>（</w:t>
                  </w:r>
                  <w:r>
                    <w:rPr>
                      <w:rFonts w:hint="default" w:ascii="Times New Roman" w:hAnsi="Times New Roman" w:cs="Times New Roman"/>
                      <w:b/>
                      <w:bCs w:val="0"/>
                      <w:smallCaps w:val="0"/>
                      <w:color w:val="auto"/>
                      <w:spacing w:val="0"/>
                      <w:sz w:val="21"/>
                      <w:szCs w:val="21"/>
                      <w:highlight w:val="none"/>
                      <w:lang w:val="en-US" w:eastAsia="zh-CN"/>
                    </w:rPr>
                    <w:t>台/套</w:t>
                  </w:r>
                  <w:r>
                    <w:rPr>
                      <w:rFonts w:hint="default" w:ascii="Times New Roman" w:hAnsi="Times New Roman" w:cs="Times New Roman"/>
                      <w:b/>
                      <w:bCs w:val="0"/>
                      <w:smallCaps w:val="0"/>
                      <w:color w:val="auto"/>
                      <w:spacing w:val="0"/>
                      <w:sz w:val="21"/>
                      <w:szCs w:val="21"/>
                      <w:highlight w:val="none"/>
                      <w:lang w:eastAsia="zh-CN"/>
                    </w:rPr>
                    <w:t>）</w:t>
                  </w:r>
                </w:p>
              </w:tc>
              <w:tc>
                <w:tcPr>
                  <w:tcW w:w="609" w:type="pct"/>
                  <w:noWrap w:val="0"/>
                  <w:vAlign w:val="center"/>
                </w:tcPr>
                <w:p w14:paraId="1894E47B">
                  <w:pPr>
                    <w:pStyle w:val="173"/>
                    <w:keepNext w:val="0"/>
                    <w:keepLines w:val="0"/>
                    <w:pageBreakBefore w:val="0"/>
                    <w:suppressLineNumbers w:val="0"/>
                    <w:wordWrap/>
                    <w:bidi w:val="0"/>
                    <w:spacing w:before="0" w:beforeAutospacing="0" w:after="0" w:afterAutospacing="0" w:line="260" w:lineRule="exact"/>
                    <w:ind w:left="0" w:right="0"/>
                    <w:jc w:val="center"/>
                    <w:rPr>
                      <w:rFonts w:hint="eastAsia" w:ascii="Times New Roman" w:hAnsi="Times New Roman" w:eastAsia="宋体" w:cs="Times New Roman"/>
                      <w:b/>
                      <w:bCs w:val="0"/>
                      <w:smallCaps w:val="0"/>
                      <w:color w:val="auto"/>
                      <w:spacing w:val="0"/>
                      <w:sz w:val="21"/>
                      <w:szCs w:val="21"/>
                      <w:highlight w:val="none"/>
                      <w:lang w:val="en-US" w:eastAsia="zh-CN"/>
                    </w:rPr>
                  </w:pPr>
                  <w:r>
                    <w:rPr>
                      <w:rFonts w:hint="eastAsia" w:cs="Times New Roman"/>
                      <w:b/>
                      <w:bCs w:val="0"/>
                      <w:smallCaps w:val="0"/>
                      <w:color w:val="auto"/>
                      <w:spacing w:val="0"/>
                      <w:sz w:val="21"/>
                      <w:szCs w:val="21"/>
                      <w:highlight w:val="none"/>
                      <w:lang w:val="en-US" w:eastAsia="zh-CN"/>
                    </w:rPr>
                    <w:t>备注</w:t>
                  </w:r>
                </w:p>
              </w:tc>
            </w:tr>
            <w:tr w14:paraId="73010C3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22" w:hRule="atLeast"/>
              </w:trPr>
              <w:tc>
                <w:tcPr>
                  <w:tcW w:w="411" w:type="pct"/>
                  <w:vMerge w:val="restart"/>
                  <w:noWrap w:val="0"/>
                  <w:vAlign w:val="center"/>
                </w:tcPr>
                <w:p w14:paraId="126406D5">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1</w:t>
                  </w:r>
                </w:p>
              </w:tc>
              <w:tc>
                <w:tcPr>
                  <w:tcW w:w="758" w:type="pct"/>
                  <w:vMerge w:val="restart"/>
                  <w:noWrap w:val="0"/>
                  <w:vAlign w:val="center"/>
                </w:tcPr>
                <w:p w14:paraId="7C1EEFCF">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制壳</w:t>
                  </w:r>
                </w:p>
              </w:tc>
              <w:tc>
                <w:tcPr>
                  <w:tcW w:w="1449" w:type="pct"/>
                  <w:tcBorders>
                    <w:bottom w:val="single" w:color="auto" w:sz="4" w:space="0"/>
                  </w:tcBorders>
                  <w:noWrap w:val="0"/>
                  <w:vAlign w:val="center"/>
                </w:tcPr>
                <w:p w14:paraId="48F19D97">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全自动垂直制壳机</w:t>
                  </w:r>
                </w:p>
              </w:tc>
              <w:tc>
                <w:tcPr>
                  <w:tcW w:w="939" w:type="pct"/>
                  <w:tcBorders>
                    <w:bottom w:val="single" w:color="auto" w:sz="4" w:space="0"/>
                  </w:tcBorders>
                  <w:noWrap w:val="0"/>
                  <w:vAlign w:val="center"/>
                </w:tcPr>
                <w:p w14:paraId="03210F7B">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ZS6045</w:t>
                  </w:r>
                </w:p>
              </w:tc>
              <w:tc>
                <w:tcPr>
                  <w:tcW w:w="830" w:type="pct"/>
                  <w:tcBorders>
                    <w:bottom w:val="single" w:color="auto" w:sz="4" w:space="0"/>
                  </w:tcBorders>
                  <w:noWrap w:val="0"/>
                  <w:vAlign w:val="center"/>
                </w:tcPr>
                <w:p w14:paraId="2F0B85EF">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2</w:t>
                  </w:r>
                </w:p>
              </w:tc>
              <w:tc>
                <w:tcPr>
                  <w:tcW w:w="609" w:type="pct"/>
                  <w:tcBorders>
                    <w:bottom w:val="single" w:color="auto" w:sz="4" w:space="0"/>
                  </w:tcBorders>
                  <w:noWrap w:val="0"/>
                  <w:vAlign w:val="center"/>
                </w:tcPr>
                <w:p w14:paraId="33BA6BDD">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w:t>
                  </w:r>
                </w:p>
              </w:tc>
            </w:tr>
            <w:tr w14:paraId="0268FE7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66" w:hRule="atLeast"/>
              </w:trPr>
              <w:tc>
                <w:tcPr>
                  <w:tcW w:w="411" w:type="pct"/>
                  <w:vMerge w:val="continue"/>
                  <w:noWrap w:val="0"/>
                  <w:vAlign w:val="center"/>
                </w:tcPr>
                <w:p w14:paraId="004ADC2C">
                  <w:pPr>
                    <w:pStyle w:val="173"/>
                    <w:keepNext w:val="0"/>
                    <w:keepLines w:val="0"/>
                    <w:pageBreakBefore w:val="0"/>
                    <w:suppressLineNumbers w:val="0"/>
                    <w:wordWrap/>
                    <w:bidi w:val="0"/>
                    <w:spacing w:before="0" w:beforeAutospacing="0" w:after="0" w:afterAutospacing="0" w:line="260" w:lineRule="exact"/>
                    <w:ind w:left="0" w:right="0"/>
                    <w:jc w:val="center"/>
                    <w:rPr>
                      <w:rFonts w:hint="default" w:ascii="Times New Roman" w:hAnsi="Times New Roman" w:cs="Times New Roman"/>
                      <w:bCs/>
                      <w:smallCaps w:val="0"/>
                      <w:color w:val="auto"/>
                      <w:spacing w:val="0"/>
                      <w:kern w:val="0"/>
                      <w:sz w:val="21"/>
                      <w:szCs w:val="21"/>
                      <w:highlight w:val="none"/>
                      <w:lang w:val="en-US" w:eastAsia="zh-CN" w:bidi="ar-SA"/>
                    </w:rPr>
                  </w:pPr>
                </w:p>
              </w:tc>
              <w:tc>
                <w:tcPr>
                  <w:tcW w:w="758" w:type="pct"/>
                  <w:vMerge w:val="continue"/>
                  <w:noWrap w:val="0"/>
                  <w:vAlign w:val="center"/>
                </w:tcPr>
                <w:p w14:paraId="5233B820">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cs="Times New Roman"/>
                      <w:smallCaps w:val="0"/>
                      <w:color w:val="auto"/>
                      <w:spacing w:val="0"/>
                      <w:kern w:val="2"/>
                      <w:sz w:val="21"/>
                      <w:szCs w:val="21"/>
                      <w:highlight w:val="none"/>
                      <w:lang w:val="en-US" w:eastAsia="zh-CN" w:bidi="ar-SA"/>
                    </w:rPr>
                  </w:pPr>
                </w:p>
              </w:tc>
              <w:tc>
                <w:tcPr>
                  <w:tcW w:w="1449" w:type="pct"/>
                  <w:tcBorders>
                    <w:top w:val="single" w:color="auto" w:sz="4" w:space="0"/>
                  </w:tcBorders>
                  <w:noWrap w:val="0"/>
                  <w:vAlign w:val="center"/>
                </w:tcPr>
                <w:p w14:paraId="2FF50443">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沙箱</w:t>
                  </w:r>
                </w:p>
              </w:tc>
              <w:tc>
                <w:tcPr>
                  <w:tcW w:w="939" w:type="pct"/>
                  <w:tcBorders>
                    <w:top w:val="single" w:color="auto" w:sz="4" w:space="0"/>
                    <w:bottom w:val="single" w:color="auto" w:sz="4" w:space="0"/>
                  </w:tcBorders>
                  <w:noWrap w:val="0"/>
                  <w:vAlign w:val="center"/>
                </w:tcPr>
                <w:p w14:paraId="0C56A655">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w:t>
                  </w:r>
                </w:p>
              </w:tc>
              <w:tc>
                <w:tcPr>
                  <w:tcW w:w="830" w:type="pct"/>
                  <w:tcBorders>
                    <w:top w:val="single" w:color="auto" w:sz="4" w:space="0"/>
                  </w:tcBorders>
                  <w:noWrap w:val="0"/>
                  <w:vAlign w:val="center"/>
                </w:tcPr>
                <w:p w14:paraId="3FC963EE">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6</w:t>
                  </w:r>
                </w:p>
              </w:tc>
              <w:tc>
                <w:tcPr>
                  <w:tcW w:w="609" w:type="pct"/>
                  <w:tcBorders>
                    <w:top w:val="single" w:color="auto" w:sz="4" w:space="0"/>
                  </w:tcBorders>
                  <w:noWrap w:val="0"/>
                  <w:vAlign w:val="center"/>
                </w:tcPr>
                <w:p w14:paraId="1E733FAD">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w:t>
                  </w:r>
                </w:p>
              </w:tc>
            </w:tr>
            <w:tr w14:paraId="05558EF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50" w:hRule="atLeast"/>
              </w:trPr>
              <w:tc>
                <w:tcPr>
                  <w:tcW w:w="411" w:type="pct"/>
                  <w:noWrap w:val="0"/>
                  <w:vAlign w:val="center"/>
                </w:tcPr>
                <w:p w14:paraId="33BAFA08">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2</w:t>
                  </w:r>
                </w:p>
              </w:tc>
              <w:tc>
                <w:tcPr>
                  <w:tcW w:w="758" w:type="pct"/>
                  <w:noWrap w:val="0"/>
                  <w:vAlign w:val="center"/>
                </w:tcPr>
                <w:p w14:paraId="50CD5D1C">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金属熔化</w:t>
                  </w:r>
                </w:p>
              </w:tc>
              <w:tc>
                <w:tcPr>
                  <w:tcW w:w="1449" w:type="pct"/>
                  <w:noWrap w:val="0"/>
                  <w:vAlign w:val="center"/>
                </w:tcPr>
                <w:p w14:paraId="04BB9951">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color w:val="auto"/>
                      <w:sz w:val="21"/>
                      <w:szCs w:val="21"/>
                      <w:highlight w:val="none"/>
                      <w:lang w:val="en-US" w:eastAsia="zh-CN"/>
                    </w:rPr>
                    <w:t>钢壳有磁轭</w:t>
                  </w:r>
                  <w:r>
                    <w:rPr>
                      <w:rFonts w:hint="default" w:ascii="Times New Roman" w:hAnsi="Times New Roman" w:cs="Times New Roman"/>
                      <w:color w:val="auto"/>
                      <w:sz w:val="21"/>
                      <w:szCs w:val="21"/>
                      <w:highlight w:val="none"/>
                      <w:lang w:val="en-US" w:eastAsia="zh-CN"/>
                    </w:rPr>
                    <w:t>中频炉</w:t>
                  </w:r>
                </w:p>
              </w:tc>
              <w:tc>
                <w:tcPr>
                  <w:tcW w:w="939" w:type="pct"/>
                  <w:noWrap w:val="0"/>
                  <w:vAlign w:val="center"/>
                </w:tcPr>
                <w:p w14:paraId="6E177727">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GW1.0T</w:t>
                  </w:r>
                </w:p>
              </w:tc>
              <w:tc>
                <w:tcPr>
                  <w:tcW w:w="830" w:type="pct"/>
                  <w:noWrap w:val="0"/>
                  <w:vAlign w:val="center"/>
                </w:tcPr>
                <w:p w14:paraId="2EFA557B">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2</w:t>
                  </w:r>
                </w:p>
              </w:tc>
              <w:tc>
                <w:tcPr>
                  <w:tcW w:w="609" w:type="pct"/>
                  <w:noWrap w:val="0"/>
                  <w:vAlign w:val="center"/>
                </w:tcPr>
                <w:p w14:paraId="592C10A5">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用1备1</w:t>
                  </w:r>
                </w:p>
              </w:tc>
            </w:tr>
            <w:tr w14:paraId="2EB3306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747AD47A">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3</w:t>
                  </w:r>
                </w:p>
              </w:tc>
              <w:tc>
                <w:tcPr>
                  <w:tcW w:w="758" w:type="pct"/>
                  <w:noWrap w:val="0"/>
                  <w:vAlign w:val="center"/>
                </w:tcPr>
                <w:p w14:paraId="22B17AE0">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浇注</w:t>
                  </w:r>
                </w:p>
              </w:tc>
              <w:tc>
                <w:tcPr>
                  <w:tcW w:w="1449" w:type="pct"/>
                  <w:noWrap w:val="0"/>
                  <w:vAlign w:val="center"/>
                </w:tcPr>
                <w:p w14:paraId="7AA2AED4">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铁水包</w:t>
                  </w:r>
                </w:p>
              </w:tc>
              <w:tc>
                <w:tcPr>
                  <w:tcW w:w="939" w:type="pct"/>
                  <w:noWrap w:val="0"/>
                  <w:vAlign w:val="center"/>
                </w:tcPr>
                <w:p w14:paraId="11F71A7A">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1t</w:t>
                  </w:r>
                </w:p>
              </w:tc>
              <w:tc>
                <w:tcPr>
                  <w:tcW w:w="830" w:type="pct"/>
                  <w:noWrap w:val="0"/>
                  <w:vAlign w:val="center"/>
                </w:tcPr>
                <w:p w14:paraId="0AFCFFD1">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1</w:t>
                  </w:r>
                </w:p>
              </w:tc>
              <w:tc>
                <w:tcPr>
                  <w:tcW w:w="609" w:type="pct"/>
                  <w:noWrap w:val="0"/>
                  <w:vAlign w:val="center"/>
                </w:tcPr>
                <w:p w14:paraId="7B972794">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w:t>
                  </w:r>
                </w:p>
              </w:tc>
            </w:tr>
            <w:tr w14:paraId="3FF66B8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43EB70E2">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4</w:t>
                  </w:r>
                </w:p>
              </w:tc>
              <w:tc>
                <w:tcPr>
                  <w:tcW w:w="758" w:type="pct"/>
                  <w:vMerge w:val="restart"/>
                  <w:noWrap w:val="0"/>
                  <w:vAlign w:val="center"/>
                </w:tcPr>
                <w:p w14:paraId="00FF7F52">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后处理</w:t>
                  </w:r>
                </w:p>
              </w:tc>
              <w:tc>
                <w:tcPr>
                  <w:tcW w:w="1449" w:type="pct"/>
                  <w:noWrap w:val="0"/>
                  <w:vAlign w:val="center"/>
                </w:tcPr>
                <w:p w14:paraId="4DD5E3D3">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角磨机</w:t>
                  </w:r>
                </w:p>
              </w:tc>
              <w:tc>
                <w:tcPr>
                  <w:tcW w:w="939" w:type="pct"/>
                  <w:noWrap w:val="0"/>
                  <w:vAlign w:val="center"/>
                </w:tcPr>
                <w:p w14:paraId="7032083E">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w:t>
                  </w:r>
                </w:p>
              </w:tc>
              <w:tc>
                <w:tcPr>
                  <w:tcW w:w="830" w:type="pct"/>
                  <w:noWrap w:val="0"/>
                  <w:vAlign w:val="center"/>
                </w:tcPr>
                <w:p w14:paraId="5AABA17A">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cs="Times New Roman"/>
                      <w:smallCaps w:val="0"/>
                      <w:color w:val="auto"/>
                      <w:spacing w:val="0"/>
                      <w:kern w:val="2"/>
                      <w:sz w:val="21"/>
                      <w:szCs w:val="21"/>
                      <w:highlight w:val="none"/>
                      <w:lang w:val="en-US" w:eastAsia="zh-CN" w:bidi="ar-SA"/>
                    </w:rPr>
                    <w:t>2</w:t>
                  </w:r>
                </w:p>
              </w:tc>
              <w:tc>
                <w:tcPr>
                  <w:tcW w:w="609" w:type="pct"/>
                  <w:noWrap w:val="0"/>
                  <w:vAlign w:val="center"/>
                </w:tcPr>
                <w:p w14:paraId="2FD16E43">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eastAsia"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w:t>
                  </w:r>
                </w:p>
              </w:tc>
            </w:tr>
            <w:tr w14:paraId="0436B96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0D22394F">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rPr>
                    <w:t>5</w:t>
                  </w:r>
                </w:p>
              </w:tc>
              <w:tc>
                <w:tcPr>
                  <w:tcW w:w="758" w:type="pct"/>
                  <w:vMerge w:val="continue"/>
                  <w:noWrap w:val="0"/>
                  <w:vAlign w:val="center"/>
                </w:tcPr>
                <w:p w14:paraId="7F084974">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p>
              </w:tc>
              <w:tc>
                <w:tcPr>
                  <w:tcW w:w="1449" w:type="pct"/>
                  <w:noWrap w:val="0"/>
                  <w:vAlign w:val="center"/>
                </w:tcPr>
                <w:p w14:paraId="1608A9FC">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高速磨削机</w:t>
                  </w:r>
                </w:p>
              </w:tc>
              <w:tc>
                <w:tcPr>
                  <w:tcW w:w="939" w:type="pct"/>
                  <w:noWrap w:val="0"/>
                  <w:vAlign w:val="center"/>
                </w:tcPr>
                <w:p w14:paraId="3C31E951">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GS-40</w:t>
                  </w:r>
                </w:p>
              </w:tc>
              <w:tc>
                <w:tcPr>
                  <w:tcW w:w="830" w:type="pct"/>
                  <w:noWrap w:val="0"/>
                  <w:vAlign w:val="center"/>
                </w:tcPr>
                <w:p w14:paraId="2A1DB810">
                  <w:pPr>
                    <w:keepNext w:val="0"/>
                    <w:keepLines w:val="0"/>
                    <w:pageBreakBefore w:val="0"/>
                    <w:widowControl/>
                    <w:suppressLineNumbers w:val="0"/>
                    <w:wordWrap/>
                    <w:topLinePunct w:val="0"/>
                    <w:bidi w:val="0"/>
                    <w:spacing w:before="0" w:beforeAutospacing="0" w:after="0" w:afterAutospacing="0" w:line="300" w:lineRule="exact"/>
                    <w:ind w:left="0" w:right="0"/>
                    <w:jc w:val="center"/>
                    <w:textAlignment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2</w:t>
                  </w:r>
                </w:p>
              </w:tc>
              <w:tc>
                <w:tcPr>
                  <w:tcW w:w="609" w:type="pct"/>
                  <w:noWrap w:val="0"/>
                  <w:vAlign w:val="center"/>
                </w:tcPr>
                <w:p w14:paraId="7D9274C8">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w:t>
                  </w:r>
                </w:p>
              </w:tc>
            </w:tr>
            <w:tr w14:paraId="628082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6657A013">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6</w:t>
                  </w:r>
                </w:p>
              </w:tc>
              <w:tc>
                <w:tcPr>
                  <w:tcW w:w="758" w:type="pct"/>
                  <w:noWrap w:val="0"/>
                  <w:vAlign w:val="center"/>
                </w:tcPr>
                <w:p w14:paraId="02342212">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default" w:ascii="Times New Roman" w:hAnsi="Times New Roman" w:cs="Times New Roman"/>
                      <w:smallCaps w:val="0"/>
                      <w:color w:val="auto"/>
                      <w:spacing w:val="0"/>
                      <w:kern w:val="2"/>
                      <w:sz w:val="21"/>
                      <w:szCs w:val="21"/>
                      <w:highlight w:val="none"/>
                      <w:lang w:val="en-US" w:eastAsia="zh-CN" w:bidi="ar-SA"/>
                    </w:rPr>
                    <w:t>转运</w:t>
                  </w:r>
                </w:p>
              </w:tc>
              <w:tc>
                <w:tcPr>
                  <w:tcW w:w="1449" w:type="pct"/>
                  <w:noWrap w:val="0"/>
                  <w:vAlign w:val="center"/>
                </w:tcPr>
                <w:p w14:paraId="3BE33FDD">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电动单梁起重机</w:t>
                  </w:r>
                </w:p>
              </w:tc>
              <w:tc>
                <w:tcPr>
                  <w:tcW w:w="939" w:type="pct"/>
                  <w:noWrap w:val="0"/>
                  <w:vAlign w:val="center"/>
                </w:tcPr>
                <w:p w14:paraId="5C9A3C43">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LDY5-16.5m</w:t>
                  </w:r>
                </w:p>
              </w:tc>
              <w:tc>
                <w:tcPr>
                  <w:tcW w:w="830" w:type="pct"/>
                  <w:noWrap w:val="0"/>
                  <w:vAlign w:val="center"/>
                </w:tcPr>
                <w:p w14:paraId="41A3CB15">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smallCaps w:val="0"/>
                      <w:color w:val="auto"/>
                      <w:spacing w:val="0"/>
                      <w:kern w:val="2"/>
                      <w:sz w:val="21"/>
                      <w:szCs w:val="21"/>
                      <w:highlight w:val="none"/>
                      <w:lang w:val="en-US" w:eastAsia="zh-CN" w:bidi="ar-SA"/>
                    </w:rPr>
                  </w:pPr>
                  <w:r>
                    <w:rPr>
                      <w:rFonts w:hint="default" w:ascii="Times New Roman" w:hAnsi="Times New Roman" w:cs="Times New Roman"/>
                      <w:i w:val="0"/>
                      <w:iCs w:val="0"/>
                      <w:smallCaps w:val="0"/>
                      <w:color w:val="auto"/>
                      <w:spacing w:val="0"/>
                      <w:kern w:val="0"/>
                      <w:sz w:val="21"/>
                      <w:szCs w:val="21"/>
                      <w:highlight w:val="none"/>
                      <w:u w:val="none"/>
                      <w:lang w:val="en-US" w:eastAsia="zh-CN" w:bidi="ar"/>
                    </w:rPr>
                    <w:t>1</w:t>
                  </w:r>
                </w:p>
              </w:tc>
              <w:tc>
                <w:tcPr>
                  <w:tcW w:w="609" w:type="pct"/>
                  <w:noWrap w:val="0"/>
                  <w:vAlign w:val="center"/>
                </w:tcPr>
                <w:p w14:paraId="3B7FF847">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i w:val="0"/>
                      <w:iCs w:val="0"/>
                      <w:smallCaps w:val="0"/>
                      <w:color w:val="auto"/>
                      <w:spacing w:val="0"/>
                      <w:kern w:val="0"/>
                      <w:sz w:val="21"/>
                      <w:szCs w:val="21"/>
                      <w:highlight w:val="none"/>
                      <w:u w:val="none"/>
                      <w:lang w:val="en-US" w:eastAsia="zh-CN" w:bidi="ar"/>
                    </w:rPr>
                  </w:pPr>
                  <w:r>
                    <w:rPr>
                      <w:rFonts w:hint="eastAsia" w:cs="Times New Roman"/>
                      <w:smallCaps w:val="0"/>
                      <w:color w:val="auto"/>
                      <w:spacing w:val="0"/>
                      <w:kern w:val="2"/>
                      <w:sz w:val="21"/>
                      <w:szCs w:val="21"/>
                      <w:highlight w:val="none"/>
                      <w:lang w:val="en-US" w:eastAsia="zh-CN" w:bidi="ar-SA"/>
                    </w:rPr>
                    <w:t>/</w:t>
                  </w:r>
                </w:p>
              </w:tc>
            </w:tr>
            <w:tr w14:paraId="080DB6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4DE65812">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7</w:t>
                  </w:r>
                </w:p>
              </w:tc>
              <w:tc>
                <w:tcPr>
                  <w:tcW w:w="758" w:type="pct"/>
                  <w:vMerge w:val="restart"/>
                  <w:noWrap w:val="0"/>
                  <w:vAlign w:val="center"/>
                </w:tcPr>
                <w:p w14:paraId="36B8AAB5">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cs="Times New Roman"/>
                      <w:smallCaps w:val="0"/>
                      <w:color w:val="auto"/>
                      <w:spacing w:val="0"/>
                      <w:kern w:val="2"/>
                      <w:sz w:val="21"/>
                      <w:szCs w:val="21"/>
                      <w:highlight w:val="none"/>
                      <w:lang w:val="en-US" w:eastAsia="zh-CN" w:bidi="ar-SA"/>
                    </w:rPr>
                    <w:t>废气治理</w:t>
                  </w:r>
                </w:p>
              </w:tc>
              <w:tc>
                <w:tcPr>
                  <w:tcW w:w="1449" w:type="pct"/>
                  <w:noWrap w:val="0"/>
                  <w:vAlign w:val="center"/>
                </w:tcPr>
                <w:p w14:paraId="1715A534">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布袋除尘器</w:t>
                  </w:r>
                </w:p>
              </w:tc>
              <w:tc>
                <w:tcPr>
                  <w:tcW w:w="939" w:type="pct"/>
                  <w:noWrap w:val="0"/>
                  <w:vAlign w:val="center"/>
                </w:tcPr>
                <w:p w14:paraId="4D472C53">
                  <w:pPr>
                    <w:keepNext w:val="0"/>
                    <w:keepLines w:val="0"/>
                    <w:pageBreakBefore w:val="0"/>
                    <w:suppressLineNumbers w:val="0"/>
                    <w:wordWrap/>
                    <w:topLinePunct w:val="0"/>
                    <w:bidi w:val="0"/>
                    <w:snapToGrid w:val="0"/>
                    <w:spacing w:before="0" w:beforeAutospacing="0" w:after="0" w:afterAutospacing="0" w:line="300" w:lineRule="exact"/>
                    <w:ind w:left="0" w:right="0"/>
                    <w:jc w:val="center"/>
                    <w:rPr>
                      <w:rFonts w:hint="default"/>
                      <w:szCs w:val="20"/>
                      <w:highlight w:val="none"/>
                      <w:lang w:val="en-US" w:eastAsia="zh-CN"/>
                    </w:rPr>
                  </w:pPr>
                  <w:r>
                    <w:rPr>
                      <w:rStyle w:val="231"/>
                      <w:rFonts w:hint="eastAsia"/>
                      <w:szCs w:val="21"/>
                      <w:highlight w:val="none"/>
                      <w:lang w:val="en-US" w:eastAsia="zh-CN"/>
                    </w:rPr>
                    <w:t>5000m</w:t>
                  </w:r>
                  <w:r>
                    <w:rPr>
                      <w:rStyle w:val="231"/>
                      <w:rFonts w:hint="eastAsia"/>
                      <w:szCs w:val="21"/>
                      <w:highlight w:val="none"/>
                      <w:vertAlign w:val="superscript"/>
                      <w:lang w:val="en-US" w:eastAsia="zh-CN"/>
                    </w:rPr>
                    <w:t>3</w:t>
                  </w:r>
                  <w:r>
                    <w:rPr>
                      <w:rStyle w:val="231"/>
                      <w:rFonts w:hint="eastAsia"/>
                      <w:szCs w:val="21"/>
                      <w:highlight w:val="none"/>
                      <w:lang w:val="en-US" w:eastAsia="zh-CN"/>
                    </w:rPr>
                    <w:t>/h</w:t>
                  </w:r>
                </w:p>
              </w:tc>
              <w:tc>
                <w:tcPr>
                  <w:tcW w:w="830" w:type="pct"/>
                  <w:noWrap w:val="0"/>
                  <w:vAlign w:val="center"/>
                </w:tcPr>
                <w:p w14:paraId="470A61E4">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i w:val="0"/>
                      <w:iCs w:val="0"/>
                      <w:smallCaps w:val="0"/>
                      <w:color w:val="auto"/>
                      <w:spacing w:val="0"/>
                      <w:kern w:val="0"/>
                      <w:sz w:val="21"/>
                      <w:szCs w:val="21"/>
                      <w:highlight w:val="none"/>
                      <w:u w:val="none"/>
                      <w:lang w:val="en-US" w:eastAsia="zh-CN" w:bidi="ar"/>
                    </w:rPr>
                  </w:pPr>
                  <w:r>
                    <w:rPr>
                      <w:rFonts w:hint="eastAsia" w:ascii="Times New Roman" w:hAnsi="Times New Roman" w:cs="Times New Roman"/>
                      <w:i w:val="0"/>
                      <w:iCs w:val="0"/>
                      <w:smallCaps w:val="0"/>
                      <w:color w:val="auto"/>
                      <w:spacing w:val="0"/>
                      <w:kern w:val="0"/>
                      <w:sz w:val="21"/>
                      <w:szCs w:val="21"/>
                      <w:highlight w:val="none"/>
                      <w:u w:val="none"/>
                      <w:lang w:val="en-US" w:eastAsia="zh-CN" w:bidi="ar"/>
                    </w:rPr>
                    <w:t>1</w:t>
                  </w:r>
                </w:p>
              </w:tc>
              <w:tc>
                <w:tcPr>
                  <w:tcW w:w="609" w:type="pct"/>
                  <w:noWrap w:val="0"/>
                  <w:vAlign w:val="center"/>
                </w:tcPr>
                <w:p w14:paraId="398269C5">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eastAsia" w:ascii="Times New Roman" w:hAnsi="Times New Roman" w:cs="Times New Roman"/>
                      <w:i w:val="0"/>
                      <w:iCs w:val="0"/>
                      <w:smallCaps w:val="0"/>
                      <w:color w:val="auto"/>
                      <w:spacing w:val="0"/>
                      <w:kern w:val="0"/>
                      <w:sz w:val="21"/>
                      <w:szCs w:val="21"/>
                      <w:highlight w:val="none"/>
                      <w:u w:val="none"/>
                      <w:lang w:val="en-US" w:eastAsia="zh-CN" w:bidi="ar"/>
                    </w:rPr>
                  </w:pPr>
                  <w:r>
                    <w:rPr>
                      <w:rFonts w:hint="eastAsia" w:cs="Times New Roman"/>
                      <w:smallCaps w:val="0"/>
                      <w:color w:val="auto"/>
                      <w:spacing w:val="0"/>
                      <w:kern w:val="2"/>
                      <w:sz w:val="21"/>
                      <w:szCs w:val="21"/>
                      <w:highlight w:val="none"/>
                      <w:lang w:val="en-US" w:eastAsia="zh-CN" w:bidi="ar-SA"/>
                    </w:rPr>
                    <w:t>/</w:t>
                  </w:r>
                </w:p>
              </w:tc>
            </w:tr>
            <w:tr w14:paraId="409D155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411" w:type="pct"/>
                  <w:noWrap w:val="0"/>
                  <w:vAlign w:val="center"/>
                </w:tcPr>
                <w:p w14:paraId="0E19BB98">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8</w:t>
                  </w:r>
                </w:p>
              </w:tc>
              <w:tc>
                <w:tcPr>
                  <w:tcW w:w="758" w:type="pct"/>
                  <w:vMerge w:val="continue"/>
                  <w:noWrap w:val="0"/>
                  <w:vAlign w:val="center"/>
                </w:tcPr>
                <w:p w14:paraId="63937BB3">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p>
              </w:tc>
              <w:tc>
                <w:tcPr>
                  <w:tcW w:w="1449" w:type="pct"/>
                  <w:noWrap w:val="0"/>
                  <w:vAlign w:val="center"/>
                </w:tcPr>
                <w:p w14:paraId="683B7F6E">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布袋除尘器</w:t>
                  </w:r>
                </w:p>
              </w:tc>
              <w:tc>
                <w:tcPr>
                  <w:tcW w:w="1533" w:type="dxa"/>
                  <w:noWrap w:val="0"/>
                  <w:vAlign w:val="center"/>
                </w:tcPr>
                <w:p w14:paraId="13DDDB33">
                  <w:pPr>
                    <w:keepNext w:val="0"/>
                    <w:keepLines w:val="0"/>
                    <w:pageBreakBefore w:val="0"/>
                    <w:suppressLineNumbers w:val="0"/>
                    <w:wordWrap/>
                    <w:topLinePunct w:val="0"/>
                    <w:bidi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Style w:val="231"/>
                      <w:rFonts w:hint="eastAsia"/>
                      <w:szCs w:val="21"/>
                      <w:highlight w:val="none"/>
                      <w:lang w:val="en-US" w:eastAsia="zh-CN"/>
                    </w:rPr>
                    <w:t>20000m</w:t>
                  </w:r>
                  <w:r>
                    <w:rPr>
                      <w:rStyle w:val="231"/>
                      <w:rFonts w:hint="eastAsia"/>
                      <w:szCs w:val="21"/>
                      <w:highlight w:val="none"/>
                      <w:vertAlign w:val="superscript"/>
                      <w:lang w:val="en-US" w:eastAsia="zh-CN"/>
                    </w:rPr>
                    <w:t>3</w:t>
                  </w:r>
                  <w:r>
                    <w:rPr>
                      <w:rStyle w:val="231"/>
                      <w:rFonts w:hint="eastAsia"/>
                      <w:szCs w:val="21"/>
                      <w:highlight w:val="none"/>
                      <w:lang w:val="en-US" w:eastAsia="zh-CN"/>
                    </w:rPr>
                    <w:t>/h</w:t>
                  </w:r>
                </w:p>
              </w:tc>
              <w:tc>
                <w:tcPr>
                  <w:tcW w:w="1355" w:type="dxa"/>
                  <w:noWrap w:val="0"/>
                  <w:vAlign w:val="center"/>
                </w:tcPr>
                <w:p w14:paraId="1080271C">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i w:val="0"/>
                      <w:iCs w:val="0"/>
                      <w:smallCaps w:val="0"/>
                      <w:color w:val="auto"/>
                      <w:spacing w:val="0"/>
                      <w:kern w:val="0"/>
                      <w:sz w:val="21"/>
                      <w:szCs w:val="21"/>
                      <w:highlight w:val="none"/>
                      <w:u w:val="none"/>
                      <w:lang w:val="en-US" w:eastAsia="zh-CN" w:bidi="ar"/>
                    </w:rPr>
                  </w:pPr>
                  <w:r>
                    <w:rPr>
                      <w:rFonts w:hint="eastAsia" w:ascii="Times New Roman" w:hAnsi="Times New Roman" w:cs="Times New Roman"/>
                      <w:i w:val="0"/>
                      <w:iCs w:val="0"/>
                      <w:smallCaps w:val="0"/>
                      <w:color w:val="auto"/>
                      <w:spacing w:val="0"/>
                      <w:kern w:val="0"/>
                      <w:sz w:val="21"/>
                      <w:szCs w:val="21"/>
                      <w:highlight w:val="none"/>
                      <w:u w:val="none"/>
                      <w:lang w:val="en-US" w:eastAsia="zh-CN" w:bidi="ar"/>
                    </w:rPr>
                    <w:t>1</w:t>
                  </w:r>
                </w:p>
              </w:tc>
              <w:tc>
                <w:tcPr>
                  <w:tcW w:w="609" w:type="pct"/>
                  <w:noWrap w:val="0"/>
                  <w:vAlign w:val="center"/>
                </w:tcPr>
                <w:p w14:paraId="790E0E04">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eastAsia" w:ascii="Times New Roman" w:hAnsi="Times New Roman" w:cs="Times New Roman"/>
                      <w:i w:val="0"/>
                      <w:iCs w:val="0"/>
                      <w:smallCaps w:val="0"/>
                      <w:color w:val="auto"/>
                      <w:spacing w:val="0"/>
                      <w:kern w:val="0"/>
                      <w:sz w:val="21"/>
                      <w:szCs w:val="21"/>
                      <w:highlight w:val="none"/>
                      <w:u w:val="none"/>
                      <w:lang w:val="en-US" w:eastAsia="zh-CN" w:bidi="ar"/>
                    </w:rPr>
                  </w:pPr>
                  <w:r>
                    <w:rPr>
                      <w:rFonts w:hint="eastAsia" w:cs="Times New Roman"/>
                      <w:smallCaps w:val="0"/>
                      <w:color w:val="auto"/>
                      <w:spacing w:val="0"/>
                      <w:kern w:val="2"/>
                      <w:sz w:val="21"/>
                      <w:szCs w:val="21"/>
                      <w:highlight w:val="none"/>
                      <w:lang w:val="en-US" w:eastAsia="zh-CN" w:bidi="ar-SA"/>
                    </w:rPr>
                    <w:t>/</w:t>
                  </w:r>
                </w:p>
              </w:tc>
            </w:tr>
            <w:tr w14:paraId="620C5CC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34" w:hRule="atLeast"/>
              </w:trPr>
              <w:tc>
                <w:tcPr>
                  <w:tcW w:w="411" w:type="pct"/>
                  <w:noWrap w:val="0"/>
                  <w:vAlign w:val="center"/>
                </w:tcPr>
                <w:p w14:paraId="60DE6494">
                  <w:pPr>
                    <w:pStyle w:val="173"/>
                    <w:keepNext w:val="0"/>
                    <w:keepLines w:val="0"/>
                    <w:pageBreakBefore w:val="0"/>
                    <w:suppressLineNumbers w:val="0"/>
                    <w:wordWrap/>
                    <w:bidi w:val="0"/>
                    <w:spacing w:before="0" w:beforeAutospacing="0" w:after="0" w:afterAutospacing="0" w:line="260" w:lineRule="exact"/>
                    <w:ind w:left="0" w:leftChars="0" w:right="0" w:rightChars="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9</w:t>
                  </w:r>
                </w:p>
              </w:tc>
              <w:tc>
                <w:tcPr>
                  <w:tcW w:w="758" w:type="pct"/>
                  <w:vMerge w:val="continue"/>
                  <w:noWrap w:val="0"/>
                  <w:vAlign w:val="center"/>
                </w:tcPr>
                <w:p w14:paraId="5700D1C7">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mallCaps w:val="0"/>
                      <w:color w:val="auto"/>
                      <w:spacing w:val="0"/>
                      <w:kern w:val="2"/>
                      <w:sz w:val="21"/>
                      <w:szCs w:val="21"/>
                      <w:highlight w:val="none"/>
                      <w:lang w:val="en-US" w:eastAsia="zh-CN" w:bidi="ar-SA"/>
                    </w:rPr>
                  </w:pPr>
                </w:p>
              </w:tc>
              <w:tc>
                <w:tcPr>
                  <w:tcW w:w="1449" w:type="pct"/>
                  <w:noWrap w:val="0"/>
                  <w:vAlign w:val="center"/>
                </w:tcPr>
                <w:p w14:paraId="726B8F7A">
                  <w:pPr>
                    <w:keepNext w:val="0"/>
                    <w:keepLines w:val="0"/>
                    <w:pageBreakBefore w:val="0"/>
                    <w:suppressLineNumbers w:val="0"/>
                    <w:kinsoku w:val="0"/>
                    <w:wordWrap/>
                    <w:overflowPunct w:val="0"/>
                    <w:topLinePunct w:val="0"/>
                    <w:autoSpaceDE w:val="0"/>
                    <w:autoSpaceDN w:val="0"/>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布袋除尘器+两级活性炭吸附</w:t>
                  </w:r>
                </w:p>
              </w:tc>
              <w:tc>
                <w:tcPr>
                  <w:tcW w:w="1533" w:type="dxa"/>
                  <w:noWrap w:val="0"/>
                  <w:vAlign w:val="center"/>
                </w:tcPr>
                <w:p w14:paraId="11D7642C">
                  <w:pPr>
                    <w:keepNext w:val="0"/>
                    <w:keepLines w:val="0"/>
                    <w:pageBreakBefore w:val="0"/>
                    <w:suppressLineNumbers w:val="0"/>
                    <w:wordWrap/>
                    <w:topLinePunct w:val="0"/>
                    <w:bidi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Style w:val="231"/>
                      <w:rFonts w:hint="eastAsia"/>
                      <w:szCs w:val="21"/>
                      <w:highlight w:val="none"/>
                      <w:lang w:val="en-US" w:eastAsia="zh-CN"/>
                    </w:rPr>
                    <w:t>15000m</w:t>
                  </w:r>
                  <w:r>
                    <w:rPr>
                      <w:rStyle w:val="231"/>
                      <w:rFonts w:hint="eastAsia"/>
                      <w:szCs w:val="21"/>
                      <w:highlight w:val="none"/>
                      <w:vertAlign w:val="superscript"/>
                      <w:lang w:val="en-US" w:eastAsia="zh-CN"/>
                    </w:rPr>
                    <w:t>3</w:t>
                  </w:r>
                  <w:r>
                    <w:rPr>
                      <w:rStyle w:val="231"/>
                      <w:rFonts w:hint="eastAsia"/>
                      <w:szCs w:val="21"/>
                      <w:highlight w:val="none"/>
                      <w:lang w:val="en-US" w:eastAsia="zh-CN"/>
                    </w:rPr>
                    <w:t>/h</w:t>
                  </w:r>
                </w:p>
              </w:tc>
              <w:tc>
                <w:tcPr>
                  <w:tcW w:w="1355" w:type="dxa"/>
                  <w:noWrap w:val="0"/>
                  <w:vAlign w:val="center"/>
                </w:tcPr>
                <w:p w14:paraId="5825DA6B">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default" w:ascii="Times New Roman" w:hAnsi="Times New Roman" w:cs="Times New Roman"/>
                      <w:i w:val="0"/>
                      <w:iCs w:val="0"/>
                      <w:smallCaps w:val="0"/>
                      <w:color w:val="auto"/>
                      <w:spacing w:val="0"/>
                      <w:kern w:val="0"/>
                      <w:sz w:val="21"/>
                      <w:szCs w:val="21"/>
                      <w:highlight w:val="none"/>
                      <w:u w:val="none"/>
                      <w:lang w:val="en-US" w:eastAsia="zh-CN" w:bidi="ar"/>
                    </w:rPr>
                  </w:pPr>
                  <w:r>
                    <w:rPr>
                      <w:rFonts w:hint="eastAsia" w:ascii="Times New Roman" w:hAnsi="Times New Roman" w:cs="Times New Roman"/>
                      <w:i w:val="0"/>
                      <w:iCs w:val="0"/>
                      <w:smallCaps w:val="0"/>
                      <w:color w:val="auto"/>
                      <w:spacing w:val="0"/>
                      <w:kern w:val="0"/>
                      <w:sz w:val="21"/>
                      <w:szCs w:val="21"/>
                      <w:highlight w:val="none"/>
                      <w:u w:val="none"/>
                      <w:lang w:val="en-US" w:eastAsia="zh-CN" w:bidi="ar"/>
                    </w:rPr>
                    <w:t>1</w:t>
                  </w:r>
                </w:p>
              </w:tc>
              <w:tc>
                <w:tcPr>
                  <w:tcW w:w="609" w:type="pct"/>
                  <w:noWrap w:val="0"/>
                  <w:vAlign w:val="center"/>
                </w:tcPr>
                <w:p w14:paraId="3D52BCC8">
                  <w:pPr>
                    <w:keepNext w:val="0"/>
                    <w:keepLines w:val="0"/>
                    <w:pageBreakBefore w:val="0"/>
                    <w:widowControl/>
                    <w:suppressLineNumbers w:val="0"/>
                    <w:wordWrap/>
                    <w:topLinePunct w:val="0"/>
                    <w:bidi w:val="0"/>
                    <w:spacing w:before="0" w:beforeAutospacing="0" w:after="0" w:afterAutospacing="0" w:line="300" w:lineRule="exact"/>
                    <w:ind w:left="0" w:leftChars="0" w:right="0" w:rightChars="0"/>
                    <w:jc w:val="center"/>
                    <w:textAlignment w:val="center"/>
                    <w:rPr>
                      <w:rFonts w:hint="eastAsia" w:ascii="Times New Roman" w:hAnsi="Times New Roman" w:cs="Times New Roman"/>
                      <w:i w:val="0"/>
                      <w:iCs w:val="0"/>
                      <w:smallCaps w:val="0"/>
                      <w:color w:val="auto"/>
                      <w:spacing w:val="0"/>
                      <w:kern w:val="0"/>
                      <w:sz w:val="21"/>
                      <w:szCs w:val="21"/>
                      <w:highlight w:val="none"/>
                      <w:u w:val="none"/>
                      <w:lang w:val="en-US" w:eastAsia="zh-CN" w:bidi="ar"/>
                    </w:rPr>
                  </w:pPr>
                  <w:r>
                    <w:rPr>
                      <w:rFonts w:hint="eastAsia" w:cs="Times New Roman"/>
                      <w:smallCaps w:val="0"/>
                      <w:color w:val="auto"/>
                      <w:spacing w:val="0"/>
                      <w:kern w:val="2"/>
                      <w:sz w:val="21"/>
                      <w:szCs w:val="21"/>
                      <w:highlight w:val="none"/>
                      <w:lang w:val="en-US" w:eastAsia="zh-CN" w:bidi="ar-SA"/>
                    </w:rPr>
                    <w:t>/</w:t>
                  </w:r>
                </w:p>
              </w:tc>
            </w:tr>
          </w:tbl>
          <w:p w14:paraId="7500D40A">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4</w:t>
            </w:r>
            <w:r>
              <w:rPr>
                <w:rFonts w:hint="default" w:ascii="Times New Roman" w:hAnsi="Times New Roman" w:cs="Times New Roman"/>
                <w:b/>
                <w:smallCaps w:val="0"/>
                <w:color w:val="auto"/>
                <w:spacing w:val="0"/>
                <w:highlight w:val="none"/>
              </w:rPr>
              <w:t>、原辅材料及能源消耗</w:t>
            </w:r>
          </w:p>
          <w:p w14:paraId="1E4BECB7">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全厂</w:t>
            </w:r>
            <w:r>
              <w:rPr>
                <w:rFonts w:hint="default" w:ascii="Times New Roman" w:hAnsi="Times New Roman" w:cs="Times New Roman"/>
                <w:smallCaps w:val="0"/>
                <w:color w:val="auto"/>
                <w:spacing w:val="0"/>
                <w:highlight w:val="none"/>
              </w:rPr>
              <w:t>主要原辅材料及能源消耗见下表：</w:t>
            </w:r>
          </w:p>
          <w:p w14:paraId="1E0FCB18">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4</w:t>
            </w:r>
            <w:r>
              <w:rPr>
                <w:rFonts w:hint="default" w:ascii="Times New Roman" w:hAnsi="Times New Roman"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全厂</w:t>
            </w:r>
            <w:r>
              <w:rPr>
                <w:rFonts w:hint="default" w:ascii="Times New Roman" w:hAnsi="Times New Roman" w:cs="Times New Roman"/>
                <w:smallCaps w:val="0"/>
                <w:color w:val="auto"/>
                <w:spacing w:val="0"/>
                <w:highlight w:val="none"/>
              </w:rPr>
              <w:t>主要原辅材料及能源消耗清单</w:t>
            </w:r>
          </w:p>
          <w:tbl>
            <w:tblPr>
              <w:tblStyle w:val="47"/>
              <w:tblW w:w="4998" w:type="pct"/>
              <w:jc w:val="center"/>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Layout w:type="autofit"/>
              <w:tblCellMar>
                <w:top w:w="0" w:type="dxa"/>
                <w:left w:w="0" w:type="dxa"/>
                <w:bottom w:w="0" w:type="dxa"/>
                <w:right w:w="0" w:type="dxa"/>
              </w:tblCellMar>
            </w:tblPr>
            <w:tblGrid>
              <w:gridCol w:w="540"/>
              <w:gridCol w:w="488"/>
              <w:gridCol w:w="795"/>
              <w:gridCol w:w="1291"/>
              <w:gridCol w:w="1088"/>
              <w:gridCol w:w="824"/>
              <w:gridCol w:w="3130"/>
            </w:tblGrid>
            <w:tr w14:paraId="5FDAE578">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339" w:hRule="atLeast"/>
                <w:jc w:val="center"/>
              </w:trPr>
              <w:tc>
                <w:tcPr>
                  <w:tcW w:w="331" w:type="pct"/>
                  <w:vAlign w:val="center"/>
                </w:tcPr>
                <w:p w14:paraId="478CB8CB">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序号</w:t>
                  </w:r>
                </w:p>
              </w:tc>
              <w:tc>
                <w:tcPr>
                  <w:tcW w:w="299" w:type="pct"/>
                  <w:vAlign w:val="center"/>
                </w:tcPr>
                <w:p w14:paraId="48DE50EB">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类别</w:t>
                  </w:r>
                </w:p>
              </w:tc>
              <w:tc>
                <w:tcPr>
                  <w:tcW w:w="487" w:type="pct"/>
                  <w:vAlign w:val="center"/>
                </w:tcPr>
                <w:p w14:paraId="4F946D08">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b/>
                      <w:bCs w:val="0"/>
                      <w:smallCaps w:val="0"/>
                      <w:color w:val="auto"/>
                      <w:spacing w:val="0"/>
                      <w:sz w:val="21"/>
                      <w:szCs w:val="21"/>
                      <w:highlight w:val="none"/>
                    </w:rPr>
                  </w:pPr>
                  <w:r>
                    <w:rPr>
                      <w:rFonts w:hint="default" w:ascii="Times New Roman" w:hAnsi="Times New Roman" w:cs="Times New Roman"/>
                      <w:b/>
                      <w:bCs w:val="0"/>
                      <w:smallCaps w:val="0"/>
                      <w:color w:val="auto"/>
                      <w:spacing w:val="0"/>
                      <w:sz w:val="21"/>
                      <w:szCs w:val="21"/>
                      <w:highlight w:val="none"/>
                    </w:rPr>
                    <w:t>名称</w:t>
                  </w:r>
                </w:p>
              </w:tc>
              <w:tc>
                <w:tcPr>
                  <w:tcW w:w="791" w:type="pct"/>
                  <w:tcBorders>
                    <w:left w:val="single" w:color="auto" w:sz="4" w:space="0"/>
                    <w:right w:val="single" w:color="auto" w:sz="4" w:space="0"/>
                  </w:tcBorders>
                  <w:vAlign w:val="center"/>
                </w:tcPr>
                <w:p w14:paraId="189AE4BC">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
                      <w:bCs w:val="0"/>
                      <w:smallCaps w:val="0"/>
                      <w:color w:val="auto"/>
                      <w:spacing w:val="0"/>
                      <w:kern w:val="0"/>
                      <w:sz w:val="21"/>
                      <w:szCs w:val="21"/>
                      <w:highlight w:val="none"/>
                      <w:lang w:val="en-US" w:eastAsia="zh-CN" w:bidi="ar-SA"/>
                    </w:rPr>
                  </w:pPr>
                  <w:r>
                    <w:rPr>
                      <w:rFonts w:hint="default" w:ascii="Times New Roman" w:hAnsi="Times New Roman" w:cs="Times New Roman"/>
                      <w:b/>
                      <w:bCs w:val="0"/>
                      <w:smallCaps w:val="0"/>
                      <w:color w:val="auto"/>
                      <w:spacing w:val="0"/>
                      <w:sz w:val="21"/>
                      <w:szCs w:val="21"/>
                      <w:highlight w:val="none"/>
                      <w:lang w:val="en-US" w:eastAsia="zh-CN"/>
                    </w:rPr>
                    <w:t>本项目</w:t>
                  </w:r>
                </w:p>
              </w:tc>
              <w:tc>
                <w:tcPr>
                  <w:tcW w:w="667" w:type="pct"/>
                  <w:vAlign w:val="center"/>
                </w:tcPr>
                <w:p w14:paraId="6FB6BE9E">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b/>
                      <w:bCs w:val="0"/>
                      <w:smallCaps w:val="0"/>
                      <w:color w:val="auto"/>
                      <w:spacing w:val="0"/>
                      <w:sz w:val="21"/>
                      <w:szCs w:val="21"/>
                      <w:highlight w:val="none"/>
                      <w:lang w:val="en-US" w:eastAsia="zh-CN"/>
                    </w:rPr>
                  </w:pPr>
                  <w:r>
                    <w:rPr>
                      <w:rFonts w:hint="default" w:ascii="Times New Roman" w:hAnsi="Times New Roman" w:cs="Times New Roman"/>
                      <w:b/>
                      <w:bCs w:val="0"/>
                      <w:smallCaps w:val="0"/>
                      <w:color w:val="auto"/>
                      <w:spacing w:val="0"/>
                      <w:sz w:val="21"/>
                      <w:szCs w:val="21"/>
                      <w:highlight w:val="none"/>
                      <w:lang w:val="en-US" w:eastAsia="zh-CN"/>
                    </w:rPr>
                    <w:t>最大储存量</w:t>
                  </w:r>
                </w:p>
              </w:tc>
              <w:tc>
                <w:tcPr>
                  <w:tcW w:w="505" w:type="pct"/>
                  <w:vAlign w:val="center"/>
                </w:tcPr>
                <w:p w14:paraId="029030B5">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b/>
                      <w:bCs w:val="0"/>
                      <w:smallCaps w:val="0"/>
                      <w:color w:val="auto"/>
                      <w:spacing w:val="0"/>
                      <w:sz w:val="21"/>
                      <w:szCs w:val="21"/>
                      <w:highlight w:val="none"/>
                      <w:lang w:val="en-US" w:eastAsia="zh-CN"/>
                    </w:rPr>
                  </w:pPr>
                  <w:r>
                    <w:rPr>
                      <w:rFonts w:hint="default" w:ascii="Times New Roman" w:hAnsi="Times New Roman" w:cs="Times New Roman"/>
                      <w:b/>
                      <w:bCs w:val="0"/>
                      <w:smallCaps w:val="0"/>
                      <w:color w:val="auto"/>
                      <w:spacing w:val="0"/>
                      <w:sz w:val="21"/>
                      <w:szCs w:val="21"/>
                      <w:highlight w:val="none"/>
                      <w:lang w:val="en-US" w:eastAsia="zh-CN"/>
                    </w:rPr>
                    <w:t>性状</w:t>
                  </w:r>
                </w:p>
              </w:tc>
              <w:tc>
                <w:tcPr>
                  <w:tcW w:w="1918" w:type="pct"/>
                  <w:vAlign w:val="center"/>
                </w:tcPr>
                <w:p w14:paraId="6E0C14F4">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b/>
                      <w:bCs w:val="0"/>
                      <w:smallCaps w:val="0"/>
                      <w:color w:val="auto"/>
                      <w:spacing w:val="0"/>
                      <w:sz w:val="21"/>
                      <w:szCs w:val="21"/>
                      <w:highlight w:val="none"/>
                      <w:lang w:val="en-US" w:eastAsia="zh-CN"/>
                    </w:rPr>
                  </w:pPr>
                  <w:r>
                    <w:rPr>
                      <w:rFonts w:hint="default" w:ascii="Times New Roman" w:hAnsi="Times New Roman" w:cs="Times New Roman"/>
                      <w:b/>
                      <w:bCs w:val="0"/>
                      <w:smallCaps w:val="0"/>
                      <w:color w:val="auto"/>
                      <w:spacing w:val="0"/>
                      <w:sz w:val="21"/>
                      <w:szCs w:val="21"/>
                      <w:highlight w:val="none"/>
                      <w:lang w:val="en-US" w:eastAsia="zh-CN"/>
                    </w:rPr>
                    <w:t>备注</w:t>
                  </w:r>
                </w:p>
              </w:tc>
            </w:tr>
            <w:tr w14:paraId="7EC6E542">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281" w:hRule="atLeast"/>
                <w:jc w:val="center"/>
              </w:trPr>
              <w:tc>
                <w:tcPr>
                  <w:tcW w:w="331" w:type="pct"/>
                  <w:vAlign w:val="center"/>
                </w:tcPr>
                <w:p w14:paraId="568BDA0D">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1</w:t>
                  </w:r>
                </w:p>
              </w:tc>
              <w:tc>
                <w:tcPr>
                  <w:tcW w:w="299" w:type="pct"/>
                  <w:vMerge w:val="restart"/>
                  <w:vAlign w:val="center"/>
                </w:tcPr>
                <w:p w14:paraId="594F4CFF">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能源</w:t>
                  </w:r>
                </w:p>
              </w:tc>
              <w:tc>
                <w:tcPr>
                  <w:tcW w:w="487" w:type="pct"/>
                  <w:vAlign w:val="center"/>
                </w:tcPr>
                <w:p w14:paraId="63D93125">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新鲜水</w:t>
                  </w:r>
                </w:p>
              </w:tc>
              <w:tc>
                <w:tcPr>
                  <w:tcW w:w="791" w:type="pct"/>
                  <w:tcBorders>
                    <w:left w:val="single" w:color="auto" w:sz="4" w:space="0"/>
                  </w:tcBorders>
                  <w:vAlign w:val="center"/>
                </w:tcPr>
                <w:p w14:paraId="60AE5F4E">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2310</w:t>
                  </w:r>
                  <w:r>
                    <w:rPr>
                      <w:rFonts w:hint="default" w:ascii="Times New Roman" w:hAnsi="Times New Roman" w:cs="Times New Roman"/>
                      <w:smallCaps w:val="0"/>
                      <w:color w:val="auto"/>
                      <w:spacing w:val="0"/>
                      <w:sz w:val="21"/>
                      <w:szCs w:val="21"/>
                      <w:highlight w:val="none"/>
                    </w:rPr>
                    <w:t>m³/a</w:t>
                  </w:r>
                </w:p>
              </w:tc>
              <w:tc>
                <w:tcPr>
                  <w:tcW w:w="667" w:type="pct"/>
                  <w:tcBorders>
                    <w:left w:val="single" w:color="auto" w:sz="4" w:space="0"/>
                  </w:tcBorders>
                  <w:vAlign w:val="center"/>
                </w:tcPr>
                <w:p w14:paraId="7562AE4D">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w:t>
                  </w:r>
                </w:p>
              </w:tc>
              <w:tc>
                <w:tcPr>
                  <w:tcW w:w="505" w:type="pct"/>
                  <w:tcBorders>
                    <w:left w:val="single" w:color="auto" w:sz="4" w:space="0"/>
                  </w:tcBorders>
                  <w:vAlign w:val="center"/>
                </w:tcPr>
                <w:p w14:paraId="55814C8D">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液体</w:t>
                  </w:r>
                </w:p>
              </w:tc>
              <w:tc>
                <w:tcPr>
                  <w:tcW w:w="1918" w:type="pct"/>
                  <w:tcBorders>
                    <w:left w:val="single" w:color="auto" w:sz="4" w:space="0"/>
                  </w:tcBorders>
                  <w:vAlign w:val="center"/>
                </w:tcPr>
                <w:p w14:paraId="63288FE1">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rPr>
                    <w:t>由</w:t>
                  </w:r>
                  <w:r>
                    <w:rPr>
                      <w:rFonts w:hint="default" w:ascii="Times New Roman" w:hAnsi="Times New Roman" w:cs="Times New Roman"/>
                      <w:smallCaps w:val="0"/>
                      <w:color w:val="auto"/>
                      <w:spacing w:val="0"/>
                      <w:sz w:val="21"/>
                      <w:szCs w:val="21"/>
                      <w:highlight w:val="none"/>
                      <w:lang w:eastAsia="zh-CN"/>
                    </w:rPr>
                    <w:t>园区供水管网</w:t>
                  </w:r>
                  <w:r>
                    <w:rPr>
                      <w:rFonts w:hint="default" w:ascii="Times New Roman" w:hAnsi="Times New Roman" w:cs="Times New Roman"/>
                      <w:smallCaps w:val="0"/>
                      <w:color w:val="auto"/>
                      <w:spacing w:val="0"/>
                      <w:sz w:val="21"/>
                      <w:szCs w:val="21"/>
                      <w:highlight w:val="none"/>
                    </w:rPr>
                    <w:t>提供</w:t>
                  </w:r>
                </w:p>
              </w:tc>
            </w:tr>
            <w:tr w14:paraId="149972BE">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221" w:hRule="atLeast"/>
                <w:jc w:val="center"/>
              </w:trPr>
              <w:tc>
                <w:tcPr>
                  <w:tcW w:w="331" w:type="pct"/>
                  <w:vAlign w:val="center"/>
                </w:tcPr>
                <w:p w14:paraId="6AEAABB8">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2</w:t>
                  </w:r>
                </w:p>
              </w:tc>
              <w:tc>
                <w:tcPr>
                  <w:tcW w:w="299" w:type="pct"/>
                  <w:vMerge w:val="continue"/>
                  <w:vAlign w:val="center"/>
                </w:tcPr>
                <w:p w14:paraId="53E8EE45">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p>
              </w:tc>
              <w:tc>
                <w:tcPr>
                  <w:tcW w:w="487" w:type="pct"/>
                  <w:vAlign w:val="center"/>
                </w:tcPr>
                <w:p w14:paraId="0E605651">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电</w:t>
                  </w:r>
                </w:p>
              </w:tc>
              <w:tc>
                <w:tcPr>
                  <w:tcW w:w="791" w:type="pct"/>
                  <w:tcBorders>
                    <w:left w:val="single" w:color="auto" w:sz="4" w:space="0"/>
                  </w:tcBorders>
                  <w:vAlign w:val="center"/>
                </w:tcPr>
                <w:p w14:paraId="09A37282">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200</w:t>
                  </w:r>
                  <w:r>
                    <w:rPr>
                      <w:rFonts w:hint="default" w:ascii="Times New Roman" w:hAnsi="Times New Roman" w:cs="Times New Roman"/>
                      <w:smallCaps w:val="0"/>
                      <w:color w:val="auto"/>
                      <w:spacing w:val="0"/>
                      <w:sz w:val="21"/>
                      <w:szCs w:val="21"/>
                      <w:highlight w:val="none"/>
                      <w:lang w:val="en-US" w:eastAsia="zh-CN"/>
                    </w:rPr>
                    <w:t>万kwh</w:t>
                  </w:r>
                  <w:r>
                    <w:rPr>
                      <w:rFonts w:hint="default" w:ascii="Times New Roman" w:hAnsi="Times New Roman" w:cs="Times New Roman"/>
                      <w:smallCaps w:val="0"/>
                      <w:color w:val="auto"/>
                      <w:spacing w:val="0"/>
                      <w:sz w:val="21"/>
                      <w:szCs w:val="21"/>
                      <w:highlight w:val="none"/>
                    </w:rPr>
                    <w:t>/a</w:t>
                  </w:r>
                </w:p>
              </w:tc>
              <w:tc>
                <w:tcPr>
                  <w:tcW w:w="667" w:type="pct"/>
                  <w:tcBorders>
                    <w:left w:val="single" w:color="auto" w:sz="4" w:space="0"/>
                  </w:tcBorders>
                  <w:vAlign w:val="center"/>
                </w:tcPr>
                <w:p w14:paraId="3DC9A1CC">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w:t>
                  </w:r>
                </w:p>
              </w:tc>
              <w:tc>
                <w:tcPr>
                  <w:tcW w:w="505" w:type="pct"/>
                  <w:tcBorders>
                    <w:left w:val="single" w:color="auto" w:sz="4" w:space="0"/>
                  </w:tcBorders>
                  <w:vAlign w:val="center"/>
                </w:tcPr>
                <w:p w14:paraId="517A1C6F">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w:t>
                  </w:r>
                </w:p>
              </w:tc>
              <w:tc>
                <w:tcPr>
                  <w:tcW w:w="1918" w:type="pct"/>
                  <w:tcBorders>
                    <w:left w:val="single" w:color="auto" w:sz="4" w:space="0"/>
                  </w:tcBorders>
                  <w:vAlign w:val="center"/>
                </w:tcPr>
                <w:p w14:paraId="5BB39D43">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eastAsia="zh-CN"/>
                    </w:rPr>
                    <w:t>由园区供电管网</w:t>
                  </w:r>
                  <w:r>
                    <w:rPr>
                      <w:rFonts w:hint="default" w:ascii="Times New Roman" w:hAnsi="Times New Roman" w:cs="Times New Roman"/>
                      <w:smallCaps w:val="0"/>
                      <w:color w:val="auto"/>
                      <w:spacing w:val="0"/>
                      <w:sz w:val="21"/>
                      <w:szCs w:val="21"/>
                      <w:highlight w:val="none"/>
                    </w:rPr>
                    <w:t>提供</w:t>
                  </w:r>
                </w:p>
              </w:tc>
            </w:tr>
            <w:tr w14:paraId="06DD80AD">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vAlign w:val="center"/>
                </w:tcPr>
                <w:p w14:paraId="119D92C7">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3</w:t>
                  </w:r>
                </w:p>
              </w:tc>
              <w:tc>
                <w:tcPr>
                  <w:tcW w:w="299" w:type="pct"/>
                  <w:vMerge w:val="restart"/>
                  <w:vAlign w:val="center"/>
                </w:tcPr>
                <w:p w14:paraId="078D9EE4">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辅料</w:t>
                  </w:r>
                </w:p>
              </w:tc>
              <w:tc>
                <w:tcPr>
                  <w:tcW w:w="487" w:type="pct"/>
                  <w:vAlign w:val="center"/>
                </w:tcPr>
                <w:p w14:paraId="6789A5C8">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hint="default" w:ascii="Times New Roman" w:hAnsi="Times New Roman" w:eastAsia="宋体"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润滑油</w:t>
                  </w:r>
                </w:p>
              </w:tc>
              <w:tc>
                <w:tcPr>
                  <w:tcW w:w="791" w:type="pct"/>
                  <w:tcBorders>
                    <w:left w:val="single" w:color="auto" w:sz="4" w:space="0"/>
                  </w:tcBorders>
                  <w:vAlign w:val="center"/>
                </w:tcPr>
                <w:p w14:paraId="4C84A9BB">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100</w:t>
                  </w:r>
                  <w:r>
                    <w:rPr>
                      <w:rFonts w:hint="default" w:ascii="Times New Roman" w:hAnsi="Times New Roman" w:cs="Times New Roman"/>
                      <w:smallCaps w:val="0"/>
                      <w:color w:val="auto"/>
                      <w:spacing w:val="0"/>
                      <w:sz w:val="21"/>
                      <w:szCs w:val="21"/>
                      <w:highlight w:val="none"/>
                      <w:lang w:val="en-US" w:eastAsia="zh-CN"/>
                    </w:rPr>
                    <w:t>kg/a</w:t>
                  </w:r>
                </w:p>
              </w:tc>
              <w:tc>
                <w:tcPr>
                  <w:tcW w:w="667" w:type="pct"/>
                  <w:tcBorders>
                    <w:left w:val="single" w:color="auto" w:sz="4" w:space="0"/>
                  </w:tcBorders>
                  <w:vAlign w:val="center"/>
                </w:tcPr>
                <w:p w14:paraId="0D44CD99">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50kg</w:t>
                  </w:r>
                </w:p>
              </w:tc>
              <w:tc>
                <w:tcPr>
                  <w:tcW w:w="505" w:type="pct"/>
                  <w:tcBorders>
                    <w:left w:val="single" w:color="auto" w:sz="4" w:space="0"/>
                  </w:tcBorders>
                  <w:vAlign w:val="center"/>
                </w:tcPr>
                <w:p w14:paraId="4F5BCBA8">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液体</w:t>
                  </w:r>
                </w:p>
              </w:tc>
              <w:tc>
                <w:tcPr>
                  <w:tcW w:w="1918" w:type="pct"/>
                  <w:tcBorders>
                    <w:left w:val="single" w:color="auto" w:sz="4" w:space="0"/>
                  </w:tcBorders>
                  <w:vAlign w:val="center"/>
                </w:tcPr>
                <w:p w14:paraId="00F68118">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外购，设备内存储</w:t>
                  </w:r>
                </w:p>
              </w:tc>
            </w:tr>
            <w:tr w14:paraId="6030DC12">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vAlign w:val="center"/>
                </w:tcPr>
                <w:p w14:paraId="7F4BA4DE">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4</w:t>
                  </w:r>
                </w:p>
              </w:tc>
              <w:tc>
                <w:tcPr>
                  <w:tcW w:w="299" w:type="pct"/>
                  <w:vMerge w:val="continue"/>
                  <w:vAlign w:val="center"/>
                </w:tcPr>
                <w:p w14:paraId="38F8E60C">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p>
              </w:tc>
              <w:tc>
                <w:tcPr>
                  <w:tcW w:w="487" w:type="pct"/>
                  <w:shd w:val="clear" w:color="auto" w:fill="auto"/>
                  <w:vAlign w:val="center"/>
                </w:tcPr>
                <w:p w14:paraId="1B2DA8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eastAsia="zh-CN"/>
                    </w:rPr>
                    <w:t>活性炭</w:t>
                  </w:r>
                </w:p>
              </w:tc>
              <w:tc>
                <w:tcPr>
                  <w:tcW w:w="791" w:type="pct"/>
                  <w:tcBorders>
                    <w:left w:val="single" w:color="auto" w:sz="4" w:space="0"/>
                  </w:tcBorders>
                  <w:shd w:val="clear" w:color="auto" w:fill="auto"/>
                  <w:vAlign w:val="center"/>
                </w:tcPr>
                <w:p w14:paraId="25A8DA95">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6</w:t>
                  </w:r>
                  <w:r>
                    <w:rPr>
                      <w:rFonts w:hint="default" w:ascii="Times New Roman" w:hAnsi="Times New Roman" w:cs="Times New Roman"/>
                      <w:color w:val="auto"/>
                      <w:sz w:val="21"/>
                      <w:szCs w:val="21"/>
                      <w:highlight w:val="none"/>
                      <w:lang w:val="en-US" w:eastAsia="zh-CN"/>
                    </w:rPr>
                    <w:t>t/a</w:t>
                  </w:r>
                </w:p>
              </w:tc>
              <w:tc>
                <w:tcPr>
                  <w:tcW w:w="667" w:type="pct"/>
                  <w:tcBorders>
                    <w:left w:val="single" w:color="auto" w:sz="4" w:space="0"/>
                  </w:tcBorders>
                  <w:shd w:val="clear" w:color="auto" w:fill="auto"/>
                  <w:vAlign w:val="center"/>
                </w:tcPr>
                <w:p w14:paraId="5157FC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w:t>
                  </w:r>
                  <w:r>
                    <w:rPr>
                      <w:rFonts w:hint="default" w:ascii="Times New Roman" w:hAnsi="Times New Roman" w:cs="Times New Roman"/>
                      <w:color w:val="auto"/>
                      <w:sz w:val="21"/>
                      <w:szCs w:val="21"/>
                      <w:highlight w:val="none"/>
                      <w:lang w:val="en-US" w:eastAsia="zh-CN"/>
                    </w:rPr>
                    <w:t>t</w:t>
                  </w:r>
                </w:p>
              </w:tc>
              <w:tc>
                <w:tcPr>
                  <w:tcW w:w="505" w:type="pct"/>
                  <w:tcBorders>
                    <w:left w:val="single" w:color="auto" w:sz="4" w:space="0"/>
                  </w:tcBorders>
                  <w:vAlign w:val="center"/>
                </w:tcPr>
                <w:p w14:paraId="26FFB286">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颗粒</w:t>
                  </w:r>
                </w:p>
              </w:tc>
              <w:tc>
                <w:tcPr>
                  <w:tcW w:w="1918" w:type="pct"/>
                  <w:tcBorders>
                    <w:left w:val="single" w:color="auto" w:sz="4" w:space="0"/>
                  </w:tcBorders>
                  <w:vAlign w:val="center"/>
                </w:tcPr>
                <w:p w14:paraId="6960AE10">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设备内存储，碘值为800mg/g颗粒状活性炭</w:t>
                  </w:r>
                </w:p>
              </w:tc>
            </w:tr>
            <w:tr w14:paraId="4B0C3321">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shd w:val="clear" w:color="auto" w:fill="auto"/>
                  <w:vAlign w:val="center"/>
                </w:tcPr>
                <w:p w14:paraId="3690EA0F">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5</w:t>
                  </w:r>
                </w:p>
              </w:tc>
              <w:tc>
                <w:tcPr>
                  <w:tcW w:w="299" w:type="pct"/>
                  <w:vMerge w:val="continue"/>
                  <w:vAlign w:val="center"/>
                </w:tcPr>
                <w:p w14:paraId="4A672A6D">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p>
              </w:tc>
              <w:tc>
                <w:tcPr>
                  <w:tcW w:w="487" w:type="pct"/>
                  <w:shd w:val="clear" w:color="auto" w:fill="auto"/>
                  <w:vAlign w:val="center"/>
                </w:tcPr>
                <w:p w14:paraId="5CE563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造渣剂</w:t>
                  </w:r>
                </w:p>
              </w:tc>
              <w:tc>
                <w:tcPr>
                  <w:tcW w:w="791" w:type="pct"/>
                  <w:tcBorders>
                    <w:left w:val="single" w:color="auto" w:sz="4" w:space="0"/>
                  </w:tcBorders>
                  <w:shd w:val="clear" w:color="auto" w:fill="auto"/>
                  <w:vAlign w:val="center"/>
                </w:tcPr>
                <w:p w14:paraId="1052321B">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t/a</w:t>
                  </w:r>
                </w:p>
              </w:tc>
              <w:tc>
                <w:tcPr>
                  <w:tcW w:w="667" w:type="pct"/>
                  <w:tcBorders>
                    <w:left w:val="single" w:color="auto" w:sz="4" w:space="0"/>
                  </w:tcBorders>
                  <w:shd w:val="clear" w:color="auto" w:fill="auto"/>
                  <w:vAlign w:val="center"/>
                </w:tcPr>
                <w:p w14:paraId="527F24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t</w:t>
                  </w:r>
                </w:p>
              </w:tc>
              <w:tc>
                <w:tcPr>
                  <w:tcW w:w="505" w:type="pct"/>
                  <w:tcBorders>
                    <w:left w:val="single" w:color="auto" w:sz="4" w:space="0"/>
                  </w:tcBorders>
                  <w:shd w:val="clear" w:color="auto" w:fill="auto"/>
                  <w:vAlign w:val="center"/>
                </w:tcPr>
                <w:p w14:paraId="1197A376">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eastAsia="Helvetica" w:cs="Times New Roman"/>
                      <w:i w:val="0"/>
                      <w:iCs w:val="0"/>
                      <w:caps w:val="0"/>
                      <w:color w:val="auto"/>
                      <w:spacing w:val="0"/>
                      <w:sz w:val="21"/>
                      <w:szCs w:val="21"/>
                      <w:highlight w:val="none"/>
                      <w:shd w:val="clear" w:fill="FFFFFF"/>
                    </w:rPr>
                    <w:t>30-50目</w:t>
                  </w:r>
                  <w:r>
                    <w:rPr>
                      <w:rFonts w:hint="default" w:ascii="Times New Roman" w:hAnsi="Times New Roman" w:eastAsia="宋体" w:cs="Times New Roman"/>
                      <w:i w:val="0"/>
                      <w:iCs w:val="0"/>
                      <w:caps w:val="0"/>
                      <w:color w:val="auto"/>
                      <w:spacing w:val="0"/>
                      <w:sz w:val="21"/>
                      <w:szCs w:val="21"/>
                      <w:highlight w:val="none"/>
                      <w:shd w:val="clear" w:fill="FFFFFF"/>
                      <w:lang w:eastAsia="zh-CN"/>
                    </w:rPr>
                    <w:t>，</w:t>
                  </w:r>
                  <w:r>
                    <w:rPr>
                      <w:rFonts w:hint="default" w:ascii="Times New Roman" w:hAnsi="Times New Roman" w:cs="Times New Roman"/>
                      <w:bCs/>
                      <w:smallCaps w:val="0"/>
                      <w:color w:val="auto"/>
                      <w:spacing w:val="0"/>
                      <w:kern w:val="0"/>
                      <w:sz w:val="21"/>
                      <w:szCs w:val="21"/>
                      <w:highlight w:val="none"/>
                      <w:lang w:val="en-US" w:eastAsia="zh-CN" w:bidi="ar-SA"/>
                    </w:rPr>
                    <w:t>粉状</w:t>
                  </w:r>
                </w:p>
              </w:tc>
              <w:tc>
                <w:tcPr>
                  <w:tcW w:w="1918" w:type="pct"/>
                  <w:tcBorders>
                    <w:left w:val="single" w:color="auto" w:sz="4" w:space="0"/>
                  </w:tcBorders>
                  <w:shd w:val="clear" w:color="auto" w:fill="auto"/>
                  <w:vAlign w:val="center"/>
                </w:tcPr>
                <w:p w14:paraId="091B0011">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用量较小，</w:t>
                  </w:r>
                  <w:r>
                    <w:rPr>
                      <w:rFonts w:hint="default" w:ascii="Times New Roman" w:hAnsi="Times New Roman" w:eastAsia="宋体" w:cs="Times New Roman"/>
                      <w:i w:val="0"/>
                      <w:iCs w:val="0"/>
                      <w:caps w:val="0"/>
                      <w:color w:val="auto"/>
                      <w:spacing w:val="0"/>
                      <w:sz w:val="21"/>
                      <w:szCs w:val="21"/>
                      <w:highlight w:val="none"/>
                      <w:shd w:val="clear" w:fill="FFFFFF"/>
                    </w:rPr>
                    <w:t>25kg纸塑袋</w:t>
                  </w:r>
                  <w:r>
                    <w:rPr>
                      <w:rFonts w:hint="default" w:ascii="Times New Roman" w:hAnsi="Times New Roman" w:cs="Times New Roman"/>
                      <w:bCs/>
                      <w:smallCaps w:val="0"/>
                      <w:color w:val="auto"/>
                      <w:spacing w:val="0"/>
                      <w:kern w:val="0"/>
                      <w:sz w:val="21"/>
                      <w:szCs w:val="21"/>
                      <w:highlight w:val="none"/>
                      <w:lang w:val="en-US" w:eastAsia="zh-CN" w:bidi="ar-SA"/>
                    </w:rPr>
                    <w:t>暂存熔炼区；</w:t>
                  </w:r>
                </w:p>
              </w:tc>
            </w:tr>
            <w:tr w14:paraId="364C2E50">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shd w:val="clear" w:color="auto" w:fill="auto"/>
                  <w:vAlign w:val="center"/>
                </w:tcPr>
                <w:p w14:paraId="0D324B57">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6</w:t>
                  </w:r>
                </w:p>
              </w:tc>
              <w:tc>
                <w:tcPr>
                  <w:tcW w:w="299" w:type="pct"/>
                  <w:vMerge w:val="restart"/>
                  <w:vAlign w:val="center"/>
                </w:tcPr>
                <w:p w14:paraId="7006F6B2">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smallCaps w:val="0"/>
                      <w:color w:val="auto"/>
                      <w:spacing w:val="0"/>
                      <w:sz w:val="21"/>
                      <w:szCs w:val="21"/>
                      <w:highlight w:val="none"/>
                    </w:rPr>
                    <w:t>原料</w:t>
                  </w:r>
                </w:p>
              </w:tc>
              <w:tc>
                <w:tcPr>
                  <w:tcW w:w="487" w:type="pct"/>
                  <w:vAlign w:val="center"/>
                </w:tcPr>
                <w:p w14:paraId="76925B09">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smallCaps w:val="0"/>
                      <w:color w:val="auto"/>
                      <w:spacing w:val="0"/>
                      <w:sz w:val="21"/>
                      <w:szCs w:val="21"/>
                      <w:highlight w:val="none"/>
                      <w:lang w:eastAsia="zh-CN"/>
                    </w:rPr>
                  </w:pPr>
                  <w:r>
                    <w:rPr>
                      <w:rFonts w:hint="eastAsia"/>
                      <w:highlight w:val="none"/>
                      <w:lang w:val="en-US" w:eastAsia="zh-CN"/>
                    </w:rPr>
                    <w:t>米</w:t>
                  </w:r>
                  <w:r>
                    <w:rPr>
                      <w:rFonts w:hint="eastAsia"/>
                      <w:highlight w:val="none"/>
                    </w:rPr>
                    <w:t>铁</w:t>
                  </w:r>
                </w:p>
              </w:tc>
              <w:tc>
                <w:tcPr>
                  <w:tcW w:w="791" w:type="pct"/>
                  <w:tcBorders>
                    <w:left w:val="single" w:color="auto" w:sz="4" w:space="0"/>
                  </w:tcBorders>
                  <w:vAlign w:val="center"/>
                </w:tcPr>
                <w:p w14:paraId="35C7BD11">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2800</w:t>
                  </w:r>
                  <w:r>
                    <w:rPr>
                      <w:rFonts w:hint="default" w:ascii="Times New Roman" w:hAnsi="Times New Roman" w:cs="Times New Roman"/>
                      <w:color w:val="auto"/>
                      <w:sz w:val="21"/>
                      <w:szCs w:val="21"/>
                      <w:highlight w:val="none"/>
                      <w:lang w:val="en-US" w:eastAsia="zh-CN"/>
                    </w:rPr>
                    <w:t>t/a</w:t>
                  </w:r>
                </w:p>
              </w:tc>
              <w:tc>
                <w:tcPr>
                  <w:tcW w:w="667" w:type="pct"/>
                  <w:tcBorders>
                    <w:left w:val="single" w:color="auto" w:sz="4" w:space="0"/>
                  </w:tcBorders>
                  <w:vAlign w:val="center"/>
                </w:tcPr>
                <w:p w14:paraId="1B37519B">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100</w:t>
                  </w:r>
                  <w:r>
                    <w:rPr>
                      <w:rFonts w:hint="default" w:ascii="Times New Roman" w:hAnsi="Times New Roman" w:cs="Times New Roman"/>
                      <w:color w:val="auto"/>
                      <w:sz w:val="21"/>
                      <w:szCs w:val="21"/>
                      <w:highlight w:val="none"/>
                      <w:lang w:val="en-US" w:eastAsia="zh-CN"/>
                    </w:rPr>
                    <w:t>t</w:t>
                  </w:r>
                </w:p>
              </w:tc>
              <w:tc>
                <w:tcPr>
                  <w:tcW w:w="505" w:type="pct"/>
                  <w:tcBorders>
                    <w:left w:val="single" w:color="auto" w:sz="4" w:space="0"/>
                  </w:tcBorders>
                  <w:vAlign w:val="center"/>
                </w:tcPr>
                <w:p w14:paraId="281A7893">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粒状</w:t>
                  </w:r>
                </w:p>
              </w:tc>
              <w:tc>
                <w:tcPr>
                  <w:tcW w:w="1918" w:type="pct"/>
                  <w:tcBorders>
                    <w:left w:val="single" w:color="auto" w:sz="4" w:space="0"/>
                  </w:tcBorders>
                  <w:vAlign w:val="center"/>
                </w:tcPr>
                <w:p w14:paraId="490A679C">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color w:val="auto"/>
                      <w:kern w:val="2"/>
                      <w:sz w:val="21"/>
                      <w:szCs w:val="21"/>
                      <w:highlight w:val="none"/>
                      <w:lang w:val="en-US" w:eastAsia="zh-CN" w:bidi="ar-SA"/>
                    </w:rPr>
                    <w:t>吨包包装，</w:t>
                  </w:r>
                  <w:r>
                    <w:rPr>
                      <w:rFonts w:hint="default" w:ascii="Times New Roman" w:hAnsi="Times New Roman" w:cs="Times New Roman"/>
                      <w:smallCaps w:val="0"/>
                      <w:color w:val="auto"/>
                      <w:spacing w:val="0"/>
                      <w:sz w:val="21"/>
                      <w:szCs w:val="21"/>
                      <w:highlight w:val="none"/>
                      <w:lang w:val="en-US" w:eastAsia="zh-CN"/>
                    </w:rPr>
                    <w:t>原料区堆存；</w:t>
                  </w:r>
                </w:p>
              </w:tc>
            </w:tr>
            <w:tr w14:paraId="61256704">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shd w:val="clear" w:color="auto" w:fill="auto"/>
                  <w:vAlign w:val="center"/>
                </w:tcPr>
                <w:p w14:paraId="1AC70ED5">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7</w:t>
                  </w:r>
                </w:p>
              </w:tc>
              <w:tc>
                <w:tcPr>
                  <w:tcW w:w="299" w:type="pct"/>
                  <w:vMerge w:val="continue"/>
                  <w:vAlign w:val="center"/>
                </w:tcPr>
                <w:p w14:paraId="0953E97D">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p>
              </w:tc>
              <w:tc>
                <w:tcPr>
                  <w:tcW w:w="487" w:type="pct"/>
                  <w:vAlign w:val="center"/>
                </w:tcPr>
                <w:p w14:paraId="2574C52B">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spacing w:val="0"/>
                      <w:kern w:val="2"/>
                      <w:sz w:val="21"/>
                      <w:szCs w:val="21"/>
                      <w:highlight w:val="none"/>
                      <w:lang w:val="en-US" w:eastAsia="zh-CN" w:bidi="ar-SA"/>
                    </w:rPr>
                  </w:pPr>
                  <w:r>
                    <w:rPr>
                      <w:rFonts w:hint="default" w:ascii="Times New Roman" w:hAnsi="Times New Roman" w:cs="Times New Roman"/>
                      <w:bCs/>
                      <w:color w:val="auto"/>
                      <w:spacing w:val="0"/>
                      <w:sz w:val="21"/>
                      <w:szCs w:val="21"/>
                      <w:highlight w:val="none"/>
                      <w:lang w:val="en-US" w:eastAsia="zh-CN"/>
                    </w:rPr>
                    <w:t>废钢</w:t>
                  </w:r>
                </w:p>
              </w:tc>
              <w:tc>
                <w:tcPr>
                  <w:tcW w:w="791" w:type="pct"/>
                  <w:tcBorders>
                    <w:left w:val="single" w:color="auto" w:sz="4" w:space="0"/>
                  </w:tcBorders>
                  <w:vAlign w:val="center"/>
                </w:tcPr>
                <w:p w14:paraId="692C55A3">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220</w:t>
                  </w:r>
                  <w:r>
                    <w:rPr>
                      <w:rFonts w:hint="default" w:ascii="Times New Roman" w:hAnsi="Times New Roman" w:cs="Times New Roman"/>
                      <w:color w:val="auto"/>
                      <w:sz w:val="21"/>
                      <w:szCs w:val="21"/>
                      <w:highlight w:val="none"/>
                      <w:lang w:val="en-US" w:eastAsia="zh-CN"/>
                    </w:rPr>
                    <w:t>t/a</w:t>
                  </w:r>
                </w:p>
              </w:tc>
              <w:tc>
                <w:tcPr>
                  <w:tcW w:w="667" w:type="pct"/>
                  <w:tcBorders>
                    <w:left w:val="single" w:color="auto" w:sz="4" w:space="0"/>
                  </w:tcBorders>
                  <w:vAlign w:val="center"/>
                </w:tcPr>
                <w:p w14:paraId="1FE611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5t</w:t>
                  </w:r>
                </w:p>
              </w:tc>
              <w:tc>
                <w:tcPr>
                  <w:tcW w:w="505" w:type="pct"/>
                  <w:tcBorders>
                    <w:left w:val="single" w:color="auto" w:sz="4" w:space="0"/>
                  </w:tcBorders>
                  <w:vAlign w:val="center"/>
                </w:tcPr>
                <w:p w14:paraId="7A18C9FB">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块状</w:t>
                  </w:r>
                </w:p>
              </w:tc>
              <w:tc>
                <w:tcPr>
                  <w:tcW w:w="1918" w:type="pct"/>
                  <w:tcBorders>
                    <w:left w:val="single" w:color="auto" w:sz="4" w:space="0"/>
                  </w:tcBorders>
                  <w:vAlign w:val="center"/>
                </w:tcPr>
                <w:p w14:paraId="326406EC">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原料区暂存；外购当地钢厂废钢，进厂物料不能含油、油漆或其他危险废物</w:t>
                  </w:r>
                </w:p>
              </w:tc>
            </w:tr>
            <w:tr w14:paraId="42AD2640">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shd w:val="clear" w:color="auto" w:fill="auto"/>
                  <w:vAlign w:val="center"/>
                </w:tcPr>
                <w:p w14:paraId="667D8CE3">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8</w:t>
                  </w:r>
                </w:p>
              </w:tc>
              <w:tc>
                <w:tcPr>
                  <w:tcW w:w="299" w:type="pct"/>
                  <w:vMerge w:val="continue"/>
                </w:tcPr>
                <w:p w14:paraId="627C1E9A">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p>
              </w:tc>
              <w:tc>
                <w:tcPr>
                  <w:tcW w:w="487" w:type="pct"/>
                  <w:vAlign w:val="center"/>
                </w:tcPr>
                <w:p w14:paraId="37BB4090">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color w:val="auto"/>
                      <w:spacing w:val="0"/>
                      <w:kern w:val="2"/>
                      <w:sz w:val="21"/>
                      <w:szCs w:val="21"/>
                      <w:highlight w:val="none"/>
                      <w:lang w:val="en-US" w:eastAsia="zh-CN" w:bidi="ar-SA"/>
                    </w:rPr>
                  </w:pPr>
                  <w:r>
                    <w:rPr>
                      <w:rFonts w:hint="default" w:ascii="Times New Roman" w:hAnsi="Times New Roman" w:eastAsia="宋体" w:cs="Times New Roman"/>
                      <w:bCs/>
                      <w:color w:val="auto"/>
                      <w:spacing w:val="0"/>
                      <w:kern w:val="1"/>
                      <w:sz w:val="21"/>
                      <w:szCs w:val="21"/>
                      <w:highlight w:val="none"/>
                      <w:lang w:bidi="ar"/>
                    </w:rPr>
                    <w:t>硅铁</w:t>
                  </w:r>
                </w:p>
              </w:tc>
              <w:tc>
                <w:tcPr>
                  <w:tcW w:w="791" w:type="pct"/>
                  <w:vAlign w:val="center"/>
                </w:tcPr>
                <w:p w14:paraId="7CC8BDC1">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36</w:t>
                  </w:r>
                  <w:r>
                    <w:rPr>
                      <w:rFonts w:hint="default" w:ascii="Times New Roman" w:hAnsi="Times New Roman" w:cs="Times New Roman"/>
                      <w:color w:val="auto"/>
                      <w:sz w:val="21"/>
                      <w:szCs w:val="21"/>
                      <w:highlight w:val="none"/>
                      <w:lang w:val="en-US" w:eastAsia="zh-CN"/>
                    </w:rPr>
                    <w:t>t/a</w:t>
                  </w:r>
                </w:p>
              </w:tc>
              <w:tc>
                <w:tcPr>
                  <w:tcW w:w="667" w:type="pct"/>
                  <w:vAlign w:val="center"/>
                </w:tcPr>
                <w:p w14:paraId="13598D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1t</w:t>
                  </w:r>
                </w:p>
              </w:tc>
              <w:tc>
                <w:tcPr>
                  <w:tcW w:w="505" w:type="pct"/>
                  <w:vAlign w:val="center"/>
                </w:tcPr>
                <w:p w14:paraId="6EE9D9A9">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粒状</w:t>
                  </w:r>
                </w:p>
              </w:tc>
              <w:tc>
                <w:tcPr>
                  <w:tcW w:w="1918" w:type="pct"/>
                  <w:vAlign w:val="center"/>
                </w:tcPr>
                <w:p w14:paraId="75C570CD">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吨包包装，</w:t>
                  </w:r>
                  <w:r>
                    <w:rPr>
                      <w:rFonts w:hint="default" w:ascii="Times New Roman" w:hAnsi="Times New Roman" w:cs="Times New Roman"/>
                      <w:smallCaps w:val="0"/>
                      <w:color w:val="auto"/>
                      <w:spacing w:val="0"/>
                      <w:sz w:val="21"/>
                      <w:szCs w:val="21"/>
                      <w:highlight w:val="none"/>
                      <w:lang w:val="en-US" w:eastAsia="zh-CN"/>
                    </w:rPr>
                    <w:t>原料区暂存；</w:t>
                  </w:r>
                </w:p>
              </w:tc>
            </w:tr>
            <w:tr w14:paraId="42248A75">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558" w:hRule="atLeast"/>
                <w:jc w:val="center"/>
              </w:trPr>
              <w:tc>
                <w:tcPr>
                  <w:tcW w:w="331" w:type="pct"/>
                  <w:vAlign w:val="center"/>
                </w:tcPr>
                <w:p w14:paraId="02C24408">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9</w:t>
                  </w:r>
                </w:p>
              </w:tc>
              <w:tc>
                <w:tcPr>
                  <w:tcW w:w="299" w:type="pct"/>
                  <w:vMerge w:val="continue"/>
                </w:tcPr>
                <w:p w14:paraId="71F2404E">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p>
              </w:tc>
              <w:tc>
                <w:tcPr>
                  <w:tcW w:w="487" w:type="pct"/>
                  <w:vAlign w:val="center"/>
                </w:tcPr>
                <w:p w14:paraId="4D6D4352">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覆膜砂</w:t>
                  </w:r>
                </w:p>
              </w:tc>
              <w:tc>
                <w:tcPr>
                  <w:tcW w:w="791" w:type="pct"/>
                  <w:vAlign w:val="center"/>
                </w:tcPr>
                <w:p w14:paraId="686CEE7B">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240</w:t>
                  </w:r>
                  <w:r>
                    <w:rPr>
                      <w:rFonts w:hint="default" w:ascii="Times New Roman" w:hAnsi="Times New Roman" w:cs="Times New Roman"/>
                      <w:color w:val="auto"/>
                      <w:sz w:val="21"/>
                      <w:szCs w:val="21"/>
                      <w:highlight w:val="none"/>
                      <w:lang w:val="en-US" w:eastAsia="zh-CN"/>
                    </w:rPr>
                    <w:t>t/a</w:t>
                  </w:r>
                </w:p>
              </w:tc>
              <w:tc>
                <w:tcPr>
                  <w:tcW w:w="667" w:type="pct"/>
                  <w:vAlign w:val="center"/>
                </w:tcPr>
                <w:p w14:paraId="2DD5FF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1t</w:t>
                  </w:r>
                </w:p>
              </w:tc>
              <w:tc>
                <w:tcPr>
                  <w:tcW w:w="505" w:type="pct"/>
                  <w:vAlign w:val="center"/>
                </w:tcPr>
                <w:p w14:paraId="3ADD1B10">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粒状</w:t>
                  </w:r>
                </w:p>
              </w:tc>
              <w:tc>
                <w:tcPr>
                  <w:tcW w:w="1918" w:type="pct"/>
                  <w:vAlign w:val="center"/>
                </w:tcPr>
                <w:p w14:paraId="308F69B3">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外购成品，吨包包装，制壳区暂存</w:t>
                  </w:r>
                </w:p>
              </w:tc>
            </w:tr>
            <w:tr w14:paraId="1CCB0815">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331" w:type="pct"/>
                  <w:vAlign w:val="center"/>
                </w:tcPr>
                <w:p w14:paraId="540F6474">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cs="Times New Roman"/>
                      <w:bCs/>
                      <w:smallCaps w:val="0"/>
                      <w:color w:val="auto"/>
                      <w:spacing w:val="0"/>
                      <w:kern w:val="0"/>
                      <w:sz w:val="21"/>
                      <w:szCs w:val="21"/>
                      <w:highlight w:val="none"/>
                      <w:lang w:val="en-US" w:eastAsia="zh-CN" w:bidi="ar-SA"/>
                    </w:rPr>
                  </w:pPr>
                  <w:r>
                    <w:rPr>
                      <w:rFonts w:hint="default" w:ascii="Times New Roman" w:hAnsi="Times New Roman" w:cs="Times New Roman"/>
                      <w:bCs/>
                      <w:smallCaps w:val="0"/>
                      <w:color w:val="auto"/>
                      <w:spacing w:val="0"/>
                      <w:kern w:val="0"/>
                      <w:sz w:val="21"/>
                      <w:szCs w:val="21"/>
                      <w:highlight w:val="none"/>
                      <w:lang w:val="en-US" w:eastAsia="zh-CN" w:bidi="ar-SA"/>
                    </w:rPr>
                    <w:t>10</w:t>
                  </w:r>
                </w:p>
              </w:tc>
              <w:tc>
                <w:tcPr>
                  <w:tcW w:w="299" w:type="pct"/>
                  <w:vMerge w:val="continue"/>
                </w:tcPr>
                <w:p w14:paraId="408F353C">
                  <w:pPr>
                    <w:pStyle w:val="173"/>
                    <w:keepNext w:val="0"/>
                    <w:keepLines w:val="0"/>
                    <w:pageBreakBefore w:val="0"/>
                    <w:widowControl w:val="0"/>
                    <w:suppressLineNumbers w:val="0"/>
                    <w:kinsoku/>
                    <w:wordWrap/>
                    <w:overflowPunct/>
                    <w:bidi w:val="0"/>
                    <w:spacing w:before="0" w:beforeAutospacing="0" w:after="0" w:afterAutospacing="0" w:line="320" w:lineRule="exact"/>
                    <w:ind w:left="0" w:right="0"/>
                    <w:rPr>
                      <w:rFonts w:hint="default" w:ascii="Times New Roman" w:hAnsi="Times New Roman" w:cs="Times New Roman"/>
                      <w:smallCaps w:val="0"/>
                      <w:color w:val="auto"/>
                      <w:spacing w:val="0"/>
                      <w:sz w:val="21"/>
                      <w:szCs w:val="21"/>
                      <w:highlight w:val="none"/>
                    </w:rPr>
                  </w:pPr>
                </w:p>
              </w:tc>
              <w:tc>
                <w:tcPr>
                  <w:tcW w:w="487" w:type="pct"/>
                  <w:vAlign w:val="center"/>
                </w:tcPr>
                <w:p w14:paraId="1F1F2FA3">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cs="Times New Roman"/>
                      <w:smallCaps w:val="0"/>
                      <w:color w:val="auto"/>
                      <w:spacing w:val="0"/>
                      <w:sz w:val="21"/>
                      <w:szCs w:val="21"/>
                      <w:highlight w:val="none"/>
                      <w:lang w:val="en-US" w:eastAsia="zh-CN"/>
                    </w:rPr>
                  </w:pPr>
                  <w:r>
                    <w:rPr>
                      <w:rFonts w:hint="default" w:ascii="Times New Roman" w:hAnsi="Times New Roman" w:cs="Times New Roman"/>
                      <w:smallCaps w:val="0"/>
                      <w:color w:val="auto"/>
                      <w:spacing w:val="0"/>
                      <w:sz w:val="21"/>
                      <w:szCs w:val="21"/>
                      <w:highlight w:val="none"/>
                      <w:lang w:val="en-US" w:eastAsia="zh-CN"/>
                    </w:rPr>
                    <w:t>粗砂</w:t>
                  </w:r>
                </w:p>
              </w:tc>
              <w:tc>
                <w:tcPr>
                  <w:tcW w:w="791" w:type="pct"/>
                  <w:shd w:val="clear" w:color="auto" w:fill="auto"/>
                  <w:vAlign w:val="center"/>
                </w:tcPr>
                <w:p w14:paraId="56647115">
                  <w:pPr>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jc w:val="center"/>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t/a</w:t>
                  </w:r>
                </w:p>
              </w:tc>
              <w:tc>
                <w:tcPr>
                  <w:tcW w:w="667" w:type="pct"/>
                  <w:shd w:val="clear" w:color="auto" w:fill="auto"/>
                  <w:vAlign w:val="center"/>
                </w:tcPr>
                <w:p w14:paraId="620EAD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t</w:t>
                  </w:r>
                </w:p>
              </w:tc>
              <w:tc>
                <w:tcPr>
                  <w:tcW w:w="505" w:type="pct"/>
                  <w:shd w:val="clear" w:color="auto" w:fill="auto"/>
                  <w:vAlign w:val="center"/>
                </w:tcPr>
                <w:p w14:paraId="6B18662D">
                  <w:pPr>
                    <w:pStyle w:val="173"/>
                    <w:keepNext w:val="0"/>
                    <w:keepLines w:val="0"/>
                    <w:pageBreakBefore w:val="0"/>
                    <w:widowControl w:val="0"/>
                    <w:suppressLineNumbers w:val="0"/>
                    <w:kinsoku/>
                    <w:wordWrap/>
                    <w:overflowPunct/>
                    <w:bidi w:val="0"/>
                    <w:spacing w:before="0" w:beforeAutospacing="0" w:after="0" w:afterAutospacing="0" w:line="320" w:lineRule="exact"/>
                    <w:ind w:left="0" w:leftChars="0" w:right="0" w:rightChars="0"/>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cs="Times New Roman"/>
                      <w:smallCaps w:val="0"/>
                      <w:color w:val="auto"/>
                      <w:spacing w:val="0"/>
                      <w:sz w:val="21"/>
                      <w:szCs w:val="21"/>
                      <w:highlight w:val="none"/>
                      <w:lang w:val="en-US" w:eastAsia="zh-CN"/>
                    </w:rPr>
                    <w:t>粒状</w:t>
                  </w:r>
                </w:p>
              </w:tc>
              <w:tc>
                <w:tcPr>
                  <w:tcW w:w="1918" w:type="pct"/>
                  <w:shd w:val="clear" w:color="auto" w:fill="auto"/>
                  <w:vAlign w:val="center"/>
                </w:tcPr>
                <w:p w14:paraId="7B352142">
                  <w:pPr>
                    <w:keepNext w:val="0"/>
                    <w:keepLines w:val="0"/>
                    <w:pageBreakBefore w:val="0"/>
                    <w:widowControl w:val="0"/>
                    <w:suppressLineNumbers w:val="0"/>
                    <w:kinsoku/>
                    <w:wordWrap/>
                    <w:overflowPunct/>
                    <w:bidi w:val="0"/>
                    <w:snapToGrid w:val="0"/>
                    <w:spacing w:before="0" w:beforeAutospacing="0" w:after="0" w:afterAutospacing="0" w:line="320" w:lineRule="exact"/>
                    <w:ind w:left="0" w:leftChars="0" w:right="0" w:rightChars="0"/>
                    <w:jc w:val="center"/>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外购成品，</w:t>
                  </w:r>
                  <w:r>
                    <w:rPr>
                      <w:rFonts w:hint="eastAsia" w:cs="Times New Roman"/>
                      <w:smallCaps w:val="0"/>
                      <w:color w:val="auto"/>
                      <w:spacing w:val="0"/>
                      <w:sz w:val="21"/>
                      <w:szCs w:val="21"/>
                      <w:highlight w:val="none"/>
                      <w:lang w:val="en-US" w:eastAsia="zh-CN"/>
                    </w:rPr>
                    <w:t>注砂落砂区</w:t>
                  </w:r>
                  <w:r>
                    <w:rPr>
                      <w:rFonts w:hint="default" w:ascii="Times New Roman" w:hAnsi="Times New Roman" w:cs="Times New Roman"/>
                      <w:color w:val="auto"/>
                      <w:kern w:val="2"/>
                      <w:sz w:val="21"/>
                      <w:szCs w:val="21"/>
                      <w:highlight w:val="none"/>
                      <w:lang w:val="en-US" w:eastAsia="zh-CN" w:bidi="ar-SA"/>
                    </w:rPr>
                    <w:t>堆存</w:t>
                  </w:r>
                  <w:r>
                    <w:rPr>
                      <w:rFonts w:hint="eastAsia" w:cs="Times New Roman"/>
                      <w:color w:val="auto"/>
                      <w:kern w:val="2"/>
                      <w:sz w:val="21"/>
                      <w:szCs w:val="21"/>
                      <w:highlight w:val="none"/>
                      <w:lang w:val="en-US" w:eastAsia="zh-CN" w:bidi="ar-SA"/>
                    </w:rPr>
                    <w:t>；仅首次使用后不在外购；后续生产利用覆膜砂浇注后的废砂进行注砂。</w:t>
                  </w:r>
                </w:p>
              </w:tc>
            </w:tr>
          </w:tbl>
          <w:p w14:paraId="3C232573">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82"/>
              <w:textAlignment w:val="auto"/>
              <w:rPr>
                <w:rFonts w:hint="default" w:ascii="Times New Roman" w:hAnsi="Times New Roman" w:cs="Times New Roman"/>
                <w:b w:val="0"/>
                <w:bCs/>
                <w:smallCaps w:val="0"/>
                <w:color w:val="auto"/>
                <w:spacing w:val="0"/>
                <w:sz w:val="21"/>
                <w:szCs w:val="21"/>
                <w:highlight w:val="none"/>
                <w:lang w:val="en-US" w:eastAsia="zh-CN"/>
              </w:rPr>
            </w:pPr>
            <w:r>
              <w:rPr>
                <w:rFonts w:hint="default" w:ascii="Times New Roman" w:hAnsi="Times New Roman" w:cs="Times New Roman"/>
                <w:b w:val="0"/>
                <w:bCs/>
                <w:smallCaps w:val="0"/>
                <w:color w:val="auto"/>
                <w:spacing w:val="0"/>
                <w:sz w:val="21"/>
                <w:szCs w:val="21"/>
                <w:highlight w:val="none"/>
                <w:lang w:val="en-US" w:eastAsia="zh-CN"/>
              </w:rPr>
              <w:t>备注：*润滑油不属于易溶性、有毒有害废弃物，可在厂区内暂存。</w:t>
            </w:r>
          </w:p>
          <w:p w14:paraId="5D6A8831">
            <w:pPr>
              <w:pStyle w:val="2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default" w:ascii="Times New Roman" w:hAnsi="Times New Roman" w:cs="Times New Roman"/>
                <w:b w:val="0"/>
                <w:bCs w:val="0"/>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覆膜砂：</w:t>
            </w:r>
            <w:r>
              <w:rPr>
                <w:rFonts w:hint="default" w:ascii="Times New Roman" w:hAnsi="Times New Roman" w:cs="Times New Roman"/>
                <w:b w:val="0"/>
                <w:bCs w:val="0"/>
                <w:color w:val="auto"/>
                <w:sz w:val="21"/>
                <w:szCs w:val="21"/>
                <w:highlight w:val="none"/>
                <w:lang w:val="en-US" w:eastAsia="zh-CN"/>
              </w:rPr>
              <w:t>由</w:t>
            </w:r>
            <w:r>
              <w:rPr>
                <w:rFonts w:hint="eastAsia" w:ascii="Times New Roman" w:hAnsi="Times New Roman" w:cs="Times New Roman"/>
                <w:b w:val="0"/>
                <w:bCs w:val="0"/>
                <w:color w:val="auto"/>
                <w:sz w:val="21"/>
                <w:szCs w:val="21"/>
                <w:highlight w:val="none"/>
                <w:lang w:val="en-US" w:eastAsia="zh-CN"/>
              </w:rPr>
              <w:t>宝珠砂</w:t>
            </w:r>
            <w:r>
              <w:rPr>
                <w:rFonts w:hint="default" w:ascii="Times New Roman" w:hAnsi="Times New Roman" w:cs="Times New Roman"/>
                <w:b w:val="0"/>
                <w:bCs w:val="0"/>
                <w:color w:val="auto"/>
                <w:sz w:val="21"/>
                <w:szCs w:val="21"/>
                <w:highlight w:val="none"/>
                <w:lang w:val="en-US" w:eastAsia="zh-CN"/>
              </w:rPr>
              <w:t>、热塑性酚醛树脂、乌洛托品和硬脂酸钙组成。酚醛树脂1.0～3.0%</w:t>
            </w: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占原砂比重</w:t>
            </w: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，乌洛托品水溶液10～15%</w:t>
            </w: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占酚醛树脂比重</w:t>
            </w: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，硬脂酸钙5～7%</w:t>
            </w: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占酚醛树脂比重</w:t>
            </w:r>
            <w:r>
              <w:rPr>
                <w:rFonts w:hint="eastAsia" w:ascii="Times New Roman" w:hAnsi="Times New Roman"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适用于生产一般铸铁件。</w:t>
            </w:r>
          </w:p>
          <w:p w14:paraId="396906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cs="Times New Roman"/>
                <w:b w:val="0"/>
                <w:bCs/>
                <w:color w:val="auto"/>
                <w:spacing w:val="0"/>
                <w:sz w:val="21"/>
                <w:szCs w:val="21"/>
                <w:highlight w:val="none"/>
                <w:lang w:val="en-US" w:eastAsia="zh-CN"/>
              </w:rPr>
            </w:pPr>
            <w:r>
              <w:rPr>
                <w:rFonts w:hint="eastAsia" w:cs="Times New Roman"/>
                <w:b/>
                <w:bCs w:val="0"/>
                <w:color w:val="auto"/>
                <w:spacing w:val="0"/>
                <w:sz w:val="21"/>
                <w:szCs w:val="21"/>
                <w:highlight w:val="none"/>
                <w:lang w:val="en-US" w:eastAsia="zh-CN"/>
              </w:rPr>
              <w:t>米铁</w:t>
            </w:r>
            <w:r>
              <w:rPr>
                <w:rFonts w:hint="eastAsia" w:cs="Times New Roman"/>
                <w:b w:val="0"/>
                <w:bCs/>
                <w:color w:val="auto"/>
                <w:spacing w:val="0"/>
                <w:sz w:val="21"/>
                <w:szCs w:val="21"/>
                <w:highlight w:val="none"/>
                <w:lang w:val="en-US" w:eastAsia="zh-CN"/>
              </w:rPr>
              <w:t>：又称为球磨铁，是钢铁厂处理废钢渣时，回收得到的一种高品位、高纯度的金属铁原料。将块状钢渣进行初步破碎，再经球磨机碾磨，通过多道磁选设备，将金属铁颗粒从非磁性的渣粉中高效分离出来，金属铁颗粒就是“球磨铁”。其主要成分金属铁，其含量通常高于90%，呈不规则颗粒状，粒径一般在几毫米到十几毫米，密度大，洁净光亮。</w:t>
            </w:r>
          </w:p>
          <w:p w14:paraId="5D33871D">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
                <w:bCs w:val="0"/>
                <w:color w:val="auto"/>
                <w:spacing w:val="0"/>
                <w:sz w:val="21"/>
                <w:szCs w:val="21"/>
                <w:highlight w:val="none"/>
                <w:lang w:val="en-US" w:eastAsia="zh-CN"/>
              </w:rPr>
              <w:t>废钢：</w:t>
            </w:r>
            <w:r>
              <w:rPr>
                <w:rFonts w:hint="default" w:ascii="Times New Roman" w:hAnsi="Times New Roman" w:cs="Times New Roman"/>
                <w:color w:val="auto"/>
                <w:sz w:val="21"/>
                <w:szCs w:val="21"/>
                <w:highlight w:val="none"/>
              </w:rPr>
              <w:t>本项目收购</w:t>
            </w:r>
            <w:r>
              <w:rPr>
                <w:rFonts w:hint="default" w:ascii="Times New Roman" w:hAnsi="Times New Roman" w:cs="Times New Roman"/>
                <w:smallCaps w:val="0"/>
                <w:color w:val="auto"/>
                <w:spacing w:val="0"/>
                <w:sz w:val="21"/>
                <w:szCs w:val="21"/>
                <w:highlight w:val="none"/>
                <w:lang w:val="en-US" w:eastAsia="zh-CN"/>
              </w:rPr>
              <w:t>当地钢厂废钢，进厂前人工</w:t>
            </w:r>
            <w:r>
              <w:rPr>
                <w:rFonts w:hint="eastAsia" w:cs="Times New Roman"/>
                <w:smallCaps w:val="0"/>
                <w:color w:val="auto"/>
                <w:spacing w:val="0"/>
                <w:sz w:val="21"/>
                <w:szCs w:val="21"/>
                <w:highlight w:val="none"/>
                <w:lang w:val="en-US" w:eastAsia="zh-CN"/>
              </w:rPr>
              <w:t>进行检查，</w:t>
            </w:r>
            <w:r>
              <w:rPr>
                <w:rFonts w:hint="eastAsia" w:ascii="Times New Roman" w:hAnsi="Times New Roman" w:cs="Times New Roman"/>
                <w:smallCaps w:val="0"/>
                <w:color w:val="auto"/>
                <w:spacing w:val="0"/>
                <w:sz w:val="21"/>
                <w:szCs w:val="21"/>
                <w:highlight w:val="none"/>
                <w:lang w:val="en-US" w:eastAsia="zh-CN"/>
              </w:rPr>
              <w:t>需满足进厂要求；如不满足，该批废钢不得进厂</w:t>
            </w:r>
            <w:r>
              <w:rPr>
                <w:rFonts w:hint="eastAsia" w:cs="Times New Roman"/>
                <w:smallCaps w:val="0"/>
                <w:color w:val="auto"/>
                <w:spacing w:val="0"/>
                <w:sz w:val="21"/>
                <w:szCs w:val="21"/>
                <w:highlight w:val="none"/>
                <w:lang w:val="en-US" w:eastAsia="zh-CN"/>
              </w:rPr>
              <w:t>，</w:t>
            </w:r>
            <w:r>
              <w:rPr>
                <w:rFonts w:hint="default" w:ascii="Times New Roman" w:hAnsi="Times New Roman" w:cs="Times New Roman"/>
                <w:color w:val="auto"/>
                <w:sz w:val="21"/>
                <w:szCs w:val="21"/>
                <w:highlight w:val="none"/>
                <w:lang w:val="en-US" w:eastAsia="zh-CN"/>
              </w:rPr>
              <w:t>具体</w:t>
            </w:r>
            <w:r>
              <w:rPr>
                <w:rFonts w:hint="eastAsia" w:cs="Times New Roman"/>
                <w:color w:val="auto"/>
                <w:sz w:val="21"/>
                <w:szCs w:val="21"/>
                <w:highlight w:val="none"/>
                <w:lang w:val="en-US" w:eastAsia="zh-CN"/>
              </w:rPr>
              <w:t>进厂</w:t>
            </w:r>
            <w:r>
              <w:rPr>
                <w:rFonts w:hint="default" w:ascii="Times New Roman" w:hAnsi="Times New Roman" w:cs="Times New Roman"/>
                <w:color w:val="auto"/>
                <w:sz w:val="21"/>
                <w:szCs w:val="21"/>
                <w:highlight w:val="none"/>
                <w:lang w:val="en-US" w:eastAsia="zh-CN"/>
              </w:rPr>
              <w:t>要求如下：</w:t>
            </w:r>
          </w:p>
          <w:p w14:paraId="4572187B">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w:t>
            </w:r>
            <w:r>
              <w:rPr>
                <w:rFonts w:hint="default" w:ascii="Times New Roman" w:hAnsi="Times New Roman" w:cs="Times New Roman"/>
                <w:sz w:val="21"/>
                <w:szCs w:val="21"/>
                <w:highlight w:val="none"/>
                <w:lang w:val="en-US" w:eastAsia="zh-CN"/>
              </w:rPr>
              <w:t>废钢铁表面和器件、打包件内部不应存在泥块、水泥、粘砂、油污以及珐琅等；</w:t>
            </w:r>
          </w:p>
          <w:p w14:paraId="26A1B91C">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（2）</w:t>
            </w:r>
            <w:r>
              <w:rPr>
                <w:rFonts w:hint="default" w:ascii="Times New Roman" w:hAnsi="Times New Roman" w:cs="Times New Roman"/>
                <w:sz w:val="21"/>
                <w:szCs w:val="21"/>
                <w:highlight w:val="none"/>
                <w:lang w:val="en-US" w:eastAsia="zh-CN"/>
              </w:rPr>
              <w:t>废钢铁中禁止混有炸弹炮弹等爆炸性武器弹药及其他易燃易爆物品；</w:t>
            </w:r>
          </w:p>
          <w:p w14:paraId="72C26589">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（3）</w:t>
            </w:r>
            <w:r>
              <w:rPr>
                <w:rFonts w:hint="default" w:ascii="Times New Roman" w:hAnsi="Times New Roman" w:cs="Times New Roman"/>
                <w:sz w:val="21"/>
                <w:szCs w:val="21"/>
                <w:highlight w:val="none"/>
                <w:lang w:val="en-US" w:eastAsia="zh-CN"/>
              </w:rPr>
              <w:t>禁止混有两端封闭的管状物、封闭器皿等物品；</w:t>
            </w:r>
          </w:p>
          <w:p w14:paraId="3DBABCDC">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（4）</w:t>
            </w:r>
            <w:r>
              <w:rPr>
                <w:rFonts w:hint="default" w:ascii="Times New Roman" w:hAnsi="Times New Roman" w:cs="Times New Roman"/>
                <w:sz w:val="21"/>
                <w:szCs w:val="21"/>
                <w:highlight w:val="none"/>
                <w:lang w:val="en-US" w:eastAsia="zh-CN"/>
              </w:rPr>
              <w:t>禁止混有橡胶和塑料制品</w:t>
            </w:r>
            <w:r>
              <w:rPr>
                <w:rFonts w:hint="eastAsia" w:ascii="Times New Roman" w:hAnsi="Times New Roman" w:cs="Times New Roman"/>
                <w:sz w:val="21"/>
                <w:szCs w:val="21"/>
                <w:highlight w:val="none"/>
                <w:lang w:val="en-US" w:eastAsia="zh-CN"/>
              </w:rPr>
              <w:t>；</w:t>
            </w:r>
          </w:p>
          <w:p w14:paraId="1044E66F">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（5）</w:t>
            </w:r>
            <w:r>
              <w:rPr>
                <w:rFonts w:hint="default" w:ascii="Times New Roman" w:hAnsi="Times New Roman" w:cs="Times New Roman"/>
                <w:sz w:val="21"/>
                <w:szCs w:val="21"/>
                <w:highlight w:val="none"/>
                <w:lang w:val="en-US" w:eastAsia="zh-CN"/>
              </w:rPr>
              <w:t>废钢铁中不应有成套的机器设备及结构件，不得含有燃品和润滑剂的残余物</w:t>
            </w:r>
            <w:r>
              <w:rPr>
                <w:rFonts w:hint="eastAsia" w:ascii="Times New Roman" w:hAnsi="Times New Roman" w:cs="Times New Roman"/>
                <w:sz w:val="21"/>
                <w:szCs w:val="21"/>
                <w:highlight w:val="none"/>
                <w:lang w:val="en-US" w:eastAsia="zh-CN"/>
              </w:rPr>
              <w:t>；</w:t>
            </w:r>
          </w:p>
          <w:p w14:paraId="16CECA86">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（6）</w:t>
            </w:r>
            <w:r>
              <w:rPr>
                <w:rFonts w:hint="default" w:ascii="Times New Roman" w:hAnsi="Times New Roman" w:cs="Times New Roman"/>
                <w:sz w:val="21"/>
                <w:szCs w:val="21"/>
                <w:highlight w:val="none"/>
                <w:lang w:val="en-US" w:eastAsia="zh-CN"/>
              </w:rPr>
              <w:t>废钢铁中禁止混有其浸出液中有害物质浓度超过GB 5085.3中鉴别标准值的有害废物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废钢铁中禁止混有其浸出液中超过GB 5085.1中鉴别标准值即pH值不小于12.5或不大于2.0的夹杂物</w:t>
            </w:r>
            <w:r>
              <w:rPr>
                <w:rFonts w:hint="eastAsia" w:ascii="Times New Roman" w:hAnsi="Times New Roman" w:cs="Times New Roman"/>
                <w:sz w:val="21"/>
                <w:szCs w:val="21"/>
                <w:highlight w:val="none"/>
                <w:lang w:val="en-US" w:eastAsia="zh-CN"/>
              </w:rPr>
              <w:t>；</w:t>
            </w:r>
          </w:p>
          <w:p w14:paraId="62494B55">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（7）</w:t>
            </w:r>
            <w:r>
              <w:rPr>
                <w:rFonts w:hint="default" w:ascii="Times New Roman" w:hAnsi="Times New Roman" w:cs="Times New Roman"/>
                <w:sz w:val="21"/>
                <w:szCs w:val="21"/>
                <w:highlight w:val="none"/>
                <w:lang w:val="en-US" w:eastAsia="zh-CN"/>
              </w:rPr>
              <w:t>废钢铁中禁止混有多氯联苯含量超过GB13015控制标准值的有害物</w:t>
            </w:r>
            <w:r>
              <w:rPr>
                <w:rFonts w:hint="eastAsia" w:cs="Times New Roman"/>
                <w:sz w:val="21"/>
                <w:szCs w:val="21"/>
                <w:highlight w:val="none"/>
                <w:lang w:val="en-US" w:eastAsia="zh-CN"/>
              </w:rPr>
              <w:t>；</w:t>
            </w:r>
          </w:p>
          <w:p w14:paraId="74C5505C">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（8）</w:t>
            </w:r>
            <w:r>
              <w:rPr>
                <w:rFonts w:hint="default" w:ascii="Times New Roman" w:hAnsi="Times New Roman" w:cs="Times New Roman"/>
                <w:sz w:val="21"/>
                <w:szCs w:val="21"/>
                <w:highlight w:val="none"/>
                <w:lang w:val="en-US" w:eastAsia="zh-CN"/>
              </w:rPr>
              <w:t>废钢铁中不应混有医药废物、废药品、医疗临床废物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农药和除草剂废物、含木材防腐剂废物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废乳化剂、有机溶剂废物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精(蒸)馏残渣、焚烧处置残渣</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感光材料废物；铍、六价铬、砷、硒、镉、锑、碲、汞、铊、铅及其化合物的废物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含氟、氰、酚化合物的废物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石棉废物</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lang w:val="en-US" w:eastAsia="zh-CN"/>
              </w:rPr>
              <w:t>厨房废物、卫生间废物等</w:t>
            </w:r>
            <w:r>
              <w:rPr>
                <w:rFonts w:hint="eastAsia" w:cs="Times New Roman"/>
                <w:sz w:val="21"/>
                <w:szCs w:val="21"/>
                <w:highlight w:val="none"/>
                <w:lang w:val="en-US" w:eastAsia="zh-CN"/>
              </w:rPr>
              <w:t>；</w:t>
            </w:r>
          </w:p>
          <w:p w14:paraId="782B8320">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00" w:lineRule="exact"/>
              <w:ind w:left="0"/>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（9）</w:t>
            </w:r>
            <w:r>
              <w:rPr>
                <w:rFonts w:hint="default" w:ascii="Times New Roman" w:hAnsi="Times New Roman" w:cs="Times New Roman"/>
                <w:sz w:val="21"/>
                <w:szCs w:val="21"/>
                <w:highlight w:val="none"/>
                <w:lang w:val="en-US" w:eastAsia="zh-CN"/>
              </w:rPr>
              <w:t>废钢铁中禁止夹杂放射性废物。</w:t>
            </w:r>
          </w:p>
          <w:p w14:paraId="21AEBD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default" w:ascii="Times New Roman" w:hAnsi="Times New Roman" w:eastAsia="宋体" w:cs="Times New Roman"/>
                <w:b/>
                <w:bCs w:val="0"/>
                <w:color w:val="auto"/>
                <w:spacing w:val="0"/>
                <w:kern w:val="1"/>
                <w:sz w:val="21"/>
                <w:szCs w:val="21"/>
                <w:highlight w:val="none"/>
                <w:lang w:val="en-US" w:eastAsia="zh-CN" w:bidi="ar"/>
              </w:rPr>
            </w:pPr>
            <w:r>
              <w:rPr>
                <w:rFonts w:hint="default" w:ascii="Times New Roman" w:hAnsi="Times New Roman" w:eastAsia="宋体" w:cs="Times New Roman"/>
                <w:b/>
                <w:bCs w:val="0"/>
                <w:color w:val="auto"/>
                <w:spacing w:val="0"/>
                <w:kern w:val="1"/>
                <w:sz w:val="21"/>
                <w:szCs w:val="21"/>
                <w:highlight w:val="none"/>
                <w:lang w:bidi="ar"/>
              </w:rPr>
              <w:t>硅铁</w:t>
            </w:r>
            <w:r>
              <w:rPr>
                <w:rFonts w:hint="default" w:ascii="Times New Roman" w:hAnsi="Times New Roman" w:cs="Times New Roman"/>
                <w:b/>
                <w:bCs w:val="0"/>
                <w:color w:val="auto"/>
                <w:spacing w:val="0"/>
                <w:kern w:val="1"/>
                <w:sz w:val="21"/>
                <w:szCs w:val="21"/>
                <w:highlight w:val="none"/>
                <w:lang w:eastAsia="zh-CN" w:bidi="ar"/>
              </w:rPr>
              <w:t>：</w:t>
            </w:r>
            <w:r>
              <w:rPr>
                <w:rFonts w:hint="default" w:ascii="Times New Roman" w:hAnsi="Times New Roman" w:eastAsia="Helvetica" w:cs="Times New Roman"/>
                <w:i w:val="0"/>
                <w:iCs w:val="0"/>
                <w:caps w:val="0"/>
                <w:color w:val="auto"/>
                <w:spacing w:val="0"/>
                <w:sz w:val="21"/>
                <w:szCs w:val="21"/>
                <w:highlight w:val="none"/>
                <w:shd w:val="clear" w:fill="FFFFFF"/>
              </w:rPr>
              <w:t>硅铁就是铁和硅组成的铁合金</w:t>
            </w:r>
            <w:r>
              <w:rPr>
                <w:rFonts w:hint="default" w:ascii="Times New Roman" w:hAnsi="Times New Roman" w:eastAsia="宋体" w:cs="Times New Roman"/>
                <w:i w:val="0"/>
                <w:iCs w:val="0"/>
                <w:caps w:val="0"/>
                <w:color w:val="auto"/>
                <w:spacing w:val="0"/>
                <w:sz w:val="21"/>
                <w:szCs w:val="21"/>
                <w:highlight w:val="none"/>
                <w:shd w:val="clear" w:fill="FFFFFF"/>
                <w:lang w:eastAsia="zh-CN"/>
              </w:rPr>
              <w:t>，</w:t>
            </w:r>
            <w:r>
              <w:rPr>
                <w:rFonts w:hint="default" w:ascii="Times New Roman" w:hAnsi="Times New Roman" w:eastAsia="Helvetica" w:cs="Times New Roman"/>
                <w:i w:val="0"/>
                <w:iCs w:val="0"/>
                <w:caps w:val="0"/>
                <w:color w:val="auto"/>
                <w:spacing w:val="0"/>
                <w:sz w:val="21"/>
                <w:szCs w:val="21"/>
                <w:highlight w:val="none"/>
                <w:shd w:val="clear" w:fill="FFFFFF"/>
              </w:rPr>
              <w:t>以硅石、钢、焦碳为原料，经过1500-1800</w:t>
            </w:r>
            <w:r>
              <w:rPr>
                <w:rFonts w:hint="default" w:ascii="Times New Roman" w:hAnsi="Times New Roman" w:eastAsia="宋体" w:cs="Times New Roman"/>
                <w:i w:val="0"/>
                <w:iCs w:val="0"/>
                <w:caps w:val="0"/>
                <w:color w:val="auto"/>
                <w:spacing w:val="0"/>
                <w:sz w:val="21"/>
                <w:szCs w:val="21"/>
                <w:highlight w:val="none"/>
                <w:shd w:val="clear" w:fill="FFFFFF"/>
                <w:lang w:val="en-US" w:eastAsia="zh-CN"/>
              </w:rPr>
              <w:t>℃</w:t>
            </w:r>
            <w:r>
              <w:rPr>
                <w:rFonts w:hint="default" w:ascii="Times New Roman" w:hAnsi="Times New Roman" w:eastAsia="Helvetica" w:cs="Times New Roman"/>
                <w:i w:val="0"/>
                <w:iCs w:val="0"/>
                <w:caps w:val="0"/>
                <w:color w:val="auto"/>
                <w:spacing w:val="0"/>
                <w:sz w:val="21"/>
                <w:szCs w:val="21"/>
                <w:highlight w:val="none"/>
                <w:shd w:val="clear" w:fill="FFFFFF"/>
              </w:rPr>
              <w:t>高温还原的硅熔于铁液中，形成硅铁合金</w:t>
            </w:r>
            <w:r>
              <w:rPr>
                <w:rFonts w:hint="default" w:ascii="Times New Roman" w:hAnsi="Times New Roman" w:eastAsia="宋体" w:cs="Times New Roman"/>
                <w:i w:val="0"/>
                <w:iCs w:val="0"/>
                <w:caps w:val="0"/>
                <w:color w:val="auto"/>
                <w:spacing w:val="0"/>
                <w:sz w:val="21"/>
                <w:szCs w:val="21"/>
                <w:highlight w:val="none"/>
                <w:shd w:val="clear" w:fill="FFFFFF"/>
                <w:lang w:eastAsia="zh-CN"/>
              </w:rPr>
              <w:t>；</w:t>
            </w:r>
            <w:r>
              <w:rPr>
                <w:rFonts w:hint="default" w:ascii="Times New Roman" w:hAnsi="Times New Roman" w:eastAsia="宋体" w:cs="Times New Roman"/>
                <w:i w:val="0"/>
                <w:iCs w:val="0"/>
                <w:caps w:val="0"/>
                <w:color w:val="auto"/>
                <w:spacing w:val="0"/>
                <w:sz w:val="21"/>
                <w:szCs w:val="21"/>
                <w:highlight w:val="none"/>
                <w:shd w:val="clear" w:fill="FFFFFF"/>
                <w:lang w:val="en-US" w:eastAsia="zh-CN"/>
              </w:rPr>
              <w:t>在</w:t>
            </w:r>
            <w:r>
              <w:rPr>
                <w:rFonts w:hint="default" w:ascii="Times New Roman" w:hAnsi="Times New Roman" w:eastAsia="Helvetica" w:cs="Times New Roman"/>
                <w:i w:val="0"/>
                <w:iCs w:val="0"/>
                <w:caps w:val="0"/>
                <w:color w:val="auto"/>
                <w:spacing w:val="0"/>
                <w:sz w:val="21"/>
                <w:szCs w:val="21"/>
                <w:highlight w:val="none"/>
                <w:shd w:val="clear" w:fill="FFFFFF"/>
              </w:rPr>
              <w:t>铸造工业</w:t>
            </w:r>
            <w:r>
              <w:rPr>
                <w:rFonts w:hint="default" w:ascii="Times New Roman" w:hAnsi="Times New Roman" w:eastAsia="宋体" w:cs="Times New Roman"/>
                <w:i w:val="0"/>
                <w:iCs w:val="0"/>
                <w:caps w:val="0"/>
                <w:color w:val="auto"/>
                <w:spacing w:val="0"/>
                <w:sz w:val="21"/>
                <w:szCs w:val="21"/>
                <w:highlight w:val="none"/>
                <w:shd w:val="clear" w:fill="FFFFFF"/>
                <w:lang w:val="en-US" w:eastAsia="zh-CN"/>
              </w:rPr>
              <w:t>广泛应用，改善铸件性能</w:t>
            </w:r>
            <w:r>
              <w:rPr>
                <w:rFonts w:hint="default" w:ascii="Times New Roman" w:hAnsi="Times New Roman" w:eastAsia="Helvetica" w:cs="Times New Roman"/>
                <w:i w:val="0"/>
                <w:iCs w:val="0"/>
                <w:caps w:val="0"/>
                <w:color w:val="auto"/>
                <w:spacing w:val="0"/>
                <w:sz w:val="21"/>
                <w:szCs w:val="21"/>
                <w:highlight w:val="none"/>
                <w:shd w:val="clear" w:fill="FFFFFF"/>
              </w:rPr>
              <w:t>。</w:t>
            </w:r>
          </w:p>
          <w:p w14:paraId="34F8CD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default" w:ascii="Times New Roman" w:hAnsi="Times New Roman" w:eastAsia="Helvetica" w:cs="Times New Roman"/>
                <w:i w:val="0"/>
                <w:iCs w:val="0"/>
                <w:caps w:val="0"/>
                <w:color w:val="333333"/>
                <w:spacing w:val="0"/>
                <w:sz w:val="21"/>
                <w:szCs w:val="21"/>
                <w:highlight w:val="none"/>
                <w:shd w:val="clear" w:fill="FFFFFF"/>
                <w:lang w:eastAsia="zh-CN"/>
              </w:rPr>
            </w:pPr>
            <w:r>
              <w:rPr>
                <w:rFonts w:hint="default" w:ascii="Times New Roman" w:hAnsi="Times New Roman" w:cs="Times New Roman"/>
                <w:b/>
                <w:bCs w:val="0"/>
                <w:color w:val="auto"/>
                <w:spacing w:val="0"/>
                <w:kern w:val="1"/>
                <w:sz w:val="21"/>
                <w:szCs w:val="21"/>
                <w:highlight w:val="none"/>
                <w:lang w:val="en-US" w:eastAsia="zh-CN" w:bidi="ar"/>
              </w:rPr>
              <w:t>造渣剂：</w:t>
            </w:r>
            <w:r>
              <w:rPr>
                <w:rFonts w:hint="default" w:ascii="Times New Roman" w:hAnsi="Times New Roman" w:eastAsia="Helvetica" w:cs="Times New Roman"/>
                <w:i w:val="0"/>
                <w:iCs w:val="0"/>
                <w:caps w:val="0"/>
                <w:color w:val="auto"/>
                <w:spacing w:val="0"/>
                <w:sz w:val="21"/>
                <w:szCs w:val="21"/>
                <w:highlight w:val="none"/>
                <w:shd w:val="clear" w:fill="FFFFFF"/>
              </w:rPr>
              <w:t>除渣剂是铸造行业中用于清除铁水、钢水等金属熔液中杂质的辅助材料，主要原料为珍珠岩砂</w:t>
            </w:r>
            <w:r>
              <w:rPr>
                <w:rFonts w:hint="default" w:ascii="Times New Roman" w:hAnsi="Times New Roman" w:eastAsia="Helvetica" w:cs="Times New Roman"/>
                <w:i w:val="0"/>
                <w:iCs w:val="0"/>
                <w:caps w:val="0"/>
                <w:color w:val="333333"/>
                <w:spacing w:val="0"/>
                <w:sz w:val="21"/>
                <w:szCs w:val="21"/>
                <w:highlight w:val="none"/>
                <w:shd w:val="clear" w:fill="FFFFFF"/>
              </w:rPr>
              <w:t>及火山灰矿物质，主成分为</w:t>
            </w:r>
            <w:r>
              <w:rPr>
                <w:rFonts w:hint="default" w:ascii="Times New Roman" w:hAnsi="Times New Roman" w:eastAsia="Helvetica" w:cs="Times New Roman"/>
                <w:i w:val="0"/>
                <w:iCs w:val="0"/>
                <w:caps w:val="0"/>
                <w:color w:val="333333"/>
                <w:spacing w:val="0"/>
                <w:sz w:val="21"/>
                <w:szCs w:val="21"/>
                <w:highlight w:val="none"/>
                <w:shd w:val="clear" w:fill="FFFFFF"/>
              </w:rPr>
              <w:fldChar w:fldCharType="begin"/>
            </w:r>
            <w:r>
              <w:rPr>
                <w:rFonts w:hint="default" w:ascii="Times New Roman" w:hAnsi="Times New Roman" w:eastAsia="Helvetica" w:cs="Times New Roman"/>
                <w:i w:val="0"/>
                <w:iCs w:val="0"/>
                <w:caps w:val="0"/>
                <w:color w:val="333333"/>
                <w:spacing w:val="0"/>
                <w:sz w:val="21"/>
                <w:szCs w:val="21"/>
                <w:highlight w:val="none"/>
                <w:shd w:val="clear" w:fill="FFFFFF"/>
              </w:rPr>
              <w:instrText xml:space="preserve"> HYPERLINK "https://baike.baidu.com/item/%E7%A1%85%E9%85%B8%E7%9B%90/1529277?fromModule=lemma_inlink" \t "https://baike.baidu.com/item/%E9%99%A4%E6%B8%A3%E5%89%82/_blank" </w:instrText>
            </w:r>
            <w:r>
              <w:rPr>
                <w:rFonts w:hint="default" w:ascii="Times New Roman" w:hAnsi="Times New Roman" w:eastAsia="Helvetica" w:cs="Times New Roman"/>
                <w:i w:val="0"/>
                <w:iCs w:val="0"/>
                <w:caps w:val="0"/>
                <w:color w:val="333333"/>
                <w:spacing w:val="0"/>
                <w:sz w:val="21"/>
                <w:szCs w:val="21"/>
                <w:highlight w:val="none"/>
                <w:shd w:val="clear" w:fill="FFFFFF"/>
              </w:rPr>
              <w:fldChar w:fldCharType="separate"/>
            </w:r>
            <w:r>
              <w:rPr>
                <w:rFonts w:hint="default" w:ascii="Times New Roman" w:hAnsi="Times New Roman" w:eastAsia="Helvetica" w:cs="Times New Roman"/>
                <w:i w:val="0"/>
                <w:iCs w:val="0"/>
                <w:caps w:val="0"/>
                <w:color w:val="333333"/>
                <w:spacing w:val="0"/>
                <w:sz w:val="21"/>
                <w:szCs w:val="21"/>
                <w:highlight w:val="none"/>
                <w:shd w:val="clear" w:fill="FFFFFF"/>
              </w:rPr>
              <w:t>硅酸盐</w:t>
            </w:r>
            <w:r>
              <w:rPr>
                <w:rFonts w:hint="default" w:ascii="Times New Roman" w:hAnsi="Times New Roman" w:eastAsia="Helvetica" w:cs="Times New Roman"/>
                <w:i w:val="0"/>
                <w:iCs w:val="0"/>
                <w:caps w:val="0"/>
                <w:color w:val="333333"/>
                <w:spacing w:val="0"/>
                <w:sz w:val="21"/>
                <w:szCs w:val="21"/>
                <w:highlight w:val="none"/>
                <w:shd w:val="clear" w:fill="FFFFFF"/>
              </w:rPr>
              <w:fldChar w:fldCharType="end"/>
            </w:r>
            <w:r>
              <w:rPr>
                <w:rFonts w:hint="default" w:ascii="Times New Roman" w:hAnsi="Times New Roman" w:eastAsia="Helvetica" w:cs="Times New Roman"/>
                <w:i w:val="0"/>
                <w:iCs w:val="0"/>
                <w:caps w:val="0"/>
                <w:color w:val="333333"/>
                <w:spacing w:val="0"/>
                <w:sz w:val="21"/>
                <w:szCs w:val="21"/>
                <w:highlight w:val="none"/>
                <w:shd w:val="clear" w:fill="FFFFFF"/>
              </w:rPr>
              <w:t>，</w:t>
            </w:r>
            <w:r>
              <w:rPr>
                <w:rFonts w:hint="default" w:ascii="Times New Roman" w:hAnsi="Times New Roman" w:eastAsia="宋体" w:cs="Times New Roman"/>
                <w:i w:val="0"/>
                <w:iCs w:val="0"/>
                <w:caps w:val="0"/>
                <w:color w:val="333333"/>
                <w:spacing w:val="0"/>
                <w:sz w:val="21"/>
                <w:szCs w:val="21"/>
                <w:highlight w:val="none"/>
                <w:shd w:val="clear" w:fill="FFFFFF"/>
                <w:lang w:val="en-US" w:eastAsia="zh-CN"/>
              </w:rPr>
              <w:t>可</w:t>
            </w:r>
            <w:r>
              <w:rPr>
                <w:rFonts w:hint="default" w:ascii="Times New Roman" w:hAnsi="Times New Roman" w:eastAsia="Helvetica" w:cs="Times New Roman"/>
                <w:i w:val="0"/>
                <w:iCs w:val="0"/>
                <w:caps w:val="0"/>
                <w:color w:val="333333"/>
                <w:spacing w:val="0"/>
                <w:sz w:val="21"/>
                <w:szCs w:val="21"/>
                <w:highlight w:val="none"/>
                <w:shd w:val="clear" w:fill="FFFFFF"/>
              </w:rPr>
              <w:t>经加工制成18-30目、30-50目、50-80目等不同规格</w:t>
            </w:r>
            <w:r>
              <w:rPr>
                <w:rFonts w:hint="default" w:ascii="Times New Roman" w:hAnsi="Times New Roman" w:eastAsia="Helvetica" w:cs="Times New Roman"/>
                <w:i w:val="0"/>
                <w:iCs w:val="0"/>
                <w:caps w:val="0"/>
                <w:color w:val="333333"/>
                <w:spacing w:val="0"/>
                <w:sz w:val="21"/>
                <w:szCs w:val="21"/>
                <w:highlight w:val="none"/>
                <w:shd w:val="clear" w:fill="FFFFFF"/>
                <w:lang w:eastAsia="zh-CN"/>
              </w:rPr>
              <w:t>；</w:t>
            </w:r>
            <w:r>
              <w:rPr>
                <w:rFonts w:hint="default" w:ascii="Times New Roman" w:hAnsi="Times New Roman" w:eastAsia="宋体" w:cs="Times New Roman"/>
                <w:sz w:val="21"/>
                <w:szCs w:val="21"/>
                <w:highlight w:val="none"/>
              </w:rPr>
              <w:t>无毒</w:t>
            </w:r>
            <w:r>
              <w:rPr>
                <w:rFonts w:hint="default" w:ascii="Times New Roman" w:hAnsi="Times New Roman" w:eastAsia="宋体" w:cs="Times New Roman"/>
                <w:sz w:val="21"/>
                <w:szCs w:val="21"/>
                <w:highlight w:val="none"/>
                <w:lang w:eastAsia="zh-CN"/>
              </w:rPr>
              <w:t>；</w:t>
            </w:r>
            <w:r>
              <w:rPr>
                <w:rFonts w:hint="default" w:ascii="Times New Roman" w:hAnsi="Times New Roman" w:eastAsia="Helvetica" w:cs="Times New Roman"/>
                <w:i w:val="0"/>
                <w:iCs w:val="0"/>
                <w:caps w:val="0"/>
                <w:color w:val="333333"/>
                <w:spacing w:val="0"/>
                <w:sz w:val="21"/>
                <w:szCs w:val="21"/>
                <w:highlight w:val="none"/>
                <w:shd w:val="clear" w:fill="FFFFFF"/>
                <w:lang w:eastAsia="zh-CN"/>
              </w:rPr>
              <w:t>主要用于聚集铁水溶液表面的不熔物，使之易于除去，确保铁水溶液的纯净；</w:t>
            </w:r>
            <w:r>
              <w:rPr>
                <w:rFonts w:hint="default" w:ascii="Times New Roman" w:hAnsi="Times New Roman" w:eastAsia="Helvetica" w:cs="Times New Roman"/>
                <w:i w:val="0"/>
                <w:iCs w:val="0"/>
                <w:caps w:val="0"/>
                <w:color w:val="333333"/>
                <w:spacing w:val="0"/>
                <w:sz w:val="21"/>
                <w:szCs w:val="21"/>
                <w:highlight w:val="none"/>
                <w:shd w:val="clear" w:fill="FFFFFF"/>
                <w:lang w:val="en-US" w:eastAsia="zh-CN"/>
              </w:rPr>
              <w:t>造</w:t>
            </w:r>
            <w:r>
              <w:rPr>
                <w:rFonts w:hint="default" w:ascii="Times New Roman" w:hAnsi="Times New Roman" w:eastAsia="Helvetica" w:cs="Times New Roman"/>
                <w:i w:val="0"/>
                <w:iCs w:val="0"/>
                <w:caps w:val="0"/>
                <w:color w:val="333333"/>
                <w:spacing w:val="0"/>
                <w:sz w:val="21"/>
                <w:szCs w:val="21"/>
                <w:highlight w:val="none"/>
                <w:shd w:val="clear" w:fill="FFFFFF"/>
                <w:lang w:eastAsia="zh-CN"/>
              </w:rPr>
              <w:t>渣剂不爆裂、铺展快速且均匀，聚渣能力强，有效防止铸件夹渣缺陷，提高铸件内在质量，提高铸件成品率，降低生产成本；使用方法简单，</w:t>
            </w:r>
            <w:r>
              <w:rPr>
                <w:rFonts w:hint="default" w:ascii="Times New Roman" w:hAnsi="Times New Roman" w:eastAsia="Helvetica" w:cs="Times New Roman"/>
                <w:i w:val="0"/>
                <w:iCs w:val="0"/>
                <w:caps w:val="0"/>
                <w:color w:val="333333"/>
                <w:spacing w:val="0"/>
                <w:sz w:val="21"/>
                <w:szCs w:val="21"/>
                <w:highlight w:val="none"/>
                <w:shd w:val="clear" w:fill="FFFFFF"/>
                <w:lang w:val="en-US" w:eastAsia="zh-CN"/>
              </w:rPr>
              <w:t>可</w:t>
            </w:r>
            <w:r>
              <w:rPr>
                <w:rFonts w:hint="default" w:ascii="Times New Roman" w:hAnsi="Times New Roman" w:eastAsia="Helvetica" w:cs="Times New Roman"/>
                <w:i w:val="0"/>
                <w:iCs w:val="0"/>
                <w:caps w:val="0"/>
                <w:color w:val="333333"/>
                <w:spacing w:val="0"/>
                <w:sz w:val="21"/>
                <w:szCs w:val="21"/>
                <w:highlight w:val="none"/>
                <w:shd w:val="clear" w:fill="FFFFFF"/>
                <w:lang w:eastAsia="zh-CN"/>
              </w:rPr>
              <w:t>减轻工人劳动强度，提高生产效率。</w:t>
            </w:r>
          </w:p>
          <w:p w14:paraId="174CA6E6">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5</w:t>
            </w:r>
            <w:r>
              <w:rPr>
                <w:rFonts w:hint="default" w:ascii="Times New Roman" w:hAnsi="Times New Roman" w:cs="Times New Roman"/>
                <w:b/>
                <w:smallCaps w:val="0"/>
                <w:color w:val="auto"/>
                <w:spacing w:val="0"/>
                <w:highlight w:val="none"/>
              </w:rPr>
              <w:t>、公用工程</w:t>
            </w:r>
          </w:p>
          <w:p w14:paraId="7F3BE547">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val="0"/>
                <w:bCs/>
                <w:smallCaps w:val="0"/>
                <w:color w:val="auto"/>
                <w:spacing w:val="0"/>
                <w:highlight w:val="none"/>
              </w:rPr>
            </w:pPr>
            <w:r>
              <w:rPr>
                <w:rFonts w:hint="default" w:ascii="Times New Roman" w:hAnsi="Times New Roman" w:cs="Times New Roman"/>
                <w:b w:val="0"/>
                <w:bCs/>
                <w:smallCaps w:val="0"/>
                <w:color w:val="auto"/>
                <w:spacing w:val="0"/>
                <w:highlight w:val="none"/>
              </w:rPr>
              <w:t>（1）给排水</w:t>
            </w:r>
          </w:p>
          <w:p w14:paraId="531A3894">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val="0"/>
                <w:bCs/>
                <w:smallCaps w:val="0"/>
                <w:color w:val="auto"/>
                <w:spacing w:val="0"/>
                <w:highlight w:val="none"/>
              </w:rPr>
            </w:pPr>
            <w:r>
              <w:rPr>
                <w:rFonts w:hint="default" w:ascii="Times New Roman" w:hAnsi="Times New Roman" w:cs="Times New Roman"/>
                <w:b w:val="0"/>
                <w:bCs/>
                <w:smallCaps w:val="0"/>
                <w:color w:val="auto"/>
                <w:spacing w:val="0"/>
                <w:highlight w:val="none"/>
              </w:rPr>
              <w:t>给水：</w:t>
            </w:r>
          </w:p>
          <w:p w14:paraId="6B9B0CFC">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000000"/>
                <w:sz w:val="24"/>
                <w:highlight w:val="none"/>
                <w:lang w:val="en-US" w:eastAsia="zh-CN"/>
              </w:rPr>
            </w:pPr>
            <w:r>
              <w:rPr>
                <w:rFonts w:hint="eastAsia" w:ascii="Times New Roman" w:hAnsi="Times New Roman" w:cs="Times New Roman"/>
                <w:color w:val="000000"/>
                <w:sz w:val="24"/>
                <w:highlight w:val="none"/>
                <w:lang w:val="en-US" w:eastAsia="zh-CN"/>
              </w:rPr>
              <w:t>本项目</w:t>
            </w:r>
            <w:r>
              <w:rPr>
                <w:rFonts w:hint="eastAsia" w:ascii="Times New Roman" w:hAnsi="Times New Roman" w:cs="Times New Roman"/>
                <w:color w:val="000000"/>
                <w:sz w:val="24"/>
                <w:highlight w:val="none"/>
                <w:lang w:eastAsia="zh-CN"/>
              </w:rPr>
              <w:t>用水</w:t>
            </w:r>
            <w:r>
              <w:rPr>
                <w:rFonts w:hint="eastAsia" w:ascii="Times New Roman" w:hAnsi="Times New Roman" w:cs="Times New Roman"/>
                <w:color w:val="000000"/>
                <w:sz w:val="24"/>
                <w:highlight w:val="none"/>
                <w:lang w:val="en-US" w:eastAsia="zh-CN"/>
              </w:rPr>
              <w:t>由园区供水管网提供，用水包括中频电炉循环冷却水、</w:t>
            </w:r>
            <w:r>
              <w:rPr>
                <w:rFonts w:hint="eastAsia" w:cs="Times New Roman"/>
                <w:color w:val="000000"/>
                <w:sz w:val="24"/>
                <w:highlight w:val="none"/>
                <w:lang w:val="en-US" w:eastAsia="zh-CN"/>
              </w:rPr>
              <w:t>雾炮抑尘用水、</w:t>
            </w:r>
            <w:r>
              <w:rPr>
                <w:rFonts w:hint="eastAsia" w:ascii="Times New Roman" w:hAnsi="Times New Roman" w:cs="Times New Roman"/>
                <w:color w:val="000000"/>
                <w:sz w:val="24"/>
                <w:highlight w:val="none"/>
                <w:lang w:val="en-US" w:eastAsia="zh-CN"/>
              </w:rPr>
              <w:t>员工生活用水。本项目新鲜水用量为</w:t>
            </w:r>
            <w:r>
              <w:rPr>
                <w:rFonts w:hint="eastAsia" w:cs="Times New Roman"/>
                <w:color w:val="000000"/>
                <w:sz w:val="24"/>
                <w:highlight w:val="none"/>
                <w:lang w:val="en-US" w:eastAsia="zh-CN"/>
              </w:rPr>
              <w:t>7.7</w:t>
            </w:r>
            <w:r>
              <w:rPr>
                <w:rFonts w:hint="eastAsia" w:ascii="Times New Roman" w:hAnsi="Times New Roman" w:cs="Times New Roman"/>
                <w:color w:val="000000"/>
                <w:sz w:val="24"/>
                <w:highlight w:val="none"/>
                <w:lang w:val="en-US" w:eastAsia="zh-CN"/>
              </w:rPr>
              <w:t>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/d（</w:t>
            </w:r>
            <w:r>
              <w:rPr>
                <w:rFonts w:hint="eastAsia" w:cs="Times New Roman"/>
                <w:color w:val="000000"/>
                <w:sz w:val="24"/>
                <w:highlight w:val="none"/>
                <w:lang w:val="en-US" w:eastAsia="zh-CN"/>
              </w:rPr>
              <w:t>2310</w:t>
            </w:r>
            <w:r>
              <w:rPr>
                <w:rFonts w:hint="eastAsia" w:ascii="Times New Roman" w:hAnsi="Times New Roman" w:cs="Times New Roman"/>
                <w:color w:val="000000"/>
                <w:sz w:val="24"/>
                <w:highlight w:val="none"/>
                <w:lang w:val="en-US" w:eastAsia="zh-CN"/>
              </w:rPr>
              <w:t>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/a）。</w:t>
            </w:r>
          </w:p>
          <w:p w14:paraId="22602CEF">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eastAsia" w:ascii="Times New Roman" w:hAnsi="Times New Roman" w:eastAsia="宋体" w:cs="Times New Roman"/>
                <w:color w:val="000000"/>
                <w:sz w:val="24"/>
                <w:szCs w:val="24"/>
                <w:highlight w:val="none"/>
                <w:lang w:eastAsia="zh-CN"/>
              </w:rPr>
            </w:pPr>
            <w:r>
              <w:rPr>
                <w:rFonts w:hint="eastAsia" w:ascii="Times New Roman" w:hAnsi="Times New Roman" w:cs="Times New Roman"/>
                <w:color w:val="000000"/>
                <w:sz w:val="24"/>
                <w:highlight w:val="none"/>
                <w:lang w:val="en-US" w:eastAsia="zh-CN"/>
              </w:rPr>
              <w:t>本项目中频电炉循环冷却水循环量25m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/h（200m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/d），新鲜水补充量2.5m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/d（750m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/a）。</w:t>
            </w:r>
            <w:r>
              <w:rPr>
                <w:rFonts w:hint="default" w:ascii="Times New Roman" w:hAnsi="Times New Roman" w:eastAsia="宋体" w:cs="Times New Roman"/>
                <w:color w:val="000000"/>
                <w:sz w:val="24"/>
                <w:szCs w:val="24"/>
                <w:highlight w:val="none"/>
              </w:rPr>
              <w:t>本项目职工共</w:t>
            </w:r>
            <w:r>
              <w:rPr>
                <w:rFonts w:hint="eastAsia" w:ascii="Times New Roman" w:hAnsi="Times New Roman" w:eastAsia="宋体" w:cs="Times New Roman"/>
                <w:color w:val="000000"/>
                <w:sz w:val="24"/>
                <w:szCs w:val="24"/>
                <w:highlight w:val="none"/>
                <w:lang w:eastAsia="zh-CN"/>
              </w:rPr>
              <w:t>计</w:t>
            </w:r>
            <w:r>
              <w:rPr>
                <w:rFonts w:hint="eastAsia" w:eastAsia="宋体" w:cs="Times New Roman"/>
                <w:color w:val="000000"/>
                <w:sz w:val="24"/>
                <w:szCs w:val="24"/>
                <w:highlight w:val="none"/>
                <w:lang w:val="en-US" w:eastAsia="zh-CN"/>
              </w:rPr>
              <w:t>6</w:t>
            </w:r>
            <w:r>
              <w:rPr>
                <w:rFonts w:hint="default" w:ascii="Times New Roman" w:hAnsi="Times New Roman" w:eastAsia="宋体" w:cs="Times New Roman"/>
                <w:color w:val="000000"/>
                <w:sz w:val="24"/>
                <w:szCs w:val="24"/>
                <w:highlight w:val="none"/>
              </w:rPr>
              <w:t>人，参照</w:t>
            </w:r>
            <w:r>
              <w:rPr>
                <w:rFonts w:hint="default" w:ascii="Times New Roman" w:hAnsi="Times New Roman" w:eastAsia="宋体" w:cs="Times New Roman"/>
                <w:color w:val="000000"/>
                <w:kern w:val="0"/>
                <w:sz w:val="24"/>
                <w:szCs w:val="24"/>
                <w:highlight w:val="none"/>
                <w:lang w:val="en-US" w:eastAsia="zh-CN" w:bidi="ar"/>
              </w:rPr>
              <w:t>《河北省地方标准</w:t>
            </w:r>
            <w:r>
              <w:rPr>
                <w:rFonts w:hint="eastAsia" w:eastAsia="宋体" w:cs="Times New Roman"/>
                <w:color w:val="000000"/>
                <w:kern w:val="0"/>
                <w:sz w:val="24"/>
                <w:szCs w:val="24"/>
                <w:highlight w:val="none"/>
                <w:lang w:val="en-US" w:eastAsia="zh-CN" w:bidi="ar"/>
              </w:rPr>
              <w:t xml:space="preserve"> </w:t>
            </w:r>
            <w:r>
              <w:rPr>
                <w:rFonts w:hint="default" w:ascii="Times New Roman" w:hAnsi="Times New Roman" w:eastAsia="宋体" w:cs="Times New Roman"/>
                <w:color w:val="000000"/>
                <w:kern w:val="0"/>
                <w:sz w:val="24"/>
                <w:szCs w:val="24"/>
                <w:highlight w:val="none"/>
                <w:lang w:val="en-US" w:eastAsia="zh-CN" w:bidi="ar"/>
              </w:rPr>
              <w:t>生活与服务业用水定额第1部分</w:t>
            </w:r>
            <w:r>
              <w:rPr>
                <w:rFonts w:hint="eastAsia" w:eastAsia="宋体" w:cs="Times New Roman"/>
                <w:color w:val="000000"/>
                <w:kern w:val="0"/>
                <w:sz w:val="24"/>
                <w:szCs w:val="24"/>
                <w:highlight w:val="none"/>
                <w:lang w:val="en-US" w:eastAsia="zh-CN" w:bidi="ar"/>
              </w:rPr>
              <w:t xml:space="preserve"> </w:t>
            </w:r>
            <w:r>
              <w:rPr>
                <w:rFonts w:hint="default" w:ascii="Times New Roman" w:hAnsi="Times New Roman" w:eastAsia="宋体" w:cs="Times New Roman"/>
                <w:color w:val="000000"/>
                <w:kern w:val="0"/>
                <w:sz w:val="24"/>
                <w:szCs w:val="24"/>
                <w:highlight w:val="none"/>
                <w:lang w:val="en-US" w:eastAsia="zh-CN" w:bidi="ar"/>
              </w:rPr>
              <w:t>居民生活》（DB13/T5450.2-2021），</w:t>
            </w:r>
            <w:r>
              <w:rPr>
                <w:rFonts w:hint="default" w:ascii="Times New Roman" w:hAnsi="Times New Roman" w:eastAsia="宋体" w:cs="Times New Roman"/>
                <w:color w:val="000000"/>
                <w:sz w:val="24"/>
                <w:szCs w:val="24"/>
                <w:highlight w:val="none"/>
              </w:rPr>
              <w:t>并</w:t>
            </w:r>
            <w:r>
              <w:rPr>
                <w:rFonts w:hint="eastAsia" w:ascii="Times New Roman" w:hAnsi="Times New Roman" w:eastAsia="宋体" w:cs="Times New Roman"/>
                <w:color w:val="000000"/>
                <w:sz w:val="24"/>
                <w:szCs w:val="24"/>
                <w:highlight w:val="none"/>
                <w:lang w:eastAsia="zh-CN"/>
              </w:rPr>
              <w:t>结合当地实际情况，本项目用水量按</w:t>
            </w:r>
            <w:r>
              <w:rPr>
                <w:rFonts w:hint="eastAsia" w:cs="Times New Roman"/>
                <w:color w:val="000000"/>
                <w:sz w:val="24"/>
                <w:szCs w:val="24"/>
                <w:highlight w:val="none"/>
                <w:lang w:val="en-US" w:eastAsia="zh-CN"/>
              </w:rPr>
              <w:t>每人每年</w:t>
            </w:r>
            <w:r>
              <w:rPr>
                <w:rFonts w:hint="eastAsia" w:ascii="Times New Roman" w:hAnsi="Times New Roman" w:eastAsia="宋体" w:cs="Times New Roman"/>
                <w:color w:val="000000"/>
                <w:sz w:val="24"/>
                <w:szCs w:val="24"/>
                <w:highlight w:val="none"/>
                <w:lang w:val="en-US" w:eastAsia="zh-CN"/>
              </w:rPr>
              <w:t>20</w:t>
            </w:r>
            <w:r>
              <w:rPr>
                <w:rFonts w:hint="eastAsia" w:eastAsia="宋体" w:cs="Times New Roman"/>
                <w:color w:val="000000"/>
                <w:sz w:val="24"/>
                <w:szCs w:val="24"/>
                <w:highlight w:val="none"/>
                <w:lang w:val="en-US" w:eastAsia="zh-CN"/>
              </w:rPr>
              <w:t>m</w:t>
            </w:r>
            <w:r>
              <w:rPr>
                <w:rFonts w:hint="eastAsia" w:eastAsia="宋体" w:cs="Times New Roman"/>
                <w:color w:val="000000"/>
                <w:sz w:val="24"/>
                <w:szCs w:val="24"/>
                <w:highlight w:val="none"/>
                <w:vertAlign w:val="superscript"/>
                <w:lang w:val="en-US" w:eastAsia="zh-CN"/>
              </w:rPr>
              <w:t>3</w:t>
            </w:r>
            <w:r>
              <w:rPr>
                <w:rFonts w:hint="eastAsia" w:ascii="Times New Roman" w:hAnsi="Times New Roman" w:eastAsia="宋体" w:cs="Times New Roman"/>
                <w:color w:val="000000"/>
                <w:sz w:val="24"/>
                <w:szCs w:val="24"/>
                <w:highlight w:val="none"/>
                <w:lang w:val="en-US" w:eastAsia="zh-CN"/>
              </w:rPr>
              <w:t>/计算，则用水量为</w:t>
            </w:r>
            <w:r>
              <w:rPr>
                <w:rFonts w:hint="eastAsia" w:eastAsia="宋体" w:cs="Times New Roman"/>
                <w:color w:val="000000"/>
                <w:sz w:val="24"/>
                <w:szCs w:val="24"/>
                <w:highlight w:val="none"/>
                <w:lang w:val="en-US" w:eastAsia="zh-CN"/>
              </w:rPr>
              <w:t>120</w:t>
            </w:r>
            <w:r>
              <w:rPr>
                <w:rFonts w:hint="default" w:ascii="Times New Roman" w:hAnsi="Times New Roman" w:eastAsia="宋体" w:cs="Times New Roman"/>
                <w:color w:val="000000"/>
                <w:sz w:val="24"/>
                <w:szCs w:val="24"/>
                <w:highlight w:val="none"/>
              </w:rPr>
              <w:t>m</w:t>
            </w:r>
            <w:r>
              <w:rPr>
                <w:rFonts w:hint="default" w:ascii="Times New Roman" w:hAnsi="Times New Roman" w:eastAsia="宋体" w:cs="Times New Roman"/>
                <w:color w:val="000000"/>
                <w:sz w:val="24"/>
                <w:szCs w:val="24"/>
                <w:highlight w:val="none"/>
                <w:vertAlign w:val="superscript"/>
              </w:rPr>
              <w:t>3</w:t>
            </w:r>
            <w:r>
              <w:rPr>
                <w:rFonts w:hint="default" w:ascii="Times New Roman" w:hAnsi="Times New Roman" w:eastAsia="宋体" w:cs="Times New Roman"/>
                <w:color w:val="000000"/>
                <w:sz w:val="24"/>
                <w:szCs w:val="24"/>
                <w:highlight w:val="none"/>
              </w:rPr>
              <w:t>/a</w:t>
            </w:r>
            <w:r>
              <w:rPr>
                <w:rFonts w:hint="eastAsia" w:eastAsia="宋体" w:cs="Times New Roman"/>
                <w:color w:val="000000"/>
                <w:sz w:val="24"/>
                <w:szCs w:val="24"/>
                <w:highlight w:val="none"/>
                <w:lang w:eastAsia="zh-CN"/>
              </w:rPr>
              <w:t>（</w:t>
            </w:r>
            <w:r>
              <w:rPr>
                <w:rFonts w:hint="eastAsia" w:ascii="Times New Roman" w:hAnsi="Times New Roman" w:cs="Times New Roman"/>
                <w:color w:val="000000"/>
                <w:sz w:val="24"/>
                <w:highlight w:val="none"/>
                <w:lang w:val="en-US" w:eastAsia="zh-CN"/>
              </w:rPr>
              <w:t>0.4m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/d</w:t>
            </w:r>
            <w:r>
              <w:rPr>
                <w:rFonts w:hint="eastAsia" w:eastAsia="宋体" w:cs="Times New Roman"/>
                <w:color w:val="000000"/>
                <w:sz w:val="24"/>
                <w:szCs w:val="24"/>
                <w:highlight w:val="none"/>
                <w:lang w:eastAsia="zh-CN"/>
              </w:rPr>
              <w:t>）</w:t>
            </w:r>
            <w:r>
              <w:rPr>
                <w:rFonts w:hint="eastAsia" w:ascii="Times New Roman" w:hAnsi="Times New Roman" w:eastAsia="宋体" w:cs="Times New Roman"/>
                <w:color w:val="000000"/>
                <w:sz w:val="24"/>
                <w:szCs w:val="24"/>
                <w:highlight w:val="none"/>
                <w:lang w:eastAsia="zh-CN"/>
              </w:rPr>
              <w:t>。</w:t>
            </w:r>
          </w:p>
          <w:p w14:paraId="143DBE4C">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highlight w:val="none"/>
                <w:lang w:val="en-US" w:eastAsia="zh-CN"/>
              </w:rPr>
            </w:pPr>
            <w:r>
              <w:rPr>
                <w:rFonts w:hint="eastAsia" w:ascii="Times New Roman" w:hAnsi="Times New Roman" w:eastAsia="宋体" w:cs="Times New Roman"/>
                <w:bCs/>
                <w:iCs/>
                <w:sz w:val="24"/>
                <w:highlight w:val="none"/>
                <w:lang w:bidi="ar"/>
              </w:rPr>
              <w:t>移动式雾炮机用水定额为10L/min，每天使用时间按</w:t>
            </w:r>
            <w:r>
              <w:rPr>
                <w:rFonts w:hint="eastAsia" w:ascii="Times New Roman" w:hAnsi="Times New Roman" w:eastAsia="宋体" w:cs="Times New Roman"/>
                <w:bCs/>
                <w:iCs/>
                <w:sz w:val="24"/>
                <w:highlight w:val="none"/>
                <w:lang w:val="en-US" w:eastAsia="zh-CN" w:bidi="ar"/>
              </w:rPr>
              <w:t>8</w:t>
            </w:r>
            <w:r>
              <w:rPr>
                <w:rFonts w:hint="eastAsia" w:ascii="Times New Roman" w:hAnsi="Times New Roman" w:eastAsia="宋体" w:cs="Times New Roman"/>
                <w:bCs/>
                <w:iCs/>
                <w:sz w:val="24"/>
                <w:highlight w:val="none"/>
                <w:lang w:bidi="ar"/>
              </w:rPr>
              <w:t>小时计，则本项目雾炮抑尘用水量为</w:t>
            </w:r>
            <w:r>
              <w:rPr>
                <w:rFonts w:hint="eastAsia" w:ascii="Times New Roman" w:hAnsi="Times New Roman" w:eastAsia="宋体" w:cs="Times New Roman"/>
                <w:bCs/>
                <w:iCs/>
                <w:sz w:val="24"/>
                <w:highlight w:val="none"/>
                <w:lang w:val="en-US" w:eastAsia="zh-CN" w:bidi="ar"/>
              </w:rPr>
              <w:t>4.8</w:t>
            </w:r>
            <w:r>
              <w:rPr>
                <w:rFonts w:hint="eastAsia" w:ascii="Times New Roman" w:hAnsi="Times New Roman" w:eastAsia="宋体" w:cs="Times New Roman"/>
                <w:bCs/>
                <w:iCs/>
                <w:sz w:val="24"/>
                <w:highlight w:val="none"/>
                <w:lang w:bidi="ar"/>
              </w:rPr>
              <w:t>m</w:t>
            </w:r>
            <w:r>
              <w:rPr>
                <w:rFonts w:hint="eastAsia" w:ascii="Times New Roman" w:hAnsi="Times New Roman" w:eastAsia="宋体" w:cs="Times New Roman"/>
                <w:bCs/>
                <w:iCs/>
                <w:sz w:val="24"/>
                <w:highlight w:val="none"/>
                <w:vertAlign w:val="superscript"/>
                <w:lang w:bidi="ar"/>
              </w:rPr>
              <w:t>3</w:t>
            </w:r>
            <w:r>
              <w:rPr>
                <w:rFonts w:hint="eastAsia" w:ascii="Times New Roman" w:hAnsi="Times New Roman" w:eastAsia="宋体" w:cs="Times New Roman"/>
                <w:bCs/>
                <w:iCs/>
                <w:sz w:val="24"/>
                <w:highlight w:val="none"/>
                <w:lang w:bidi="ar"/>
              </w:rPr>
              <w:t>/d（</w:t>
            </w:r>
            <w:r>
              <w:rPr>
                <w:rFonts w:hint="eastAsia" w:ascii="Times New Roman" w:hAnsi="Times New Roman" w:eastAsia="宋体" w:cs="Times New Roman"/>
                <w:bCs/>
                <w:iCs/>
                <w:sz w:val="24"/>
                <w:highlight w:val="none"/>
                <w:lang w:val="en-US" w:eastAsia="zh-CN" w:bidi="ar"/>
              </w:rPr>
              <w:t>144</w:t>
            </w:r>
            <w:r>
              <w:rPr>
                <w:rFonts w:hint="eastAsia" w:ascii="Times New Roman" w:hAnsi="Times New Roman" w:eastAsia="宋体" w:cs="Times New Roman"/>
                <w:bCs/>
                <w:iCs/>
                <w:sz w:val="24"/>
                <w:highlight w:val="none"/>
                <w:lang w:bidi="ar"/>
              </w:rPr>
              <w:t>0m</w:t>
            </w:r>
            <w:r>
              <w:rPr>
                <w:rFonts w:hint="eastAsia" w:ascii="Times New Roman" w:hAnsi="Times New Roman" w:eastAsia="宋体" w:cs="Times New Roman"/>
                <w:bCs/>
                <w:iCs/>
                <w:sz w:val="24"/>
                <w:highlight w:val="none"/>
                <w:vertAlign w:val="superscript"/>
                <w:lang w:bidi="ar"/>
              </w:rPr>
              <w:t>3</w:t>
            </w:r>
            <w:r>
              <w:rPr>
                <w:rFonts w:hint="eastAsia" w:ascii="Times New Roman" w:hAnsi="Times New Roman" w:eastAsia="宋体" w:cs="Times New Roman"/>
                <w:bCs/>
                <w:iCs/>
                <w:sz w:val="24"/>
                <w:highlight w:val="none"/>
                <w:lang w:bidi="ar"/>
              </w:rPr>
              <w:t>/a）。</w:t>
            </w:r>
          </w:p>
          <w:p w14:paraId="700D783D">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eastAsia" w:ascii="Times New Roman" w:hAnsi="Times New Roman" w:eastAsia="宋体" w:cs="Times New Roman"/>
                <w:b w:val="0"/>
                <w:bCs w:val="0"/>
                <w:smallCaps w:val="0"/>
                <w:color w:val="auto"/>
                <w:spacing w:val="0"/>
                <w:highlight w:val="none"/>
                <w:lang w:eastAsia="zh-CN"/>
              </w:rPr>
            </w:pPr>
            <w:r>
              <w:rPr>
                <w:rFonts w:hint="default" w:ascii="Times New Roman" w:hAnsi="Times New Roman" w:cs="Times New Roman"/>
                <w:b w:val="0"/>
                <w:bCs w:val="0"/>
                <w:smallCaps w:val="0"/>
                <w:color w:val="auto"/>
                <w:spacing w:val="0"/>
                <w:highlight w:val="none"/>
              </w:rPr>
              <w:t>排水</w:t>
            </w:r>
            <w:r>
              <w:rPr>
                <w:rFonts w:hint="eastAsia" w:cs="Times New Roman"/>
                <w:b w:val="0"/>
                <w:bCs w:val="0"/>
                <w:smallCaps w:val="0"/>
                <w:color w:val="auto"/>
                <w:spacing w:val="0"/>
                <w:highlight w:val="none"/>
                <w:lang w:eastAsia="zh-CN"/>
              </w:rPr>
              <w:t>：</w:t>
            </w:r>
          </w:p>
          <w:p w14:paraId="03F513C4">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highlight w:val="none"/>
              </w:rPr>
            </w:pPr>
            <w:r>
              <w:rPr>
                <w:rFonts w:hint="eastAsia" w:ascii="宋体" w:hAnsi="宋体" w:eastAsia="宋体" w:cs="宋体"/>
                <w:color w:val="000000"/>
                <w:kern w:val="0"/>
                <w:sz w:val="24"/>
                <w:szCs w:val="24"/>
                <w:highlight w:val="none"/>
                <w:lang w:val="en-US" w:eastAsia="zh-CN" w:bidi="ar"/>
              </w:rPr>
              <w:t>本项目循环水冷却水循环使用，不外排；</w:t>
            </w:r>
            <w:r>
              <w:rPr>
                <w:rFonts w:hint="default"/>
                <w:bCs/>
                <w:iCs/>
                <w:sz w:val="24"/>
                <w:highlight w:val="none"/>
                <w:lang w:bidi="ar"/>
              </w:rPr>
              <w:t>雾炮喷淋用水</w:t>
            </w:r>
            <w:r>
              <w:rPr>
                <w:rFonts w:hint="eastAsia"/>
                <w:bCs/>
                <w:iCs/>
                <w:sz w:val="24"/>
                <w:highlight w:val="none"/>
                <w:lang w:val="en-US" w:eastAsia="zh-CN" w:bidi="ar"/>
              </w:rPr>
              <w:t>完全</w:t>
            </w:r>
            <w:r>
              <w:rPr>
                <w:rFonts w:hint="default"/>
                <w:bCs/>
                <w:iCs/>
                <w:sz w:val="24"/>
                <w:highlight w:val="none"/>
                <w:lang w:bidi="ar"/>
              </w:rPr>
              <w:t>消耗</w:t>
            </w:r>
            <w:r>
              <w:rPr>
                <w:rFonts w:hint="eastAsia"/>
                <w:bCs/>
                <w:iCs/>
                <w:sz w:val="24"/>
                <w:highlight w:val="none"/>
                <w:lang w:eastAsia="zh-CN" w:bidi="ar"/>
              </w:rPr>
              <w:t>；</w:t>
            </w:r>
            <w:r>
              <w:rPr>
                <w:rFonts w:hint="eastAsia" w:ascii="宋体" w:hAnsi="宋体" w:eastAsia="宋体" w:cs="宋体"/>
                <w:color w:val="000000"/>
                <w:kern w:val="0"/>
                <w:sz w:val="24"/>
                <w:szCs w:val="24"/>
                <w:highlight w:val="none"/>
                <w:lang w:val="en-US" w:eastAsia="zh-CN" w:bidi="ar"/>
              </w:rPr>
              <w:t>生活污水产生量为</w:t>
            </w:r>
            <w:r>
              <w:rPr>
                <w:rFonts w:hint="eastAsia" w:ascii="Times New Roman" w:hAnsi="Times New Roman" w:cs="Times New Roman"/>
                <w:color w:val="000000"/>
                <w:sz w:val="24"/>
                <w:highlight w:val="none"/>
                <w:lang w:val="en-US" w:eastAsia="zh-CN"/>
              </w:rPr>
              <w:t>0.32m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/d（96m</w:t>
            </w:r>
            <w:r>
              <w:rPr>
                <w:rFonts w:hint="eastAsia" w:ascii="Times New Roman" w:hAnsi="Times New Roman" w:cs="Times New Roman"/>
                <w:color w:val="000000"/>
                <w:sz w:val="24"/>
                <w:highlight w:val="none"/>
                <w:vertAlign w:val="superscript"/>
                <w:lang w:val="en-US" w:eastAsia="zh-CN"/>
              </w:rPr>
              <w:t>3</w:t>
            </w:r>
            <w:r>
              <w:rPr>
                <w:rFonts w:hint="eastAsia" w:ascii="Times New Roman" w:hAnsi="Times New Roman" w:cs="Times New Roman"/>
                <w:color w:val="000000"/>
                <w:sz w:val="24"/>
                <w:highlight w:val="none"/>
                <w:lang w:val="en-US" w:eastAsia="zh-CN"/>
              </w:rPr>
              <w:t>/a</w:t>
            </w:r>
            <w:r>
              <w:rPr>
                <w:rFonts w:hint="eastAsia" w:ascii="Times New Roman" w:hAnsi="Times New Roman" w:cs="Times New Roman"/>
                <w:b w:val="0"/>
                <w:bCs w:val="0"/>
                <w:color w:val="000000"/>
                <w:sz w:val="24"/>
                <w:highlight w:val="none"/>
                <w:lang w:val="en-US" w:eastAsia="zh-CN"/>
              </w:rPr>
              <w:t>），</w:t>
            </w:r>
            <w:r>
              <w:rPr>
                <w:rFonts w:hint="eastAsia" w:ascii="Times New Roman" w:hAnsi="Times New Roman" w:cs="Times New Roman"/>
                <w:b w:val="0"/>
                <w:bCs w:val="0"/>
                <w:smallCaps w:val="0"/>
                <w:color w:val="auto"/>
                <w:spacing w:val="0"/>
                <w:sz w:val="24"/>
                <w:szCs w:val="24"/>
                <w:highlight w:val="none"/>
                <w:lang w:val="en-US" w:eastAsia="zh-CN"/>
              </w:rPr>
              <w:t>产生量较小，水质简单，</w:t>
            </w:r>
            <w:r>
              <w:rPr>
                <w:rFonts w:hint="eastAsia" w:cs="Times New Roman"/>
                <w:b w:val="0"/>
                <w:bCs w:val="0"/>
                <w:smallCaps w:val="0"/>
                <w:color w:val="auto"/>
                <w:spacing w:val="0"/>
                <w:sz w:val="24"/>
                <w:szCs w:val="24"/>
                <w:highlight w:val="none"/>
                <w:lang w:val="en-US" w:eastAsia="zh-CN"/>
              </w:rPr>
              <w:t>排入防渗旱厕，定期清掏</w:t>
            </w:r>
            <w:r>
              <w:rPr>
                <w:rFonts w:hint="default" w:ascii="Times New Roman" w:hAnsi="Times New Roman" w:cs="Times New Roman"/>
                <w:b w:val="0"/>
                <w:bCs w:val="0"/>
                <w:smallCaps w:val="0"/>
                <w:color w:val="auto"/>
                <w:spacing w:val="0"/>
                <w:sz w:val="24"/>
                <w:szCs w:val="24"/>
                <w:highlight w:val="none"/>
                <w:lang w:val="en-US" w:eastAsia="zh-CN"/>
              </w:rPr>
              <w:t>。</w:t>
            </w:r>
          </w:p>
          <w:p w14:paraId="430618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jc w:val="center"/>
              <w:textAlignment w:val="auto"/>
              <w:rPr>
                <w:rStyle w:val="193"/>
                <w:rFonts w:hint="default" w:ascii="Times New Roman" w:hAnsi="Times New Roman" w:cs="Times New Roman"/>
                <w:b/>
                <w:smallCaps w:val="0"/>
                <w:snapToGrid/>
                <w:color w:val="auto"/>
                <w:spacing w:val="0"/>
                <w:kern w:val="0"/>
                <w:highlight w:val="none"/>
              </w:rPr>
            </w:pPr>
            <w:r>
              <w:rPr>
                <w:rStyle w:val="193"/>
                <w:rFonts w:hint="default" w:ascii="Times New Roman" w:hAnsi="Times New Roman" w:cs="Times New Roman"/>
                <w:b/>
                <w:smallCaps w:val="0"/>
                <w:snapToGrid/>
                <w:color w:val="auto"/>
                <w:spacing w:val="0"/>
                <w:kern w:val="0"/>
                <w:highlight w:val="none"/>
              </w:rPr>
              <w:object>
                <v:shape id="_x0000_i1025" o:spt="75" type="#_x0000_t75" style="height:137.9pt;width:236.1pt;" o:ole="t" filled="f" o:preferrelative="t" stroked="f" coordsize="21600,21600">
                  <v:path/>
                  <v:fill on="f" focussize="0,0"/>
                  <v:stroke on="f"/>
                  <v:imagedata r:id="rId9" o:title=""/>
                  <o:lock v:ext="edit" aspectratio="f"/>
                  <w10:wrap type="none"/>
                  <w10:anchorlock/>
                </v:shape>
                <o:OLEObject Type="Embed" ProgID="Visio.Drawing.11" ShapeID="_x0000_i1025" DrawAspect="Content" ObjectID="_1468075725" r:id="rId8">
                  <o:LockedField>false</o:LockedField>
                </o:OLEObject>
              </w:object>
            </w:r>
          </w:p>
          <w:p w14:paraId="73BA066C">
            <w:pPr>
              <w:pStyle w:val="3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Style w:val="193"/>
                <w:rFonts w:hint="eastAsia" w:cs="Times New Roman"/>
                <w:b/>
                <w:smallCaps w:val="0"/>
                <w:snapToGrid/>
                <w:color w:val="auto"/>
                <w:spacing w:val="0"/>
                <w:kern w:val="0"/>
                <w:highlight w:val="none"/>
                <w:lang w:val="en-US" w:eastAsia="zh-CN"/>
              </w:rPr>
            </w:pPr>
            <w:r>
              <w:rPr>
                <w:rStyle w:val="193"/>
                <w:rFonts w:hint="default" w:ascii="Times New Roman" w:hAnsi="Times New Roman" w:cs="Times New Roman"/>
                <w:b/>
                <w:smallCaps w:val="0"/>
                <w:snapToGrid/>
                <w:color w:val="auto"/>
                <w:spacing w:val="0"/>
                <w:kern w:val="0"/>
                <w:highlight w:val="none"/>
              </w:rPr>
              <w:t>图2-</w:t>
            </w:r>
            <w:r>
              <w:rPr>
                <w:rStyle w:val="193"/>
                <w:rFonts w:hint="eastAsia" w:cs="Times New Roman"/>
                <w:b/>
                <w:smallCaps w:val="0"/>
                <w:snapToGrid/>
                <w:color w:val="auto"/>
                <w:spacing w:val="0"/>
                <w:kern w:val="0"/>
                <w:highlight w:val="none"/>
                <w:lang w:val="en-US" w:eastAsia="zh-CN"/>
              </w:rPr>
              <w:t>1</w:t>
            </w:r>
            <w:r>
              <w:rPr>
                <w:rStyle w:val="193"/>
                <w:rFonts w:hint="default" w:ascii="Times New Roman" w:hAnsi="Times New Roman" w:cs="Times New Roman"/>
                <w:b/>
                <w:smallCaps w:val="0"/>
                <w:snapToGrid/>
                <w:color w:val="auto"/>
                <w:spacing w:val="0"/>
                <w:kern w:val="0"/>
                <w:highlight w:val="none"/>
              </w:rPr>
              <w:t xml:space="preserve">    水平衡图 </w:t>
            </w:r>
            <w:r>
              <w:rPr>
                <w:rStyle w:val="193"/>
                <w:rFonts w:hint="eastAsia" w:cs="Times New Roman"/>
                <w:b/>
                <w:smallCaps w:val="0"/>
                <w:snapToGrid/>
                <w:color w:val="auto"/>
                <w:spacing w:val="0"/>
                <w:kern w:val="0"/>
                <w:highlight w:val="none"/>
                <w:lang w:val="en-US" w:eastAsia="zh-CN"/>
              </w:rPr>
              <w:t xml:space="preserve">  </w:t>
            </w:r>
            <w:r>
              <w:rPr>
                <w:rStyle w:val="193"/>
                <w:rFonts w:hint="default" w:ascii="Times New Roman" w:hAnsi="Times New Roman" w:cs="Times New Roman"/>
                <w:b/>
                <w:smallCaps w:val="0"/>
                <w:snapToGrid/>
                <w:color w:val="auto"/>
                <w:spacing w:val="0"/>
                <w:kern w:val="0"/>
                <w:highlight w:val="none"/>
              </w:rPr>
              <w:t>单位：m³/</w:t>
            </w:r>
            <w:r>
              <w:rPr>
                <w:rStyle w:val="193"/>
                <w:rFonts w:hint="eastAsia" w:cs="Times New Roman"/>
                <w:b/>
                <w:smallCaps w:val="0"/>
                <w:snapToGrid/>
                <w:color w:val="auto"/>
                <w:spacing w:val="0"/>
                <w:kern w:val="0"/>
                <w:highlight w:val="none"/>
                <w:lang w:val="en-US" w:eastAsia="zh-CN"/>
              </w:rPr>
              <w:t>d</w:t>
            </w:r>
          </w:p>
          <w:p w14:paraId="7D065D42">
            <w:pPr>
              <w:pStyle w:val="33"/>
              <w:keepNext w:val="0"/>
              <w:keepLines w:val="0"/>
              <w:pageBreakBefore w:val="0"/>
              <w:widowControl w:val="0"/>
              <w:suppressLineNumbers w:val="0"/>
              <w:kinsoku/>
              <w:wordWrap/>
              <w:overflowPunct/>
              <w:autoSpaceDE/>
              <w:autoSpaceDN/>
              <w:bidi w:val="0"/>
              <w:spacing w:before="0" w:beforeAutospacing="0" w:after="0" w:afterAutospacing="0" w:line="460" w:lineRule="exact"/>
              <w:ind w:left="0" w:right="0" w:firstLine="482"/>
              <w:textAlignment w:val="auto"/>
              <w:rPr>
                <w:rFonts w:hint="default" w:ascii="Times New Roman" w:hAnsi="Times New Roman" w:cs="Times New Roman"/>
                <w:b w:val="0"/>
                <w:bCs w:val="0"/>
                <w:smallCaps w:val="0"/>
                <w:color w:val="auto"/>
                <w:spacing w:val="0"/>
                <w:szCs w:val="20"/>
                <w:highlight w:val="none"/>
              </w:rPr>
            </w:pPr>
            <w:r>
              <w:rPr>
                <w:rFonts w:hint="default" w:ascii="Times New Roman" w:hAnsi="Times New Roman" w:cs="Times New Roman"/>
                <w:b w:val="0"/>
                <w:bCs w:val="0"/>
                <w:smallCaps w:val="0"/>
                <w:color w:val="auto"/>
                <w:spacing w:val="0"/>
                <w:szCs w:val="20"/>
                <w:highlight w:val="none"/>
              </w:rPr>
              <w:t>（2）供电</w:t>
            </w:r>
          </w:p>
          <w:p w14:paraId="298D27C8">
            <w:pPr>
              <w:pStyle w:val="33"/>
              <w:keepNext w:val="0"/>
              <w:keepLines w:val="0"/>
              <w:pageBreakBefore w:val="0"/>
              <w:widowControl w:val="0"/>
              <w:suppressLineNumbers w:val="0"/>
              <w:kinsoku/>
              <w:wordWrap/>
              <w:overflowPunct/>
              <w:autoSpaceDE/>
              <w:autoSpaceDN/>
              <w:bidi w:val="0"/>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本项目供电</w:t>
            </w:r>
            <w:r>
              <w:rPr>
                <w:rFonts w:hint="eastAsia" w:cs="Times New Roman"/>
                <w:smallCaps w:val="0"/>
                <w:color w:val="auto"/>
                <w:spacing w:val="0"/>
                <w:szCs w:val="20"/>
                <w:highlight w:val="none"/>
                <w:lang w:val="en-US" w:eastAsia="zh-CN"/>
              </w:rPr>
              <w:t>由园区提供</w:t>
            </w:r>
            <w:r>
              <w:rPr>
                <w:rFonts w:hint="default" w:ascii="Times New Roman" w:hAnsi="Times New Roman" w:cs="Times New Roman"/>
                <w:smallCaps w:val="0"/>
                <w:color w:val="auto"/>
                <w:spacing w:val="0"/>
                <w:szCs w:val="20"/>
                <w:highlight w:val="none"/>
                <w:lang w:eastAsia="zh-CN"/>
              </w:rPr>
              <w:t>，</w:t>
            </w:r>
            <w:r>
              <w:rPr>
                <w:rFonts w:hint="default" w:ascii="Times New Roman" w:hAnsi="Times New Roman" w:cs="Times New Roman"/>
                <w:smallCaps w:val="0"/>
                <w:color w:val="auto"/>
                <w:spacing w:val="0"/>
                <w:szCs w:val="20"/>
                <w:highlight w:val="none"/>
                <w:lang w:val="en-US" w:eastAsia="zh-CN"/>
              </w:rPr>
              <w:t>用电量为</w:t>
            </w:r>
            <w:r>
              <w:rPr>
                <w:rFonts w:hint="eastAsia" w:cs="Times New Roman"/>
                <w:smallCaps w:val="0"/>
                <w:color w:val="auto"/>
                <w:spacing w:val="0"/>
                <w:szCs w:val="20"/>
                <w:highlight w:val="none"/>
                <w:lang w:val="en-US" w:eastAsia="zh-CN"/>
              </w:rPr>
              <w:t>200万</w:t>
            </w:r>
            <w:r>
              <w:rPr>
                <w:rFonts w:hint="default" w:ascii="Times New Roman" w:hAnsi="Times New Roman" w:cs="Times New Roman"/>
                <w:smallCaps w:val="0"/>
                <w:color w:val="auto"/>
                <w:spacing w:val="0"/>
                <w:szCs w:val="20"/>
                <w:highlight w:val="none"/>
                <w:lang w:val="en-US" w:eastAsia="zh-CN"/>
              </w:rPr>
              <w:t>k</w:t>
            </w:r>
            <w:r>
              <w:rPr>
                <w:rFonts w:hint="eastAsia" w:cs="Times New Roman"/>
                <w:smallCaps w:val="0"/>
                <w:color w:val="auto"/>
                <w:spacing w:val="0"/>
                <w:szCs w:val="20"/>
                <w:highlight w:val="none"/>
                <w:lang w:val="en-US" w:eastAsia="zh-CN"/>
              </w:rPr>
              <w:t>W</w:t>
            </w:r>
            <w:r>
              <w:rPr>
                <w:rFonts w:hint="default" w:ascii="Times New Roman" w:hAnsi="Times New Roman" w:cs="Times New Roman"/>
                <w:smallCaps w:val="0"/>
                <w:color w:val="auto"/>
                <w:spacing w:val="0"/>
                <w:szCs w:val="20"/>
                <w:highlight w:val="none"/>
                <w:lang w:val="en-US" w:eastAsia="zh-CN"/>
              </w:rPr>
              <w:t>·h/a</w:t>
            </w:r>
            <w:r>
              <w:rPr>
                <w:rFonts w:hint="default" w:ascii="Times New Roman" w:hAnsi="Times New Roman" w:cs="Times New Roman"/>
                <w:smallCaps w:val="0"/>
                <w:color w:val="auto"/>
                <w:spacing w:val="0"/>
                <w:szCs w:val="20"/>
                <w:highlight w:val="none"/>
              </w:rPr>
              <w:t>。</w:t>
            </w:r>
          </w:p>
          <w:p w14:paraId="2CDC0CB2">
            <w:pPr>
              <w:pStyle w:val="33"/>
              <w:keepNext w:val="0"/>
              <w:keepLines w:val="0"/>
              <w:pageBreakBefore w:val="0"/>
              <w:widowControl w:val="0"/>
              <w:suppressLineNumbers w:val="0"/>
              <w:kinsoku/>
              <w:wordWrap/>
              <w:overflowPunct/>
              <w:autoSpaceDE/>
              <w:autoSpaceDN/>
              <w:bidi w:val="0"/>
              <w:spacing w:before="0" w:beforeAutospacing="0" w:after="0" w:afterAutospacing="0" w:line="460" w:lineRule="exact"/>
              <w:ind w:left="0" w:right="0" w:firstLine="482"/>
              <w:textAlignment w:val="auto"/>
              <w:rPr>
                <w:rFonts w:hint="default" w:ascii="Times New Roman" w:hAnsi="Times New Roman" w:cs="Times New Roman"/>
                <w:b w:val="0"/>
                <w:bCs w:val="0"/>
                <w:smallCaps w:val="0"/>
                <w:color w:val="auto"/>
                <w:spacing w:val="0"/>
                <w:szCs w:val="20"/>
                <w:highlight w:val="none"/>
              </w:rPr>
            </w:pPr>
            <w:r>
              <w:rPr>
                <w:rFonts w:hint="default" w:ascii="Times New Roman" w:hAnsi="Times New Roman" w:cs="Times New Roman"/>
                <w:b w:val="0"/>
                <w:bCs w:val="0"/>
                <w:smallCaps w:val="0"/>
                <w:color w:val="auto"/>
                <w:spacing w:val="0"/>
                <w:szCs w:val="20"/>
                <w:highlight w:val="none"/>
              </w:rPr>
              <w:t>（3）供暖及制冷</w:t>
            </w:r>
          </w:p>
          <w:p w14:paraId="49B5D3CC">
            <w:pPr>
              <w:pStyle w:val="33"/>
              <w:keepNext w:val="0"/>
              <w:keepLines w:val="0"/>
              <w:pageBreakBefore w:val="0"/>
              <w:widowControl w:val="0"/>
              <w:suppressLineNumbers w:val="0"/>
              <w:kinsoku/>
              <w:wordWrap/>
              <w:overflowPunct/>
              <w:autoSpaceDE/>
              <w:autoSpaceDN/>
              <w:bidi w:val="0"/>
              <w:spacing w:before="0" w:beforeAutospacing="0" w:after="0" w:afterAutospacing="0" w:line="460" w:lineRule="exact"/>
              <w:ind w:left="0" w:right="0" w:firstLine="480"/>
              <w:textAlignment w:val="auto"/>
              <w:rPr>
                <w:rFonts w:hint="default" w:ascii="Times New Roman" w:hAnsi="Times New Roman" w:cs="Times New Roman"/>
                <w:smallCaps w:val="0"/>
                <w:color w:val="auto"/>
                <w:spacing w:val="0"/>
                <w:szCs w:val="20"/>
                <w:highlight w:val="none"/>
                <w:lang w:eastAsia="zh-CN"/>
              </w:rPr>
            </w:pPr>
            <w:r>
              <w:rPr>
                <w:rFonts w:hint="default" w:ascii="Times New Roman" w:hAnsi="Times New Roman" w:cs="Times New Roman"/>
                <w:smallCaps w:val="0"/>
                <w:color w:val="auto"/>
                <w:spacing w:val="0"/>
                <w:szCs w:val="20"/>
                <w:highlight w:val="none"/>
              </w:rPr>
              <w:t>本</w:t>
            </w:r>
            <w:r>
              <w:rPr>
                <w:rFonts w:hint="default" w:ascii="Times New Roman" w:hAnsi="Times New Roman" w:cs="Times New Roman"/>
                <w:smallCaps w:val="0"/>
                <w:color w:val="auto"/>
                <w:spacing w:val="0"/>
                <w:szCs w:val="20"/>
                <w:highlight w:val="none"/>
                <w:lang w:eastAsia="zh-CN"/>
              </w:rPr>
              <w:t>项目生产使用电加热，</w:t>
            </w:r>
            <w:r>
              <w:rPr>
                <w:rFonts w:hint="default" w:ascii="Times New Roman" w:hAnsi="Times New Roman" w:cs="Times New Roman"/>
                <w:smallCaps w:val="0"/>
                <w:color w:val="auto"/>
                <w:spacing w:val="0"/>
                <w:szCs w:val="20"/>
                <w:highlight w:val="none"/>
              </w:rPr>
              <w:t>办公</w:t>
            </w:r>
            <w:r>
              <w:rPr>
                <w:rFonts w:hint="eastAsia" w:cs="Times New Roman"/>
                <w:smallCaps w:val="0"/>
                <w:color w:val="auto"/>
                <w:spacing w:val="0"/>
                <w:szCs w:val="20"/>
                <w:highlight w:val="none"/>
                <w:lang w:val="en-US" w:eastAsia="zh-CN"/>
              </w:rPr>
              <w:t>供暖</w:t>
            </w:r>
            <w:r>
              <w:rPr>
                <w:rFonts w:hint="default" w:ascii="Times New Roman" w:hAnsi="Times New Roman" w:cs="Times New Roman"/>
                <w:smallCaps w:val="0"/>
                <w:color w:val="auto"/>
                <w:spacing w:val="0"/>
                <w:szCs w:val="20"/>
                <w:highlight w:val="none"/>
              </w:rPr>
              <w:t>冬季采用空调</w:t>
            </w:r>
            <w:r>
              <w:rPr>
                <w:rFonts w:hint="default" w:ascii="Times New Roman" w:hAnsi="Times New Roman" w:cs="Times New Roman"/>
                <w:smallCaps w:val="0"/>
                <w:color w:val="auto"/>
                <w:spacing w:val="0"/>
                <w:szCs w:val="20"/>
                <w:highlight w:val="none"/>
                <w:lang w:eastAsia="zh-CN"/>
              </w:rPr>
              <w:t>。</w:t>
            </w:r>
          </w:p>
          <w:p w14:paraId="4A375E0F">
            <w:pPr>
              <w:pStyle w:val="33"/>
              <w:keepNext w:val="0"/>
              <w:keepLines w:val="0"/>
              <w:pageBreakBefore w:val="0"/>
              <w:widowControl w:val="0"/>
              <w:numPr>
                <w:ilvl w:val="0"/>
                <w:numId w:val="0"/>
              </w:numPr>
              <w:suppressLineNumbers w:val="0"/>
              <w:kinsoku/>
              <w:wordWrap/>
              <w:overflowPunct/>
              <w:autoSpaceDE/>
              <w:autoSpaceDN/>
              <w:bidi w:val="0"/>
              <w:spacing w:before="0" w:beforeAutospacing="0" w:after="0" w:afterAutospacing="0" w:line="480" w:lineRule="exact"/>
              <w:ind w:left="0" w:right="0" w:firstLine="482" w:firstLineChars="200"/>
              <w:textAlignment w:val="auto"/>
              <w:rPr>
                <w:rFonts w:hint="default" w:ascii="Times New Roman" w:hAnsi="Times New Roman" w:cs="Times New Roman"/>
                <w:b/>
                <w:bCs/>
                <w:smallCaps w:val="0"/>
                <w:color w:val="auto"/>
                <w:spacing w:val="0"/>
                <w:szCs w:val="20"/>
                <w:highlight w:val="none"/>
                <w:lang w:val="en-US" w:eastAsia="zh-CN"/>
              </w:rPr>
            </w:pPr>
            <w:r>
              <w:rPr>
                <w:rFonts w:hint="eastAsia" w:cs="Times New Roman"/>
                <w:b/>
                <w:bCs/>
                <w:smallCaps w:val="0"/>
                <w:snapToGrid w:val="0"/>
                <w:color w:val="auto"/>
                <w:spacing w:val="0"/>
                <w:kern w:val="0"/>
                <w:sz w:val="24"/>
                <w:szCs w:val="20"/>
                <w:highlight w:val="none"/>
                <w:lang w:val="en-US" w:eastAsia="zh-CN" w:bidi="ar-SA"/>
              </w:rPr>
              <w:t>6</w:t>
            </w:r>
            <w:r>
              <w:rPr>
                <w:rFonts w:hint="default" w:ascii="Times New Roman" w:hAnsi="Times New Roman" w:eastAsia="宋体" w:cs="Times New Roman"/>
                <w:b/>
                <w:bCs/>
                <w:smallCaps w:val="0"/>
                <w:snapToGrid w:val="0"/>
                <w:color w:val="auto"/>
                <w:spacing w:val="0"/>
                <w:kern w:val="0"/>
                <w:sz w:val="24"/>
                <w:szCs w:val="20"/>
                <w:highlight w:val="none"/>
                <w:lang w:val="en-US" w:eastAsia="zh-CN" w:bidi="ar-SA"/>
              </w:rPr>
              <w:t>、</w:t>
            </w:r>
            <w:r>
              <w:rPr>
                <w:rFonts w:hint="default" w:ascii="Times New Roman" w:hAnsi="Times New Roman" w:cs="Times New Roman"/>
                <w:b/>
                <w:bCs/>
                <w:smallCaps w:val="0"/>
                <w:color w:val="auto"/>
                <w:spacing w:val="0"/>
                <w:szCs w:val="20"/>
                <w:highlight w:val="none"/>
                <w:lang w:val="en-US" w:eastAsia="zh-CN"/>
              </w:rPr>
              <w:t>平面布置</w:t>
            </w:r>
          </w:p>
          <w:p w14:paraId="19D012A1">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szCs w:val="20"/>
                <w:highlight w:val="none"/>
                <w:lang w:val="en-US" w:eastAsia="zh-CN"/>
              </w:rPr>
            </w:pPr>
            <w:r>
              <w:rPr>
                <w:rFonts w:hint="default" w:ascii="Times New Roman" w:hAnsi="Times New Roman" w:cs="Times New Roman"/>
                <w:smallCaps w:val="0"/>
                <w:color w:val="auto"/>
                <w:spacing w:val="0"/>
                <w:highlight w:val="none"/>
              </w:rPr>
              <w:t>本项目</w:t>
            </w:r>
            <w:r>
              <w:rPr>
                <w:rFonts w:hint="eastAsia" w:cs="Times New Roman"/>
                <w:smallCaps w:val="0"/>
                <w:color w:val="auto"/>
                <w:spacing w:val="0"/>
                <w:highlight w:val="none"/>
                <w:lang w:val="en-US" w:eastAsia="zh-CN"/>
              </w:rPr>
              <w:t>租赁</w:t>
            </w:r>
            <w:r>
              <w:rPr>
                <w:rFonts w:hint="eastAsia" w:ascii="Times New Roman" w:hAnsi="Times New Roman" w:cs="Times New Roman"/>
                <w:color w:val="auto"/>
                <w:sz w:val="24"/>
                <w:highlight w:val="none"/>
                <w:lang w:val="en-US" w:eastAsia="zh-CN"/>
              </w:rPr>
              <w:t>河北鑫鸿工业园建设发展有限公司现有5号厂房</w:t>
            </w:r>
            <w:r>
              <w:rPr>
                <w:rFonts w:hint="eastAsia" w:cs="Times New Roman"/>
                <w:smallCaps w:val="0"/>
                <w:color w:val="auto"/>
                <w:spacing w:val="0"/>
                <w:highlight w:val="none"/>
                <w:lang w:val="en-US" w:eastAsia="zh-CN"/>
              </w:rPr>
              <w:t>，位于</w:t>
            </w:r>
            <w:r>
              <w:rPr>
                <w:rFonts w:hint="eastAsia" w:ascii="Times New Roman" w:hAnsi="Times New Roman" w:cs="Times New Roman"/>
                <w:color w:val="auto"/>
                <w:sz w:val="24"/>
                <w:highlight w:val="none"/>
                <w:lang w:val="en-US" w:eastAsia="zh-CN"/>
              </w:rPr>
              <w:t>河北鑫鸿工业园建设发展有限公司</w:t>
            </w:r>
            <w:r>
              <w:rPr>
                <w:rFonts w:hint="eastAsia" w:cs="Times New Roman"/>
                <w:smallCaps w:val="0"/>
                <w:color w:val="auto"/>
                <w:spacing w:val="0"/>
                <w:highlight w:val="none"/>
                <w:lang w:eastAsia="zh-CN"/>
              </w:rPr>
              <w:t>现有厂区</w:t>
            </w:r>
            <w:r>
              <w:rPr>
                <w:rFonts w:hint="eastAsia" w:cs="Times New Roman"/>
                <w:smallCaps w:val="0"/>
                <w:color w:val="auto"/>
                <w:spacing w:val="0"/>
                <w:highlight w:val="none"/>
                <w:lang w:val="en-US" w:eastAsia="zh-CN"/>
              </w:rPr>
              <w:t>中部；车间内部设置成品区、原料区、制壳区、打磨区、办公区、浇注区、熔炼区、注砂落砂区等，功能明确，且</w:t>
            </w:r>
            <w:r>
              <w:rPr>
                <w:rFonts w:hint="default" w:ascii="Times New Roman" w:hAnsi="Times New Roman" w:cs="Times New Roman"/>
                <w:smallCaps w:val="0"/>
                <w:color w:val="auto"/>
                <w:spacing w:val="0"/>
                <w:highlight w:val="none"/>
              </w:rPr>
              <w:t>便于物料的转运</w:t>
            </w:r>
            <w:r>
              <w:rPr>
                <w:rFonts w:hint="eastAsia" w:cs="Times New Roman"/>
                <w:smallCaps w:val="0"/>
                <w:color w:val="auto"/>
                <w:spacing w:val="0"/>
                <w:highlight w:val="none"/>
                <w:lang w:eastAsia="zh-CN"/>
              </w:rPr>
              <w:t>，</w:t>
            </w:r>
            <w:r>
              <w:rPr>
                <w:rFonts w:hint="eastAsia" w:cs="Times New Roman"/>
                <w:smallCaps w:val="0"/>
                <w:color w:val="auto"/>
                <w:spacing w:val="0"/>
                <w:highlight w:val="none"/>
                <w:lang w:val="en-US" w:eastAsia="zh-CN"/>
              </w:rPr>
              <w:t>布局合理。</w:t>
            </w:r>
            <w:r>
              <w:rPr>
                <w:rFonts w:hint="default" w:ascii="Times New Roman" w:hAnsi="Times New Roman" w:cs="Times New Roman"/>
                <w:smallCaps w:val="0"/>
                <w:color w:val="auto"/>
                <w:spacing w:val="0"/>
                <w:highlight w:val="none"/>
              </w:rPr>
              <w:t>项目平面布置图见附图3</w:t>
            </w:r>
            <w:r>
              <w:rPr>
                <w:rFonts w:hint="default" w:ascii="Times New Roman" w:hAnsi="Times New Roman" w:cs="Times New Roman"/>
                <w:smallCaps w:val="0"/>
                <w:color w:val="auto"/>
                <w:spacing w:val="0"/>
                <w:highlight w:val="none"/>
                <w:lang w:eastAsia="zh-CN"/>
              </w:rPr>
              <w:t>。</w:t>
            </w:r>
          </w:p>
        </w:tc>
      </w:tr>
    </w:tbl>
    <w:p w14:paraId="2092B5FC">
      <w:pPr>
        <w:pStyle w:val="41"/>
        <w:adjustRightInd w:val="0"/>
        <w:snapToGrid w:val="0"/>
        <w:spacing w:before="0" w:beforeAutospacing="0" w:after="0" w:afterAutospacing="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br w:type="page"/>
      </w:r>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8385"/>
      </w:tblGrid>
      <w:tr w14:paraId="3E0B4A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3032" w:hRule="atLeast"/>
          <w:jc w:val="center"/>
        </w:trPr>
        <w:tc>
          <w:tcPr>
            <w:tcW w:w="675" w:type="dxa"/>
            <w:vAlign w:val="center"/>
          </w:tcPr>
          <w:p w14:paraId="55AE8F78">
            <w:pPr>
              <w:pStyle w:val="41"/>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工艺流程和产排污环节</w:t>
            </w:r>
          </w:p>
        </w:tc>
        <w:tc>
          <w:tcPr>
            <w:tcW w:w="8385" w:type="dxa"/>
          </w:tcPr>
          <w:p w14:paraId="3B7F4F35">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1、施工期实施工艺</w:t>
            </w:r>
          </w:p>
          <w:p w14:paraId="40EC7DDB">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w:t>
            </w:r>
            <w:r>
              <w:rPr>
                <w:rFonts w:hint="eastAsia" w:cs="Times New Roman"/>
                <w:smallCaps w:val="0"/>
                <w:color w:val="auto"/>
                <w:spacing w:val="0"/>
                <w:highlight w:val="none"/>
                <w:lang w:val="en-US" w:eastAsia="zh-CN"/>
              </w:rPr>
              <w:t>租赁</w:t>
            </w:r>
            <w:r>
              <w:rPr>
                <w:rFonts w:hint="eastAsia" w:ascii="Times New Roman" w:hAnsi="Times New Roman" w:cs="Times New Roman"/>
                <w:color w:val="auto"/>
                <w:sz w:val="24"/>
                <w:highlight w:val="none"/>
                <w:lang w:val="en-US" w:eastAsia="zh-CN"/>
              </w:rPr>
              <w:t>河北鑫鸿工业园建设发展有限公司现有5号厂房</w:t>
            </w:r>
            <w:r>
              <w:rPr>
                <w:rFonts w:hint="default" w:ascii="Times New Roman" w:hAnsi="Times New Roman" w:cs="Times New Roman"/>
                <w:smallCaps w:val="0"/>
                <w:color w:val="auto"/>
                <w:spacing w:val="0"/>
                <w:highlight w:val="none"/>
              </w:rPr>
              <w:t>，</w:t>
            </w:r>
            <w:r>
              <w:rPr>
                <w:rFonts w:hint="eastAsia" w:cs="Times New Roman"/>
                <w:smallCaps w:val="0"/>
                <w:color w:val="auto"/>
                <w:spacing w:val="0"/>
                <w:highlight w:val="none"/>
                <w:lang w:val="en-US" w:eastAsia="zh-CN"/>
              </w:rPr>
              <w:t>不涉及主体建筑土建施工等，</w:t>
            </w:r>
            <w:r>
              <w:rPr>
                <w:rFonts w:hint="default" w:ascii="Times New Roman" w:hAnsi="Times New Roman" w:cs="Times New Roman"/>
                <w:smallCaps w:val="0"/>
                <w:color w:val="auto"/>
                <w:spacing w:val="0"/>
                <w:highlight w:val="none"/>
              </w:rPr>
              <w:t>施工期主要包括设备安装、调试运行等。施工过程中产生施工废水、噪声及施工固体废弃物。施工期工艺流程图及产污环节见图2-</w:t>
            </w:r>
            <w:r>
              <w:rPr>
                <w:rFonts w:hint="default" w:ascii="Times New Roman" w:hAnsi="Times New Roman"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w:t>
            </w:r>
          </w:p>
          <w:p w14:paraId="2124A032">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color w:val="auto"/>
                <w:sz w:val="24"/>
                <w:highlight w:val="none"/>
              </w:rPr>
              <mc:AlternateContent>
                <mc:Choice Requires="wpg">
                  <w:drawing>
                    <wp:anchor distT="0" distB="0" distL="114300" distR="114300" simplePos="0" relativeHeight="251660288" behindDoc="0" locked="0" layoutInCell="1" allowOverlap="1">
                      <wp:simplePos x="0" y="0"/>
                      <wp:positionH relativeFrom="column">
                        <wp:posOffset>914400</wp:posOffset>
                      </wp:positionH>
                      <wp:positionV relativeFrom="paragraph">
                        <wp:posOffset>31750</wp:posOffset>
                      </wp:positionV>
                      <wp:extent cx="3096260" cy="1453515"/>
                      <wp:effectExtent l="4445" t="0" r="23495" b="10795"/>
                      <wp:wrapNone/>
                      <wp:docPr id="78" name="组合 78"/>
                      <wp:cNvGraphicFramePr/>
                      <a:graphic xmlns:a="http://schemas.openxmlformats.org/drawingml/2006/main">
                        <a:graphicData uri="http://schemas.microsoft.com/office/word/2010/wordprocessingGroup">
                          <wpg:wgp>
                            <wpg:cNvGrpSpPr/>
                            <wpg:grpSpPr>
                              <a:xfrm>
                                <a:off x="0" y="0"/>
                                <a:ext cx="3096260" cy="1453515"/>
                                <a:chOff x="6025" y="825137"/>
                                <a:chExt cx="4876" cy="2289"/>
                              </a:xfrm>
                            </wpg:grpSpPr>
                            <wps:wsp>
                              <wps:cNvPr id="126" name="文本框 13"/>
                              <wps:cNvSpPr txBox="1"/>
                              <wps:spPr>
                                <a:xfrm>
                                  <a:off x="6025" y="826902"/>
                                  <a:ext cx="1447" cy="458"/>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4201FF91">
                                    <w:pPr>
                                      <w:jc w:val="center"/>
                                      <w:rPr>
                                        <w:rFonts w:hint="default"/>
                                        <w:lang w:val="en-US" w:eastAsia="zh-CN"/>
                                      </w:rPr>
                                    </w:pPr>
                                    <w:r>
                                      <w:rPr>
                                        <w:rFonts w:hint="eastAsia"/>
                                        <w:lang w:val="en-US" w:eastAsia="zh-CN"/>
                                      </w:rPr>
                                      <w:t>设备安装</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28" name="文本框 14"/>
                              <wps:cNvSpPr txBox="1"/>
                              <wps:spPr>
                                <a:xfrm>
                                  <a:off x="9395" y="826928"/>
                                  <a:ext cx="1507" cy="499"/>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D1C9691">
                                    <w:pPr>
                                      <w:jc w:val="center"/>
                                      <w:rPr>
                                        <w:rFonts w:hint="default" w:eastAsia="宋体"/>
                                        <w:lang w:val="en-US" w:eastAsia="zh-CN"/>
                                      </w:rPr>
                                    </w:pPr>
                                    <w:r>
                                      <w:rPr>
                                        <w:rFonts w:hint="eastAsia"/>
                                        <w:lang w:val="en-US" w:eastAsia="zh-CN"/>
                                      </w:rPr>
                                      <w:t>调试运行</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9" name="直接箭头连接符 18"/>
                              <wps:cNvCnPr/>
                              <wps:spPr>
                                <a:xfrm>
                                  <a:off x="7473" y="827162"/>
                                  <a:ext cx="1904" cy="0"/>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49" name="文本框 27"/>
                              <wps:cNvSpPr txBox="1"/>
                              <wps:spPr>
                                <a:xfrm>
                                  <a:off x="6812" y="825137"/>
                                  <a:ext cx="1317" cy="73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A38FAA">
                                    <w:pPr>
                                      <w:jc w:val="center"/>
                                      <w:rPr>
                                        <w:rFonts w:hint="default" w:eastAsia="宋体"/>
                                        <w:lang w:val="en-US" w:eastAsia="zh-CN"/>
                                      </w:rPr>
                                    </w:pPr>
                                    <w:r>
                                      <w:rPr>
                                        <w:rFonts w:hint="eastAsia"/>
                                        <w:lang w:val="en-US" w:eastAsia="zh-CN"/>
                                      </w:rPr>
                                      <w:t>施工废水、生活污水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0" name="文本框 28"/>
                              <wps:cNvSpPr txBox="1"/>
                              <wps:spPr>
                                <a:xfrm>
                                  <a:off x="7999" y="825347"/>
                                  <a:ext cx="941" cy="477"/>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471B4D">
                                    <w:pPr>
                                      <w:jc w:val="center"/>
                                      <w:rPr>
                                        <w:rFonts w:hint="default" w:eastAsia="宋体"/>
                                        <w:lang w:val="en-US" w:eastAsia="zh-CN"/>
                                      </w:rPr>
                                    </w:pPr>
                                    <w:r>
                                      <w:rPr>
                                        <w:rFonts w:hint="eastAsia"/>
                                        <w:lang w:val="en-US" w:eastAsia="zh-CN"/>
                                      </w:rPr>
                                      <w:t>噪声</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2" name="文本框 27"/>
                              <wps:cNvSpPr txBox="1"/>
                              <wps:spPr>
                                <a:xfrm>
                                  <a:off x="9152" y="825197"/>
                                  <a:ext cx="1345" cy="70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6A98D8">
                                    <w:pPr>
                                      <w:jc w:val="center"/>
                                      <w:rPr>
                                        <w:rFonts w:hint="default" w:eastAsia="宋体"/>
                                        <w:lang w:val="en-US" w:eastAsia="zh-CN"/>
                                      </w:rPr>
                                    </w:pPr>
                                    <w:r>
                                      <w:rPr>
                                        <w:rFonts w:hint="eastAsia"/>
                                        <w:lang w:val="en-US" w:eastAsia="zh-CN"/>
                                      </w:rPr>
                                      <w:t>生活垃圾、建筑垃圾</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3" name="任意多边形 153"/>
                              <wps:cNvSpPr/>
                              <wps:spPr>
                                <a:xfrm>
                                  <a:off x="6428" y="826488"/>
                                  <a:ext cx="3525" cy="450"/>
                                </a:xfrm>
                                <a:custGeom>
                                  <a:avLst/>
                                  <a:gdLst>
                                    <a:gd name="connisteX0" fmla="*/ 0 w 2238375"/>
                                    <a:gd name="connsiteY0" fmla="*/ 285750 h 285750"/>
                                    <a:gd name="connisteX1" fmla="*/ 0 w 2238375"/>
                                    <a:gd name="connsiteY1" fmla="*/ 0 h 285750"/>
                                    <a:gd name="connisteX2" fmla="*/ 2238375 w 2238375"/>
                                    <a:gd name="connsiteY2" fmla="*/ 0 h 285750"/>
                                    <a:gd name="connisteX3" fmla="*/ 2238375 w 2238375"/>
                                    <a:gd name="connsiteY3" fmla="*/ 276225 h 285750"/>
                                  </a:gdLst>
                                  <a:ahLst/>
                                  <a:cxnLst>
                                    <a:cxn ang="0">
                                      <a:pos x="connisteX0" y="connsiteY0"/>
                                    </a:cxn>
                                    <a:cxn ang="0">
                                      <a:pos x="connisteX1" y="connsiteY1"/>
                                    </a:cxn>
                                    <a:cxn ang="0">
                                      <a:pos x="connisteX2" y="connsiteY2"/>
                                    </a:cxn>
                                    <a:cxn ang="0">
                                      <a:pos x="connisteX3" y="connsiteY3"/>
                                    </a:cxn>
                                  </a:cxnLst>
                                  <a:rect l="l" t="t" r="r" b="b"/>
                                  <a:pathLst>
                                    <a:path w="2238375" h="285750">
                                      <a:moveTo>
                                        <a:pt x="0" y="285750"/>
                                      </a:moveTo>
                                      <a:lnTo>
                                        <a:pt x="0" y="0"/>
                                      </a:lnTo>
                                      <a:lnTo>
                                        <a:pt x="2238375" y="0"/>
                                      </a:lnTo>
                                      <a:lnTo>
                                        <a:pt x="2238375" y="276225"/>
                                      </a:lnTo>
                                    </a:path>
                                  </a:pathLst>
                                </a:custGeom>
                                <a:no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wps:wsp>
                            <wps:wsp>
                              <wps:cNvPr id="157" name="直接箭头连接符 157"/>
                              <wps:cNvCnPr/>
                              <wps:spPr>
                                <a:xfrm flipV="1">
                                  <a:off x="7463" y="825814"/>
                                  <a:ext cx="0" cy="674"/>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wps:wsp>
                              <wps:cNvPr id="158" name="直接箭头连接符 158"/>
                              <wps:cNvCnPr/>
                              <wps:spPr>
                                <a:xfrm flipV="1">
                                  <a:off x="8468" y="825814"/>
                                  <a:ext cx="0" cy="674"/>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wps:wsp>
                              <wps:cNvPr id="159" name="直接箭头连接符 159"/>
                              <wps:cNvCnPr/>
                              <wps:spPr>
                                <a:xfrm flipV="1">
                                  <a:off x="9548" y="825829"/>
                                  <a:ext cx="0" cy="674"/>
                                </a:xfrm>
                                <a:prstGeom prst="straightConnector1">
                                  <a:avLst/>
                                </a:prstGeom>
                                <a:ln>
                                  <a:solidFill>
                                    <a:schemeClr val="tx1"/>
                                  </a:solidFill>
                                  <a:prstDash val="dash"/>
                                  <a:headEnd type="none"/>
                                  <a:tailEnd type="triangle" w="med" len="med"/>
                                </a:ln>
                              </wps:spPr>
                              <wps:style>
                                <a:lnRef idx="2">
                                  <a:schemeClr val="accent1"/>
                                </a:lnRef>
                                <a:fillRef idx="0">
                                  <a:srgbClr val="FFFFFF"/>
                                </a:fillRef>
                                <a:effectRef idx="0">
                                  <a:srgbClr val="FFFFFF"/>
                                </a:effectRef>
                                <a:fontRef idx="minor">
                                  <a:schemeClr val="tx1"/>
                                </a:fontRef>
                              </wps:style>
                              <wps:bodyPr/>
                            </wps:wsp>
                          </wpg:wgp>
                        </a:graphicData>
                      </a:graphic>
                    </wp:anchor>
                  </w:drawing>
                </mc:Choice>
                <mc:Fallback>
                  <w:pict>
                    <v:group id="_x0000_s1026" o:spid="_x0000_s1026" o:spt="203" style="position:absolute;left:0pt;margin-left:72pt;margin-top:2.5pt;height:114.45pt;width:243.8pt;z-index:251660288;mso-width-relative:page;mso-height-relative:page;" coordorigin="6025,825137" coordsize="4876,2289" o:gfxdata="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">
                      <o:lock v:ext="edit" aspectratio="f"/>
                      <v:shape id="文本框 13" o:spid="_x0000_s1026" o:spt="202" type="#_x0000_t202" style="position:absolute;left:6025;top:826902;height:458;width:1447;" filled="f" stroked="t" coordsize="21600,21600" o:gfxdata="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o0HovQAA&#10;ANwAAAAPAAAAAAAAAAEAIAAAACIAAABkcnMvZG93bnJldi54bWxQSwECFAAUAAAACACHTuJAMy8F&#10;njsAAAA5AAAAEAAAAAAAAAABACAAAAAMAQAAZHJzL3NoYXBleG1sLnhtbFBLBQYAAAAABgAGAFsB&#10;AAC2AwAAAAA=&#10;">
                        <v:fill on="f" focussize="0,0"/>
                        <v:stroke weight="0.5pt" color="#000000 [3204]" joinstyle="round"/>
                        <v:imagedata o:title=""/>
                        <o:lock v:ext="edit" aspectratio="f"/>
                        <v:textbox>
                          <w:txbxContent>
                            <w:p w14:paraId="4201FF91">
                              <w:pPr>
                                <w:jc w:val="center"/>
                                <w:rPr>
                                  <w:rFonts w:hint="default"/>
                                  <w:lang w:val="en-US" w:eastAsia="zh-CN"/>
                                </w:rPr>
                              </w:pPr>
                              <w:r>
                                <w:rPr>
                                  <w:rFonts w:hint="eastAsia"/>
                                  <w:lang w:val="en-US" w:eastAsia="zh-CN"/>
                                </w:rPr>
                                <w:t>设备安装</w:t>
                              </w:r>
                            </w:p>
                          </w:txbxContent>
                        </v:textbox>
                      </v:shape>
                      <v:shape id="文本框 14" o:spid="_x0000_s1026" o:spt="202" type="#_x0000_t202" style="position:absolute;left:9395;top:826928;height:499;width:1507;" filled="f" stroked="t" coordsize="21600,21600" o:gfxdata="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cHAB&#10;wAAAANwAAAAPAAAAAAAAAAEAIAAAACIAAABkcnMvZG93bnJldi54bWxQSwECFAAUAAAACACHTuJA&#10;My8FnjsAAAA5AAAAEAAAAAAAAAABACAAAAAPAQAAZHJzL3NoYXBleG1sLnhtbFBLBQYAAAAABgAG&#10;AFsBAAC5AwAAAAA=&#10;">
                        <v:fill on="f" focussize="0,0"/>
                        <v:stroke weight="0.5pt" color="#000000 [3204]" joinstyle="round"/>
                        <v:imagedata o:title=""/>
                        <o:lock v:ext="edit" aspectratio="f"/>
                        <v:textbox>
                          <w:txbxContent>
                            <w:p w14:paraId="1D1C9691">
                              <w:pPr>
                                <w:jc w:val="center"/>
                                <w:rPr>
                                  <w:rFonts w:hint="default" w:eastAsia="宋体"/>
                                  <w:lang w:val="en-US" w:eastAsia="zh-CN"/>
                                </w:rPr>
                              </w:pPr>
                              <w:r>
                                <w:rPr>
                                  <w:rFonts w:hint="eastAsia"/>
                                  <w:lang w:val="en-US" w:eastAsia="zh-CN"/>
                                </w:rPr>
                                <w:t>调试运行</w:t>
                              </w:r>
                            </w:p>
                          </w:txbxContent>
                        </v:textbox>
                      </v:shape>
                      <v:shape id="直接箭头连接符 18" o:spid="_x0000_s1026" o:spt="32" type="#_x0000_t32" style="position:absolute;left:7473;top:827162;height:0;width:1904;" filled="f" stroked="t" coordsize="21600,21600" o:gfxdata="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xZL27sAAADc&#10;AAAADwAAAAAAAAABACAAAAAiAAAAZHJzL2Rvd25yZXYueG1sUEsBAhQAFAAAAAgAh07iQDMvBZ47&#10;AAAAOQAAABAAAAAAAAAAAQAgAAAACgEAAGRycy9zaGFwZXhtbC54bWxQSwUGAAAAAAYABgBbAQAA&#10;tAMAAAAA&#10;">
                        <v:fill on="f" focussize="0,0"/>
                        <v:stroke weight="0.5pt" color="#000000 [3213]" miterlimit="8" joinstyle="miter" endarrow="block"/>
                        <v:imagedata o:title=""/>
                        <o:lock v:ext="edit" aspectratio="f"/>
                      </v:shape>
                      <v:shape id="文本框 27" o:spid="_x0000_s1026" o:spt="202" type="#_x0000_t202" style="position:absolute;left:6812;top:825137;height:732;width:1317;" filled="f" stroked="f" coordsize="21600,21600" o:gfxdata="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Jod07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8A38FAA">
                              <w:pPr>
                                <w:jc w:val="center"/>
                                <w:rPr>
                                  <w:rFonts w:hint="default" w:eastAsia="宋体"/>
                                  <w:lang w:val="en-US" w:eastAsia="zh-CN"/>
                                </w:rPr>
                              </w:pPr>
                              <w:r>
                                <w:rPr>
                                  <w:rFonts w:hint="eastAsia"/>
                                  <w:lang w:val="en-US" w:eastAsia="zh-CN"/>
                                </w:rPr>
                                <w:t>施工废水、生活污水</w:t>
                              </w:r>
                            </w:p>
                          </w:txbxContent>
                        </v:textbox>
                      </v:shape>
                      <v:shape id="文本框 28" o:spid="_x0000_s1026" o:spt="202" type="#_x0000_t202" style="position:absolute;left:7999;top:825347;height:477;width:941;" filled="f" stroked="f" coordsize="21600,21600" o:gfxdata="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5IpO/&#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1471B4D">
                              <w:pPr>
                                <w:jc w:val="center"/>
                                <w:rPr>
                                  <w:rFonts w:hint="default" w:eastAsia="宋体"/>
                                  <w:lang w:val="en-US" w:eastAsia="zh-CN"/>
                                </w:rPr>
                              </w:pPr>
                              <w:r>
                                <w:rPr>
                                  <w:rFonts w:hint="eastAsia"/>
                                  <w:lang w:val="en-US" w:eastAsia="zh-CN"/>
                                </w:rPr>
                                <w:t>噪声</w:t>
                              </w:r>
                            </w:p>
                          </w:txbxContent>
                        </v:textbox>
                      </v:shape>
                      <v:shape id="文本框 27" o:spid="_x0000_s1026" o:spt="202" type="#_x0000_t202" style="position:absolute;left:9152;top:825197;height:701;width:1345;" filled="f" stroked="f" coordsize="21600,21600" o:gfxdata="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5xl/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1C6A98D8">
                              <w:pPr>
                                <w:jc w:val="center"/>
                                <w:rPr>
                                  <w:rFonts w:hint="default" w:eastAsia="宋体"/>
                                  <w:lang w:val="en-US" w:eastAsia="zh-CN"/>
                                </w:rPr>
                              </w:pPr>
                              <w:r>
                                <w:rPr>
                                  <w:rFonts w:hint="eastAsia"/>
                                  <w:lang w:val="en-US" w:eastAsia="zh-CN"/>
                                </w:rPr>
                                <w:t>生活垃圾、建筑垃圾</w:t>
                              </w:r>
                            </w:p>
                          </w:txbxContent>
                        </v:textbox>
                      </v:shape>
                      <v:shape id="_x0000_s1026" o:spid="_x0000_s1026" o:spt="100" style="position:absolute;left:6428;top:826488;height:450;width:3525;" filled="f" stroked="t" coordsize="2238375,285750" o:gfxdata="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T9pJugAAANwA&#10;AAAPAAAAAAAAAAEAIAAAACIAAABkcnMvZG93bnJldi54bWxQSwECFAAUAAAACACHTuJAMy8FnjsA&#10;AAA5AAAAEAAAAAAAAAABACAAAAAJAQAAZHJzL3NoYXBleG1sLnhtbFBLBQYAAAAABgAGAFsBAACz&#10;AwAAAAA=&#10;" path="m0,285750l0,0,2238375,0,2238375,276225e">
                        <v:path o:connectlocs="0,450;0,0;3525,0;3525,435" o:connectangles="0,0,0,0"/>
                        <v:fill on="f" focussize="0,0"/>
                        <v:stroke weight="1pt" color="#000000 [3213]" miterlimit="8" joinstyle="miter"/>
                        <v:imagedata o:title=""/>
                        <o:lock v:ext="edit" aspectratio="f"/>
                      </v:shape>
                      <v:shape id="_x0000_s1026" o:spid="_x0000_s1026" o:spt="32" type="#_x0000_t32" style="position:absolute;left:7463;top:825814;flip:y;height:674;width:0;" filled="f" stroked="t" coordsize="21600,21600" o:gfxdata="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qz8rq8AAAA&#10;3AAAAA8AAAAAAAAAAQAgAAAAIgAAAGRycy9kb3ducmV2LnhtbFBLAQIUABQAAAAIAIdO4kAzLwWe&#10;OwAAADkAAAAQAAAAAAAAAAEAIAAAAAsBAABkcnMvc2hhcGV4bWwueG1sUEsFBgAAAAAGAAYAWwEA&#10;ALUDAAAAAA==&#10;">
                        <v:fill on="f" focussize="0,0"/>
                        <v:stroke weight="1pt" color="#000000 [3213]" miterlimit="8" joinstyle="miter" dashstyle="dash" endarrow="block"/>
                        <v:imagedata o:title=""/>
                        <o:lock v:ext="edit" aspectratio="f"/>
                      </v:shape>
                      <v:shape id="_x0000_s1026" o:spid="_x0000_s1026" o:spt="32" type="#_x0000_t32" style="position:absolute;left:8468;top:825814;flip:y;height:674;width:0;" filled="f" stroked="t" coordsize="21600,21600" o:gfxdata="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LGbI&#10;wAAAANwAAAAPAAAAAAAAAAEAIAAAACIAAABkcnMvZG93bnJldi54bWxQSwECFAAUAAAACACHTuJA&#10;My8FnjsAAAA5AAAAEAAAAAAAAAABACAAAAAPAQAAZHJzL3NoYXBleG1sLnhtbFBLBQYAAAAABgAG&#10;AFsBAAC5AwAAAAA=&#10;">
                        <v:fill on="f" focussize="0,0"/>
                        <v:stroke weight="1pt" color="#000000 [3213]" miterlimit="8" joinstyle="miter" dashstyle="dash" endarrow="block"/>
                        <v:imagedata o:title=""/>
                        <o:lock v:ext="edit" aspectratio="f"/>
                      </v:shape>
                      <v:shape id="_x0000_s1026" o:spid="_x0000_s1026" o:spt="32" type="#_x0000_t32" style="position:absolute;left:9548;top:825829;flip:y;height:674;width:0;" filled="f" stroked="t" coordsize="21600,21600" o:gfxdata="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YMNTvQAA&#10;ANwAAAAPAAAAAAAAAAEAIAAAACIAAABkcnMvZG93bnJldi54bWxQSwECFAAUAAAACACHTuJAMy8F&#10;njsAAAA5AAAAEAAAAAAAAAABACAAAAAMAQAAZHJzL3NoYXBleG1sLnhtbFBLBQYAAAAABgAGAFsB&#10;AAC2AwAAAAA=&#10;">
                        <v:fill on="f" focussize="0,0"/>
                        <v:stroke weight="1pt" color="#000000 [3213]" miterlimit="8" joinstyle="miter" dashstyle="dash" endarrow="block"/>
                        <v:imagedata o:title=""/>
                        <o:lock v:ext="edit" aspectratio="f"/>
                      </v:shape>
                    </v:group>
                  </w:pict>
                </mc:Fallback>
              </mc:AlternateContent>
            </w:r>
          </w:p>
          <w:p w14:paraId="70A74A1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4A818101">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06505951">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76B420C7">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10E7F2CF">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13F20CE4">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148C76D0">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7B63464D">
            <w:pPr>
              <w:pStyle w:val="187"/>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p w14:paraId="6FECDF27">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2</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 xml:space="preserve"> </w:t>
            </w:r>
            <w:r>
              <w:rPr>
                <w:rFonts w:hint="default" w:ascii="Times New Roman" w:hAnsi="Times New Roman" w:cs="Times New Roman"/>
                <w:smallCaps w:val="0"/>
                <w:color w:val="auto"/>
                <w:spacing w:val="0"/>
                <w:highlight w:val="none"/>
              </w:rPr>
              <w:t>施工期工艺流程</w:t>
            </w:r>
            <w:r>
              <w:rPr>
                <w:rFonts w:hint="default" w:ascii="Times New Roman" w:hAnsi="Times New Roman" w:cs="Times New Roman"/>
                <w:smallCaps w:val="0"/>
                <w:color w:val="auto"/>
                <w:spacing w:val="0"/>
                <w:szCs w:val="22"/>
                <w:highlight w:val="none"/>
              </w:rPr>
              <w:t>图及产污环节</w:t>
            </w:r>
          </w:p>
          <w:p w14:paraId="368730E1">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2、运营期工艺流程及排污节点</w:t>
            </w:r>
          </w:p>
          <w:p w14:paraId="598F2A7E">
            <w:pPr>
              <w:pStyle w:val="18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cs="Times New Roman"/>
                <w:smallCaps w:val="0"/>
                <w:color w:val="auto"/>
                <w:spacing w:val="0"/>
                <w:szCs w:val="22"/>
                <w:highlight w:val="none"/>
              </w:rPr>
            </w:pPr>
            <w:r>
              <w:rPr>
                <w:rFonts w:hint="default"/>
                <w:sz w:val="24"/>
                <w:highlight w:val="none"/>
              </w:rPr>
              <mc:AlternateContent>
                <mc:Choice Requires="wps">
                  <w:drawing>
                    <wp:anchor distT="0" distB="0" distL="114300" distR="114300" simplePos="0" relativeHeight="251661312" behindDoc="0" locked="0" layoutInCell="1" allowOverlap="1">
                      <wp:simplePos x="0" y="0"/>
                      <wp:positionH relativeFrom="column">
                        <wp:posOffset>3255645</wp:posOffset>
                      </wp:positionH>
                      <wp:positionV relativeFrom="paragraph">
                        <wp:posOffset>3911600</wp:posOffset>
                      </wp:positionV>
                      <wp:extent cx="1973580" cy="302895"/>
                      <wp:effectExtent l="0" t="0" r="0" b="0"/>
                      <wp:wrapNone/>
                      <wp:docPr id="1" name="文本框 1"/>
                      <wp:cNvGraphicFramePr/>
                      <a:graphic xmlns:a="http://schemas.openxmlformats.org/drawingml/2006/main">
                        <a:graphicData uri="http://schemas.microsoft.com/office/word/2010/wordprocessingShape">
                          <wps:wsp>
                            <wps:cNvSpPr txBox="1"/>
                            <wps:spPr>
                              <a:xfrm>
                                <a:off x="4788535" y="8717280"/>
                                <a:ext cx="1973580" cy="3028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DB2FB5">
                                  <w:r>
                                    <w:rPr>
                                      <w:rFonts w:hint="default" w:ascii="Times New Roman" w:hAnsi="Times New Roman" w:cs="Times New Roman"/>
                                      <w:b w:val="0"/>
                                      <w:bCs/>
                                      <w:smallCaps w:val="0"/>
                                      <w:color w:val="auto"/>
                                      <w:spacing w:val="0"/>
                                      <w:sz w:val="21"/>
                                      <w:szCs w:val="21"/>
                                      <w:highlight w:val="none"/>
                                      <w:lang w:val="en-US" w:eastAsia="zh-CN"/>
                                    </w:rPr>
                                    <w:t>注：</w:t>
                                  </w:r>
                                  <w:r>
                                    <w:rPr>
                                      <w:rFonts w:hint="eastAsia" w:cs="Times New Roman"/>
                                      <w:b w:val="0"/>
                                      <w:bCs/>
                                      <w:smallCaps w:val="0"/>
                                      <w:color w:val="auto"/>
                                      <w:spacing w:val="0"/>
                                      <w:sz w:val="21"/>
                                      <w:szCs w:val="21"/>
                                      <w:highlight w:val="none"/>
                                      <w:lang w:val="en-US" w:eastAsia="zh-CN"/>
                                    </w:rPr>
                                    <w:t>G废气；</w:t>
                                  </w:r>
                                  <w:r>
                                    <w:rPr>
                                      <w:rFonts w:hint="default" w:ascii="Times New Roman" w:hAnsi="Times New Roman" w:cs="Times New Roman"/>
                                      <w:b w:val="0"/>
                                      <w:bCs/>
                                      <w:smallCaps w:val="0"/>
                                      <w:color w:val="auto"/>
                                      <w:spacing w:val="0"/>
                                      <w:sz w:val="21"/>
                                      <w:szCs w:val="21"/>
                                      <w:highlight w:val="none"/>
                                      <w:lang w:val="en-US" w:eastAsia="zh-CN"/>
                                    </w:rPr>
                                    <w:t>N噪声</w:t>
                                  </w:r>
                                  <w:r>
                                    <w:rPr>
                                      <w:rFonts w:hint="eastAsia" w:cs="Times New Roman"/>
                                      <w:b w:val="0"/>
                                      <w:bCs/>
                                      <w:smallCaps w:val="0"/>
                                      <w:color w:val="auto"/>
                                      <w:spacing w:val="0"/>
                                      <w:sz w:val="21"/>
                                      <w:szCs w:val="21"/>
                                      <w:highlight w:val="none"/>
                                      <w:lang w:val="en-US" w:eastAsia="zh-CN"/>
                                    </w:rPr>
                                    <w:t>；</w:t>
                                  </w:r>
                                  <w:r>
                                    <w:rPr>
                                      <w:rFonts w:hint="default" w:ascii="Times New Roman" w:hAnsi="Times New Roman" w:cs="Times New Roman"/>
                                      <w:b w:val="0"/>
                                      <w:bCs/>
                                      <w:smallCaps w:val="0"/>
                                      <w:color w:val="auto"/>
                                      <w:spacing w:val="0"/>
                                      <w:sz w:val="21"/>
                                      <w:szCs w:val="21"/>
                                      <w:highlight w:val="none"/>
                                      <w:lang w:val="en-US" w:eastAsia="zh-CN"/>
                                    </w:rPr>
                                    <w:t>S固废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6.35pt;margin-top:308pt;height:23.85pt;width:155.4pt;z-index:251661312;mso-width-relative:page;mso-height-relative:page;" filled="f" stroked="f" coordsize="21600,21600" o:gfxdata="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Lwkxx3AAAAAsBAAAPAAAAAAAA&#10;AAEAIAAAACIAAABkcnMvZG93bnJldi54bWxQSwECFAAUAAAACACHTuJAiXX+DkcCAAByBAAADgAA&#10;AAAAAAABACAAAAArAQAAZHJzL2Uyb0RvYy54bWxQSwUGAAAAAAYABgBZAQAA5AUAAAAA&#10;">
                      <v:fill on="f" focussize="0,0"/>
                      <v:stroke on="f" weight="0.5pt"/>
                      <v:imagedata o:title=""/>
                      <o:lock v:ext="edit" aspectratio="f"/>
                      <v:textbox>
                        <w:txbxContent>
                          <w:p w14:paraId="2CDB2FB5">
                            <w:r>
                              <w:rPr>
                                <w:rFonts w:hint="default" w:ascii="Times New Roman" w:hAnsi="Times New Roman" w:cs="Times New Roman"/>
                                <w:b w:val="0"/>
                                <w:bCs/>
                                <w:smallCaps w:val="0"/>
                                <w:color w:val="auto"/>
                                <w:spacing w:val="0"/>
                                <w:sz w:val="21"/>
                                <w:szCs w:val="21"/>
                                <w:highlight w:val="none"/>
                                <w:lang w:val="en-US" w:eastAsia="zh-CN"/>
                              </w:rPr>
                              <w:t>注：</w:t>
                            </w:r>
                            <w:r>
                              <w:rPr>
                                <w:rFonts w:hint="eastAsia" w:cs="Times New Roman"/>
                                <w:b w:val="0"/>
                                <w:bCs/>
                                <w:smallCaps w:val="0"/>
                                <w:color w:val="auto"/>
                                <w:spacing w:val="0"/>
                                <w:sz w:val="21"/>
                                <w:szCs w:val="21"/>
                                <w:highlight w:val="none"/>
                                <w:lang w:val="en-US" w:eastAsia="zh-CN"/>
                              </w:rPr>
                              <w:t>G废气；</w:t>
                            </w:r>
                            <w:r>
                              <w:rPr>
                                <w:rFonts w:hint="default" w:ascii="Times New Roman" w:hAnsi="Times New Roman" w:cs="Times New Roman"/>
                                <w:b w:val="0"/>
                                <w:bCs/>
                                <w:smallCaps w:val="0"/>
                                <w:color w:val="auto"/>
                                <w:spacing w:val="0"/>
                                <w:sz w:val="21"/>
                                <w:szCs w:val="21"/>
                                <w:highlight w:val="none"/>
                                <w:lang w:val="en-US" w:eastAsia="zh-CN"/>
                              </w:rPr>
                              <w:t>N噪声</w:t>
                            </w:r>
                            <w:r>
                              <w:rPr>
                                <w:rFonts w:hint="eastAsia" w:cs="Times New Roman"/>
                                <w:b w:val="0"/>
                                <w:bCs/>
                                <w:smallCaps w:val="0"/>
                                <w:color w:val="auto"/>
                                <w:spacing w:val="0"/>
                                <w:sz w:val="21"/>
                                <w:szCs w:val="21"/>
                                <w:highlight w:val="none"/>
                                <w:lang w:val="en-US" w:eastAsia="zh-CN"/>
                              </w:rPr>
                              <w:t>；</w:t>
                            </w:r>
                            <w:r>
                              <w:rPr>
                                <w:rFonts w:hint="default" w:ascii="Times New Roman" w:hAnsi="Times New Roman" w:cs="Times New Roman"/>
                                <w:b w:val="0"/>
                                <w:bCs/>
                                <w:smallCaps w:val="0"/>
                                <w:color w:val="auto"/>
                                <w:spacing w:val="0"/>
                                <w:sz w:val="21"/>
                                <w:szCs w:val="21"/>
                                <w:highlight w:val="none"/>
                                <w:lang w:val="en-US" w:eastAsia="zh-CN"/>
                              </w:rPr>
                              <w:t>S固废</w:t>
                            </w:r>
                          </w:p>
                        </w:txbxContent>
                      </v:textbox>
                    </v:shape>
                  </w:pict>
                </mc:Fallback>
              </mc:AlternateContent>
            </w:r>
            <w:r>
              <w:rPr>
                <w:rFonts w:hint="default" w:ascii="Times New Roman" w:hAnsi="Times New Roman" w:cs="Times New Roman"/>
                <w:smallCaps w:val="0"/>
                <w:color w:val="auto"/>
                <w:spacing w:val="0"/>
                <w:szCs w:val="22"/>
                <w:highlight w:val="none"/>
              </w:rPr>
              <w:object>
                <v:shape id="_x0000_i1026" o:spt="75" type="#_x0000_t75" style="height:313.1pt;width:271.65pt;" o:ole="t" filled="f" o:preferrelative="t" stroked="f" coordsize="21600,21600">
                  <v:path/>
                  <v:fill on="f" focussize="0,0"/>
                  <v:stroke on="f"/>
                  <v:imagedata r:id="rId11" o:title=""/>
                  <o:lock v:ext="edit" aspectratio="f"/>
                  <w10:wrap type="none"/>
                  <w10:anchorlock/>
                </v:shape>
                <o:OLEObject Type="Embed" ProgID="Visio.Drawing.11" ShapeID="_x0000_i1026" DrawAspect="Content" ObjectID="_1468075726" r:id="rId10">
                  <o:LockedField>false</o:LockedField>
                </o:OLEObject>
              </w:object>
            </w:r>
          </w:p>
          <w:p w14:paraId="4E9DC2E8">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图2-</w:t>
            </w:r>
            <w:r>
              <w:rPr>
                <w:rFonts w:hint="eastAsia"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本项目</w:t>
            </w:r>
            <w:r>
              <w:rPr>
                <w:rFonts w:hint="default" w:ascii="Times New Roman" w:hAnsi="Times New Roman" w:cs="Times New Roman"/>
                <w:smallCaps w:val="0"/>
                <w:color w:val="auto"/>
                <w:spacing w:val="0"/>
                <w:highlight w:val="none"/>
              </w:rPr>
              <w:t>运营期工艺流程及产污环节图</w:t>
            </w:r>
          </w:p>
          <w:p w14:paraId="24E6ACC7">
            <w:pPr>
              <w:pStyle w:val="5"/>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right="0" w:rightChars="0" w:firstLine="482" w:firstLineChars="200"/>
              <w:jc w:val="both"/>
              <w:textAlignment w:val="auto"/>
              <w:rPr>
                <w:rFonts w:hint="default"/>
                <w:sz w:val="24"/>
                <w:szCs w:val="24"/>
                <w:highlight w:val="none"/>
                <w:lang w:val="en-US" w:eastAsia="zh-CN"/>
              </w:rPr>
            </w:pPr>
            <w:r>
              <w:rPr>
                <w:rFonts w:hint="eastAsia" w:cs="Times New Roman"/>
                <w:b/>
                <w:bCs/>
                <w:color w:val="000000"/>
                <w:sz w:val="24"/>
                <w:szCs w:val="24"/>
                <w:highlight w:val="none"/>
                <w:lang w:val="en-US" w:eastAsia="zh-CN"/>
              </w:rPr>
              <w:t>（1）原料进厂</w:t>
            </w:r>
          </w:p>
          <w:p w14:paraId="4DFC963D">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color w:val="auto"/>
                <w:sz w:val="24"/>
                <w:szCs w:val="24"/>
                <w:highlight w:val="none"/>
                <w:lang w:val="en-US" w:eastAsia="zh-CN"/>
              </w:rPr>
            </w:pPr>
            <w:r>
              <w:rPr>
                <w:rFonts w:hint="eastAsia"/>
                <w:sz w:val="24"/>
                <w:szCs w:val="24"/>
                <w:highlight w:val="none"/>
                <w:lang w:val="en-US" w:eastAsia="zh-CN"/>
              </w:rPr>
              <w:t>本项目原料使用覆膜砂、米铁、硅铁、废钢等，其中，覆膜砂、硅铁、米铁采用吨包入厂，暂存车间内原料区；废钢通过</w:t>
            </w:r>
            <w:r>
              <w:rPr>
                <w:rFonts w:hint="eastAsia" w:ascii="Times New Roman" w:hAnsi="Times New Roman" w:eastAsia="宋体" w:cs="Times New Roman"/>
                <w:sz w:val="24"/>
                <w:szCs w:val="24"/>
                <w:highlight w:val="none"/>
                <w:lang w:val="en-US" w:eastAsia="zh-CN"/>
              </w:rPr>
              <w:t>外购当地钢厂废料，经车辆运输到厂，在</w:t>
            </w:r>
            <w:r>
              <w:rPr>
                <w:rFonts w:hint="eastAsia"/>
                <w:sz w:val="24"/>
                <w:szCs w:val="24"/>
                <w:highlight w:val="none"/>
                <w:lang w:val="en-US" w:eastAsia="zh-CN"/>
              </w:rPr>
              <w:t>车间原料区</w:t>
            </w:r>
            <w:r>
              <w:rPr>
                <w:rFonts w:hint="eastAsia" w:ascii="Times New Roman" w:hAnsi="Times New Roman" w:eastAsia="宋体" w:cs="Times New Roman"/>
                <w:sz w:val="24"/>
                <w:szCs w:val="24"/>
                <w:highlight w:val="none"/>
                <w:lang w:val="en-US" w:eastAsia="zh-CN"/>
              </w:rPr>
              <w:t>暂存</w:t>
            </w:r>
            <w:r>
              <w:rPr>
                <w:rFonts w:hint="eastAsia"/>
                <w:sz w:val="24"/>
                <w:szCs w:val="24"/>
                <w:highlight w:val="none"/>
                <w:lang w:val="en-US" w:eastAsia="zh-CN"/>
              </w:rPr>
              <w:t>，并且废钢</w:t>
            </w:r>
            <w:r>
              <w:rPr>
                <w:rFonts w:hint="default" w:ascii="Times New Roman" w:hAnsi="Times New Roman" w:eastAsia="宋体" w:cs="Times New Roman"/>
                <w:sz w:val="24"/>
                <w:szCs w:val="24"/>
                <w:highlight w:val="none"/>
                <w:lang w:val="en-US" w:eastAsia="zh-CN"/>
              </w:rPr>
              <w:t>进厂前</w:t>
            </w:r>
            <w:r>
              <w:rPr>
                <w:rFonts w:hint="eastAsia" w:ascii="Times New Roman" w:hAnsi="Times New Roman" w:eastAsia="宋体" w:cs="Times New Roman"/>
                <w:sz w:val="24"/>
                <w:szCs w:val="24"/>
                <w:highlight w:val="none"/>
                <w:lang w:val="en-US" w:eastAsia="zh-CN"/>
              </w:rPr>
              <w:t>需</w:t>
            </w:r>
            <w:r>
              <w:rPr>
                <w:rFonts w:hint="default" w:ascii="Times New Roman" w:hAnsi="Times New Roman" w:eastAsia="宋体" w:cs="Times New Roman"/>
                <w:sz w:val="24"/>
                <w:szCs w:val="24"/>
                <w:highlight w:val="none"/>
                <w:lang w:val="en-US" w:eastAsia="zh-CN"/>
              </w:rPr>
              <w:t>人工</w:t>
            </w:r>
            <w:r>
              <w:rPr>
                <w:rFonts w:hint="eastAsia" w:ascii="Times New Roman" w:hAnsi="Times New Roman" w:eastAsia="宋体" w:cs="Times New Roman"/>
                <w:sz w:val="24"/>
                <w:szCs w:val="24"/>
                <w:highlight w:val="none"/>
                <w:lang w:val="en-US" w:eastAsia="zh-CN"/>
              </w:rPr>
              <w:t>进行检查，需满足进厂要求；如不满足，该批废钢不得进厂。</w:t>
            </w:r>
            <w:r>
              <w:rPr>
                <w:rFonts w:hint="default" w:ascii="Times New Roman" w:hAnsi="Times New Roman" w:cs="Times New Roman"/>
                <w:color w:val="auto"/>
                <w:sz w:val="24"/>
                <w:szCs w:val="24"/>
                <w:highlight w:val="none"/>
                <w:lang w:val="en-US" w:eastAsia="zh-CN"/>
              </w:rPr>
              <w:t>具体</w:t>
            </w:r>
            <w:r>
              <w:rPr>
                <w:rFonts w:hint="eastAsia" w:cs="Times New Roman"/>
                <w:color w:val="auto"/>
                <w:sz w:val="24"/>
                <w:szCs w:val="24"/>
                <w:highlight w:val="none"/>
                <w:lang w:val="en-US" w:eastAsia="zh-CN"/>
              </w:rPr>
              <w:t>进厂</w:t>
            </w:r>
            <w:r>
              <w:rPr>
                <w:rFonts w:hint="default" w:ascii="Times New Roman" w:hAnsi="Times New Roman" w:cs="Times New Roman"/>
                <w:color w:val="auto"/>
                <w:sz w:val="24"/>
                <w:szCs w:val="24"/>
                <w:highlight w:val="none"/>
                <w:lang w:val="en-US" w:eastAsia="zh-CN"/>
              </w:rPr>
              <w:t>要求如下：</w:t>
            </w:r>
          </w:p>
          <w:p w14:paraId="081F0B65">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a.</w:t>
            </w:r>
            <w:r>
              <w:rPr>
                <w:rFonts w:hint="default" w:ascii="Times New Roman" w:hAnsi="Times New Roman" w:cs="Times New Roman"/>
                <w:sz w:val="24"/>
                <w:szCs w:val="24"/>
                <w:highlight w:val="none"/>
                <w:lang w:val="en-US" w:eastAsia="zh-CN"/>
              </w:rPr>
              <w:t>废钢铁表面和器件、打包件内部不应存在泥块、水泥、粘砂、油污以及珐琅等；</w:t>
            </w:r>
          </w:p>
          <w:p w14:paraId="2663136B">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b.</w:t>
            </w:r>
            <w:r>
              <w:rPr>
                <w:rFonts w:hint="default" w:ascii="Times New Roman" w:hAnsi="Times New Roman" w:cs="Times New Roman"/>
                <w:sz w:val="24"/>
                <w:szCs w:val="24"/>
                <w:highlight w:val="none"/>
                <w:lang w:val="en-US" w:eastAsia="zh-CN"/>
              </w:rPr>
              <w:t>废钢铁中禁止混有炸弹炮弹等爆炸性武器弹药及其他易燃易爆物品；</w:t>
            </w:r>
          </w:p>
          <w:p w14:paraId="200797B7">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c.</w:t>
            </w:r>
            <w:r>
              <w:rPr>
                <w:rFonts w:hint="default" w:ascii="Times New Roman" w:hAnsi="Times New Roman" w:cs="Times New Roman"/>
                <w:sz w:val="24"/>
                <w:szCs w:val="24"/>
                <w:highlight w:val="none"/>
                <w:lang w:val="en-US" w:eastAsia="zh-CN"/>
              </w:rPr>
              <w:t>禁止混有两端封闭的管状物、封闭器皿等物品；</w:t>
            </w:r>
          </w:p>
          <w:p w14:paraId="535DE318">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d.</w:t>
            </w:r>
            <w:r>
              <w:rPr>
                <w:rFonts w:hint="default" w:ascii="Times New Roman" w:hAnsi="Times New Roman" w:cs="Times New Roman"/>
                <w:sz w:val="24"/>
                <w:szCs w:val="24"/>
                <w:highlight w:val="none"/>
                <w:lang w:val="en-US" w:eastAsia="zh-CN"/>
              </w:rPr>
              <w:t>禁止混有橡胶和塑料制品</w:t>
            </w:r>
            <w:r>
              <w:rPr>
                <w:rFonts w:hint="eastAsia" w:ascii="Times New Roman" w:hAnsi="Times New Roman" w:cs="Times New Roman"/>
                <w:sz w:val="24"/>
                <w:szCs w:val="24"/>
                <w:highlight w:val="none"/>
                <w:lang w:val="en-US" w:eastAsia="zh-CN"/>
              </w:rPr>
              <w:t>；</w:t>
            </w:r>
          </w:p>
          <w:p w14:paraId="74F930CE">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e.</w:t>
            </w:r>
            <w:r>
              <w:rPr>
                <w:rFonts w:hint="default" w:ascii="Times New Roman" w:hAnsi="Times New Roman" w:cs="Times New Roman"/>
                <w:sz w:val="24"/>
                <w:szCs w:val="24"/>
                <w:highlight w:val="none"/>
                <w:lang w:val="en-US" w:eastAsia="zh-CN"/>
              </w:rPr>
              <w:t>废钢铁中不应有成套的机器设备及结构件，不得含有燃品和润滑剂的残余物</w:t>
            </w:r>
            <w:r>
              <w:rPr>
                <w:rFonts w:hint="eastAsia" w:ascii="Times New Roman" w:hAnsi="Times New Roman" w:cs="Times New Roman"/>
                <w:sz w:val="24"/>
                <w:szCs w:val="24"/>
                <w:highlight w:val="none"/>
                <w:lang w:val="en-US" w:eastAsia="zh-CN"/>
              </w:rPr>
              <w:t>；</w:t>
            </w:r>
          </w:p>
          <w:p w14:paraId="1B6B23AD">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f.</w:t>
            </w:r>
            <w:r>
              <w:rPr>
                <w:rFonts w:hint="default" w:ascii="Times New Roman" w:hAnsi="Times New Roman" w:cs="Times New Roman"/>
                <w:sz w:val="24"/>
                <w:szCs w:val="24"/>
                <w:highlight w:val="none"/>
                <w:lang w:val="en-US" w:eastAsia="zh-CN"/>
              </w:rPr>
              <w:t>废钢铁中禁止混有其浸出液中有害物质浓度超过GB 5085.3中鉴别标准值的有害废物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废钢铁中禁止混有其浸出液中超过GB 5085.1中鉴别标准值即pH值不小于12.5或不大于2.0的夹杂物</w:t>
            </w:r>
            <w:r>
              <w:rPr>
                <w:rFonts w:hint="eastAsia" w:ascii="Times New Roman" w:hAnsi="Times New Roman" w:cs="Times New Roman"/>
                <w:sz w:val="24"/>
                <w:szCs w:val="24"/>
                <w:highlight w:val="none"/>
                <w:lang w:val="en-US" w:eastAsia="zh-CN"/>
              </w:rPr>
              <w:t>；</w:t>
            </w:r>
          </w:p>
          <w:p w14:paraId="475DF738">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g.</w:t>
            </w:r>
            <w:r>
              <w:rPr>
                <w:rFonts w:hint="default" w:ascii="Times New Roman" w:hAnsi="Times New Roman" w:cs="Times New Roman"/>
                <w:sz w:val="24"/>
                <w:szCs w:val="24"/>
                <w:highlight w:val="none"/>
                <w:lang w:val="en-US" w:eastAsia="zh-CN"/>
              </w:rPr>
              <w:t>废钢铁中禁止混有多氯联苯含量超过GB13015控制标准值的有害物</w:t>
            </w:r>
            <w:r>
              <w:rPr>
                <w:rFonts w:hint="eastAsia" w:cs="Times New Roman"/>
                <w:sz w:val="24"/>
                <w:szCs w:val="24"/>
                <w:highlight w:val="none"/>
                <w:lang w:val="en-US" w:eastAsia="zh-CN"/>
              </w:rPr>
              <w:t>；</w:t>
            </w:r>
          </w:p>
          <w:p w14:paraId="6B27C440">
            <w:pPr>
              <w:pStyle w:val="242"/>
              <w:keepNext w:val="0"/>
              <w:keepLines w:val="0"/>
              <w:pageBreakBefore w:val="0"/>
              <w:widowControl w:val="0"/>
              <w:suppressLineNumbers w:val="0"/>
              <w:kinsoku/>
              <w:wordWrap/>
              <w:overflowPunct/>
              <w:topLinePunct w:val="0"/>
              <w:autoSpaceDE/>
              <w:autoSpaceDN/>
              <w:bidi w:val="0"/>
              <w:adjustRightInd/>
              <w:snapToGrid/>
              <w:spacing w:beforeAutospacing="0" w:afterAutospacing="0" w:line="480" w:lineRule="exact"/>
              <w:ind w:left="0"/>
              <w:textAlignment w:val="auto"/>
              <w:rPr>
                <w:rFonts w:hint="default" w:ascii="Times New Roman" w:hAnsi="Times New Roman" w:cs="Times New Roman"/>
                <w:sz w:val="24"/>
                <w:szCs w:val="24"/>
                <w:highlight w:val="none"/>
                <w:lang w:val="en-US" w:eastAsia="zh-CN"/>
              </w:rPr>
            </w:pPr>
            <w:r>
              <w:rPr>
                <w:rFonts w:hint="eastAsia" w:cs="Times New Roman"/>
                <w:sz w:val="24"/>
                <w:szCs w:val="24"/>
                <w:highlight w:val="none"/>
                <w:lang w:val="en-US" w:eastAsia="zh-CN"/>
              </w:rPr>
              <w:t>h.</w:t>
            </w:r>
            <w:r>
              <w:rPr>
                <w:rFonts w:hint="default" w:ascii="Times New Roman" w:hAnsi="Times New Roman" w:cs="Times New Roman"/>
                <w:sz w:val="24"/>
                <w:szCs w:val="24"/>
                <w:highlight w:val="none"/>
                <w:lang w:val="en-US" w:eastAsia="zh-CN"/>
              </w:rPr>
              <w:t>废钢铁中不应混有医药废物、废药品、医疗临床废物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农药和除草剂废物、含木材防腐剂废物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废乳化剂、有机溶剂废物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精(蒸)馏残渣、焚烧处置残渣</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感光材料废物；铍、六价铬、砷、硒、镉、锑、碲、汞、铊、铅及其化合物的废物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含氟、氰、酚化合物的废物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石棉废物</w:t>
            </w:r>
            <w:r>
              <w:rPr>
                <w:rFonts w:hint="eastAsia"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lang w:val="en-US" w:eastAsia="zh-CN"/>
              </w:rPr>
              <w:t>厨房废物、卫生间废物等</w:t>
            </w:r>
            <w:r>
              <w:rPr>
                <w:rFonts w:hint="eastAsia" w:cs="Times New Roman"/>
                <w:sz w:val="24"/>
                <w:szCs w:val="24"/>
                <w:highlight w:val="none"/>
                <w:lang w:val="en-US" w:eastAsia="zh-CN"/>
              </w:rPr>
              <w:t>；</w:t>
            </w:r>
          </w:p>
          <w:p w14:paraId="0A5E1526">
            <w:pPr>
              <w:pStyle w:val="5"/>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right="0" w:rightChars="0" w:firstLine="480" w:firstLineChars="200"/>
              <w:jc w:val="both"/>
              <w:textAlignment w:val="auto"/>
              <w:rPr>
                <w:rFonts w:hint="default"/>
                <w:sz w:val="24"/>
                <w:szCs w:val="24"/>
                <w:highlight w:val="none"/>
                <w:lang w:val="en-US" w:eastAsia="zh-CN"/>
              </w:rPr>
            </w:pPr>
            <w:r>
              <w:rPr>
                <w:rFonts w:hint="eastAsia" w:cs="Times New Roman"/>
                <w:sz w:val="24"/>
                <w:szCs w:val="24"/>
                <w:highlight w:val="none"/>
                <w:lang w:val="en-US" w:eastAsia="zh-CN"/>
              </w:rPr>
              <w:t>i.</w:t>
            </w:r>
            <w:r>
              <w:rPr>
                <w:rFonts w:hint="default" w:ascii="Times New Roman" w:hAnsi="Times New Roman" w:cs="Times New Roman"/>
                <w:sz w:val="24"/>
                <w:szCs w:val="24"/>
                <w:highlight w:val="none"/>
                <w:lang w:val="en-US" w:eastAsia="zh-CN"/>
              </w:rPr>
              <w:t>废钢铁中禁止夹杂放射性废物。</w:t>
            </w:r>
          </w:p>
          <w:p w14:paraId="668B6980">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cs="Times New Roman"/>
                <w:b/>
                <w:bCs/>
                <w:color w:val="000000"/>
                <w:sz w:val="24"/>
                <w:szCs w:val="24"/>
                <w:highlight w:val="none"/>
                <w:lang w:eastAsia="zh-CN"/>
              </w:rPr>
              <w:t>（</w:t>
            </w:r>
            <w:r>
              <w:rPr>
                <w:rFonts w:hint="eastAsia" w:cs="Times New Roman"/>
                <w:b/>
                <w:bCs/>
                <w:color w:val="000000"/>
                <w:sz w:val="24"/>
                <w:szCs w:val="24"/>
                <w:highlight w:val="none"/>
                <w:lang w:val="en-US" w:eastAsia="zh-CN"/>
              </w:rPr>
              <w:t>2</w:t>
            </w:r>
            <w:r>
              <w:rPr>
                <w:rFonts w:hint="eastAsia" w:cs="Times New Roman"/>
                <w:b/>
                <w:bCs/>
                <w:color w:val="000000"/>
                <w:sz w:val="24"/>
                <w:szCs w:val="24"/>
                <w:highlight w:val="none"/>
                <w:lang w:eastAsia="zh-CN"/>
              </w:rPr>
              <w:t>）</w:t>
            </w:r>
            <w:r>
              <w:rPr>
                <w:rFonts w:hint="eastAsia" w:cs="Times New Roman"/>
                <w:b/>
                <w:bCs/>
                <w:color w:val="000000"/>
                <w:sz w:val="24"/>
                <w:szCs w:val="24"/>
                <w:highlight w:val="none"/>
                <w:lang w:val="en-US" w:eastAsia="zh-CN"/>
              </w:rPr>
              <w:t>制壳</w:t>
            </w:r>
          </w:p>
          <w:p w14:paraId="26EF9097">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eastAsia"/>
                <w:bCs/>
                <w:sz w:val="24"/>
                <w:szCs w:val="24"/>
                <w:highlight w:val="none"/>
              </w:rPr>
            </w:pPr>
            <w:r>
              <w:rPr>
                <w:rFonts w:hint="eastAsia"/>
                <w:bCs/>
                <w:sz w:val="24"/>
                <w:szCs w:val="24"/>
                <w:highlight w:val="none"/>
              </w:rPr>
              <w:t>本项目采用覆膜砂铸造工艺</w:t>
            </w:r>
            <w:r>
              <w:rPr>
                <w:rFonts w:hint="eastAsia"/>
                <w:bCs/>
                <w:sz w:val="24"/>
                <w:szCs w:val="24"/>
                <w:highlight w:val="none"/>
                <w:lang w:eastAsia="zh-CN"/>
              </w:rPr>
              <w:t>，</w:t>
            </w:r>
            <w:r>
              <w:rPr>
                <w:rFonts w:hint="eastAsia"/>
                <w:bCs/>
                <w:sz w:val="24"/>
                <w:szCs w:val="24"/>
                <w:highlight w:val="none"/>
                <w:lang w:val="en-US" w:eastAsia="zh-CN"/>
              </w:rPr>
              <w:t>外购成品覆膜砂，采用吨包暂存原料库。覆膜砂通过人工解包放置在</w:t>
            </w:r>
            <w:r>
              <w:rPr>
                <w:rFonts w:hint="default" w:ascii="Times New Roman" w:hAnsi="Times New Roman" w:eastAsia="宋体" w:cs="Times New Roman"/>
                <w:color w:val="auto"/>
                <w:sz w:val="24"/>
                <w:szCs w:val="24"/>
                <w:highlight w:val="none"/>
                <w:lang w:val="en-US" w:eastAsia="zh-CN"/>
              </w:rPr>
              <w:t>全自动垂直制壳机</w:t>
            </w:r>
            <w:r>
              <w:rPr>
                <w:rFonts w:hint="eastAsia" w:cs="Times New Roman"/>
                <w:color w:val="auto"/>
                <w:sz w:val="24"/>
                <w:szCs w:val="24"/>
                <w:highlight w:val="none"/>
                <w:lang w:val="en-US" w:eastAsia="zh-CN"/>
              </w:rPr>
              <w:t>旁，由该设备</w:t>
            </w:r>
            <w:r>
              <w:rPr>
                <w:rFonts w:hint="eastAsia"/>
                <w:bCs/>
                <w:sz w:val="24"/>
                <w:szCs w:val="24"/>
                <w:highlight w:val="none"/>
              </w:rPr>
              <w:t>自动完成供砂</w:t>
            </w:r>
            <w:r>
              <w:rPr>
                <w:rFonts w:hint="eastAsia" w:ascii="宋体" w:hAnsi="宋体"/>
                <w:bCs/>
                <w:sz w:val="24"/>
                <w:szCs w:val="24"/>
                <w:highlight w:val="none"/>
                <w:lang w:eastAsia="zh-CN"/>
              </w:rPr>
              <w:t>、</w:t>
            </w:r>
            <w:r>
              <w:rPr>
                <w:rFonts w:hint="eastAsia"/>
                <w:bCs/>
                <w:sz w:val="24"/>
                <w:szCs w:val="24"/>
                <w:highlight w:val="none"/>
              </w:rPr>
              <w:t>合膜</w:t>
            </w:r>
            <w:r>
              <w:rPr>
                <w:rFonts w:hint="eastAsia" w:ascii="宋体" w:hAnsi="宋体"/>
                <w:bCs/>
                <w:sz w:val="24"/>
                <w:szCs w:val="24"/>
                <w:highlight w:val="none"/>
                <w:lang w:eastAsia="zh-CN"/>
              </w:rPr>
              <w:t>、</w:t>
            </w:r>
            <w:r>
              <w:rPr>
                <w:rFonts w:hint="eastAsia"/>
                <w:bCs/>
                <w:sz w:val="24"/>
                <w:szCs w:val="24"/>
                <w:highlight w:val="none"/>
              </w:rPr>
              <w:t>射砂</w:t>
            </w:r>
            <w:r>
              <w:rPr>
                <w:rFonts w:hint="eastAsia" w:ascii="宋体" w:hAnsi="宋体"/>
                <w:bCs/>
                <w:sz w:val="24"/>
                <w:szCs w:val="24"/>
                <w:highlight w:val="none"/>
                <w:lang w:eastAsia="zh-CN"/>
              </w:rPr>
              <w:t>、</w:t>
            </w:r>
            <w:r>
              <w:rPr>
                <w:rFonts w:hint="eastAsia"/>
                <w:bCs/>
                <w:sz w:val="24"/>
                <w:szCs w:val="24"/>
                <w:highlight w:val="none"/>
              </w:rPr>
              <w:t>排气</w:t>
            </w:r>
            <w:r>
              <w:rPr>
                <w:rFonts w:hint="eastAsia" w:ascii="宋体" w:hAnsi="宋体"/>
                <w:bCs/>
                <w:sz w:val="24"/>
                <w:szCs w:val="24"/>
                <w:highlight w:val="none"/>
                <w:lang w:eastAsia="zh-CN"/>
              </w:rPr>
              <w:t>、</w:t>
            </w:r>
            <w:r>
              <w:rPr>
                <w:rFonts w:hint="eastAsia"/>
                <w:bCs/>
                <w:sz w:val="24"/>
                <w:szCs w:val="24"/>
                <w:highlight w:val="none"/>
              </w:rPr>
              <w:t>取膜</w:t>
            </w:r>
            <w:r>
              <w:rPr>
                <w:rFonts w:hint="eastAsia" w:ascii="宋体" w:hAnsi="宋体"/>
                <w:bCs/>
                <w:sz w:val="24"/>
                <w:szCs w:val="24"/>
                <w:highlight w:val="none"/>
                <w:lang w:eastAsia="zh-CN"/>
              </w:rPr>
              <w:t>、</w:t>
            </w:r>
            <w:r>
              <w:rPr>
                <w:rFonts w:hint="eastAsia"/>
                <w:bCs/>
                <w:sz w:val="24"/>
                <w:szCs w:val="24"/>
                <w:highlight w:val="none"/>
              </w:rPr>
              <w:t>砂模成型</w:t>
            </w:r>
            <w:r>
              <w:rPr>
                <w:rFonts w:hint="eastAsia"/>
                <w:bCs/>
                <w:sz w:val="24"/>
                <w:szCs w:val="24"/>
                <w:highlight w:val="none"/>
                <w:lang w:val="en-US" w:eastAsia="zh-CN"/>
              </w:rPr>
              <w:t>过程</w:t>
            </w:r>
            <w:r>
              <w:rPr>
                <w:rFonts w:hint="eastAsia"/>
                <w:bCs/>
                <w:sz w:val="24"/>
                <w:szCs w:val="24"/>
                <w:highlight w:val="none"/>
              </w:rPr>
              <w:t>。</w:t>
            </w:r>
          </w:p>
          <w:p w14:paraId="06AA83CA">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eastAsia"/>
                <w:bCs/>
                <w:sz w:val="24"/>
                <w:szCs w:val="24"/>
                <w:highlight w:val="none"/>
                <w:lang w:val="en-US" w:eastAsia="zh-CN"/>
              </w:rPr>
              <w:t>首先</w:t>
            </w:r>
            <w:r>
              <w:rPr>
                <w:rFonts w:hint="eastAsia"/>
                <w:bCs/>
                <w:sz w:val="24"/>
                <w:szCs w:val="24"/>
                <w:highlight w:val="none"/>
              </w:rPr>
              <w:t>将</w:t>
            </w:r>
            <w:r>
              <w:rPr>
                <w:rFonts w:hint="default" w:ascii="Times New Roman" w:hAnsi="Times New Roman" w:eastAsia="宋体" w:cs="Times New Roman"/>
                <w:color w:val="auto"/>
                <w:sz w:val="24"/>
                <w:szCs w:val="24"/>
                <w:highlight w:val="none"/>
                <w:lang w:val="en-US" w:eastAsia="zh-CN"/>
              </w:rPr>
              <w:t>制壳机</w:t>
            </w:r>
            <w:r>
              <w:rPr>
                <w:rFonts w:hint="eastAsia"/>
                <w:bCs/>
                <w:sz w:val="24"/>
                <w:szCs w:val="24"/>
                <w:highlight w:val="none"/>
              </w:rPr>
              <w:t>的金属模壳</w:t>
            </w:r>
            <w:r>
              <w:rPr>
                <w:rFonts w:hint="eastAsia"/>
                <w:bCs/>
                <w:sz w:val="24"/>
                <w:szCs w:val="24"/>
                <w:highlight w:val="none"/>
                <w:lang w:val="en-US" w:eastAsia="zh-CN"/>
              </w:rPr>
              <w:t>通过电加热，</w:t>
            </w:r>
            <w:r>
              <w:rPr>
                <w:rFonts w:hint="eastAsia"/>
                <w:bCs/>
                <w:sz w:val="24"/>
                <w:szCs w:val="24"/>
                <w:highlight w:val="none"/>
              </w:rPr>
              <w:t>加热至200</w:t>
            </w:r>
            <w:r>
              <w:rPr>
                <w:rFonts w:hint="default"/>
                <w:bCs/>
                <w:sz w:val="24"/>
                <w:szCs w:val="24"/>
                <w:highlight w:val="none"/>
              </w:rPr>
              <w:t>~</w:t>
            </w:r>
            <w:r>
              <w:rPr>
                <w:rFonts w:hint="eastAsia"/>
                <w:bCs/>
                <w:sz w:val="24"/>
                <w:szCs w:val="24"/>
                <w:highlight w:val="none"/>
              </w:rPr>
              <w:t>280℃，将覆膜砂依靠空气动力射入模壳中，保持3</w:t>
            </w:r>
            <w:r>
              <w:rPr>
                <w:rFonts w:hint="default"/>
                <w:bCs/>
                <w:sz w:val="24"/>
                <w:szCs w:val="24"/>
                <w:highlight w:val="none"/>
              </w:rPr>
              <w:t>~</w:t>
            </w:r>
            <w:r>
              <w:rPr>
                <w:rFonts w:hint="eastAsia"/>
                <w:bCs/>
                <w:sz w:val="24"/>
                <w:szCs w:val="24"/>
                <w:highlight w:val="none"/>
              </w:rPr>
              <w:t>5min的结壳时间，使贴近模壳壁的树脂受热熔化，形成一层薄壳</w:t>
            </w:r>
            <w:r>
              <w:rPr>
                <w:rFonts w:hint="eastAsia"/>
                <w:bCs/>
                <w:sz w:val="24"/>
                <w:szCs w:val="24"/>
                <w:highlight w:val="none"/>
                <w:lang w:eastAsia="zh-CN"/>
              </w:rPr>
              <w:t>；</w:t>
            </w:r>
            <w:r>
              <w:rPr>
                <w:rFonts w:hint="eastAsia"/>
                <w:bCs/>
                <w:sz w:val="24"/>
                <w:szCs w:val="24"/>
                <w:highlight w:val="none"/>
              </w:rPr>
              <w:t>排气后打开模壳</w:t>
            </w:r>
            <w:r>
              <w:rPr>
                <w:rFonts w:hint="eastAsia"/>
                <w:bCs/>
                <w:sz w:val="24"/>
                <w:szCs w:val="24"/>
                <w:highlight w:val="none"/>
                <w:lang w:eastAsia="zh-CN"/>
              </w:rPr>
              <w:t>，</w:t>
            </w:r>
            <w:r>
              <w:rPr>
                <w:rFonts w:hint="eastAsia"/>
                <w:bCs/>
                <w:sz w:val="24"/>
                <w:szCs w:val="24"/>
                <w:highlight w:val="none"/>
                <w:lang w:val="en-US" w:eastAsia="zh-CN"/>
              </w:rPr>
              <w:t>人工</w:t>
            </w:r>
            <w:r>
              <w:rPr>
                <w:rFonts w:hint="eastAsia"/>
                <w:bCs/>
                <w:sz w:val="24"/>
                <w:szCs w:val="24"/>
                <w:highlight w:val="none"/>
              </w:rPr>
              <w:t>取出壳芯，</w:t>
            </w:r>
            <w:r>
              <w:rPr>
                <w:rFonts w:hint="eastAsia"/>
                <w:bCs/>
                <w:sz w:val="24"/>
                <w:szCs w:val="24"/>
                <w:highlight w:val="none"/>
                <w:lang w:val="en-US" w:eastAsia="zh-CN"/>
              </w:rPr>
              <w:t>通过螺丝进行人工拼装，</w:t>
            </w:r>
            <w:r>
              <w:rPr>
                <w:rFonts w:hint="eastAsia"/>
                <w:bCs/>
                <w:sz w:val="24"/>
                <w:szCs w:val="24"/>
                <w:highlight w:val="none"/>
              </w:rPr>
              <w:t>即得覆膜砂砂模</w:t>
            </w:r>
            <w:r>
              <w:rPr>
                <w:rFonts w:hint="eastAsia"/>
                <w:bCs/>
                <w:sz w:val="24"/>
                <w:szCs w:val="24"/>
                <w:highlight w:val="none"/>
                <w:lang w:eastAsia="zh-CN"/>
              </w:rPr>
              <w:t>，</w:t>
            </w:r>
            <w:r>
              <w:rPr>
                <w:rFonts w:hint="eastAsia" w:ascii="Times New Roman" w:hAnsi="Times New Roman" w:eastAsia="宋体" w:cs="Times New Roman"/>
                <w:color w:val="000000"/>
                <w:sz w:val="24"/>
                <w:szCs w:val="24"/>
                <w:highlight w:val="none"/>
                <w:lang w:val="en-US" w:eastAsia="zh-CN"/>
              </w:rPr>
              <w:t>人工</w:t>
            </w:r>
            <w:r>
              <w:rPr>
                <w:rFonts w:hint="default" w:ascii="Times New Roman" w:hAnsi="Times New Roman" w:eastAsia="宋体" w:cs="Times New Roman"/>
                <w:color w:val="000000"/>
                <w:sz w:val="24"/>
                <w:szCs w:val="24"/>
                <w:highlight w:val="none"/>
                <w:lang w:eastAsia="zh-CN"/>
              </w:rPr>
              <w:t>将</w:t>
            </w:r>
            <w:r>
              <w:rPr>
                <w:rFonts w:hint="eastAsia" w:ascii="Times New Roman" w:hAnsi="Times New Roman" w:eastAsia="宋体" w:cs="Times New Roman"/>
                <w:color w:val="000000"/>
                <w:sz w:val="24"/>
                <w:szCs w:val="24"/>
                <w:highlight w:val="none"/>
                <w:lang w:val="en-US" w:eastAsia="zh-CN"/>
              </w:rPr>
              <w:t>拼装好的</w:t>
            </w:r>
            <w:r>
              <w:rPr>
                <w:rFonts w:hint="eastAsia"/>
                <w:bCs/>
                <w:sz w:val="24"/>
                <w:szCs w:val="24"/>
                <w:highlight w:val="none"/>
              </w:rPr>
              <w:t>砂模</w:t>
            </w:r>
            <w:r>
              <w:rPr>
                <w:rFonts w:hint="default" w:ascii="Times New Roman" w:hAnsi="Times New Roman" w:eastAsia="宋体" w:cs="Times New Roman"/>
                <w:color w:val="000000"/>
                <w:sz w:val="24"/>
                <w:szCs w:val="24"/>
                <w:highlight w:val="none"/>
                <w:lang w:eastAsia="zh-CN"/>
              </w:rPr>
              <w:t>安装在砂箱</w:t>
            </w:r>
            <w:r>
              <w:rPr>
                <w:rFonts w:hint="eastAsia" w:ascii="Times New Roman" w:hAnsi="Times New Roman" w:eastAsia="宋体" w:cs="Times New Roman"/>
                <w:color w:val="000000"/>
                <w:sz w:val="24"/>
                <w:szCs w:val="24"/>
                <w:highlight w:val="none"/>
                <w:lang w:val="en-US" w:eastAsia="zh-CN"/>
              </w:rPr>
              <w:t>内。</w:t>
            </w:r>
          </w:p>
          <w:p w14:paraId="41B475EC">
            <w:pPr>
              <w:pStyle w:val="7"/>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480" w:lineRule="exact"/>
              <w:ind w:left="0" w:right="0" w:firstLine="482" w:firstLineChars="200"/>
              <w:jc w:val="both"/>
              <w:textAlignment w:val="baseline"/>
              <w:rPr>
                <w:rFonts w:hint="default"/>
                <w:b/>
                <w:bCs/>
                <w:color w:val="000000"/>
                <w:highlight w:val="none"/>
                <w:lang w:val="en-US" w:eastAsia="zh-CN"/>
              </w:rPr>
            </w:pPr>
            <w:r>
              <w:rPr>
                <w:rFonts w:hint="eastAsia" w:ascii="Times New Roman" w:hAnsi="Times New Roman" w:eastAsia="宋体" w:cs="Times New Roman"/>
                <w:b/>
                <w:bCs/>
                <w:color w:val="000000"/>
                <w:sz w:val="24"/>
                <w:szCs w:val="24"/>
                <w:highlight w:val="none"/>
                <w:lang w:val="en-US" w:eastAsia="zh-CN"/>
              </w:rPr>
              <w:t>该工序的产污节点主要为制壳废气（G1），主要污染物为非甲烷总烃、甲醛、酚类；设备运行噪声（N1）；不合格壳芯（S1）。</w:t>
            </w:r>
          </w:p>
          <w:p w14:paraId="7ACE724E">
            <w:pPr>
              <w:pStyle w:val="5"/>
              <w:keepNext w:val="0"/>
              <w:keepLines w:val="0"/>
              <w:pageBreakBefore w:val="0"/>
              <w:widowControl w:val="0"/>
              <w:numPr>
                <w:ilvl w:val="0"/>
                <w:numId w:val="6"/>
              </w:numPr>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eastAsia"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lang w:val="en-US" w:eastAsia="zh-CN"/>
              </w:rPr>
              <w:t>注砂</w:t>
            </w:r>
          </w:p>
          <w:p w14:paraId="5966C150">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val="en-US" w:eastAsia="zh-CN"/>
              </w:rPr>
              <w:t>将沙箱推至注砂、落砂区进行人工注砂</w:t>
            </w:r>
            <w:r>
              <w:rPr>
                <w:rFonts w:hint="eastAsia" w:cs="Times New Roman"/>
                <w:color w:val="000000"/>
                <w:sz w:val="24"/>
                <w:szCs w:val="24"/>
                <w:highlight w:val="none"/>
                <w:lang w:val="en-US" w:eastAsia="zh-CN"/>
              </w:rPr>
              <w:t>，</w:t>
            </w:r>
            <w:r>
              <w:rPr>
                <w:rFonts w:hint="eastAsia" w:ascii="Times New Roman" w:hAnsi="Times New Roman" w:eastAsia="宋体" w:cs="Times New Roman"/>
                <w:color w:val="000000"/>
                <w:sz w:val="24"/>
                <w:szCs w:val="24"/>
                <w:highlight w:val="none"/>
                <w:lang w:val="en-US" w:eastAsia="zh-CN"/>
              </w:rPr>
              <w:t>暂存</w:t>
            </w:r>
            <w:r>
              <w:rPr>
                <w:rFonts w:hint="default" w:ascii="Times New Roman" w:hAnsi="Times New Roman" w:eastAsia="宋体" w:cs="Times New Roman"/>
                <w:color w:val="000000"/>
                <w:sz w:val="24"/>
                <w:szCs w:val="24"/>
                <w:highlight w:val="none"/>
                <w:lang w:eastAsia="zh-CN"/>
              </w:rPr>
              <w:t>，</w:t>
            </w:r>
            <w:r>
              <w:rPr>
                <w:rFonts w:hint="eastAsia" w:ascii="Times New Roman" w:hAnsi="Times New Roman" w:eastAsia="宋体" w:cs="Times New Roman"/>
                <w:color w:val="000000"/>
                <w:sz w:val="24"/>
                <w:szCs w:val="24"/>
                <w:highlight w:val="none"/>
                <w:lang w:val="en-US" w:eastAsia="zh-CN"/>
              </w:rPr>
              <w:t>等待浇注</w:t>
            </w:r>
            <w:r>
              <w:rPr>
                <w:rFonts w:hint="default" w:ascii="Times New Roman" w:hAnsi="Times New Roman" w:eastAsia="宋体" w:cs="Times New Roman"/>
                <w:color w:val="000000"/>
                <w:sz w:val="24"/>
                <w:szCs w:val="24"/>
                <w:highlight w:val="none"/>
                <w:lang w:eastAsia="zh-CN"/>
              </w:rPr>
              <w:t>。</w:t>
            </w:r>
          </w:p>
          <w:p w14:paraId="52CB3F83">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eastAsia"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lang w:val="en-US" w:eastAsia="zh-CN"/>
              </w:rPr>
              <w:t>该工序产污节点主要为注砂粉尘（G2），主要污染物为颗粒物。</w:t>
            </w:r>
          </w:p>
          <w:p w14:paraId="117E9EED">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ascii="Times New Roman" w:hAnsi="Times New Roman" w:eastAsia="宋体" w:cs="Times New Roman"/>
                <w:b/>
                <w:bCs/>
                <w:color w:val="000000"/>
                <w:sz w:val="24"/>
                <w:szCs w:val="24"/>
                <w:highlight w:val="none"/>
                <w:lang w:eastAsia="zh-CN"/>
              </w:rPr>
              <w:t>（</w:t>
            </w:r>
            <w:r>
              <w:rPr>
                <w:rFonts w:hint="eastAsia" w:cs="Times New Roman"/>
                <w:b/>
                <w:bCs/>
                <w:color w:val="000000"/>
                <w:sz w:val="24"/>
                <w:szCs w:val="24"/>
                <w:highlight w:val="none"/>
                <w:lang w:val="en-US" w:eastAsia="zh-CN"/>
              </w:rPr>
              <w:t>4</w:t>
            </w:r>
            <w:r>
              <w:rPr>
                <w:rFonts w:hint="eastAsia" w:ascii="Times New Roman" w:hAnsi="Times New Roman" w:eastAsia="宋体" w:cs="Times New Roman"/>
                <w:b/>
                <w:bCs/>
                <w:color w:val="000000"/>
                <w:sz w:val="24"/>
                <w:szCs w:val="24"/>
                <w:highlight w:val="none"/>
                <w:lang w:eastAsia="zh-CN"/>
              </w:rPr>
              <w:t>）电炉熔化</w:t>
            </w:r>
          </w:p>
          <w:p w14:paraId="3C195064">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szCs w:val="20"/>
                <w:highlight w:val="none"/>
                <w:lang w:val="en-US" w:eastAsia="zh-CN"/>
              </w:rPr>
            </w:pPr>
            <w:r>
              <w:rPr>
                <w:rFonts w:hint="default" w:ascii="Times New Roman" w:hAnsi="Times New Roman" w:eastAsia="宋体" w:cs="Times New Roman"/>
                <w:color w:val="000000"/>
                <w:sz w:val="24"/>
                <w:szCs w:val="24"/>
                <w:highlight w:val="none"/>
                <w:lang w:eastAsia="zh-CN"/>
              </w:rPr>
              <w:t>将</w:t>
            </w:r>
            <w:r>
              <w:rPr>
                <w:rFonts w:hint="eastAsia" w:cs="Times New Roman"/>
                <w:color w:val="000000"/>
                <w:sz w:val="24"/>
                <w:szCs w:val="24"/>
                <w:highlight w:val="none"/>
                <w:lang w:val="en-US" w:eastAsia="zh-CN"/>
              </w:rPr>
              <w:t>米</w:t>
            </w:r>
            <w:r>
              <w:rPr>
                <w:rFonts w:hint="eastAsia"/>
                <w:sz w:val="24"/>
                <w:szCs w:val="24"/>
                <w:highlight w:val="none"/>
                <w:lang w:val="en-US" w:eastAsia="zh-CN"/>
              </w:rPr>
              <w:t>铁</w:t>
            </w:r>
            <w:r>
              <w:rPr>
                <w:rFonts w:hint="eastAsia"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eastAsia="zh-CN"/>
              </w:rPr>
              <w:t>废钢</w:t>
            </w:r>
            <w:r>
              <w:rPr>
                <w:rFonts w:hint="eastAsia" w:ascii="Times New Roman" w:hAnsi="Times New Roman" w:eastAsia="宋体" w:cs="Times New Roman"/>
                <w:color w:val="000000"/>
                <w:sz w:val="24"/>
                <w:szCs w:val="24"/>
                <w:highlight w:val="none"/>
                <w:lang w:val="en-US" w:eastAsia="zh-CN"/>
              </w:rPr>
              <w:t>等原材料通过叉车加入中频电炉内，本项目设置2台钢壳有磁轭中频电炉，一用一备，待温度升至148</w:t>
            </w:r>
            <w:r>
              <w:rPr>
                <w:rFonts w:hint="default" w:ascii="Times New Roman" w:hAnsi="Times New Roman" w:eastAsia="宋体" w:cs="Times New Roman"/>
                <w:color w:val="000000"/>
                <w:sz w:val="24"/>
                <w:szCs w:val="24"/>
                <w:highlight w:val="none"/>
                <w:lang w:val="en-US" w:eastAsia="zh-CN"/>
              </w:rPr>
              <w:t>0℃</w:t>
            </w:r>
            <w:r>
              <w:rPr>
                <w:rFonts w:hint="eastAsia" w:ascii="Times New Roman" w:hAnsi="Times New Roman" w:eastAsia="宋体" w:cs="Times New Roman"/>
                <w:color w:val="000000"/>
                <w:sz w:val="24"/>
                <w:szCs w:val="24"/>
                <w:highlight w:val="none"/>
                <w:lang w:val="en-US" w:eastAsia="zh-CN"/>
              </w:rPr>
              <w:t>，持续加热1h，将原材料熔化并倒入铁水包内。</w:t>
            </w:r>
          </w:p>
          <w:p w14:paraId="72C14B86">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eastAsia="zh-CN"/>
              </w:rPr>
              <w:t>铁水导出后中频电炉用闭式循环水系统进行冷却。</w:t>
            </w:r>
            <w:r>
              <w:rPr>
                <w:rFonts w:hint="eastAsia" w:cs="Times New Roman"/>
                <w:color w:val="000000"/>
                <w:sz w:val="24"/>
                <w:szCs w:val="24"/>
                <w:highlight w:val="none"/>
                <w:lang w:val="en-US" w:eastAsia="zh-CN"/>
              </w:rPr>
              <w:t>中频电炉定期采用造渣剂清理炉内铁渣。</w:t>
            </w:r>
          </w:p>
          <w:p w14:paraId="76280B49">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eastAsia"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lang w:val="en-US" w:eastAsia="zh-CN"/>
              </w:rPr>
              <w:t>该工序的产污节点为电炉熔化产生的废气（G3），主要污染物为颗粒物；设备运行噪声（N2）；</w:t>
            </w:r>
            <w:r>
              <w:rPr>
                <w:rFonts w:hint="eastAsia" w:cs="Times New Roman"/>
                <w:b/>
                <w:bCs/>
                <w:color w:val="000000"/>
                <w:sz w:val="24"/>
                <w:szCs w:val="24"/>
                <w:highlight w:val="none"/>
                <w:lang w:val="en-US" w:eastAsia="zh-CN"/>
              </w:rPr>
              <w:t>清理中频炉产生的铁渣</w:t>
            </w:r>
            <w:r>
              <w:rPr>
                <w:rFonts w:hint="eastAsia" w:ascii="Times New Roman" w:hAnsi="Times New Roman" w:eastAsia="宋体" w:cs="Times New Roman"/>
                <w:b/>
                <w:bCs/>
                <w:color w:val="000000"/>
                <w:sz w:val="24"/>
                <w:szCs w:val="24"/>
                <w:highlight w:val="none"/>
                <w:lang w:val="en-US" w:eastAsia="zh-CN"/>
              </w:rPr>
              <w:t>（S2）。</w:t>
            </w:r>
          </w:p>
          <w:p w14:paraId="6A742698">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cs="Times New Roman"/>
                <w:b/>
                <w:bCs/>
                <w:color w:val="000000"/>
                <w:sz w:val="24"/>
                <w:szCs w:val="24"/>
                <w:highlight w:val="none"/>
                <w:lang w:eastAsia="zh-CN"/>
              </w:rPr>
              <w:t>（</w:t>
            </w:r>
            <w:r>
              <w:rPr>
                <w:rFonts w:hint="eastAsia" w:cs="Times New Roman"/>
                <w:b/>
                <w:bCs/>
                <w:color w:val="000000"/>
                <w:sz w:val="24"/>
                <w:szCs w:val="24"/>
                <w:highlight w:val="none"/>
                <w:lang w:val="en-US" w:eastAsia="zh-CN"/>
              </w:rPr>
              <w:t>5</w:t>
            </w:r>
            <w:r>
              <w:rPr>
                <w:rFonts w:hint="eastAsia" w:cs="Times New Roman"/>
                <w:b/>
                <w:bCs/>
                <w:color w:val="000000"/>
                <w:sz w:val="24"/>
                <w:szCs w:val="24"/>
                <w:highlight w:val="none"/>
                <w:lang w:eastAsia="zh-CN"/>
              </w:rPr>
              <w:t>）</w:t>
            </w:r>
            <w:r>
              <w:rPr>
                <w:rFonts w:hint="eastAsia" w:ascii="Times New Roman" w:hAnsi="Times New Roman" w:eastAsia="宋体" w:cs="Times New Roman"/>
                <w:b/>
                <w:bCs/>
                <w:color w:val="000000"/>
                <w:sz w:val="24"/>
                <w:szCs w:val="24"/>
                <w:highlight w:val="none"/>
                <w:lang w:val="en-US" w:eastAsia="zh-CN"/>
              </w:rPr>
              <w:t>铁水转运</w:t>
            </w:r>
          </w:p>
          <w:p w14:paraId="77E57F9A">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val="en-US" w:eastAsia="zh-CN"/>
              </w:rPr>
              <w:t>熔化的</w:t>
            </w:r>
            <w:r>
              <w:rPr>
                <w:rFonts w:hint="default" w:ascii="Times New Roman" w:hAnsi="Times New Roman" w:eastAsia="宋体" w:cs="Times New Roman"/>
                <w:color w:val="000000"/>
                <w:sz w:val="24"/>
                <w:szCs w:val="24"/>
                <w:highlight w:val="none"/>
                <w:lang w:eastAsia="zh-CN"/>
              </w:rPr>
              <w:t>铁水倒入</w:t>
            </w:r>
            <w:r>
              <w:rPr>
                <w:rFonts w:hint="eastAsia" w:ascii="Times New Roman" w:hAnsi="Times New Roman" w:eastAsia="宋体" w:cs="Times New Roman"/>
                <w:color w:val="000000"/>
                <w:sz w:val="24"/>
                <w:szCs w:val="24"/>
                <w:highlight w:val="none"/>
                <w:lang w:val="en-US" w:eastAsia="zh-CN"/>
              </w:rPr>
              <w:t>铁水包内</w:t>
            </w:r>
            <w:r>
              <w:rPr>
                <w:rFonts w:hint="default" w:ascii="Times New Roman" w:hAnsi="Times New Roman" w:eastAsia="宋体" w:cs="Times New Roman"/>
                <w:color w:val="000000"/>
                <w:sz w:val="24"/>
                <w:szCs w:val="24"/>
                <w:highlight w:val="none"/>
                <w:lang w:eastAsia="zh-CN"/>
              </w:rPr>
              <w:t>，</w:t>
            </w:r>
            <w:r>
              <w:rPr>
                <w:rFonts w:hint="eastAsia" w:ascii="Times New Roman" w:hAnsi="Times New Roman" w:eastAsia="宋体" w:cs="Times New Roman"/>
                <w:color w:val="000000"/>
                <w:sz w:val="24"/>
                <w:szCs w:val="24"/>
                <w:highlight w:val="none"/>
                <w:lang w:val="en-US" w:eastAsia="zh-CN"/>
              </w:rPr>
              <w:t>通过</w:t>
            </w:r>
            <w:r>
              <w:rPr>
                <w:rFonts w:hint="default" w:ascii="Times New Roman" w:hAnsi="Times New Roman" w:eastAsia="宋体" w:cs="Times New Roman"/>
                <w:color w:val="000000"/>
                <w:sz w:val="24"/>
                <w:szCs w:val="24"/>
                <w:highlight w:val="none"/>
                <w:lang w:val="en-US" w:eastAsia="zh-CN"/>
              </w:rPr>
              <w:t>电动单梁起重机</w:t>
            </w:r>
            <w:r>
              <w:rPr>
                <w:rFonts w:hint="eastAsia" w:ascii="Times New Roman" w:hAnsi="Times New Roman" w:eastAsia="宋体" w:cs="Times New Roman"/>
                <w:color w:val="000000"/>
                <w:sz w:val="24"/>
                <w:szCs w:val="24"/>
                <w:highlight w:val="none"/>
                <w:lang w:val="en-US" w:eastAsia="zh-CN"/>
              </w:rPr>
              <w:t>将铁水包转运至浇注区进行浇注</w:t>
            </w:r>
            <w:r>
              <w:rPr>
                <w:rFonts w:hint="eastAsia" w:ascii="Times New Roman" w:hAnsi="Times New Roman" w:eastAsia="宋体" w:cs="Times New Roman"/>
                <w:color w:val="000000"/>
                <w:sz w:val="24"/>
                <w:szCs w:val="24"/>
                <w:highlight w:val="none"/>
                <w:lang w:eastAsia="zh-CN"/>
              </w:rPr>
              <w:t>。</w:t>
            </w:r>
          </w:p>
          <w:p w14:paraId="07E3E99F">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b/>
                <w:bCs/>
                <w:color w:val="000000"/>
                <w:sz w:val="24"/>
                <w:szCs w:val="24"/>
                <w:highlight w:val="none"/>
                <w:lang w:val="en-US" w:eastAsia="zh-CN"/>
              </w:rPr>
              <w:t>该工序产污节点主要为设备运行噪声（N3）；</w:t>
            </w:r>
          </w:p>
          <w:p w14:paraId="5BE1F7DE">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ascii="Times New Roman" w:hAnsi="Times New Roman" w:eastAsia="宋体" w:cs="Times New Roman"/>
                <w:b/>
                <w:bCs/>
                <w:color w:val="000000"/>
                <w:sz w:val="24"/>
                <w:szCs w:val="24"/>
                <w:highlight w:val="none"/>
                <w:lang w:eastAsia="zh-CN"/>
              </w:rPr>
              <w:t>（</w:t>
            </w:r>
            <w:r>
              <w:rPr>
                <w:rFonts w:hint="eastAsia" w:cs="Times New Roman"/>
                <w:b/>
                <w:bCs/>
                <w:color w:val="000000"/>
                <w:sz w:val="24"/>
                <w:szCs w:val="24"/>
                <w:highlight w:val="none"/>
                <w:lang w:val="en-US" w:eastAsia="zh-CN"/>
              </w:rPr>
              <w:t>6</w:t>
            </w:r>
            <w:r>
              <w:rPr>
                <w:rFonts w:hint="eastAsia" w:ascii="Times New Roman" w:hAnsi="Times New Roman" w:eastAsia="宋体" w:cs="Times New Roman"/>
                <w:b/>
                <w:bCs/>
                <w:color w:val="000000"/>
                <w:sz w:val="24"/>
                <w:szCs w:val="24"/>
                <w:highlight w:val="none"/>
                <w:lang w:eastAsia="zh-CN"/>
              </w:rPr>
              <w:t>）浇</w:t>
            </w:r>
            <w:r>
              <w:rPr>
                <w:rFonts w:hint="default" w:ascii="Times New Roman" w:hAnsi="Times New Roman" w:eastAsia="宋体" w:cs="Times New Roman"/>
                <w:b/>
                <w:bCs/>
                <w:color w:val="000000"/>
                <w:sz w:val="24"/>
                <w:szCs w:val="24"/>
                <w:highlight w:val="none"/>
                <w:lang w:eastAsia="zh-CN"/>
              </w:rPr>
              <w:t>注</w:t>
            </w:r>
          </w:p>
          <w:p w14:paraId="666CA4AD">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eastAsia" w:cs="Times New Roman"/>
                <w:color w:val="000000"/>
                <w:sz w:val="24"/>
                <w:szCs w:val="24"/>
                <w:highlight w:val="none"/>
                <w:lang w:val="en-US" w:eastAsia="zh-CN"/>
              </w:rPr>
              <w:t>通过</w:t>
            </w:r>
            <w:r>
              <w:rPr>
                <w:rFonts w:hint="default" w:ascii="Times New Roman" w:hAnsi="Times New Roman" w:eastAsia="宋体" w:cs="Times New Roman"/>
                <w:color w:val="000000"/>
                <w:sz w:val="24"/>
                <w:szCs w:val="24"/>
                <w:highlight w:val="none"/>
                <w:lang w:val="en-US" w:eastAsia="zh-CN"/>
              </w:rPr>
              <w:t>起重机</w:t>
            </w:r>
            <w:r>
              <w:rPr>
                <w:rFonts w:hint="default" w:ascii="Times New Roman" w:hAnsi="Times New Roman" w:eastAsia="宋体" w:cs="Times New Roman"/>
                <w:color w:val="000000"/>
                <w:sz w:val="24"/>
                <w:szCs w:val="24"/>
                <w:highlight w:val="none"/>
                <w:lang w:eastAsia="zh-CN"/>
              </w:rPr>
              <w:t>将铁水</w:t>
            </w:r>
            <w:r>
              <w:rPr>
                <w:rFonts w:hint="eastAsia" w:cs="Times New Roman"/>
                <w:color w:val="000000"/>
                <w:sz w:val="24"/>
                <w:szCs w:val="24"/>
                <w:highlight w:val="none"/>
                <w:lang w:val="en-US" w:eastAsia="zh-CN"/>
              </w:rPr>
              <w:t>包</w:t>
            </w:r>
            <w:r>
              <w:rPr>
                <w:rFonts w:hint="default" w:ascii="Times New Roman" w:hAnsi="Times New Roman" w:eastAsia="宋体" w:cs="Times New Roman"/>
                <w:color w:val="000000"/>
                <w:sz w:val="24"/>
                <w:szCs w:val="24"/>
                <w:highlight w:val="none"/>
                <w:lang w:eastAsia="zh-CN"/>
              </w:rPr>
              <w:t>注入型壳</w:t>
            </w:r>
            <w:r>
              <w:rPr>
                <w:rFonts w:hint="eastAsia" w:ascii="Times New Roman" w:hAnsi="Times New Roman" w:eastAsia="宋体" w:cs="Times New Roman"/>
                <w:color w:val="000000"/>
                <w:sz w:val="24"/>
                <w:szCs w:val="24"/>
                <w:highlight w:val="none"/>
                <w:lang w:eastAsia="zh-CN"/>
              </w:rPr>
              <w:t>浇</w:t>
            </w:r>
            <w:r>
              <w:rPr>
                <w:rFonts w:hint="default" w:ascii="Times New Roman" w:hAnsi="Times New Roman" w:eastAsia="宋体" w:cs="Times New Roman"/>
                <w:color w:val="000000"/>
                <w:sz w:val="24"/>
                <w:szCs w:val="24"/>
                <w:highlight w:val="none"/>
                <w:lang w:eastAsia="zh-CN"/>
              </w:rPr>
              <w:t>注口</w:t>
            </w:r>
            <w:r>
              <w:rPr>
                <w:rFonts w:hint="eastAsia"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eastAsia="zh-CN"/>
              </w:rPr>
              <w:t>温度一般为1300~1400℃。</w:t>
            </w:r>
            <w:r>
              <w:rPr>
                <w:rFonts w:hint="eastAsia" w:ascii="Times New Roman" w:hAnsi="Times New Roman" w:eastAsia="宋体" w:cs="Times New Roman"/>
                <w:color w:val="000000"/>
                <w:sz w:val="24"/>
                <w:szCs w:val="24"/>
                <w:highlight w:val="none"/>
                <w:lang w:eastAsia="zh-CN"/>
              </w:rPr>
              <w:t>浇</w:t>
            </w:r>
            <w:r>
              <w:rPr>
                <w:rFonts w:hint="default" w:ascii="Times New Roman" w:hAnsi="Times New Roman" w:eastAsia="宋体" w:cs="Times New Roman"/>
                <w:color w:val="000000"/>
                <w:sz w:val="24"/>
                <w:szCs w:val="24"/>
                <w:highlight w:val="none"/>
                <w:lang w:eastAsia="zh-CN"/>
              </w:rPr>
              <w:t>注</w:t>
            </w:r>
            <w:r>
              <w:rPr>
                <w:rFonts w:hint="eastAsia" w:cs="Times New Roman"/>
                <w:color w:val="000000"/>
                <w:sz w:val="24"/>
                <w:szCs w:val="24"/>
                <w:highlight w:val="none"/>
                <w:lang w:val="en-US" w:eastAsia="zh-CN"/>
              </w:rPr>
              <w:t>后将砂箱推至注砂落砂区进行</w:t>
            </w:r>
            <w:r>
              <w:rPr>
                <w:rFonts w:hint="eastAsia" w:ascii="Times New Roman" w:hAnsi="Times New Roman" w:eastAsia="宋体" w:cs="Times New Roman"/>
                <w:color w:val="000000"/>
                <w:sz w:val="24"/>
                <w:szCs w:val="24"/>
                <w:highlight w:val="none"/>
                <w:lang w:val="en-US" w:eastAsia="zh-CN"/>
              </w:rPr>
              <w:t>自然冷却，</w:t>
            </w:r>
            <w:r>
              <w:rPr>
                <w:rFonts w:hint="eastAsia" w:cs="Times New Roman"/>
                <w:color w:val="000000"/>
                <w:sz w:val="24"/>
                <w:szCs w:val="24"/>
                <w:highlight w:val="none"/>
                <w:lang w:val="en-US" w:eastAsia="zh-CN"/>
              </w:rPr>
              <w:t>一般持续2h~3h即可冷却完毕，</w:t>
            </w:r>
            <w:r>
              <w:rPr>
                <w:rFonts w:hint="default" w:ascii="Times New Roman" w:hAnsi="Times New Roman" w:eastAsia="宋体" w:cs="Times New Roman"/>
                <w:color w:val="000000"/>
                <w:sz w:val="24"/>
                <w:szCs w:val="24"/>
                <w:highlight w:val="none"/>
                <w:lang w:eastAsia="zh-CN"/>
              </w:rPr>
              <w:t>冷却后即形成所需铸件。</w:t>
            </w:r>
          </w:p>
          <w:p w14:paraId="564F812E">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lang w:val="en-US" w:eastAsia="zh-CN"/>
              </w:rPr>
              <w:t>该工序产污节点主要为浇注废气（G4），主要污染物为颗粒物、非甲烷总烃、甲醛、酚类；浇注废渣（S</w:t>
            </w:r>
            <w:r>
              <w:rPr>
                <w:rFonts w:hint="eastAsia" w:cs="Times New Roman"/>
                <w:b/>
                <w:bCs/>
                <w:color w:val="000000"/>
                <w:sz w:val="24"/>
                <w:szCs w:val="24"/>
                <w:highlight w:val="none"/>
                <w:lang w:val="en-US" w:eastAsia="zh-CN"/>
              </w:rPr>
              <w:t>3</w:t>
            </w:r>
            <w:r>
              <w:rPr>
                <w:rFonts w:hint="eastAsia" w:ascii="Times New Roman" w:hAnsi="Times New Roman" w:eastAsia="宋体" w:cs="Times New Roman"/>
                <w:b/>
                <w:bCs/>
                <w:color w:val="000000"/>
                <w:sz w:val="24"/>
                <w:szCs w:val="24"/>
                <w:highlight w:val="none"/>
                <w:lang w:val="en-US" w:eastAsia="zh-CN"/>
              </w:rPr>
              <w:t>）。</w:t>
            </w:r>
          </w:p>
          <w:p w14:paraId="61ABC443">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lang w:eastAsia="zh-CN"/>
              </w:rPr>
              <w:t>（</w:t>
            </w:r>
            <w:r>
              <w:rPr>
                <w:rFonts w:hint="eastAsia" w:cs="Times New Roman"/>
                <w:b/>
                <w:bCs/>
                <w:color w:val="000000"/>
                <w:sz w:val="24"/>
                <w:szCs w:val="24"/>
                <w:highlight w:val="none"/>
                <w:lang w:val="en-US" w:eastAsia="zh-CN"/>
              </w:rPr>
              <w:t>7</w:t>
            </w:r>
            <w:r>
              <w:rPr>
                <w:rFonts w:hint="eastAsia" w:ascii="Times New Roman" w:hAnsi="Times New Roman" w:eastAsia="宋体" w:cs="Times New Roman"/>
                <w:b/>
                <w:bCs/>
                <w:color w:val="000000"/>
                <w:sz w:val="24"/>
                <w:szCs w:val="24"/>
                <w:highlight w:val="none"/>
                <w:lang w:eastAsia="zh-CN"/>
              </w:rPr>
              <w:t>）</w:t>
            </w:r>
            <w:r>
              <w:rPr>
                <w:rFonts w:hint="eastAsia" w:ascii="Times New Roman" w:hAnsi="Times New Roman" w:eastAsia="宋体" w:cs="Times New Roman"/>
                <w:b/>
                <w:bCs/>
                <w:color w:val="000000"/>
                <w:sz w:val="24"/>
                <w:szCs w:val="24"/>
                <w:highlight w:val="none"/>
                <w:lang w:val="en-US" w:eastAsia="zh-CN"/>
              </w:rPr>
              <w:t>去浇冒口</w:t>
            </w:r>
            <w:r>
              <w:rPr>
                <w:rFonts w:hint="eastAsia" w:cs="Times New Roman"/>
                <w:b/>
                <w:bCs/>
                <w:color w:val="000000"/>
                <w:sz w:val="24"/>
                <w:szCs w:val="24"/>
                <w:highlight w:val="none"/>
                <w:lang w:val="en-US" w:eastAsia="zh-CN"/>
              </w:rPr>
              <w:t>、</w:t>
            </w:r>
            <w:r>
              <w:rPr>
                <w:rFonts w:hint="eastAsia" w:ascii="Times New Roman" w:hAnsi="Times New Roman" w:eastAsia="宋体" w:cs="Times New Roman"/>
                <w:b/>
                <w:bCs/>
                <w:color w:val="000000"/>
                <w:sz w:val="24"/>
                <w:szCs w:val="24"/>
                <w:highlight w:val="none"/>
                <w:lang w:val="en-US" w:eastAsia="zh-CN"/>
              </w:rPr>
              <w:t>落砂</w:t>
            </w:r>
          </w:p>
          <w:p w14:paraId="1D587EDC">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eastAsia" w:ascii="Times New Roman" w:hAnsi="Times New Roman" w:cs="Times New Roman"/>
                <w:color w:val="000000"/>
                <w:sz w:val="24"/>
                <w:szCs w:val="20"/>
                <w:highlight w:val="none"/>
                <w:lang w:val="en-US" w:eastAsia="zh-CN"/>
              </w:rPr>
            </w:pPr>
            <w:r>
              <w:rPr>
                <w:rFonts w:hint="eastAsia" w:ascii="Times New Roman" w:hAnsi="Times New Roman" w:cs="Times New Roman"/>
                <w:color w:val="000000"/>
                <w:sz w:val="24"/>
                <w:szCs w:val="20"/>
                <w:highlight w:val="none"/>
                <w:lang w:val="en-US" w:eastAsia="zh-CN"/>
              </w:rPr>
              <w:t>待铸件冷却后</w:t>
            </w:r>
            <w:r>
              <w:rPr>
                <w:rFonts w:hint="default" w:ascii="Times New Roman" w:hAnsi="Times New Roman" w:cs="Times New Roman"/>
                <w:color w:val="000000"/>
                <w:sz w:val="24"/>
                <w:szCs w:val="20"/>
                <w:highlight w:val="none"/>
                <w:lang w:eastAsia="zh-CN"/>
              </w:rPr>
              <w:t>，</w:t>
            </w:r>
            <w:r>
              <w:rPr>
                <w:rFonts w:hint="eastAsia" w:cs="Times New Roman"/>
                <w:color w:val="000000"/>
                <w:sz w:val="24"/>
                <w:szCs w:val="20"/>
                <w:highlight w:val="none"/>
                <w:lang w:val="en-US" w:eastAsia="zh-CN"/>
              </w:rPr>
              <w:t>在注砂落砂区</w:t>
            </w:r>
            <w:r>
              <w:rPr>
                <w:rFonts w:hint="default" w:ascii="Times New Roman" w:hAnsi="Times New Roman" w:cs="Times New Roman"/>
                <w:color w:val="000000"/>
                <w:sz w:val="24"/>
                <w:szCs w:val="20"/>
                <w:highlight w:val="none"/>
                <w:lang w:eastAsia="zh-CN"/>
              </w:rPr>
              <w:t>将铸件和砂分离</w:t>
            </w:r>
            <w:r>
              <w:rPr>
                <w:rFonts w:hint="eastAsia" w:cs="Times New Roman"/>
                <w:color w:val="000000"/>
                <w:sz w:val="24"/>
                <w:szCs w:val="20"/>
                <w:highlight w:val="none"/>
                <w:lang w:eastAsia="zh-CN"/>
              </w:rPr>
              <w:t>；</w:t>
            </w:r>
            <w:r>
              <w:rPr>
                <w:rFonts w:hint="eastAsia" w:cs="Times New Roman"/>
                <w:color w:val="000000"/>
                <w:sz w:val="24"/>
                <w:szCs w:val="20"/>
                <w:highlight w:val="none"/>
                <w:lang w:val="en-US" w:eastAsia="zh-CN"/>
              </w:rPr>
              <w:t>通过高温浇注后，砂壳较为松散，</w:t>
            </w:r>
            <w:r>
              <w:rPr>
                <w:rFonts w:hint="eastAsia" w:ascii="Times New Roman" w:hAnsi="Times New Roman" w:cs="Times New Roman"/>
                <w:color w:val="000000"/>
                <w:sz w:val="24"/>
                <w:szCs w:val="20"/>
                <w:highlight w:val="none"/>
                <w:lang w:val="en-US" w:eastAsia="zh-CN"/>
              </w:rPr>
              <w:t>通过人工震动、敲击</w:t>
            </w:r>
            <w:r>
              <w:rPr>
                <w:rFonts w:hint="eastAsia" w:cs="Times New Roman"/>
                <w:color w:val="000000"/>
                <w:sz w:val="24"/>
                <w:szCs w:val="20"/>
                <w:highlight w:val="none"/>
                <w:lang w:val="en-US" w:eastAsia="zh-CN"/>
              </w:rPr>
              <w:t>即可</w:t>
            </w:r>
            <w:r>
              <w:rPr>
                <w:rFonts w:hint="eastAsia" w:ascii="Times New Roman" w:hAnsi="Times New Roman" w:cs="Times New Roman"/>
                <w:color w:val="000000"/>
                <w:sz w:val="24"/>
                <w:szCs w:val="20"/>
                <w:highlight w:val="none"/>
                <w:lang w:val="en-US" w:eastAsia="zh-CN"/>
              </w:rPr>
              <w:t>进行落砂</w:t>
            </w:r>
            <w:r>
              <w:rPr>
                <w:rFonts w:hint="eastAsia" w:cs="Times New Roman"/>
                <w:color w:val="000000"/>
                <w:sz w:val="24"/>
                <w:szCs w:val="20"/>
                <w:highlight w:val="none"/>
                <w:lang w:val="en-US" w:eastAsia="zh-CN"/>
              </w:rPr>
              <w:t>、</w:t>
            </w:r>
            <w:r>
              <w:rPr>
                <w:rFonts w:hint="eastAsia" w:ascii="Times New Roman" w:hAnsi="Times New Roman" w:eastAsia="宋体" w:cs="Times New Roman"/>
                <w:b w:val="0"/>
                <w:bCs w:val="0"/>
                <w:color w:val="000000"/>
                <w:sz w:val="24"/>
                <w:szCs w:val="24"/>
                <w:highlight w:val="none"/>
                <w:lang w:val="en-US" w:eastAsia="zh-CN"/>
              </w:rPr>
              <w:t>去浇冒口</w:t>
            </w:r>
            <w:r>
              <w:rPr>
                <w:rFonts w:hint="eastAsia" w:cs="Times New Roman"/>
                <w:b w:val="0"/>
                <w:bCs w:val="0"/>
                <w:color w:val="000000"/>
                <w:sz w:val="24"/>
                <w:szCs w:val="20"/>
                <w:highlight w:val="none"/>
                <w:lang w:val="en-US" w:eastAsia="zh-CN"/>
              </w:rPr>
              <w:t>；</w:t>
            </w:r>
            <w:r>
              <w:rPr>
                <w:rFonts w:hint="default" w:ascii="Times New Roman" w:hAnsi="Times New Roman" w:cs="Times New Roman"/>
                <w:color w:val="000000"/>
                <w:sz w:val="24"/>
                <w:szCs w:val="20"/>
                <w:highlight w:val="none"/>
                <w:lang w:eastAsia="zh-CN"/>
              </w:rPr>
              <w:t>分离后的</w:t>
            </w:r>
            <w:r>
              <w:rPr>
                <w:rFonts w:hint="eastAsia" w:ascii="Times New Roman" w:hAnsi="Times New Roman" w:cs="Times New Roman"/>
                <w:color w:val="000000"/>
                <w:sz w:val="24"/>
                <w:szCs w:val="20"/>
                <w:highlight w:val="none"/>
                <w:lang w:eastAsia="zh-CN"/>
              </w:rPr>
              <w:t>铸件进入</w:t>
            </w:r>
            <w:r>
              <w:rPr>
                <w:rFonts w:hint="eastAsia" w:ascii="Times New Roman" w:hAnsi="Times New Roman" w:cs="Times New Roman"/>
                <w:color w:val="000000"/>
                <w:sz w:val="24"/>
                <w:szCs w:val="20"/>
                <w:highlight w:val="none"/>
                <w:lang w:val="en-US" w:eastAsia="zh-CN"/>
              </w:rPr>
              <w:t>打磨</w:t>
            </w:r>
            <w:r>
              <w:rPr>
                <w:rFonts w:hint="eastAsia" w:ascii="Times New Roman" w:hAnsi="Times New Roman" w:cs="Times New Roman"/>
                <w:color w:val="000000"/>
                <w:sz w:val="24"/>
                <w:szCs w:val="20"/>
                <w:highlight w:val="none"/>
                <w:lang w:eastAsia="zh-CN"/>
              </w:rPr>
              <w:t>工序</w:t>
            </w:r>
            <w:r>
              <w:rPr>
                <w:rFonts w:hint="eastAsia" w:cs="Times New Roman"/>
                <w:color w:val="000000"/>
                <w:sz w:val="24"/>
                <w:szCs w:val="20"/>
                <w:highlight w:val="none"/>
                <w:lang w:eastAsia="zh-CN"/>
              </w:rPr>
              <w:t>；</w:t>
            </w:r>
            <w:r>
              <w:rPr>
                <w:rFonts w:hint="eastAsia" w:cs="Times New Roman"/>
                <w:color w:val="000000"/>
                <w:sz w:val="24"/>
                <w:szCs w:val="20"/>
                <w:highlight w:val="none"/>
                <w:lang w:val="en-US" w:eastAsia="zh-CN"/>
              </w:rPr>
              <w:t>本项目不设置砂处理工艺，</w:t>
            </w:r>
            <w:r>
              <w:rPr>
                <w:rFonts w:hint="eastAsia" w:ascii="Times New Roman" w:hAnsi="Times New Roman" w:cs="Times New Roman"/>
                <w:color w:val="000000"/>
                <w:sz w:val="24"/>
                <w:szCs w:val="20"/>
                <w:highlight w:val="none"/>
                <w:lang w:val="en-US" w:eastAsia="zh-CN"/>
              </w:rPr>
              <w:t>废砂收集后交厂家回收再生利用。</w:t>
            </w:r>
          </w:p>
          <w:p w14:paraId="0F523F3B">
            <w:pPr>
              <w:pStyle w:val="7"/>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480" w:lineRule="exact"/>
              <w:ind w:left="0" w:right="0" w:firstLine="482" w:firstLineChars="200"/>
              <w:jc w:val="both"/>
              <w:textAlignment w:val="baseline"/>
              <w:rPr>
                <w:rFonts w:hint="default" w:ascii="Times New Roman" w:hAnsi="Times New Roman" w:eastAsia="宋体" w:cs="Times New Roman"/>
                <w:b/>
                <w:bCs/>
                <w:color w:val="000000"/>
                <w:kern w:val="2"/>
                <w:sz w:val="24"/>
                <w:szCs w:val="24"/>
                <w:highlight w:val="none"/>
                <w:lang w:val="en-US" w:eastAsia="zh-CN" w:bidi="ar-SA"/>
              </w:rPr>
            </w:pPr>
            <w:r>
              <w:rPr>
                <w:rFonts w:hint="eastAsia" w:ascii="Times New Roman" w:hAnsi="Times New Roman" w:eastAsia="宋体" w:cs="Times New Roman"/>
                <w:b/>
                <w:bCs/>
                <w:color w:val="000000"/>
                <w:kern w:val="2"/>
                <w:sz w:val="24"/>
                <w:szCs w:val="24"/>
                <w:highlight w:val="none"/>
                <w:lang w:val="en-US" w:eastAsia="zh-CN" w:bidi="ar-SA"/>
              </w:rPr>
              <w:t>该工序产污节点主要为落砂废气（G5），主要污染物为颗粒物；落砂敲击噪声（N4）；固体废物废砂（S4）、浇冒口（S5）。</w:t>
            </w:r>
          </w:p>
          <w:p w14:paraId="514A3E40">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ascii="Times New Roman" w:hAnsi="Times New Roman" w:eastAsia="宋体" w:cs="Times New Roman"/>
                <w:b/>
                <w:bCs/>
                <w:color w:val="000000"/>
                <w:sz w:val="24"/>
                <w:szCs w:val="24"/>
                <w:highlight w:val="none"/>
                <w:lang w:eastAsia="zh-CN"/>
              </w:rPr>
              <w:t>（</w:t>
            </w:r>
            <w:r>
              <w:rPr>
                <w:rFonts w:hint="eastAsia" w:cs="Times New Roman"/>
                <w:b/>
                <w:bCs/>
                <w:color w:val="000000"/>
                <w:sz w:val="24"/>
                <w:szCs w:val="24"/>
                <w:highlight w:val="none"/>
                <w:lang w:val="en-US" w:eastAsia="zh-CN"/>
              </w:rPr>
              <w:t>8</w:t>
            </w:r>
            <w:r>
              <w:rPr>
                <w:rFonts w:hint="eastAsia" w:ascii="Times New Roman" w:hAnsi="Times New Roman" w:eastAsia="宋体" w:cs="Times New Roman"/>
                <w:b/>
                <w:bCs/>
                <w:color w:val="000000"/>
                <w:sz w:val="24"/>
                <w:szCs w:val="24"/>
                <w:highlight w:val="none"/>
                <w:lang w:eastAsia="zh-CN"/>
              </w:rPr>
              <w:t>）打磨</w:t>
            </w:r>
          </w:p>
          <w:p w14:paraId="04D49E8F">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铸件</w:t>
            </w:r>
            <w:r>
              <w:rPr>
                <w:rFonts w:hint="eastAsia" w:cs="Times New Roman"/>
                <w:color w:val="000000"/>
                <w:sz w:val="24"/>
                <w:szCs w:val="24"/>
                <w:highlight w:val="none"/>
                <w:lang w:val="en-US" w:eastAsia="zh-CN"/>
              </w:rPr>
              <w:t>人工转运至打磨间，</w:t>
            </w:r>
            <w:r>
              <w:rPr>
                <w:rFonts w:hint="default" w:ascii="Times New Roman" w:hAnsi="Times New Roman" w:eastAsia="宋体" w:cs="Times New Roman"/>
                <w:color w:val="000000"/>
                <w:sz w:val="24"/>
                <w:szCs w:val="24"/>
                <w:highlight w:val="none"/>
                <w:lang w:val="en-US" w:eastAsia="zh-CN"/>
              </w:rPr>
              <w:t>经</w:t>
            </w:r>
            <w:r>
              <w:rPr>
                <w:rFonts w:hint="eastAsia" w:ascii="Times New Roman" w:hAnsi="Times New Roman" w:eastAsia="宋体" w:cs="Times New Roman"/>
                <w:color w:val="000000"/>
                <w:sz w:val="24"/>
                <w:szCs w:val="24"/>
                <w:highlight w:val="none"/>
                <w:lang w:val="en-US" w:eastAsia="zh-CN"/>
              </w:rPr>
              <w:t>手持角磨机</w:t>
            </w:r>
            <w:r>
              <w:rPr>
                <w:rFonts w:hint="eastAsia" w:cs="Times New Roman"/>
                <w:color w:val="000000"/>
                <w:sz w:val="24"/>
                <w:szCs w:val="24"/>
                <w:highlight w:val="none"/>
                <w:lang w:val="en-US" w:eastAsia="zh-CN"/>
              </w:rPr>
              <w:t>或</w:t>
            </w:r>
            <w:r>
              <w:rPr>
                <w:rFonts w:hint="eastAsia" w:ascii="宋体" w:hAnsi="宋体" w:eastAsia="宋体" w:cs="宋体"/>
                <w:sz w:val="24"/>
                <w:szCs w:val="24"/>
                <w:highlight w:val="none"/>
                <w:lang w:val="en-US" w:eastAsia="zh-CN"/>
              </w:rPr>
              <w:t>高速磨削机</w:t>
            </w:r>
            <w:r>
              <w:rPr>
                <w:rFonts w:hint="default" w:ascii="Times New Roman" w:hAnsi="Times New Roman" w:eastAsia="宋体" w:cs="Times New Roman"/>
                <w:color w:val="000000"/>
                <w:sz w:val="24"/>
                <w:szCs w:val="24"/>
                <w:highlight w:val="none"/>
                <w:lang w:val="en-US" w:eastAsia="zh-CN"/>
              </w:rPr>
              <w:t>设备去除剩余的浇冒口、残余飞边和毛刺</w:t>
            </w:r>
            <w:r>
              <w:rPr>
                <w:rFonts w:hint="default" w:ascii="Times New Roman" w:hAnsi="Times New Roman" w:eastAsia="宋体" w:cs="Times New Roman"/>
                <w:color w:val="000000"/>
                <w:sz w:val="24"/>
                <w:szCs w:val="24"/>
                <w:highlight w:val="none"/>
                <w:lang w:eastAsia="zh-CN"/>
              </w:rPr>
              <w:t>。</w:t>
            </w:r>
          </w:p>
          <w:p w14:paraId="3EE74E5F">
            <w:pPr>
              <w:pStyle w:val="7"/>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480" w:lineRule="exact"/>
              <w:ind w:left="0" w:right="0" w:firstLine="482" w:firstLineChars="200"/>
              <w:jc w:val="both"/>
              <w:textAlignment w:val="baseline"/>
              <w:rPr>
                <w:rFonts w:hint="default"/>
                <w:b/>
                <w:bCs/>
                <w:color w:val="000000"/>
                <w:highlight w:val="none"/>
                <w:lang w:val="en-US" w:eastAsia="zh-CN"/>
              </w:rPr>
            </w:pPr>
            <w:r>
              <w:rPr>
                <w:rFonts w:hint="eastAsia" w:ascii="Times New Roman" w:hAnsi="Times New Roman" w:eastAsia="宋体" w:cs="Times New Roman"/>
                <w:b/>
                <w:bCs/>
                <w:color w:val="000000"/>
                <w:kern w:val="2"/>
                <w:sz w:val="24"/>
                <w:szCs w:val="24"/>
                <w:highlight w:val="none"/>
                <w:lang w:val="en-US" w:eastAsia="zh-CN" w:bidi="ar-SA"/>
              </w:rPr>
              <w:t>该工序产污节点为打磨过程产生的废气（G6），主要污染物为颗粒物；设备运行噪声（N5）。</w:t>
            </w:r>
          </w:p>
          <w:p w14:paraId="1670E7F6">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both"/>
              <w:textAlignment w:val="auto"/>
              <w:rPr>
                <w:rFonts w:hint="default" w:ascii="Times New Roman" w:hAnsi="Times New Roman" w:eastAsia="宋体" w:cs="Times New Roman"/>
                <w:b/>
                <w:bCs/>
                <w:color w:val="000000"/>
                <w:sz w:val="24"/>
                <w:szCs w:val="24"/>
                <w:highlight w:val="none"/>
                <w:lang w:eastAsia="zh-CN"/>
              </w:rPr>
            </w:pPr>
            <w:r>
              <w:rPr>
                <w:rFonts w:hint="eastAsia" w:ascii="Times New Roman" w:hAnsi="Times New Roman" w:eastAsia="宋体" w:cs="Times New Roman"/>
                <w:b/>
                <w:bCs/>
                <w:color w:val="000000"/>
                <w:sz w:val="24"/>
                <w:szCs w:val="24"/>
                <w:highlight w:val="none"/>
                <w:lang w:eastAsia="zh-CN"/>
              </w:rPr>
              <w:t>（</w:t>
            </w:r>
            <w:r>
              <w:rPr>
                <w:rFonts w:hint="eastAsia" w:cs="Times New Roman"/>
                <w:b/>
                <w:bCs/>
                <w:color w:val="000000"/>
                <w:sz w:val="24"/>
                <w:szCs w:val="24"/>
                <w:highlight w:val="none"/>
                <w:lang w:val="en-US" w:eastAsia="zh-CN"/>
              </w:rPr>
              <w:t>9</w:t>
            </w:r>
            <w:r>
              <w:rPr>
                <w:rFonts w:hint="eastAsia" w:ascii="Times New Roman" w:hAnsi="Times New Roman" w:eastAsia="宋体" w:cs="Times New Roman"/>
                <w:b/>
                <w:bCs/>
                <w:color w:val="000000"/>
                <w:sz w:val="24"/>
                <w:szCs w:val="24"/>
                <w:highlight w:val="none"/>
                <w:lang w:eastAsia="zh-CN"/>
              </w:rPr>
              <w:t>）</w:t>
            </w:r>
            <w:r>
              <w:rPr>
                <w:rFonts w:hint="default" w:ascii="Times New Roman" w:hAnsi="Times New Roman" w:eastAsia="宋体" w:cs="Times New Roman"/>
                <w:b/>
                <w:bCs/>
                <w:color w:val="000000"/>
                <w:sz w:val="24"/>
                <w:szCs w:val="24"/>
                <w:highlight w:val="none"/>
                <w:lang w:eastAsia="zh-CN"/>
              </w:rPr>
              <w:t>人工检验</w:t>
            </w:r>
          </w:p>
          <w:p w14:paraId="7AB44B82">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将铸造好的毛坯件先进行人工检验，查看毛</w:t>
            </w:r>
            <w:r>
              <w:rPr>
                <w:rFonts w:hint="eastAsia" w:cs="Times New Roman"/>
                <w:color w:val="000000"/>
                <w:sz w:val="24"/>
                <w:szCs w:val="24"/>
                <w:highlight w:val="none"/>
                <w:lang w:val="en-US" w:eastAsia="zh-CN"/>
              </w:rPr>
              <w:t xml:space="preserve"> </w:t>
            </w:r>
            <w:r>
              <w:rPr>
                <w:rFonts w:hint="default" w:ascii="Times New Roman" w:hAnsi="Times New Roman" w:eastAsia="宋体" w:cs="Times New Roman"/>
                <w:color w:val="000000"/>
                <w:sz w:val="24"/>
                <w:szCs w:val="24"/>
                <w:highlight w:val="none"/>
                <w:lang w:eastAsia="zh-CN"/>
              </w:rPr>
              <w:t>坯件表面是否有气孔存在，</w:t>
            </w:r>
            <w:r>
              <w:rPr>
                <w:rFonts w:hint="eastAsia" w:ascii="Times New Roman" w:hAnsi="Times New Roman" w:eastAsia="宋体" w:cs="Times New Roman"/>
                <w:color w:val="000000"/>
                <w:sz w:val="24"/>
                <w:szCs w:val="24"/>
                <w:highlight w:val="none"/>
                <w:lang w:val="en-US" w:eastAsia="zh-CN"/>
              </w:rPr>
              <w:t>检验之后的合格品等待外售，不合格品回用至电炉熔化工序</w:t>
            </w:r>
            <w:r>
              <w:rPr>
                <w:rFonts w:hint="default" w:ascii="Times New Roman" w:hAnsi="Times New Roman" w:eastAsia="宋体" w:cs="Times New Roman"/>
                <w:color w:val="000000"/>
                <w:sz w:val="24"/>
                <w:szCs w:val="24"/>
                <w:highlight w:val="none"/>
                <w:lang w:eastAsia="zh-CN"/>
              </w:rPr>
              <w:t>。</w:t>
            </w:r>
          </w:p>
          <w:p w14:paraId="66FDBEAD">
            <w:pPr>
              <w:pStyle w:val="7"/>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480" w:lineRule="exact"/>
              <w:ind w:left="0" w:right="0" w:firstLine="482" w:firstLineChars="200"/>
              <w:jc w:val="both"/>
              <w:textAlignment w:val="baseline"/>
              <w:rPr>
                <w:rFonts w:hint="default" w:ascii="Times New Roman" w:hAnsi="Times New Roman" w:cs="Times New Roman"/>
                <w:b/>
                <w:bCs/>
                <w:smallCaps w:val="0"/>
                <w:color w:val="auto"/>
                <w:spacing w:val="0"/>
                <w:highlight w:val="none"/>
              </w:rPr>
            </w:pPr>
            <w:r>
              <w:rPr>
                <w:rFonts w:hint="eastAsia" w:ascii="Times New Roman" w:hAnsi="Times New Roman" w:eastAsia="宋体" w:cs="Times New Roman"/>
                <w:b/>
                <w:bCs/>
                <w:color w:val="000000"/>
                <w:kern w:val="2"/>
                <w:sz w:val="24"/>
                <w:szCs w:val="24"/>
                <w:highlight w:val="none"/>
                <w:lang w:val="en-US" w:eastAsia="zh-CN" w:bidi="ar-SA"/>
              </w:rPr>
              <w:t>该工序产污节点为固体废物（S6）不合格品。</w:t>
            </w:r>
          </w:p>
          <w:p w14:paraId="6A8A2CD9">
            <w:pPr>
              <w:pStyle w:val="187"/>
              <w:keepNext w:val="0"/>
              <w:keepLines w:val="0"/>
              <w:pageBreakBefore w:val="0"/>
              <w:suppressLineNumbers w:val="0"/>
              <w:kinsoku/>
              <w:wordWrap/>
              <w:overflowPunct/>
              <w:topLinePunct w:val="0"/>
              <w:bidi w:val="0"/>
              <w:snapToGrid/>
              <w:spacing w:before="0" w:beforeAutospacing="0" w:after="0" w:afterAutospacing="0" w:line="480" w:lineRule="exact"/>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表2-</w:t>
            </w:r>
            <w:r>
              <w:rPr>
                <w:rFonts w:hint="eastAsia"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本项目产污节点及防治措施一览表</w:t>
            </w:r>
          </w:p>
          <w:tbl>
            <w:tblPr>
              <w:tblStyle w:val="47"/>
              <w:tblW w:w="5000" w:type="pct"/>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819"/>
              <w:gridCol w:w="1104"/>
              <w:gridCol w:w="1812"/>
              <w:gridCol w:w="3717"/>
            </w:tblGrid>
            <w:tr w14:paraId="2BE2A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33" w:type="pct"/>
                  <w:vAlign w:val="center"/>
                </w:tcPr>
                <w:p w14:paraId="079007F6">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类别</w:t>
                  </w:r>
                </w:p>
              </w:tc>
              <w:tc>
                <w:tcPr>
                  <w:tcW w:w="501" w:type="pct"/>
                  <w:vAlign w:val="center"/>
                </w:tcPr>
                <w:p w14:paraId="493188E0">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编号</w:t>
                  </w:r>
                </w:p>
              </w:tc>
              <w:tc>
                <w:tcPr>
                  <w:tcW w:w="676" w:type="pct"/>
                  <w:vAlign w:val="center"/>
                </w:tcPr>
                <w:p w14:paraId="4DB12585">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排污节点</w:t>
                  </w:r>
                </w:p>
              </w:tc>
              <w:tc>
                <w:tcPr>
                  <w:tcW w:w="1110" w:type="pct"/>
                  <w:vAlign w:val="center"/>
                </w:tcPr>
                <w:p w14:paraId="36B58901">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主要污染物</w:t>
                  </w:r>
                </w:p>
              </w:tc>
              <w:tc>
                <w:tcPr>
                  <w:tcW w:w="2277" w:type="pct"/>
                  <w:vAlign w:val="center"/>
                </w:tcPr>
                <w:p w14:paraId="7FECE519">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治理措施</w:t>
                  </w:r>
                </w:p>
              </w:tc>
            </w:tr>
            <w:tr w14:paraId="68965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restart"/>
                  <w:vAlign w:val="center"/>
                </w:tcPr>
                <w:p w14:paraId="259127BD">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废气</w:t>
                  </w:r>
                </w:p>
              </w:tc>
              <w:tc>
                <w:tcPr>
                  <w:tcW w:w="501" w:type="pct"/>
                  <w:vAlign w:val="center"/>
                </w:tcPr>
                <w:p w14:paraId="735C0D02">
                  <w:pPr>
                    <w:pStyle w:val="173"/>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G1</w:t>
                  </w:r>
                </w:p>
              </w:tc>
              <w:tc>
                <w:tcPr>
                  <w:tcW w:w="676" w:type="pct"/>
                  <w:vAlign w:val="center"/>
                </w:tcPr>
                <w:p w14:paraId="2B93054E">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制</w:t>
                  </w:r>
                  <w:r>
                    <w:rPr>
                      <w:rFonts w:hint="eastAsia" w:cs="Times New Roman"/>
                      <w:smallCaps w:val="0"/>
                      <w:color w:val="auto"/>
                      <w:spacing w:val="0"/>
                      <w:highlight w:val="none"/>
                      <w:lang w:val="en-US" w:eastAsia="zh-CN"/>
                    </w:rPr>
                    <w:t>壳</w:t>
                  </w:r>
                  <w:r>
                    <w:rPr>
                      <w:rFonts w:hint="eastAsia" w:ascii="Times New Roman" w:hAnsi="Times New Roman" w:eastAsia="宋体" w:cs="Times New Roman"/>
                      <w:smallCaps w:val="0"/>
                      <w:color w:val="auto"/>
                      <w:spacing w:val="0"/>
                      <w:highlight w:val="none"/>
                      <w:lang w:val="en-US" w:eastAsia="zh-CN"/>
                    </w:rPr>
                    <w:t>废气</w:t>
                  </w:r>
                </w:p>
              </w:tc>
              <w:tc>
                <w:tcPr>
                  <w:tcW w:w="1110" w:type="pct"/>
                  <w:vMerge w:val="restart"/>
                  <w:vAlign w:val="center"/>
                </w:tcPr>
                <w:p w14:paraId="13E9D27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颗粒物、非甲烷总烃、甲醛、酚类</w:t>
                  </w:r>
                </w:p>
              </w:tc>
              <w:tc>
                <w:tcPr>
                  <w:tcW w:w="2277" w:type="pct"/>
                  <w:vMerge w:val="restart"/>
                  <w:vAlign w:val="center"/>
                </w:tcPr>
                <w:p w14:paraId="6A8B39E2">
                  <w:pPr>
                    <w:keepNext w:val="0"/>
                    <w:keepLines w:val="0"/>
                    <w:suppressLineNumbers w:val="0"/>
                    <w:spacing w:before="0" w:beforeAutospacing="0" w:after="0" w:afterAutospacing="0"/>
                    <w:ind w:left="0" w:right="0"/>
                    <w:jc w:val="center"/>
                    <w:rPr>
                      <w:rFonts w:hint="default"/>
                      <w:color w:val="auto"/>
                      <w:szCs w:val="20"/>
                      <w:highlight w:val="none"/>
                      <w:lang w:val="en-US" w:eastAsia="zh-CN"/>
                    </w:rPr>
                  </w:pPr>
                  <w:r>
                    <w:rPr>
                      <w:rFonts w:hint="eastAsia"/>
                      <w:color w:val="auto"/>
                      <w:szCs w:val="20"/>
                      <w:highlight w:val="none"/>
                      <w:lang w:val="en-US" w:eastAsia="zh-CN"/>
                    </w:rPr>
                    <w:t>布袋除尘器+二级活性炭吸附装置+1根25m高排气筒排放DA002</w:t>
                  </w:r>
                </w:p>
              </w:tc>
            </w:tr>
            <w:tr w14:paraId="25C1F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11490BBF">
                  <w:pPr>
                    <w:pStyle w:val="173"/>
                    <w:keepNext w:val="0"/>
                    <w:keepLines w:val="0"/>
                    <w:suppressLineNumbers w:val="0"/>
                    <w:spacing w:before="0" w:beforeAutospacing="0" w:after="0" w:afterAutospacing="0"/>
                    <w:ind w:left="0" w:right="0"/>
                    <w:rPr>
                      <w:rFonts w:hint="eastAsia" w:cs="Times New Roman"/>
                      <w:smallCaps w:val="0"/>
                      <w:color w:val="auto"/>
                      <w:spacing w:val="0"/>
                      <w:highlight w:val="none"/>
                      <w:lang w:val="en-US" w:eastAsia="zh-CN"/>
                    </w:rPr>
                  </w:pPr>
                </w:p>
              </w:tc>
              <w:tc>
                <w:tcPr>
                  <w:tcW w:w="501" w:type="pct"/>
                  <w:vAlign w:val="center"/>
                </w:tcPr>
                <w:p w14:paraId="5EAE69AE">
                  <w:pPr>
                    <w:pStyle w:val="173"/>
                    <w:keepNext w:val="0"/>
                    <w:keepLines w:val="0"/>
                    <w:suppressLineNumbers w:val="0"/>
                    <w:spacing w:before="0" w:beforeAutospacing="0" w:after="0" w:afterAutospacing="0"/>
                    <w:ind w:left="0" w:leftChars="0" w:right="0" w:rightChars="0"/>
                    <w:rPr>
                      <w:rFonts w:hint="eastAsia"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G4</w:t>
                  </w:r>
                </w:p>
              </w:tc>
              <w:tc>
                <w:tcPr>
                  <w:tcW w:w="676" w:type="pct"/>
                  <w:vAlign w:val="center"/>
                </w:tcPr>
                <w:p w14:paraId="72B9FCC6">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浇注废气</w:t>
                  </w:r>
                </w:p>
              </w:tc>
              <w:tc>
                <w:tcPr>
                  <w:tcW w:w="1110" w:type="pct"/>
                  <w:vMerge w:val="continue"/>
                  <w:vAlign w:val="center"/>
                </w:tcPr>
                <w:p w14:paraId="407057DB">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p>
              </w:tc>
              <w:tc>
                <w:tcPr>
                  <w:tcW w:w="2277" w:type="pct"/>
                  <w:vMerge w:val="continue"/>
                  <w:vAlign w:val="center"/>
                </w:tcPr>
                <w:p w14:paraId="0F22AC41">
                  <w:pPr>
                    <w:keepNext w:val="0"/>
                    <w:keepLines w:val="0"/>
                    <w:suppressLineNumbers w:val="0"/>
                    <w:spacing w:before="0" w:beforeAutospacing="0" w:after="0" w:afterAutospacing="0"/>
                    <w:ind w:left="0" w:right="0"/>
                    <w:jc w:val="center"/>
                    <w:rPr>
                      <w:rFonts w:hint="eastAsia"/>
                      <w:color w:val="auto"/>
                      <w:szCs w:val="20"/>
                      <w:highlight w:val="none"/>
                      <w:lang w:val="en-US" w:eastAsia="zh-CN"/>
                    </w:rPr>
                  </w:pPr>
                </w:p>
              </w:tc>
            </w:tr>
            <w:tr w14:paraId="5794D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 w:hRule="atLeast"/>
              </w:trPr>
              <w:tc>
                <w:tcPr>
                  <w:tcW w:w="433" w:type="pct"/>
                  <w:vMerge w:val="continue"/>
                  <w:vAlign w:val="center"/>
                </w:tcPr>
                <w:p w14:paraId="2E44B2C7">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p>
              </w:tc>
              <w:tc>
                <w:tcPr>
                  <w:tcW w:w="501" w:type="pct"/>
                  <w:vAlign w:val="center"/>
                </w:tcPr>
                <w:p w14:paraId="09C35A7C">
                  <w:pPr>
                    <w:pStyle w:val="173"/>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G2</w:t>
                  </w:r>
                </w:p>
              </w:tc>
              <w:tc>
                <w:tcPr>
                  <w:tcW w:w="676" w:type="pct"/>
                  <w:vAlign w:val="center"/>
                </w:tcPr>
                <w:p w14:paraId="7CECD487">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注砂粉尘</w:t>
                  </w:r>
                </w:p>
              </w:tc>
              <w:tc>
                <w:tcPr>
                  <w:tcW w:w="1110" w:type="pct"/>
                  <w:vAlign w:val="center"/>
                </w:tcPr>
                <w:p w14:paraId="0BF92DE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颗粒物</w:t>
                  </w:r>
                </w:p>
              </w:tc>
              <w:tc>
                <w:tcPr>
                  <w:tcW w:w="2277" w:type="pct"/>
                  <w:vMerge w:val="restart"/>
                  <w:vAlign w:val="center"/>
                </w:tcPr>
                <w:p w14:paraId="54925EC0">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0"/>
                      <w:highlight w:val="none"/>
                      <w:lang w:val="en-US" w:eastAsia="zh-CN" w:bidi="ar-SA"/>
                    </w:rPr>
                  </w:pPr>
                  <w:r>
                    <w:rPr>
                      <w:rFonts w:hint="eastAsia"/>
                      <w:color w:val="auto"/>
                      <w:szCs w:val="20"/>
                      <w:highlight w:val="none"/>
                      <w:lang w:val="en-US" w:eastAsia="zh-CN"/>
                    </w:rPr>
                    <w:t>布袋除尘器+1根25m高排气筒排放DA001</w:t>
                  </w:r>
                </w:p>
              </w:tc>
            </w:tr>
            <w:tr w14:paraId="09A09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433" w:type="pct"/>
                  <w:vMerge w:val="continue"/>
                  <w:vAlign w:val="center"/>
                </w:tcPr>
                <w:p w14:paraId="55042BC0">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p>
              </w:tc>
              <w:tc>
                <w:tcPr>
                  <w:tcW w:w="501" w:type="pct"/>
                  <w:vAlign w:val="center"/>
                </w:tcPr>
                <w:p w14:paraId="4D1C8385">
                  <w:pPr>
                    <w:pStyle w:val="173"/>
                    <w:keepNext w:val="0"/>
                    <w:keepLines w:val="0"/>
                    <w:suppressLineNumbers w:val="0"/>
                    <w:spacing w:before="0" w:beforeAutospacing="0" w:after="0" w:afterAutospacing="0"/>
                    <w:ind w:left="0" w:leftChars="0" w:right="0" w:rightChars="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G3</w:t>
                  </w:r>
                </w:p>
              </w:tc>
              <w:tc>
                <w:tcPr>
                  <w:tcW w:w="676" w:type="pct"/>
                  <w:vAlign w:val="center"/>
                </w:tcPr>
                <w:p w14:paraId="7E6CF271">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电炉熔化</w:t>
                  </w:r>
                </w:p>
              </w:tc>
              <w:tc>
                <w:tcPr>
                  <w:tcW w:w="1110" w:type="pct"/>
                  <w:vAlign w:val="center"/>
                </w:tcPr>
                <w:p w14:paraId="7E63C656">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颗粒物</w:t>
                  </w:r>
                </w:p>
              </w:tc>
              <w:tc>
                <w:tcPr>
                  <w:tcW w:w="2277" w:type="pct"/>
                  <w:vMerge w:val="continue"/>
                  <w:shd w:val="clear" w:color="auto" w:fill="auto"/>
                  <w:vAlign w:val="center"/>
                </w:tcPr>
                <w:p w14:paraId="52422EBB">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0"/>
                      <w:highlight w:val="none"/>
                      <w:lang w:val="en-US" w:eastAsia="zh-CN" w:bidi="ar-SA"/>
                    </w:rPr>
                  </w:pPr>
                </w:p>
              </w:tc>
            </w:tr>
            <w:tr w14:paraId="3AC5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4D8FA8E5">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p>
              </w:tc>
              <w:tc>
                <w:tcPr>
                  <w:tcW w:w="501" w:type="pct"/>
                  <w:vAlign w:val="center"/>
                </w:tcPr>
                <w:p w14:paraId="3878A497">
                  <w:pPr>
                    <w:pStyle w:val="173"/>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G5</w:t>
                  </w:r>
                </w:p>
              </w:tc>
              <w:tc>
                <w:tcPr>
                  <w:tcW w:w="676" w:type="pct"/>
                  <w:vAlign w:val="center"/>
                </w:tcPr>
                <w:p w14:paraId="47C19DFC">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落砂废气</w:t>
                  </w:r>
                </w:p>
              </w:tc>
              <w:tc>
                <w:tcPr>
                  <w:tcW w:w="1110" w:type="pct"/>
                  <w:vAlign w:val="center"/>
                </w:tcPr>
                <w:p w14:paraId="3864A245">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颗粒物</w:t>
                  </w:r>
                </w:p>
              </w:tc>
              <w:tc>
                <w:tcPr>
                  <w:tcW w:w="2277" w:type="pct"/>
                  <w:vMerge w:val="continue"/>
                  <w:shd w:val="clear" w:color="auto" w:fill="auto"/>
                  <w:vAlign w:val="center"/>
                </w:tcPr>
                <w:p w14:paraId="13921064">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0"/>
                      <w:highlight w:val="none"/>
                      <w:lang w:val="en-US" w:eastAsia="zh-CN" w:bidi="ar-SA"/>
                    </w:rPr>
                  </w:pPr>
                </w:p>
              </w:tc>
            </w:tr>
            <w:tr w14:paraId="7B8F0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5FFA3E41">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p>
              </w:tc>
              <w:tc>
                <w:tcPr>
                  <w:tcW w:w="501" w:type="pct"/>
                  <w:vAlign w:val="center"/>
                </w:tcPr>
                <w:p w14:paraId="2F65979D">
                  <w:pPr>
                    <w:pStyle w:val="173"/>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G6</w:t>
                  </w:r>
                </w:p>
              </w:tc>
              <w:tc>
                <w:tcPr>
                  <w:tcW w:w="676" w:type="pct"/>
                  <w:vAlign w:val="center"/>
                </w:tcPr>
                <w:p w14:paraId="6365DADC">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smallCaps w:val="0"/>
                      <w:color w:val="auto"/>
                      <w:spacing w:val="0"/>
                      <w:highlight w:val="none"/>
                      <w:lang w:val="en-US" w:eastAsia="zh-CN"/>
                    </w:rPr>
                    <w:t>打磨废气</w:t>
                  </w:r>
                </w:p>
              </w:tc>
              <w:tc>
                <w:tcPr>
                  <w:tcW w:w="1110" w:type="pct"/>
                  <w:shd w:val="clear" w:color="auto" w:fill="auto"/>
                  <w:vAlign w:val="center"/>
                </w:tcPr>
                <w:p w14:paraId="6011A98B">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颗粒物</w:t>
                  </w:r>
                </w:p>
              </w:tc>
              <w:tc>
                <w:tcPr>
                  <w:tcW w:w="2277" w:type="pct"/>
                  <w:shd w:val="clear" w:color="auto" w:fill="auto"/>
                  <w:vAlign w:val="center"/>
                </w:tcPr>
                <w:p w14:paraId="22BD4AD1">
                  <w:pPr>
                    <w:keepNext w:val="0"/>
                    <w:keepLines w:val="0"/>
                    <w:suppressLineNumbers w:val="0"/>
                    <w:spacing w:before="0" w:beforeAutospacing="0" w:after="0" w:afterAutospacing="0"/>
                    <w:ind w:left="0" w:leftChars="0" w:right="0" w:rightChars="0"/>
                    <w:jc w:val="center"/>
                    <w:rPr>
                      <w:rFonts w:hint="eastAsia" w:ascii="Times New Roman" w:hAnsi="Times New Roman" w:eastAsia="宋体" w:cs="Times New Roman"/>
                      <w:color w:val="auto"/>
                      <w:kern w:val="2"/>
                      <w:sz w:val="21"/>
                      <w:szCs w:val="20"/>
                      <w:highlight w:val="none"/>
                      <w:lang w:val="en-US" w:eastAsia="zh-CN" w:bidi="ar-SA"/>
                    </w:rPr>
                  </w:pPr>
                  <w:r>
                    <w:rPr>
                      <w:rFonts w:hint="eastAsia"/>
                      <w:color w:val="auto"/>
                      <w:szCs w:val="20"/>
                      <w:highlight w:val="none"/>
                      <w:lang w:val="en-US" w:eastAsia="zh-CN"/>
                    </w:rPr>
                    <w:t>布袋除尘器+1根25m高排气筒排放DA003</w:t>
                  </w:r>
                </w:p>
              </w:tc>
            </w:tr>
            <w:tr w14:paraId="6B8D0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33" w:type="pct"/>
                  <w:vAlign w:val="center"/>
                </w:tcPr>
                <w:p w14:paraId="76F2E946">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废水</w:t>
                  </w:r>
                </w:p>
              </w:tc>
              <w:tc>
                <w:tcPr>
                  <w:tcW w:w="501" w:type="pct"/>
                  <w:vAlign w:val="center"/>
                </w:tcPr>
                <w:p w14:paraId="4F779083">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W</w:t>
                  </w:r>
                  <w:r>
                    <w:rPr>
                      <w:rFonts w:hint="eastAsia" w:cs="Times New Roman"/>
                      <w:smallCaps w:val="0"/>
                      <w:color w:val="auto"/>
                      <w:spacing w:val="0"/>
                      <w:highlight w:val="none"/>
                      <w:lang w:val="en-US" w:eastAsia="zh-CN"/>
                    </w:rPr>
                    <w:t>1</w:t>
                  </w:r>
                </w:p>
              </w:tc>
              <w:tc>
                <w:tcPr>
                  <w:tcW w:w="676" w:type="pct"/>
                  <w:vAlign w:val="center"/>
                </w:tcPr>
                <w:p w14:paraId="6688FBED">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生活污水</w:t>
                  </w:r>
                </w:p>
              </w:tc>
              <w:tc>
                <w:tcPr>
                  <w:tcW w:w="1110" w:type="pct"/>
                  <w:vAlign w:val="center"/>
                </w:tcPr>
                <w:p w14:paraId="28B267C5">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eastAsia" w:cs="Times New Roman"/>
                      <w:smallCaps w:val="0"/>
                      <w:color w:val="auto"/>
                      <w:spacing w:val="0"/>
                      <w:szCs w:val="22"/>
                      <w:highlight w:val="none"/>
                      <w:lang w:val="en-US" w:eastAsia="zh-CN"/>
                    </w:rPr>
                    <w:t>COD、氨氮、SS、BOD</w:t>
                  </w:r>
                  <w:r>
                    <w:rPr>
                      <w:rFonts w:hint="eastAsia" w:cs="Times New Roman"/>
                      <w:smallCaps w:val="0"/>
                      <w:color w:val="auto"/>
                      <w:spacing w:val="0"/>
                      <w:szCs w:val="22"/>
                      <w:highlight w:val="none"/>
                      <w:vertAlign w:val="subscript"/>
                      <w:lang w:val="en-US" w:eastAsia="zh-CN"/>
                    </w:rPr>
                    <w:t>5</w:t>
                  </w:r>
                </w:p>
              </w:tc>
              <w:tc>
                <w:tcPr>
                  <w:tcW w:w="2277" w:type="pct"/>
                  <w:vAlign w:val="center"/>
                </w:tcPr>
                <w:p w14:paraId="71F47718">
                  <w:pPr>
                    <w:keepNext w:val="0"/>
                    <w:keepLines w:val="0"/>
                    <w:suppressLineNumbers w:val="0"/>
                    <w:spacing w:before="0" w:beforeAutospacing="0" w:after="0" w:afterAutospacing="0"/>
                    <w:ind w:left="0" w:right="0"/>
                    <w:jc w:val="center"/>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bCs/>
                      <w:smallCaps w:val="0"/>
                      <w:color w:val="auto"/>
                      <w:spacing w:val="0"/>
                      <w:kern w:val="0"/>
                      <w:sz w:val="21"/>
                      <w:szCs w:val="20"/>
                      <w:highlight w:val="none"/>
                      <w:lang w:val="en-US" w:eastAsia="zh-CN" w:bidi="ar-SA"/>
                    </w:rPr>
                    <w:t>排入防渗旱厕，定期清掏</w:t>
                  </w:r>
                </w:p>
              </w:tc>
            </w:tr>
            <w:tr w14:paraId="09859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Align w:val="center"/>
                </w:tcPr>
                <w:p w14:paraId="3B423CF0">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噪声</w:t>
                  </w:r>
                </w:p>
              </w:tc>
              <w:tc>
                <w:tcPr>
                  <w:tcW w:w="501" w:type="pct"/>
                  <w:vAlign w:val="center"/>
                </w:tcPr>
                <w:p w14:paraId="006FFC41">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N1-N</w:t>
                  </w:r>
                  <w:r>
                    <w:rPr>
                      <w:rFonts w:hint="eastAsia" w:cs="Times New Roman"/>
                      <w:smallCaps w:val="0"/>
                      <w:color w:val="auto"/>
                      <w:spacing w:val="0"/>
                      <w:highlight w:val="none"/>
                      <w:lang w:val="en-US" w:eastAsia="zh-CN"/>
                    </w:rPr>
                    <w:t>5</w:t>
                  </w:r>
                </w:p>
              </w:tc>
              <w:tc>
                <w:tcPr>
                  <w:tcW w:w="676" w:type="pct"/>
                  <w:vAlign w:val="center"/>
                </w:tcPr>
                <w:p w14:paraId="1BD74475">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设备噪声</w:t>
                  </w:r>
                </w:p>
              </w:tc>
              <w:tc>
                <w:tcPr>
                  <w:tcW w:w="1110" w:type="pct"/>
                  <w:vAlign w:val="center"/>
                </w:tcPr>
                <w:p w14:paraId="624C42A7">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2"/>
                      <w:highlight w:val="none"/>
                      <w:lang w:val="en-US" w:eastAsia="zh-CN" w:bidi="ar-SA"/>
                    </w:rPr>
                  </w:pPr>
                  <w:r>
                    <w:rPr>
                      <w:rFonts w:hint="default" w:ascii="Times New Roman" w:hAnsi="Times New Roman" w:cs="Times New Roman"/>
                      <w:smallCaps w:val="0"/>
                      <w:color w:val="auto"/>
                      <w:spacing w:val="0"/>
                      <w:szCs w:val="22"/>
                      <w:highlight w:val="none"/>
                    </w:rPr>
                    <w:t>等效连续A声级</w:t>
                  </w:r>
                </w:p>
              </w:tc>
              <w:tc>
                <w:tcPr>
                  <w:tcW w:w="2277" w:type="pct"/>
                  <w:vAlign w:val="center"/>
                </w:tcPr>
                <w:p w14:paraId="71C7F6CF">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szCs w:val="22"/>
                      <w:highlight w:val="none"/>
                      <w:lang w:eastAsia="zh-CN"/>
                    </w:rPr>
                    <w:t>选用低噪声设备、基础减振、厂房隔声</w:t>
                  </w:r>
                </w:p>
              </w:tc>
            </w:tr>
            <w:tr w14:paraId="7AF0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restart"/>
                  <w:vAlign w:val="center"/>
                </w:tcPr>
                <w:p w14:paraId="54C8C5AA">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固废</w:t>
                  </w:r>
                </w:p>
              </w:tc>
              <w:tc>
                <w:tcPr>
                  <w:tcW w:w="501" w:type="pct"/>
                  <w:vAlign w:val="center"/>
                </w:tcPr>
                <w:p w14:paraId="63AF0A99">
                  <w:pPr>
                    <w:pStyle w:val="173"/>
                    <w:keepNext w:val="0"/>
                    <w:keepLines w:val="0"/>
                    <w:suppressLineNumbers w:val="0"/>
                    <w:spacing w:before="0" w:beforeAutospacing="0" w:after="0" w:afterAutospacing="0"/>
                    <w:ind w:left="0" w:right="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rPr>
                    <w:t>S1</w:t>
                  </w:r>
                </w:p>
              </w:tc>
              <w:tc>
                <w:tcPr>
                  <w:tcW w:w="676" w:type="pct"/>
                  <w:vAlign w:val="center"/>
                </w:tcPr>
                <w:p w14:paraId="35BC00DF">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制</w:t>
                  </w:r>
                  <w:r>
                    <w:rPr>
                      <w:rFonts w:hint="eastAsia" w:cs="Times New Roman"/>
                      <w:smallCaps w:val="0"/>
                      <w:color w:val="auto"/>
                      <w:spacing w:val="0"/>
                      <w:highlight w:val="none"/>
                      <w:lang w:val="en-US" w:eastAsia="zh-CN"/>
                    </w:rPr>
                    <w:t>壳</w:t>
                  </w:r>
                </w:p>
              </w:tc>
              <w:tc>
                <w:tcPr>
                  <w:tcW w:w="1110" w:type="pct"/>
                  <w:vAlign w:val="center"/>
                </w:tcPr>
                <w:p w14:paraId="2CB94B9E">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不合格壳芯</w:t>
                  </w:r>
                </w:p>
              </w:tc>
              <w:tc>
                <w:tcPr>
                  <w:tcW w:w="2277" w:type="pct"/>
                  <w:vAlign w:val="center"/>
                </w:tcPr>
                <w:p w14:paraId="1B05D53D">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交厂家回收再生利用</w:t>
                  </w:r>
                </w:p>
              </w:tc>
            </w:tr>
            <w:tr w14:paraId="41CD5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214CA166">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vAlign w:val="center"/>
                </w:tcPr>
                <w:p w14:paraId="04E1A57B">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S2</w:t>
                  </w:r>
                </w:p>
              </w:tc>
              <w:tc>
                <w:tcPr>
                  <w:tcW w:w="676" w:type="pct"/>
                  <w:shd w:val="clear" w:color="auto" w:fill="auto"/>
                  <w:vAlign w:val="center"/>
                </w:tcPr>
                <w:p w14:paraId="4E4B38DC">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中频炉清理</w:t>
                  </w:r>
                </w:p>
              </w:tc>
              <w:tc>
                <w:tcPr>
                  <w:tcW w:w="1110" w:type="pct"/>
                  <w:shd w:val="clear" w:color="auto" w:fill="auto"/>
                  <w:vAlign w:val="center"/>
                </w:tcPr>
                <w:p w14:paraId="49913ECF">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铁渣</w:t>
                  </w:r>
                </w:p>
              </w:tc>
              <w:tc>
                <w:tcPr>
                  <w:tcW w:w="2277" w:type="pct"/>
                  <w:vAlign w:val="center"/>
                </w:tcPr>
                <w:p w14:paraId="34A572DE">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外售综合利用</w:t>
                  </w:r>
                </w:p>
              </w:tc>
            </w:tr>
            <w:tr w14:paraId="2A590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1D0206CD">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vAlign w:val="center"/>
                </w:tcPr>
                <w:p w14:paraId="1EC31F32">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S3</w:t>
                  </w:r>
                </w:p>
              </w:tc>
              <w:tc>
                <w:tcPr>
                  <w:tcW w:w="676" w:type="pct"/>
                  <w:shd w:val="clear" w:color="auto" w:fill="auto"/>
                  <w:vAlign w:val="center"/>
                </w:tcPr>
                <w:p w14:paraId="14B1020E">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浇注</w:t>
                  </w:r>
                </w:p>
              </w:tc>
              <w:tc>
                <w:tcPr>
                  <w:tcW w:w="1110" w:type="pct"/>
                  <w:shd w:val="clear" w:color="auto" w:fill="auto"/>
                  <w:vAlign w:val="center"/>
                </w:tcPr>
                <w:p w14:paraId="2C8E9FB5">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浇注废渣</w:t>
                  </w:r>
                </w:p>
              </w:tc>
              <w:tc>
                <w:tcPr>
                  <w:tcW w:w="2277" w:type="pct"/>
                  <w:vAlign w:val="center"/>
                </w:tcPr>
                <w:p w14:paraId="0221A93F">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重新回到中频炉利用</w:t>
                  </w:r>
                </w:p>
              </w:tc>
            </w:tr>
            <w:tr w14:paraId="0B93B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1889696C">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04F30698">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S4</w:t>
                  </w:r>
                </w:p>
              </w:tc>
              <w:tc>
                <w:tcPr>
                  <w:tcW w:w="676" w:type="pct"/>
                  <w:shd w:val="clear" w:color="auto" w:fill="auto"/>
                  <w:vAlign w:val="center"/>
                </w:tcPr>
                <w:p w14:paraId="4E08E8E7">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落砂</w:t>
                  </w:r>
                </w:p>
              </w:tc>
              <w:tc>
                <w:tcPr>
                  <w:tcW w:w="1110" w:type="pct"/>
                  <w:shd w:val="clear" w:color="auto" w:fill="auto"/>
                  <w:vAlign w:val="center"/>
                </w:tcPr>
                <w:p w14:paraId="69EC25A0">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废砂</w:t>
                  </w:r>
                </w:p>
              </w:tc>
              <w:tc>
                <w:tcPr>
                  <w:tcW w:w="2277" w:type="pct"/>
                  <w:shd w:val="clear" w:color="auto" w:fill="auto"/>
                  <w:vAlign w:val="center"/>
                </w:tcPr>
                <w:p w14:paraId="01BF3510">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交厂家回收再生利用</w:t>
                  </w:r>
                </w:p>
              </w:tc>
            </w:tr>
            <w:tr w14:paraId="1BEBC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28107855">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4D4A8338">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S5</w:t>
                  </w:r>
                </w:p>
              </w:tc>
              <w:tc>
                <w:tcPr>
                  <w:tcW w:w="676" w:type="pct"/>
                  <w:shd w:val="clear" w:color="auto" w:fill="auto"/>
                  <w:vAlign w:val="center"/>
                </w:tcPr>
                <w:p w14:paraId="652A94A6">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浇注</w:t>
                  </w:r>
                </w:p>
              </w:tc>
              <w:tc>
                <w:tcPr>
                  <w:tcW w:w="1110" w:type="pct"/>
                  <w:shd w:val="clear" w:color="auto" w:fill="auto"/>
                  <w:vAlign w:val="center"/>
                </w:tcPr>
                <w:p w14:paraId="4F483F63">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浇冒口</w:t>
                  </w:r>
                </w:p>
              </w:tc>
              <w:tc>
                <w:tcPr>
                  <w:tcW w:w="2277" w:type="pct"/>
                  <w:shd w:val="clear" w:color="auto" w:fill="auto"/>
                  <w:vAlign w:val="center"/>
                </w:tcPr>
                <w:p w14:paraId="53D2F4E7">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重新回到中频炉利用</w:t>
                  </w:r>
                </w:p>
              </w:tc>
            </w:tr>
            <w:tr w14:paraId="784E4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trPr>
              <w:tc>
                <w:tcPr>
                  <w:tcW w:w="433" w:type="pct"/>
                  <w:vMerge w:val="continue"/>
                  <w:vAlign w:val="center"/>
                </w:tcPr>
                <w:p w14:paraId="7A01A008">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04B434F1">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S</w:t>
                  </w:r>
                  <w:r>
                    <w:rPr>
                      <w:rFonts w:hint="eastAsia" w:cs="Times New Roman"/>
                      <w:smallCaps w:val="0"/>
                      <w:color w:val="auto"/>
                      <w:spacing w:val="0"/>
                      <w:highlight w:val="none"/>
                      <w:lang w:val="en-US" w:eastAsia="zh-CN"/>
                    </w:rPr>
                    <w:t>6</w:t>
                  </w:r>
                </w:p>
              </w:tc>
              <w:tc>
                <w:tcPr>
                  <w:tcW w:w="676" w:type="pct"/>
                  <w:shd w:val="clear" w:color="auto" w:fill="auto"/>
                  <w:vAlign w:val="center"/>
                </w:tcPr>
                <w:p w14:paraId="0331FD6D">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检验</w:t>
                  </w:r>
                </w:p>
              </w:tc>
              <w:tc>
                <w:tcPr>
                  <w:tcW w:w="1110" w:type="pct"/>
                  <w:shd w:val="clear" w:color="auto" w:fill="auto"/>
                  <w:vAlign w:val="center"/>
                </w:tcPr>
                <w:p w14:paraId="6939A039">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不合格品</w:t>
                  </w:r>
                </w:p>
              </w:tc>
              <w:tc>
                <w:tcPr>
                  <w:tcW w:w="2277" w:type="pct"/>
                  <w:shd w:val="clear" w:color="auto" w:fill="auto"/>
                  <w:vAlign w:val="center"/>
                </w:tcPr>
                <w:p w14:paraId="305DA1F7">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重新回到中频炉利用</w:t>
                  </w:r>
                </w:p>
              </w:tc>
            </w:tr>
            <w:tr w14:paraId="20BFF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5E732398">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31511B83">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S</w:t>
                  </w:r>
                  <w:r>
                    <w:rPr>
                      <w:rFonts w:hint="eastAsia" w:cs="Times New Roman"/>
                      <w:smallCaps w:val="0"/>
                      <w:color w:val="auto"/>
                      <w:spacing w:val="0"/>
                      <w:highlight w:val="none"/>
                      <w:lang w:val="en-US" w:eastAsia="zh-CN"/>
                    </w:rPr>
                    <w:t>7</w:t>
                  </w:r>
                </w:p>
              </w:tc>
              <w:tc>
                <w:tcPr>
                  <w:tcW w:w="676" w:type="pct"/>
                  <w:vMerge w:val="restart"/>
                  <w:vAlign w:val="center"/>
                </w:tcPr>
                <w:p w14:paraId="0BFF5641">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eastAsia" w:ascii="Times New Roman" w:hAnsi="Times New Roman" w:eastAsia="宋体" w:cs="Times New Roman"/>
                      <w:smallCaps w:val="0"/>
                      <w:color w:val="auto"/>
                      <w:spacing w:val="0"/>
                      <w:highlight w:val="none"/>
                      <w:lang w:val="en-US" w:eastAsia="zh-CN"/>
                    </w:rPr>
                    <w:t>废气治理</w:t>
                  </w:r>
                </w:p>
              </w:tc>
              <w:tc>
                <w:tcPr>
                  <w:tcW w:w="1110" w:type="pct"/>
                  <w:shd w:val="clear" w:color="auto" w:fill="auto"/>
                  <w:vAlign w:val="center"/>
                </w:tcPr>
                <w:p w14:paraId="2A3D65CB">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废布袋</w:t>
                  </w:r>
                </w:p>
              </w:tc>
              <w:tc>
                <w:tcPr>
                  <w:tcW w:w="2277" w:type="pct"/>
                  <w:shd w:val="clear" w:color="auto" w:fill="auto"/>
                  <w:vAlign w:val="center"/>
                </w:tcPr>
                <w:p w14:paraId="30DD841E">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外售综合利用</w:t>
                  </w:r>
                </w:p>
              </w:tc>
            </w:tr>
            <w:tr w14:paraId="36F63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125CCA5B">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2CF19DDF">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S8</w:t>
                  </w:r>
                </w:p>
              </w:tc>
              <w:tc>
                <w:tcPr>
                  <w:tcW w:w="676" w:type="pct"/>
                  <w:vMerge w:val="continue"/>
                  <w:vAlign w:val="center"/>
                </w:tcPr>
                <w:p w14:paraId="47375C8A">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p>
              </w:tc>
              <w:tc>
                <w:tcPr>
                  <w:tcW w:w="1110" w:type="pct"/>
                  <w:shd w:val="clear" w:color="auto" w:fill="auto"/>
                  <w:vAlign w:val="center"/>
                </w:tcPr>
                <w:p w14:paraId="4D4BFEF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除尘灰</w:t>
                  </w:r>
                </w:p>
              </w:tc>
              <w:tc>
                <w:tcPr>
                  <w:tcW w:w="2277" w:type="pct"/>
                  <w:shd w:val="clear" w:color="auto" w:fill="auto"/>
                  <w:vAlign w:val="center"/>
                </w:tcPr>
                <w:p w14:paraId="4E28E63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外售综合利用</w:t>
                  </w:r>
                </w:p>
              </w:tc>
            </w:tr>
            <w:tr w14:paraId="2DA00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48D43768">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3631BCE7">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S</w:t>
                  </w:r>
                  <w:r>
                    <w:rPr>
                      <w:rFonts w:hint="eastAsia" w:cs="Times New Roman"/>
                      <w:smallCaps w:val="0"/>
                      <w:color w:val="auto"/>
                      <w:spacing w:val="0"/>
                      <w:highlight w:val="none"/>
                      <w:lang w:val="en-US" w:eastAsia="zh-CN"/>
                    </w:rPr>
                    <w:t>9</w:t>
                  </w:r>
                </w:p>
              </w:tc>
              <w:tc>
                <w:tcPr>
                  <w:tcW w:w="676" w:type="pct"/>
                  <w:vMerge w:val="restart"/>
                  <w:vAlign w:val="center"/>
                </w:tcPr>
                <w:p w14:paraId="6E1DB9B6">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设备维护</w:t>
                  </w:r>
                </w:p>
              </w:tc>
              <w:tc>
                <w:tcPr>
                  <w:tcW w:w="1110" w:type="pct"/>
                  <w:shd w:val="clear" w:color="auto" w:fill="auto"/>
                  <w:vAlign w:val="center"/>
                </w:tcPr>
                <w:p w14:paraId="6EF14F0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ascii="Times New Roman" w:hAnsi="Times New Roman" w:eastAsia="宋体" w:cs="Times New Roman"/>
                      <w:smallCaps w:val="0"/>
                      <w:color w:val="auto"/>
                      <w:spacing w:val="0"/>
                      <w:highlight w:val="none"/>
                      <w:lang w:val="en-US" w:eastAsia="zh-CN"/>
                    </w:rPr>
                    <w:t>废活性炭</w:t>
                  </w:r>
                </w:p>
              </w:tc>
              <w:tc>
                <w:tcPr>
                  <w:tcW w:w="2277" w:type="pct"/>
                  <w:vMerge w:val="restart"/>
                  <w:shd w:val="clear" w:color="auto" w:fill="auto"/>
                  <w:vAlign w:val="center"/>
                </w:tcPr>
                <w:p w14:paraId="23FA26BC">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即产即清，</w:t>
                  </w:r>
                  <w:r>
                    <w:rPr>
                      <w:rFonts w:hint="eastAsia" w:cs="Times New Roman"/>
                      <w:smallCaps w:val="0"/>
                      <w:color w:val="auto"/>
                      <w:spacing w:val="0"/>
                      <w:highlight w:val="none"/>
                      <w:lang w:val="en-US" w:eastAsia="zh-CN"/>
                    </w:rPr>
                    <w:t>交由有危废处置资质单位处置</w:t>
                  </w:r>
                </w:p>
              </w:tc>
            </w:tr>
            <w:tr w14:paraId="54A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5031F040">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254AA489">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S</w:t>
                  </w:r>
                  <w:r>
                    <w:rPr>
                      <w:rFonts w:hint="eastAsia" w:cs="Times New Roman"/>
                      <w:smallCaps w:val="0"/>
                      <w:color w:val="auto"/>
                      <w:spacing w:val="0"/>
                      <w:highlight w:val="none"/>
                      <w:lang w:val="en-US" w:eastAsia="zh-CN"/>
                    </w:rPr>
                    <w:t>10</w:t>
                  </w:r>
                </w:p>
              </w:tc>
              <w:tc>
                <w:tcPr>
                  <w:tcW w:w="676" w:type="pct"/>
                  <w:vMerge w:val="continue"/>
                  <w:vAlign w:val="center"/>
                </w:tcPr>
                <w:p w14:paraId="54695E35">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p>
              </w:tc>
              <w:tc>
                <w:tcPr>
                  <w:tcW w:w="1110" w:type="pct"/>
                  <w:shd w:val="clear" w:color="auto" w:fill="auto"/>
                  <w:vAlign w:val="center"/>
                </w:tcPr>
                <w:p w14:paraId="658970A5">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废润滑油</w:t>
                  </w:r>
                </w:p>
              </w:tc>
              <w:tc>
                <w:tcPr>
                  <w:tcW w:w="2277" w:type="pct"/>
                  <w:vMerge w:val="continue"/>
                  <w:shd w:val="clear" w:color="auto" w:fill="auto"/>
                  <w:vAlign w:val="center"/>
                </w:tcPr>
                <w:p w14:paraId="6E8B6D87">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p>
              </w:tc>
            </w:tr>
            <w:tr w14:paraId="49D02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52EA3E44">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5F795061">
                  <w:pPr>
                    <w:pStyle w:val="173"/>
                    <w:keepNext w:val="0"/>
                    <w:keepLines w:val="0"/>
                    <w:suppressLineNumbers w:val="0"/>
                    <w:spacing w:before="0" w:beforeAutospacing="0" w:after="0" w:afterAutospacing="0"/>
                    <w:ind w:left="0" w:leftChars="0" w:right="0" w:rightChars="0"/>
                    <w:rPr>
                      <w:rFonts w:hint="eastAsia"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S11</w:t>
                  </w:r>
                </w:p>
              </w:tc>
              <w:tc>
                <w:tcPr>
                  <w:tcW w:w="676" w:type="pct"/>
                  <w:vMerge w:val="continue"/>
                  <w:vAlign w:val="center"/>
                </w:tcPr>
                <w:p w14:paraId="68BA9CD4">
                  <w:pPr>
                    <w:pStyle w:val="173"/>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highlight w:val="none"/>
                      <w:lang w:val="en-US" w:eastAsia="zh-CN"/>
                    </w:rPr>
                  </w:pPr>
                </w:p>
              </w:tc>
              <w:tc>
                <w:tcPr>
                  <w:tcW w:w="1110" w:type="pct"/>
                  <w:shd w:val="clear" w:color="auto" w:fill="auto"/>
                  <w:vAlign w:val="center"/>
                </w:tcPr>
                <w:p w14:paraId="4FFD5639">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default" w:ascii="Times New Roman" w:hAnsi="Times New Roman" w:cs="Times New Roman"/>
                      <w:smallCaps w:val="0"/>
                      <w:color w:val="auto"/>
                      <w:spacing w:val="0"/>
                      <w:highlight w:val="none"/>
                      <w:lang w:val="en-US" w:eastAsia="zh-CN"/>
                    </w:rPr>
                    <w:t>废润滑油桶</w:t>
                  </w:r>
                </w:p>
              </w:tc>
              <w:tc>
                <w:tcPr>
                  <w:tcW w:w="2277" w:type="pct"/>
                  <w:vMerge w:val="continue"/>
                  <w:shd w:val="clear" w:color="auto" w:fill="auto"/>
                  <w:vAlign w:val="center"/>
                </w:tcPr>
                <w:p w14:paraId="109695E7">
                  <w:pPr>
                    <w:pStyle w:val="173"/>
                    <w:keepNext w:val="0"/>
                    <w:keepLines w:val="0"/>
                    <w:suppressLineNumbers w:val="0"/>
                    <w:spacing w:before="0" w:beforeAutospacing="0" w:after="0" w:afterAutospacing="0"/>
                    <w:ind w:left="0" w:leftChars="0" w:right="0" w:rightChars="0"/>
                    <w:rPr>
                      <w:rFonts w:hint="default" w:cs="Times New Roman"/>
                      <w:smallCaps w:val="0"/>
                      <w:color w:val="auto"/>
                      <w:spacing w:val="0"/>
                      <w:highlight w:val="none"/>
                      <w:lang w:val="en-US" w:eastAsia="zh-CN"/>
                    </w:rPr>
                  </w:pPr>
                </w:p>
              </w:tc>
            </w:tr>
            <w:tr w14:paraId="37F49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33" w:type="pct"/>
                  <w:vMerge w:val="continue"/>
                  <w:vAlign w:val="center"/>
                </w:tcPr>
                <w:p w14:paraId="56A33F48">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p>
              </w:tc>
              <w:tc>
                <w:tcPr>
                  <w:tcW w:w="501" w:type="pct"/>
                  <w:shd w:val="clear" w:color="auto" w:fill="auto"/>
                  <w:vAlign w:val="center"/>
                </w:tcPr>
                <w:p w14:paraId="15DF0E9F">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S12</w:t>
                  </w:r>
                </w:p>
              </w:tc>
              <w:tc>
                <w:tcPr>
                  <w:tcW w:w="676" w:type="pct"/>
                  <w:shd w:val="clear" w:color="auto" w:fill="auto"/>
                  <w:vAlign w:val="center"/>
                </w:tcPr>
                <w:p w14:paraId="21C3F435">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职工生活</w:t>
                  </w:r>
                </w:p>
              </w:tc>
              <w:tc>
                <w:tcPr>
                  <w:tcW w:w="1110" w:type="pct"/>
                  <w:shd w:val="clear" w:color="auto" w:fill="auto"/>
                  <w:vAlign w:val="center"/>
                </w:tcPr>
                <w:p w14:paraId="520103AD">
                  <w:pPr>
                    <w:pStyle w:val="173"/>
                    <w:keepNext w:val="0"/>
                    <w:keepLines w:val="0"/>
                    <w:suppressLineNumbers w:val="0"/>
                    <w:spacing w:before="0" w:beforeAutospacing="0" w:after="0" w:afterAutospacing="0"/>
                    <w:ind w:left="0" w:leftChars="0" w:right="0" w:rightChars="0"/>
                    <w:rPr>
                      <w:rFonts w:hint="default" w:ascii="Times New Roman" w:hAnsi="Times New Roman" w:eastAsia="宋体" w:cs="Times New Roman"/>
                      <w:bCs/>
                      <w:smallCaps w:val="0"/>
                      <w:color w:val="auto"/>
                      <w:spacing w:val="0"/>
                      <w:kern w:val="0"/>
                      <w:sz w:val="21"/>
                      <w:szCs w:val="20"/>
                      <w:highlight w:val="none"/>
                      <w:lang w:val="en-US" w:eastAsia="zh-CN" w:bidi="ar-SA"/>
                    </w:rPr>
                  </w:pPr>
                  <w:r>
                    <w:rPr>
                      <w:rFonts w:hint="eastAsia" w:cs="Times New Roman"/>
                      <w:smallCaps w:val="0"/>
                      <w:color w:val="auto"/>
                      <w:spacing w:val="0"/>
                      <w:highlight w:val="none"/>
                      <w:lang w:val="en-US" w:eastAsia="zh-CN"/>
                    </w:rPr>
                    <w:t>生活垃圾</w:t>
                  </w:r>
                </w:p>
              </w:tc>
              <w:tc>
                <w:tcPr>
                  <w:tcW w:w="2277" w:type="pct"/>
                  <w:vAlign w:val="center"/>
                </w:tcPr>
                <w:p w14:paraId="787850DF">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lang w:val="en-US" w:eastAsia="zh-CN"/>
                    </w:rPr>
                  </w:pPr>
                  <w:r>
                    <w:rPr>
                      <w:rFonts w:hint="eastAsia" w:cs="Times New Roman"/>
                      <w:smallCaps w:val="0"/>
                      <w:color w:val="auto"/>
                      <w:spacing w:val="0"/>
                      <w:highlight w:val="none"/>
                      <w:lang w:val="en-US" w:eastAsia="zh-CN"/>
                    </w:rPr>
                    <w:t>交环卫部门收集处理</w:t>
                  </w:r>
                </w:p>
              </w:tc>
            </w:tr>
          </w:tbl>
          <w:p w14:paraId="69D53A7D">
            <w:pPr>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0"/>
                <w:highlight w:val="none"/>
              </w:rPr>
            </w:pPr>
          </w:p>
        </w:tc>
      </w:tr>
      <w:tr w14:paraId="1343BD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675" w:type="dxa"/>
            <w:vAlign w:val="center"/>
          </w:tcPr>
          <w:p w14:paraId="5A19D3AC">
            <w:pPr>
              <w:pStyle w:val="41"/>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 w:val="21"/>
                <w:szCs w:val="21"/>
                <w:highlight w:val="none"/>
              </w:rPr>
            </w:pPr>
            <w:r>
              <w:rPr>
                <w:rFonts w:hint="default" w:ascii="Times New Roman" w:hAnsi="Times New Roman" w:cs="Times New Roman"/>
                <w:bCs/>
                <w:smallCaps w:val="0"/>
                <w:color w:val="auto"/>
                <w:spacing w:val="0"/>
                <w:kern w:val="2"/>
                <w:szCs w:val="21"/>
                <w:highlight w:val="none"/>
              </w:rPr>
              <w:t>与项目有关的原有环境污染问题</w:t>
            </w:r>
          </w:p>
        </w:tc>
        <w:tc>
          <w:tcPr>
            <w:tcW w:w="8385" w:type="dxa"/>
            <w:vAlign w:val="center"/>
          </w:tcPr>
          <w:p w14:paraId="3A9FEC1F">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A887DD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8B84CDE">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EE36B14">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16AD2AE">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D5D8095">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54DF7B8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78216FE">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449B8F1">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EC777F3">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53BE964">
            <w:pPr>
              <w:pStyle w:val="5"/>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17DABFB">
            <w:pPr>
              <w:pStyle w:val="6"/>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09F6ACB">
            <w:pPr>
              <w:pStyle w:val="6"/>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5B5AC5A">
            <w:pPr>
              <w:pStyle w:val="6"/>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55EC9670">
            <w:pPr>
              <w:pStyle w:val="6"/>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21191EB">
            <w:pPr>
              <w:pStyle w:val="6"/>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61E9A72">
            <w:pPr>
              <w:keepNext w:val="0"/>
              <w:keepLines w:val="0"/>
              <w:suppressLineNumbers w:val="0"/>
              <w:spacing w:before="0" w:beforeAutospacing="0" w:after="0" w:afterAutospacing="0"/>
              <w:ind w:left="0" w:right="0"/>
              <w:rPr>
                <w:rFonts w:hint="eastAsia" w:cs="Times New Roman"/>
                <w:smallCaps w:val="0"/>
                <w:color w:val="auto"/>
                <w:spacing w:val="0"/>
                <w:sz w:val="24"/>
                <w:szCs w:val="22"/>
                <w:highlight w:val="none"/>
                <w:lang w:val="en-US" w:eastAsia="zh-CN"/>
              </w:rPr>
            </w:pPr>
          </w:p>
          <w:p w14:paraId="6DA666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cs="Times New Roman"/>
                <w:smallCaps w:val="0"/>
                <w:color w:val="auto"/>
                <w:spacing w:val="0"/>
                <w:sz w:val="24"/>
                <w:szCs w:val="24"/>
                <w:highlight w:val="none"/>
                <w:lang w:val="en-US" w:eastAsia="zh-CN"/>
              </w:rPr>
            </w:pPr>
            <w:r>
              <w:rPr>
                <w:rFonts w:hint="eastAsia"/>
                <w:sz w:val="24"/>
                <w:szCs w:val="24"/>
                <w:highlight w:val="none"/>
                <w:lang w:val="en-US" w:eastAsia="zh-CN"/>
              </w:rPr>
              <w:t>本项目为新建项目，租用河北鑫鸿工业园建设发展有限公司现有闲置生产车间进行生产，不存在原有环境污染。</w:t>
            </w:r>
          </w:p>
          <w:p w14:paraId="4805673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C05CCB1">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 xml:space="preserve"> </w:t>
            </w:r>
          </w:p>
          <w:p w14:paraId="346226A4">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2188EE1">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6B318A0">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2E6A965">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6866CC2">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DB71304">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E13A15B">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64D1236">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701E0A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8A78F23">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F9E7C6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AA0D485">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E1BD23D">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A00C3E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7CB47DA">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4854804">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4E3C99CF">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D12AD1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809788C">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3993F68">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129EF5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206963C9">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2975F125">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6DDC5447">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F0DDF72">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7088687E">
            <w:pPr>
              <w:pStyle w:val="5"/>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1C5F883D">
            <w:pPr>
              <w:pStyle w:val="6"/>
              <w:keepNext w:val="0"/>
              <w:keepLines w:val="0"/>
              <w:suppressLineNumbers w:val="0"/>
              <w:spacing w:before="0" w:beforeAutospacing="0" w:after="0" w:afterAutospacing="0"/>
              <w:ind w:left="0" w:right="0"/>
              <w:rPr>
                <w:rFonts w:hint="eastAsia"/>
                <w:szCs w:val="20"/>
                <w:highlight w:val="none"/>
                <w:lang w:val="en-US" w:eastAsia="zh-CN"/>
              </w:rPr>
            </w:pPr>
          </w:p>
          <w:p w14:paraId="0F0C277E">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06173FC7">
            <w:pPr>
              <w:keepNext w:val="0"/>
              <w:keepLines w:val="0"/>
              <w:suppressLineNumbers w:val="0"/>
              <w:spacing w:before="0" w:beforeAutospacing="0" w:after="0" w:afterAutospacing="0"/>
              <w:ind w:left="0" w:right="0"/>
              <w:rPr>
                <w:rFonts w:hint="eastAsia" w:cs="Times New Roman"/>
                <w:smallCaps w:val="0"/>
                <w:color w:val="auto"/>
                <w:spacing w:val="0"/>
                <w:szCs w:val="20"/>
                <w:highlight w:val="none"/>
                <w:lang w:val="en-US" w:eastAsia="zh-CN"/>
              </w:rPr>
            </w:pPr>
          </w:p>
          <w:p w14:paraId="3B2BE6A7">
            <w:pPr>
              <w:keepNext w:val="0"/>
              <w:keepLines w:val="0"/>
              <w:suppressLineNumbers w:val="0"/>
              <w:spacing w:before="0" w:beforeAutospacing="0" w:after="0" w:afterAutospacing="0"/>
              <w:ind w:left="0" w:right="0"/>
              <w:rPr>
                <w:rFonts w:hint="default" w:ascii="Times New Roman" w:hAnsi="Times New Roman" w:eastAsia="宋体" w:cs="Times New Roman"/>
                <w:smallCaps w:val="0"/>
                <w:color w:val="auto"/>
                <w:spacing w:val="0"/>
                <w:szCs w:val="20"/>
                <w:highlight w:val="none"/>
                <w:lang w:val="en-US" w:eastAsia="zh-CN"/>
              </w:rPr>
            </w:pPr>
          </w:p>
        </w:tc>
      </w:tr>
    </w:tbl>
    <w:p w14:paraId="448D6385">
      <w:pPr>
        <w:pStyle w:val="41"/>
        <w:jc w:val="center"/>
        <w:rPr>
          <w:rFonts w:hint="default" w:ascii="Times New Roman" w:hAnsi="Times New Roman" w:eastAsia="黑体" w:cs="Times New Roman"/>
          <w:smallCaps w:val="0"/>
          <w:snapToGrid w:val="0"/>
          <w:color w:val="auto"/>
          <w:spacing w:val="0"/>
          <w:sz w:val="36"/>
          <w:szCs w:val="36"/>
          <w:highlight w:val="none"/>
        </w:rPr>
        <w:sectPr>
          <w:pgSz w:w="11906" w:h="16838"/>
          <w:pgMar w:top="1701" w:right="1531" w:bottom="1701" w:left="1531" w:header="851" w:footer="851" w:gutter="0"/>
          <w:cols w:space="720" w:num="1"/>
          <w:docGrid w:linePitch="312" w:charSpace="0"/>
        </w:sectPr>
      </w:pPr>
    </w:p>
    <w:p w14:paraId="72E493A5">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bookmarkStart w:id="7" w:name="_Toc15156"/>
      <w:r>
        <w:rPr>
          <w:rFonts w:hint="default" w:ascii="Times New Roman" w:hAnsi="Times New Roman" w:eastAsia="黑体" w:cs="Times New Roman"/>
          <w:smallCaps w:val="0"/>
          <w:snapToGrid w:val="0"/>
          <w:color w:val="auto"/>
          <w:spacing w:val="0"/>
          <w:sz w:val="30"/>
          <w:szCs w:val="30"/>
          <w:highlight w:val="none"/>
        </w:rPr>
        <w:t>三、区域环境质量现状、环境保护目标及评价标准</w:t>
      </w:r>
      <w:bookmarkEnd w:id="7"/>
    </w:p>
    <w:tbl>
      <w:tblPr>
        <w:tblStyle w:val="47"/>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62"/>
        <w:gridCol w:w="8061"/>
      </w:tblGrid>
      <w:tr w14:paraId="294442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458" w:hRule="atLeast"/>
          <w:jc w:val="center"/>
        </w:trPr>
        <w:tc>
          <w:tcPr>
            <w:tcW w:w="271" w:type="pct"/>
            <w:vAlign w:val="center"/>
          </w:tcPr>
          <w:p w14:paraId="3622C54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区域</w:t>
            </w:r>
          </w:p>
          <w:p w14:paraId="23D7FD0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环境</w:t>
            </w:r>
          </w:p>
          <w:p w14:paraId="2FBA63A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质量</w:t>
            </w:r>
          </w:p>
          <w:p w14:paraId="1C9B0AA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现状</w:t>
            </w:r>
          </w:p>
        </w:tc>
        <w:tc>
          <w:tcPr>
            <w:tcW w:w="4728" w:type="pct"/>
            <w:vAlign w:val="center"/>
          </w:tcPr>
          <w:p w14:paraId="45DD8C92">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1、环境空气</w:t>
            </w:r>
          </w:p>
          <w:p w14:paraId="14203B5A">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val="en-US" w:eastAsia="zh-CN"/>
              </w:rPr>
              <w:t>（1）达标性判断</w:t>
            </w:r>
          </w:p>
          <w:p w14:paraId="3295A3F3">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本项目评价范围涉及井陉县、井陉矿区，</w:t>
            </w:r>
            <w:r>
              <w:rPr>
                <w:rFonts w:hint="default" w:ascii="Times New Roman" w:hAnsi="Times New Roman" w:cs="Times New Roman"/>
                <w:smallCaps w:val="0"/>
                <w:color w:val="auto"/>
                <w:spacing w:val="0"/>
                <w:highlight w:val="none"/>
              </w:rPr>
              <w:t>根据《环境影响评价技术导则 大气环境》（HJ2.2-2018）要求，采用地方生态环境主管部门公开发布的评价基准年环境质量公告的数据对项目所在区域进行区域达标判定。如项目评价范围涉及多个行政区(县级或以上，下同)，需分别评价各行政区的达标情况，若存在不达标行政区，则判定项目所在评价区域为不达标区。</w:t>
            </w:r>
          </w:p>
          <w:p w14:paraId="050D074C">
            <w:pPr>
              <w:pStyle w:val="171"/>
              <w:keepNext w:val="0"/>
              <w:keepLines w:val="0"/>
              <w:suppressLineNumbers w:val="0"/>
              <w:spacing w:before="0" w:beforeAutospacing="0" w:after="0" w:afterAutospacing="0" w:line="460" w:lineRule="exact"/>
              <w:ind w:left="0" w:right="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eastAsia="zh-CN"/>
              </w:rPr>
              <w:t>①</w:t>
            </w:r>
            <w:r>
              <w:rPr>
                <w:rFonts w:hint="default" w:ascii="Times New Roman" w:hAnsi="Times New Roman" w:cs="Times New Roman"/>
                <w:smallCaps w:val="0"/>
                <w:color w:val="auto"/>
                <w:spacing w:val="0"/>
                <w:highlight w:val="none"/>
                <w:lang w:val="en-US" w:eastAsia="zh-CN"/>
              </w:rPr>
              <w:t>石家庄市</w:t>
            </w:r>
          </w:p>
          <w:p w14:paraId="30FFE781">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color w:val="auto"/>
                <w:highlight w:val="none"/>
              </w:rPr>
            </w:pPr>
            <w:r>
              <w:rPr>
                <w:rFonts w:hint="default" w:ascii="Times New Roman" w:hAnsi="Times New Roman" w:cs="Times New Roman"/>
                <w:color w:val="auto"/>
                <w:kern w:val="0"/>
                <w:sz w:val="24"/>
                <w:highlight w:val="none"/>
                <w:lang w:bidi="ar"/>
              </w:rPr>
              <w:t>根据《202</w:t>
            </w:r>
            <w:r>
              <w:rPr>
                <w:rFonts w:hint="default" w:ascii="Times New Roman" w:hAnsi="Times New Roman" w:cs="Times New Roman"/>
                <w:color w:val="auto"/>
                <w:kern w:val="0"/>
                <w:sz w:val="24"/>
                <w:highlight w:val="none"/>
                <w:lang w:val="en-US" w:eastAsia="zh-CN" w:bidi="ar"/>
              </w:rPr>
              <w:t>4</w:t>
            </w:r>
            <w:r>
              <w:rPr>
                <w:rFonts w:hint="default" w:ascii="Times New Roman" w:hAnsi="Times New Roman" w:cs="Times New Roman"/>
                <w:color w:val="auto"/>
                <w:kern w:val="0"/>
                <w:sz w:val="24"/>
                <w:highlight w:val="none"/>
                <w:lang w:bidi="ar"/>
              </w:rPr>
              <w:t>年石家庄市生态环境状况公报》，区域环境质量情况如下表所示：</w:t>
            </w:r>
          </w:p>
          <w:p w14:paraId="63670E35">
            <w:pPr>
              <w:keepNext w:val="0"/>
              <w:keepLines w:val="0"/>
              <w:suppressLineNumbers w:val="0"/>
              <w:spacing w:before="0" w:beforeAutospacing="0" w:after="0" w:afterAutospacing="0" w:line="440" w:lineRule="atLeas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3-1</w:t>
            </w:r>
            <w:r>
              <w:rPr>
                <w:rFonts w:hint="default" w:ascii="Times New Roman" w:hAnsi="Times New Roman" w:cs="Times New Roman"/>
                <w:b/>
                <w:color w:val="auto"/>
                <w:sz w:val="24"/>
                <w:szCs w:val="20"/>
                <w:highlight w:val="none"/>
              </w:rPr>
              <w:t xml:space="preserve"> </w:t>
            </w:r>
            <w:r>
              <w:rPr>
                <w:rFonts w:hint="default" w:ascii="Times New Roman" w:hAnsi="Times New Roman" w:cs="Times New Roman"/>
                <w:b/>
                <w:color w:val="auto"/>
                <w:sz w:val="24"/>
                <w:szCs w:val="20"/>
                <w:highlight w:val="none"/>
                <w:lang w:val="en-US" w:eastAsia="zh-CN"/>
              </w:rPr>
              <w:t xml:space="preserve">  </w:t>
            </w:r>
            <w:r>
              <w:rPr>
                <w:rFonts w:hint="default" w:ascii="Times New Roman" w:hAnsi="Times New Roman" w:cs="Times New Roman"/>
                <w:b/>
                <w:color w:val="auto"/>
                <w:sz w:val="24"/>
                <w:szCs w:val="20"/>
                <w:highlight w:val="none"/>
              </w:rPr>
              <w:t xml:space="preserve"> 区域空气质量统计结果表</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5"/>
              <w:gridCol w:w="2039"/>
              <w:gridCol w:w="1337"/>
              <w:gridCol w:w="1203"/>
              <w:gridCol w:w="1069"/>
              <w:gridCol w:w="1147"/>
            </w:tblGrid>
            <w:tr w14:paraId="0153C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bottom w:val="single" w:color="auto" w:sz="4" w:space="0"/>
                    <w:right w:val="single" w:color="auto" w:sz="4" w:space="0"/>
                  </w:tcBorders>
                  <w:noWrap w:val="0"/>
                  <w:vAlign w:val="center"/>
                </w:tcPr>
                <w:p w14:paraId="5C2F584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污染物</w:t>
                  </w:r>
                </w:p>
              </w:tc>
              <w:tc>
                <w:tcPr>
                  <w:tcW w:w="1301" w:type="pct"/>
                  <w:tcBorders>
                    <w:left w:val="single" w:color="auto" w:sz="4" w:space="0"/>
                    <w:bottom w:val="single" w:color="auto" w:sz="4" w:space="0"/>
                    <w:right w:val="single" w:color="auto" w:sz="4" w:space="0"/>
                  </w:tcBorders>
                  <w:noWrap w:val="0"/>
                  <w:vAlign w:val="center"/>
                </w:tcPr>
                <w:p w14:paraId="17E497A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年评价指标</w:t>
                  </w:r>
                </w:p>
              </w:tc>
              <w:tc>
                <w:tcPr>
                  <w:tcW w:w="853" w:type="pct"/>
                  <w:tcBorders>
                    <w:left w:val="single" w:color="auto" w:sz="4" w:space="0"/>
                    <w:bottom w:val="single" w:color="auto" w:sz="4" w:space="0"/>
                    <w:right w:val="single" w:color="auto" w:sz="4" w:space="0"/>
                  </w:tcBorders>
                  <w:noWrap w:val="0"/>
                  <w:vAlign w:val="center"/>
                </w:tcPr>
                <w:p w14:paraId="3A0A5FA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现状浓度</w:t>
                  </w:r>
                </w:p>
              </w:tc>
              <w:tc>
                <w:tcPr>
                  <w:tcW w:w="768" w:type="pct"/>
                  <w:tcBorders>
                    <w:left w:val="single" w:color="auto" w:sz="4" w:space="0"/>
                    <w:bottom w:val="single" w:color="auto" w:sz="4" w:space="0"/>
                    <w:right w:val="single" w:color="auto" w:sz="4" w:space="0"/>
                  </w:tcBorders>
                  <w:noWrap w:val="0"/>
                  <w:vAlign w:val="center"/>
                </w:tcPr>
                <w:p w14:paraId="689892F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标准值</w:t>
                  </w:r>
                </w:p>
              </w:tc>
              <w:tc>
                <w:tcPr>
                  <w:tcW w:w="682" w:type="pct"/>
                  <w:tcBorders>
                    <w:left w:val="single" w:color="auto" w:sz="4" w:space="0"/>
                    <w:bottom w:val="single" w:color="auto" w:sz="4" w:space="0"/>
                    <w:right w:val="single" w:color="auto" w:sz="4" w:space="0"/>
                  </w:tcBorders>
                  <w:noWrap w:val="0"/>
                  <w:vAlign w:val="center"/>
                </w:tcPr>
                <w:p w14:paraId="48FAEAD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占标率</w:t>
                  </w:r>
                </w:p>
              </w:tc>
              <w:tc>
                <w:tcPr>
                  <w:tcW w:w="732" w:type="pct"/>
                  <w:tcBorders>
                    <w:left w:val="single" w:color="auto" w:sz="4" w:space="0"/>
                    <w:bottom w:val="single" w:color="auto" w:sz="4" w:space="0"/>
                  </w:tcBorders>
                  <w:noWrap w:val="0"/>
                  <w:vAlign w:val="center"/>
                </w:tcPr>
                <w:p w14:paraId="4B8B0C6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达标情况</w:t>
                  </w:r>
                </w:p>
              </w:tc>
            </w:tr>
            <w:tr w14:paraId="32EF0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4930773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10</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301B90DC">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1C0DCEE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eastAsia="宋体" w:cs="Times New Roman"/>
                      <w:color w:val="auto"/>
                      <w:kern w:val="2"/>
                      <w:sz w:val="21"/>
                      <w:szCs w:val="24"/>
                      <w:highlight w:val="none"/>
                      <w:lang w:val="en-US" w:eastAsia="zh-CN" w:bidi="ar"/>
                    </w:rPr>
                    <w:t>78</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5B57FDF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eastAsia" w:ascii="Times New Roman" w:hAnsi="Times New Roman" w:eastAsia="宋体" w:cs="Times New Roman"/>
                      <w:color w:val="auto"/>
                      <w:kern w:val="2"/>
                      <w:sz w:val="21"/>
                      <w:szCs w:val="24"/>
                      <w:highlight w:val="none"/>
                      <w:lang w:val="en-US" w:eastAsia="zh-CN" w:bidi="ar"/>
                    </w:rPr>
                    <w:t>60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52EABD1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eastAsia" w:ascii="Times New Roman" w:hAnsi="Times New Roman" w:cs="Times New Roman"/>
                      <w:color w:val="auto"/>
                      <w:kern w:val="2"/>
                      <w:sz w:val="21"/>
                      <w:szCs w:val="24"/>
                      <w:highlight w:val="none"/>
                      <w:lang w:val="en-US" w:eastAsia="zh-CN" w:bidi="ar"/>
                    </w:rPr>
                    <w:t>130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4B74F55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r w14:paraId="1180B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1708D51A">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2.5</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1FF2274C">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4349E2B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4</w:t>
                  </w:r>
                  <w:r>
                    <w:rPr>
                      <w:rFonts w:hint="default" w:ascii="Times New Roman" w:hAnsi="Times New Roman" w:cs="Times New Roman"/>
                      <w:color w:val="auto"/>
                      <w:kern w:val="2"/>
                      <w:sz w:val="21"/>
                      <w:szCs w:val="24"/>
                      <w:highlight w:val="none"/>
                      <w:lang w:val="en-US" w:eastAsia="zh-CN" w:bidi="ar"/>
                    </w:rPr>
                    <w:t>5</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34BC026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3</w:t>
                  </w:r>
                  <w:r>
                    <w:rPr>
                      <w:rFonts w:hint="eastAsia" w:ascii="Times New Roman" w:hAnsi="Times New Roman" w:eastAsia="宋体" w:cs="Times New Roman"/>
                      <w:color w:val="auto"/>
                      <w:kern w:val="2"/>
                      <w:sz w:val="21"/>
                      <w:szCs w:val="24"/>
                      <w:highlight w:val="none"/>
                      <w:lang w:val="en-US" w:eastAsia="zh-CN" w:bidi="ar"/>
                    </w:rPr>
                    <w:t>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3233E30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eastAsia" w:ascii="Times New Roman" w:hAnsi="Times New Roman" w:cs="Times New Roman"/>
                      <w:color w:val="auto"/>
                      <w:kern w:val="2"/>
                      <w:sz w:val="21"/>
                      <w:szCs w:val="24"/>
                      <w:highlight w:val="none"/>
                      <w:lang w:val="en-US" w:eastAsia="zh-CN" w:bidi="ar"/>
                    </w:rPr>
                    <w:t>150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27ADA30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r w14:paraId="3422F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262091D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SO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65CD19B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073DA01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eastAsia="宋体" w:cs="Times New Roman"/>
                      <w:color w:val="auto"/>
                      <w:kern w:val="2"/>
                      <w:sz w:val="21"/>
                      <w:szCs w:val="24"/>
                      <w:highlight w:val="none"/>
                      <w:lang w:val="en-US" w:eastAsia="zh-CN" w:bidi="ar"/>
                    </w:rPr>
                    <w:t>5</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354338C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60μg/m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04741D79">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3</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768392B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4769D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7951E51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NO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317BCD8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7EC3401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eastAsia="宋体" w:cs="Times New Roman"/>
                      <w:color w:val="auto"/>
                      <w:kern w:val="2"/>
                      <w:sz w:val="21"/>
                      <w:szCs w:val="24"/>
                      <w:highlight w:val="none"/>
                      <w:lang w:val="en-US" w:eastAsia="zh-CN" w:bidi="ar"/>
                    </w:rPr>
                    <w:t>27</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4489EE4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3A47985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68</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28C737A9">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220F8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13E567E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sz w:val="21"/>
                      <w:szCs w:val="24"/>
                      <w:highlight w:val="none"/>
                      <w:lang w:bidi="ar"/>
                    </w:rPr>
                    <w:t>CO</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09EBE5A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24h平均质量浓度第95百分位数</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5ABE8A5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2</w:t>
                  </w:r>
                  <w:r>
                    <w:rPr>
                      <w:rFonts w:hint="default" w:ascii="Times New Roman" w:hAnsi="Times New Roman" w:eastAsia="Times New Roman" w:cs="Times New Roman"/>
                      <w:color w:val="auto"/>
                      <w:kern w:val="2"/>
                      <w:sz w:val="21"/>
                      <w:szCs w:val="24"/>
                      <w:highlight w:val="none"/>
                      <w:lang w:bidi="ar"/>
                    </w:rPr>
                    <w:t>mg/m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446E48C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4mg/m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4FDB44D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30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7C8380D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2B54E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right w:val="single" w:color="auto" w:sz="4" w:space="0"/>
                  </w:tcBorders>
                  <w:noWrap w:val="0"/>
                  <w:vAlign w:val="center"/>
                </w:tcPr>
                <w:p w14:paraId="1488122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O</w:t>
                  </w:r>
                  <w:r>
                    <w:rPr>
                      <w:rFonts w:hint="default" w:ascii="Times New Roman" w:hAnsi="Times New Roman" w:eastAsia="Times New Roman" w:cs="Times New Roman"/>
                      <w:color w:val="auto"/>
                      <w:kern w:val="2"/>
                      <w:sz w:val="13"/>
                      <w:szCs w:val="24"/>
                      <w:highlight w:val="none"/>
                      <w:lang w:bidi="ar"/>
                    </w:rPr>
                    <w:t>3</w:t>
                  </w:r>
                </w:p>
              </w:tc>
              <w:tc>
                <w:tcPr>
                  <w:tcW w:w="1301" w:type="pct"/>
                  <w:tcBorders>
                    <w:top w:val="single" w:color="auto" w:sz="4" w:space="0"/>
                    <w:left w:val="single" w:color="auto" w:sz="4" w:space="0"/>
                    <w:right w:val="single" w:color="auto" w:sz="4" w:space="0"/>
                  </w:tcBorders>
                  <w:noWrap w:val="0"/>
                  <w:vAlign w:val="center"/>
                </w:tcPr>
                <w:p w14:paraId="71F4476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8h平均质量浓度第90百分位数</w:t>
                  </w:r>
                </w:p>
              </w:tc>
              <w:tc>
                <w:tcPr>
                  <w:tcW w:w="853" w:type="pct"/>
                  <w:tcBorders>
                    <w:top w:val="single" w:color="auto" w:sz="4" w:space="0"/>
                    <w:left w:val="single" w:color="auto" w:sz="4" w:space="0"/>
                    <w:right w:val="single" w:color="auto" w:sz="4" w:space="0"/>
                  </w:tcBorders>
                  <w:noWrap w:val="0"/>
                  <w:vAlign w:val="center"/>
                </w:tcPr>
                <w:p w14:paraId="2F53CCE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18</w:t>
                  </w:r>
                  <w:r>
                    <w:rPr>
                      <w:rFonts w:hint="default" w:ascii="Times New Roman" w:hAnsi="Times New Roman" w:cs="Times New Roman"/>
                      <w:color w:val="auto"/>
                      <w:kern w:val="2"/>
                      <w:sz w:val="21"/>
                      <w:szCs w:val="24"/>
                      <w:highlight w:val="none"/>
                      <w:lang w:val="en-US" w:eastAsia="zh-CN" w:bidi="ar"/>
                    </w:rPr>
                    <w:t>2</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sz w:val="21"/>
                      <w:szCs w:val="24"/>
                      <w:highlight w:val="none"/>
                      <w:vertAlign w:val="superscript"/>
                      <w:lang w:bidi="ar"/>
                    </w:rPr>
                    <w:t>3</w:t>
                  </w:r>
                </w:p>
              </w:tc>
              <w:tc>
                <w:tcPr>
                  <w:tcW w:w="768" w:type="pct"/>
                  <w:tcBorders>
                    <w:top w:val="single" w:color="auto" w:sz="4" w:space="0"/>
                    <w:left w:val="single" w:color="auto" w:sz="4" w:space="0"/>
                    <w:right w:val="single" w:color="auto" w:sz="4" w:space="0"/>
                  </w:tcBorders>
                  <w:noWrap w:val="0"/>
                  <w:vAlign w:val="center"/>
                </w:tcPr>
                <w:p w14:paraId="75EA6A8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eastAsia="Times New Roman" w:cs="Times New Roman"/>
                      <w:color w:val="auto"/>
                      <w:kern w:val="2"/>
                      <w:sz w:val="21"/>
                      <w:szCs w:val="24"/>
                      <w:highlight w:val="none"/>
                      <w:lang w:bidi="ar"/>
                    </w:rPr>
                    <w:t>160μg/m</w:t>
                  </w:r>
                  <w:r>
                    <w:rPr>
                      <w:rFonts w:hint="default" w:ascii="Times New Roman" w:hAnsi="Times New Roman" w:eastAsia="Times New Roman" w:cs="Times New Roman"/>
                      <w:color w:val="auto"/>
                      <w:kern w:val="2"/>
                      <w:sz w:val="21"/>
                      <w:szCs w:val="24"/>
                      <w:highlight w:val="none"/>
                      <w:vertAlign w:val="superscript"/>
                      <w:lang w:bidi="ar"/>
                    </w:rPr>
                    <w:t>3</w:t>
                  </w:r>
                </w:p>
              </w:tc>
              <w:tc>
                <w:tcPr>
                  <w:tcW w:w="682" w:type="pct"/>
                  <w:tcBorders>
                    <w:top w:val="single" w:color="auto" w:sz="4" w:space="0"/>
                    <w:left w:val="single" w:color="auto" w:sz="4" w:space="0"/>
                    <w:right w:val="single" w:color="auto" w:sz="4" w:space="0"/>
                  </w:tcBorders>
                  <w:noWrap w:val="0"/>
                  <w:vAlign w:val="center"/>
                </w:tcPr>
                <w:p w14:paraId="11EAF40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11</w:t>
                  </w:r>
                  <w:r>
                    <w:rPr>
                      <w:rFonts w:hint="default" w:ascii="Times New Roman" w:hAnsi="Times New Roman" w:cs="Times New Roman"/>
                      <w:color w:val="auto"/>
                      <w:kern w:val="2"/>
                      <w:sz w:val="21"/>
                      <w:szCs w:val="24"/>
                      <w:highlight w:val="none"/>
                      <w:lang w:val="en-US" w:eastAsia="zh-CN" w:bidi="ar"/>
                    </w:rPr>
                    <w:t>4</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tcBorders>
                  <w:noWrap w:val="0"/>
                  <w:vAlign w:val="center"/>
                </w:tcPr>
                <w:p w14:paraId="1F2E0BC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bl>
          <w:p w14:paraId="51AB3031">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由上表</w:t>
            </w:r>
            <w:r>
              <w:rPr>
                <w:rFonts w:hint="default" w:ascii="Times New Roman" w:hAnsi="Times New Roman" w:cs="Times New Roman"/>
                <w:smallCaps w:val="0"/>
                <w:color w:val="auto"/>
                <w:spacing w:val="0"/>
                <w:sz w:val="24"/>
                <w:szCs w:val="24"/>
                <w:highlight w:val="none"/>
              </w:rPr>
              <w:t>可知，</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10</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2.5</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O</w:t>
            </w:r>
            <w:r>
              <w:rPr>
                <w:rFonts w:hint="default" w:ascii="Times New Roman" w:hAnsi="Times New Roman" w:cs="Times New Roman"/>
                <w:smallCaps w:val="0"/>
                <w:color w:val="auto"/>
                <w:spacing w:val="0"/>
                <w:kern w:val="0"/>
                <w:sz w:val="24"/>
                <w:szCs w:val="24"/>
                <w:highlight w:val="none"/>
                <w:vertAlign w:val="subscript"/>
              </w:rPr>
              <w:t>3</w:t>
            </w:r>
            <w:r>
              <w:rPr>
                <w:rFonts w:hint="default" w:ascii="Times New Roman" w:hAnsi="Times New Roman" w:cs="Times New Roman"/>
                <w:smallCaps w:val="0"/>
                <w:color w:val="auto"/>
                <w:spacing w:val="0"/>
                <w:kern w:val="0"/>
                <w:sz w:val="24"/>
                <w:szCs w:val="24"/>
                <w:highlight w:val="none"/>
                <w:vertAlign w:val="baseline"/>
                <w:lang w:val="en-US" w:eastAsia="zh-CN"/>
              </w:rPr>
              <w:t>不满足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kern w:val="0"/>
                <w:sz w:val="24"/>
                <w:szCs w:val="24"/>
                <w:highlight w:val="none"/>
              </w:rPr>
              <w:t>SO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NO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CO</w:t>
            </w:r>
            <w:r>
              <w:rPr>
                <w:rFonts w:hint="default" w:ascii="Times New Roman" w:hAnsi="Times New Roman" w:cs="Times New Roman"/>
                <w:smallCaps w:val="0"/>
                <w:color w:val="auto"/>
                <w:spacing w:val="0"/>
                <w:kern w:val="0"/>
                <w:sz w:val="24"/>
                <w:szCs w:val="24"/>
                <w:highlight w:val="none"/>
                <w:vertAlign w:val="baseline"/>
                <w:lang w:val="en-US" w:eastAsia="zh-CN"/>
              </w:rPr>
              <w:t>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sz w:val="24"/>
                <w:szCs w:val="24"/>
                <w:highlight w:val="none"/>
                <w:lang w:val="en-US" w:eastAsia="zh-CN"/>
              </w:rPr>
              <w:t>石家庄市</w:t>
            </w:r>
            <w:r>
              <w:rPr>
                <w:rFonts w:hint="default" w:ascii="Times New Roman" w:hAnsi="Times New Roman" w:cs="Times New Roman"/>
                <w:smallCaps w:val="0"/>
                <w:color w:val="auto"/>
                <w:spacing w:val="0"/>
                <w:highlight w:val="none"/>
              </w:rPr>
              <w:t>属于不达标区域</w:t>
            </w:r>
            <w:r>
              <w:rPr>
                <w:rFonts w:hint="default" w:ascii="Times New Roman" w:hAnsi="Times New Roman" w:cs="Times New Roman"/>
                <w:smallCaps w:val="0"/>
                <w:color w:val="auto"/>
                <w:spacing w:val="0"/>
                <w:highlight w:val="none"/>
                <w:lang w:eastAsia="zh-CN"/>
              </w:rPr>
              <w:t>。</w:t>
            </w:r>
          </w:p>
          <w:p w14:paraId="72B6F5E5">
            <w:pPr>
              <w:pStyle w:val="171"/>
              <w:keepNext w:val="0"/>
              <w:keepLines w:val="0"/>
              <w:suppressLineNumbers w:val="0"/>
              <w:spacing w:before="0" w:beforeAutospacing="0" w:after="0" w:afterAutospacing="0" w:line="460" w:lineRule="exact"/>
              <w:ind w:left="0" w:right="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eastAsia="zh-CN"/>
              </w:rPr>
              <w:t>②</w:t>
            </w:r>
            <w:r>
              <w:rPr>
                <w:rFonts w:hint="default" w:ascii="Times New Roman" w:hAnsi="Times New Roman" w:cs="Times New Roman"/>
                <w:smallCaps w:val="0"/>
                <w:color w:val="auto"/>
                <w:spacing w:val="0"/>
                <w:highlight w:val="none"/>
                <w:lang w:val="en-US" w:eastAsia="zh-CN"/>
              </w:rPr>
              <w:t>井陉矿区</w:t>
            </w:r>
          </w:p>
          <w:p w14:paraId="3B115E4E">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color w:val="auto"/>
                <w:highlight w:val="none"/>
              </w:rPr>
            </w:pPr>
            <w:r>
              <w:rPr>
                <w:rFonts w:hint="default" w:ascii="Times New Roman" w:hAnsi="Times New Roman" w:cs="Times New Roman"/>
                <w:color w:val="auto"/>
                <w:kern w:val="0"/>
                <w:sz w:val="24"/>
                <w:highlight w:val="none"/>
                <w:lang w:bidi="ar"/>
              </w:rPr>
              <w:t>根据《石家庄市2024年1-12月乡镇点位空气质量监测数据汇总》</w:t>
            </w:r>
            <w:r>
              <w:rPr>
                <w:rFonts w:hint="default" w:ascii="Times New Roman" w:hAnsi="Times New Roman" w:cs="Times New Roman"/>
                <w:color w:val="auto"/>
                <w:kern w:val="2"/>
                <w:sz w:val="24"/>
                <w:szCs w:val="24"/>
                <w:highlight w:val="none"/>
                <w:lang w:val="en-US" w:eastAsia="zh-CN" w:bidi="ar"/>
              </w:rPr>
              <w:t>井陉矿区</w:t>
            </w:r>
            <w:r>
              <w:rPr>
                <w:rFonts w:hint="default" w:ascii="Times New Roman" w:hAnsi="Times New Roman" w:cs="Times New Roman"/>
                <w:color w:val="auto"/>
                <w:kern w:val="0"/>
                <w:sz w:val="24"/>
                <w:highlight w:val="none"/>
                <w:lang w:val="en-US" w:eastAsia="zh-CN" w:bidi="ar"/>
              </w:rPr>
              <w:t>贾庄镇人民政府站点空气质量监测数据</w:t>
            </w:r>
            <w:r>
              <w:rPr>
                <w:rFonts w:hint="default" w:ascii="Times New Roman" w:hAnsi="Times New Roman" w:cs="Times New Roman"/>
                <w:color w:val="auto"/>
                <w:kern w:val="0"/>
                <w:sz w:val="24"/>
                <w:highlight w:val="none"/>
                <w:lang w:bidi="ar"/>
              </w:rPr>
              <w:t>，如下表所示：</w:t>
            </w:r>
          </w:p>
          <w:p w14:paraId="16074FF9">
            <w:pPr>
              <w:keepNext w:val="0"/>
              <w:keepLines w:val="0"/>
              <w:suppressLineNumbers w:val="0"/>
              <w:spacing w:before="0" w:beforeAutospacing="0" w:after="0" w:afterAutospacing="0" w:line="440" w:lineRule="atLeas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3-2</w:t>
            </w:r>
            <w:r>
              <w:rPr>
                <w:rFonts w:hint="default" w:ascii="Times New Roman" w:hAnsi="Times New Roman" w:cs="Times New Roman"/>
                <w:b/>
                <w:color w:val="auto"/>
                <w:sz w:val="24"/>
                <w:szCs w:val="20"/>
                <w:highlight w:val="none"/>
              </w:rPr>
              <w:t xml:space="preserve"> </w:t>
            </w:r>
            <w:r>
              <w:rPr>
                <w:rFonts w:hint="default" w:ascii="Times New Roman" w:hAnsi="Times New Roman" w:cs="Times New Roman"/>
                <w:b/>
                <w:color w:val="auto"/>
                <w:sz w:val="24"/>
                <w:szCs w:val="20"/>
                <w:highlight w:val="none"/>
                <w:lang w:val="en-US" w:eastAsia="zh-CN"/>
              </w:rPr>
              <w:t xml:space="preserve">  </w:t>
            </w:r>
            <w:r>
              <w:rPr>
                <w:rFonts w:hint="default" w:ascii="Times New Roman" w:hAnsi="Times New Roman" w:cs="Times New Roman"/>
                <w:b/>
                <w:color w:val="auto"/>
                <w:sz w:val="24"/>
                <w:szCs w:val="20"/>
                <w:highlight w:val="none"/>
              </w:rPr>
              <w:t xml:space="preserve"> 区域空气质量统计结果表</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5"/>
              <w:gridCol w:w="2039"/>
              <w:gridCol w:w="1337"/>
              <w:gridCol w:w="1203"/>
              <w:gridCol w:w="1069"/>
              <w:gridCol w:w="1147"/>
            </w:tblGrid>
            <w:tr w14:paraId="4F7D6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bottom w:val="single" w:color="auto" w:sz="4" w:space="0"/>
                    <w:right w:val="single" w:color="auto" w:sz="4" w:space="0"/>
                  </w:tcBorders>
                  <w:noWrap w:val="0"/>
                  <w:vAlign w:val="center"/>
                </w:tcPr>
                <w:p w14:paraId="1885233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污染物</w:t>
                  </w:r>
                </w:p>
              </w:tc>
              <w:tc>
                <w:tcPr>
                  <w:tcW w:w="1301" w:type="pct"/>
                  <w:tcBorders>
                    <w:left w:val="single" w:color="auto" w:sz="4" w:space="0"/>
                    <w:bottom w:val="single" w:color="auto" w:sz="4" w:space="0"/>
                    <w:right w:val="single" w:color="auto" w:sz="4" w:space="0"/>
                  </w:tcBorders>
                  <w:noWrap w:val="0"/>
                  <w:vAlign w:val="center"/>
                </w:tcPr>
                <w:p w14:paraId="19EF1B7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年评价指标</w:t>
                  </w:r>
                </w:p>
              </w:tc>
              <w:tc>
                <w:tcPr>
                  <w:tcW w:w="853" w:type="pct"/>
                  <w:tcBorders>
                    <w:left w:val="single" w:color="auto" w:sz="4" w:space="0"/>
                    <w:bottom w:val="single" w:color="auto" w:sz="4" w:space="0"/>
                    <w:right w:val="single" w:color="auto" w:sz="4" w:space="0"/>
                  </w:tcBorders>
                  <w:noWrap w:val="0"/>
                  <w:vAlign w:val="center"/>
                </w:tcPr>
                <w:p w14:paraId="719E7C5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现状浓度</w:t>
                  </w:r>
                </w:p>
              </w:tc>
              <w:tc>
                <w:tcPr>
                  <w:tcW w:w="768" w:type="pct"/>
                  <w:tcBorders>
                    <w:left w:val="single" w:color="auto" w:sz="4" w:space="0"/>
                    <w:bottom w:val="single" w:color="auto" w:sz="4" w:space="0"/>
                    <w:right w:val="single" w:color="auto" w:sz="4" w:space="0"/>
                  </w:tcBorders>
                  <w:noWrap w:val="0"/>
                  <w:vAlign w:val="center"/>
                </w:tcPr>
                <w:p w14:paraId="35F5B0FD">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标准值</w:t>
                  </w:r>
                </w:p>
              </w:tc>
              <w:tc>
                <w:tcPr>
                  <w:tcW w:w="682" w:type="pct"/>
                  <w:tcBorders>
                    <w:left w:val="single" w:color="auto" w:sz="4" w:space="0"/>
                    <w:bottom w:val="single" w:color="auto" w:sz="4" w:space="0"/>
                    <w:right w:val="single" w:color="auto" w:sz="4" w:space="0"/>
                  </w:tcBorders>
                  <w:noWrap w:val="0"/>
                  <w:vAlign w:val="center"/>
                </w:tcPr>
                <w:p w14:paraId="75FEAF02">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占标率</w:t>
                  </w:r>
                </w:p>
              </w:tc>
              <w:tc>
                <w:tcPr>
                  <w:tcW w:w="732" w:type="pct"/>
                  <w:tcBorders>
                    <w:left w:val="single" w:color="auto" w:sz="4" w:space="0"/>
                    <w:bottom w:val="single" w:color="auto" w:sz="4" w:space="0"/>
                  </w:tcBorders>
                  <w:noWrap w:val="0"/>
                  <w:vAlign w:val="center"/>
                </w:tcPr>
                <w:p w14:paraId="110A529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达标情况</w:t>
                  </w:r>
                </w:p>
              </w:tc>
            </w:tr>
            <w:tr w14:paraId="08F3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14D6904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10</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47CD4D9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79CD33F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74</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4723B04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eastAsia" w:ascii="Times New Roman" w:hAnsi="Times New Roman" w:eastAsia="宋体" w:cs="Times New Roman"/>
                      <w:color w:val="auto"/>
                      <w:kern w:val="2"/>
                      <w:sz w:val="21"/>
                      <w:szCs w:val="24"/>
                      <w:highlight w:val="none"/>
                      <w:lang w:val="en-US" w:eastAsia="zh-CN" w:bidi="ar"/>
                    </w:rPr>
                    <w:t>6</w:t>
                  </w:r>
                  <w:r>
                    <w:rPr>
                      <w:rFonts w:hint="default" w:ascii="Times New Roman" w:hAnsi="Times New Roman" w:eastAsia="Times New Roman" w:cs="Times New Roman"/>
                      <w:color w:val="auto"/>
                      <w:kern w:val="2"/>
                      <w:sz w:val="21"/>
                      <w:szCs w:val="24"/>
                      <w:highlight w:val="none"/>
                      <w:lang w:bidi="ar"/>
                    </w:rPr>
                    <w:t>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04441F1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eastAsia" w:ascii="Times New Roman" w:hAnsi="Times New Roman" w:cs="Times New Roman"/>
                      <w:color w:val="auto"/>
                      <w:kern w:val="2"/>
                      <w:sz w:val="21"/>
                      <w:szCs w:val="24"/>
                      <w:highlight w:val="none"/>
                      <w:lang w:val="en-US" w:eastAsia="zh-CN" w:bidi="ar"/>
                    </w:rPr>
                    <w:t>23.3</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0D07244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r w14:paraId="30B27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771904E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2.5</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49129C5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29977E7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eastAsia="宋体" w:cs="Times New Roman"/>
                      <w:color w:val="auto"/>
                      <w:kern w:val="2"/>
                      <w:sz w:val="21"/>
                      <w:szCs w:val="24"/>
                      <w:highlight w:val="none"/>
                      <w:lang w:val="en-US" w:eastAsia="zh-CN" w:bidi="ar"/>
                    </w:rPr>
                    <w:t>42</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28F2B9C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3</w:t>
                  </w:r>
                  <w:r>
                    <w:rPr>
                      <w:rFonts w:hint="eastAsia" w:ascii="Times New Roman" w:hAnsi="Times New Roman" w:eastAsia="宋体" w:cs="Times New Roman"/>
                      <w:color w:val="auto"/>
                      <w:kern w:val="2"/>
                      <w:sz w:val="21"/>
                      <w:szCs w:val="24"/>
                      <w:highlight w:val="none"/>
                      <w:lang w:val="en-US" w:eastAsia="zh-CN" w:bidi="ar"/>
                    </w:rPr>
                    <w:t>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77EE4302">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eastAsia" w:ascii="Times New Roman" w:hAnsi="Times New Roman" w:cs="Times New Roman"/>
                      <w:color w:val="auto"/>
                      <w:kern w:val="2"/>
                      <w:sz w:val="21"/>
                      <w:szCs w:val="24"/>
                      <w:highlight w:val="none"/>
                      <w:lang w:val="en-US" w:eastAsia="zh-CN" w:bidi="ar"/>
                    </w:rPr>
                    <w:t>4</w:t>
                  </w:r>
                  <w:r>
                    <w:rPr>
                      <w:rFonts w:hint="default" w:ascii="Times New Roman" w:hAnsi="Times New Roman" w:cs="Times New Roman"/>
                      <w:color w:val="auto"/>
                      <w:kern w:val="2"/>
                      <w:sz w:val="21"/>
                      <w:szCs w:val="24"/>
                      <w:highlight w:val="none"/>
                      <w:lang w:val="en-US" w:eastAsia="zh-CN" w:bidi="ar"/>
                    </w:rPr>
                    <w:t>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36885B5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r w14:paraId="11836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2F6D058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SO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111AC699">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037347FA">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12</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6010486C">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60μg/m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3BFD64B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20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0BCFD3E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12B8A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00BC03E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NO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7910F5C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038705D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30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5C8D5EC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411F374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75</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5783FC3D">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21952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447AE8E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sz w:val="21"/>
                      <w:szCs w:val="24"/>
                      <w:highlight w:val="none"/>
                      <w:lang w:bidi="ar"/>
                    </w:rPr>
                    <w:t>CO</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6F17EA3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24h平均质量浓度第95百分位数</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7385775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1</w:t>
                  </w:r>
                  <w:r>
                    <w:rPr>
                      <w:rFonts w:hint="default" w:ascii="Times New Roman" w:hAnsi="Times New Roman" w:eastAsia="Times New Roman" w:cs="Times New Roman"/>
                      <w:color w:val="auto"/>
                      <w:kern w:val="2"/>
                      <w:sz w:val="21"/>
                      <w:szCs w:val="24"/>
                      <w:highlight w:val="none"/>
                      <w:lang w:bidi="ar"/>
                    </w:rPr>
                    <w:t>mg/m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76591F6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4mg/m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691C973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27.5</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65D2C79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5F0B4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right w:val="single" w:color="auto" w:sz="4" w:space="0"/>
                  </w:tcBorders>
                  <w:noWrap w:val="0"/>
                  <w:vAlign w:val="center"/>
                </w:tcPr>
                <w:p w14:paraId="08E1A49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O</w:t>
                  </w:r>
                  <w:r>
                    <w:rPr>
                      <w:rFonts w:hint="default" w:ascii="Times New Roman" w:hAnsi="Times New Roman" w:eastAsia="Times New Roman" w:cs="Times New Roman"/>
                      <w:color w:val="auto"/>
                      <w:kern w:val="2"/>
                      <w:sz w:val="13"/>
                      <w:szCs w:val="24"/>
                      <w:highlight w:val="none"/>
                      <w:lang w:bidi="ar"/>
                    </w:rPr>
                    <w:t>3</w:t>
                  </w:r>
                </w:p>
              </w:tc>
              <w:tc>
                <w:tcPr>
                  <w:tcW w:w="1301" w:type="pct"/>
                  <w:tcBorders>
                    <w:top w:val="single" w:color="auto" w:sz="4" w:space="0"/>
                    <w:left w:val="single" w:color="auto" w:sz="4" w:space="0"/>
                    <w:right w:val="single" w:color="auto" w:sz="4" w:space="0"/>
                  </w:tcBorders>
                  <w:noWrap w:val="0"/>
                  <w:vAlign w:val="center"/>
                </w:tcPr>
                <w:p w14:paraId="140C5962">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8h平均质量浓度第90百分位数</w:t>
                  </w:r>
                </w:p>
              </w:tc>
              <w:tc>
                <w:tcPr>
                  <w:tcW w:w="853" w:type="pct"/>
                  <w:tcBorders>
                    <w:top w:val="single" w:color="auto" w:sz="4" w:space="0"/>
                    <w:left w:val="single" w:color="auto" w:sz="4" w:space="0"/>
                    <w:right w:val="single" w:color="auto" w:sz="4" w:space="0"/>
                  </w:tcBorders>
                  <w:noWrap w:val="0"/>
                  <w:vAlign w:val="center"/>
                </w:tcPr>
                <w:p w14:paraId="0B0EA84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18</w:t>
                  </w:r>
                  <w:r>
                    <w:rPr>
                      <w:rFonts w:hint="default" w:ascii="Times New Roman" w:hAnsi="Times New Roman" w:cs="Times New Roman"/>
                      <w:color w:val="auto"/>
                      <w:kern w:val="2"/>
                      <w:sz w:val="21"/>
                      <w:szCs w:val="24"/>
                      <w:highlight w:val="none"/>
                      <w:lang w:val="en-US" w:eastAsia="zh-CN" w:bidi="ar"/>
                    </w:rPr>
                    <w:t>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sz w:val="21"/>
                      <w:szCs w:val="24"/>
                      <w:highlight w:val="none"/>
                      <w:vertAlign w:val="superscript"/>
                      <w:lang w:bidi="ar"/>
                    </w:rPr>
                    <w:t>3</w:t>
                  </w:r>
                </w:p>
              </w:tc>
              <w:tc>
                <w:tcPr>
                  <w:tcW w:w="768" w:type="pct"/>
                  <w:tcBorders>
                    <w:top w:val="single" w:color="auto" w:sz="4" w:space="0"/>
                    <w:left w:val="single" w:color="auto" w:sz="4" w:space="0"/>
                    <w:right w:val="single" w:color="auto" w:sz="4" w:space="0"/>
                  </w:tcBorders>
                  <w:noWrap w:val="0"/>
                  <w:vAlign w:val="center"/>
                </w:tcPr>
                <w:p w14:paraId="6EE8E6E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eastAsia="Times New Roman" w:cs="Times New Roman"/>
                      <w:color w:val="auto"/>
                      <w:kern w:val="2"/>
                      <w:sz w:val="21"/>
                      <w:szCs w:val="24"/>
                      <w:highlight w:val="none"/>
                      <w:lang w:bidi="ar"/>
                    </w:rPr>
                    <w:t>160μg/m</w:t>
                  </w:r>
                  <w:r>
                    <w:rPr>
                      <w:rFonts w:hint="default" w:ascii="Times New Roman" w:hAnsi="Times New Roman" w:eastAsia="Times New Roman" w:cs="Times New Roman"/>
                      <w:color w:val="auto"/>
                      <w:kern w:val="2"/>
                      <w:sz w:val="21"/>
                      <w:szCs w:val="24"/>
                      <w:highlight w:val="none"/>
                      <w:vertAlign w:val="superscript"/>
                      <w:lang w:bidi="ar"/>
                    </w:rPr>
                    <w:t>3</w:t>
                  </w:r>
                </w:p>
              </w:tc>
              <w:tc>
                <w:tcPr>
                  <w:tcW w:w="682" w:type="pct"/>
                  <w:tcBorders>
                    <w:top w:val="single" w:color="auto" w:sz="4" w:space="0"/>
                    <w:left w:val="single" w:color="auto" w:sz="4" w:space="0"/>
                    <w:right w:val="single" w:color="auto" w:sz="4" w:space="0"/>
                  </w:tcBorders>
                  <w:noWrap w:val="0"/>
                  <w:vAlign w:val="center"/>
                </w:tcPr>
                <w:p w14:paraId="32AAD48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12.5</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tcBorders>
                  <w:noWrap w:val="0"/>
                  <w:vAlign w:val="center"/>
                </w:tcPr>
                <w:p w14:paraId="7B9F2C2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bl>
          <w:p w14:paraId="58966ABD">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由上表</w:t>
            </w:r>
            <w:r>
              <w:rPr>
                <w:rFonts w:hint="default" w:ascii="Times New Roman" w:hAnsi="Times New Roman" w:cs="Times New Roman"/>
                <w:smallCaps w:val="0"/>
                <w:color w:val="auto"/>
                <w:spacing w:val="0"/>
                <w:sz w:val="24"/>
                <w:szCs w:val="24"/>
                <w:highlight w:val="none"/>
              </w:rPr>
              <w:t>可知，</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10</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2.5</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O</w:t>
            </w:r>
            <w:r>
              <w:rPr>
                <w:rFonts w:hint="default" w:ascii="Times New Roman" w:hAnsi="Times New Roman" w:cs="Times New Roman"/>
                <w:smallCaps w:val="0"/>
                <w:color w:val="auto"/>
                <w:spacing w:val="0"/>
                <w:kern w:val="0"/>
                <w:sz w:val="24"/>
                <w:szCs w:val="24"/>
                <w:highlight w:val="none"/>
                <w:vertAlign w:val="subscript"/>
              </w:rPr>
              <w:t>3</w:t>
            </w:r>
            <w:r>
              <w:rPr>
                <w:rFonts w:hint="default" w:ascii="Times New Roman" w:hAnsi="Times New Roman" w:cs="Times New Roman"/>
                <w:smallCaps w:val="0"/>
                <w:color w:val="auto"/>
                <w:spacing w:val="0"/>
                <w:kern w:val="0"/>
                <w:sz w:val="24"/>
                <w:szCs w:val="24"/>
                <w:highlight w:val="none"/>
                <w:vertAlign w:val="baseline"/>
                <w:lang w:val="en-US" w:eastAsia="zh-CN"/>
              </w:rPr>
              <w:t>不满足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kern w:val="0"/>
                <w:sz w:val="24"/>
                <w:szCs w:val="24"/>
                <w:highlight w:val="none"/>
              </w:rPr>
              <w:t>SO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NO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CO</w:t>
            </w:r>
            <w:r>
              <w:rPr>
                <w:rFonts w:hint="default" w:ascii="Times New Roman" w:hAnsi="Times New Roman" w:cs="Times New Roman"/>
                <w:smallCaps w:val="0"/>
                <w:color w:val="auto"/>
                <w:spacing w:val="0"/>
                <w:kern w:val="0"/>
                <w:sz w:val="24"/>
                <w:szCs w:val="24"/>
                <w:highlight w:val="none"/>
                <w:vertAlign w:val="baseline"/>
                <w:lang w:val="en-US" w:eastAsia="zh-CN"/>
              </w:rPr>
              <w:t>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，井陉矿区</w:t>
            </w:r>
            <w:r>
              <w:rPr>
                <w:rFonts w:hint="default" w:ascii="Times New Roman" w:hAnsi="Times New Roman" w:cs="Times New Roman"/>
                <w:smallCaps w:val="0"/>
                <w:color w:val="auto"/>
                <w:spacing w:val="0"/>
                <w:highlight w:val="none"/>
              </w:rPr>
              <w:t>属于不达标区域</w:t>
            </w:r>
            <w:r>
              <w:rPr>
                <w:rFonts w:hint="default" w:ascii="Times New Roman" w:hAnsi="Times New Roman" w:cs="Times New Roman"/>
                <w:smallCaps w:val="0"/>
                <w:color w:val="auto"/>
                <w:spacing w:val="0"/>
                <w:highlight w:val="none"/>
                <w:lang w:eastAsia="zh-CN"/>
              </w:rPr>
              <w:t>。</w:t>
            </w:r>
          </w:p>
          <w:p w14:paraId="1A1E1164">
            <w:pPr>
              <w:pStyle w:val="171"/>
              <w:keepNext w:val="0"/>
              <w:keepLines w:val="0"/>
              <w:suppressLineNumbers w:val="0"/>
              <w:spacing w:before="0" w:beforeAutospacing="0" w:after="0" w:afterAutospacing="0" w:line="460" w:lineRule="exact"/>
              <w:ind w:left="0" w:right="0"/>
              <w:rPr>
                <w:rFonts w:hint="default" w:ascii="Times New Roman" w:hAnsi="Times New Roman" w:eastAsia="宋体"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lang w:eastAsia="zh-CN"/>
              </w:rPr>
              <w:t>③</w:t>
            </w:r>
            <w:r>
              <w:rPr>
                <w:rFonts w:hint="default" w:ascii="Times New Roman" w:hAnsi="Times New Roman" w:cs="Times New Roman"/>
                <w:smallCaps w:val="0"/>
                <w:color w:val="auto"/>
                <w:spacing w:val="0"/>
                <w:highlight w:val="none"/>
                <w:lang w:val="en-US" w:eastAsia="zh-CN"/>
              </w:rPr>
              <w:t>井陉县</w:t>
            </w:r>
          </w:p>
          <w:p w14:paraId="5DD82FF9">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color w:val="auto"/>
                <w:highlight w:val="none"/>
              </w:rPr>
            </w:pPr>
            <w:r>
              <w:rPr>
                <w:rFonts w:hint="default" w:ascii="Times New Roman" w:hAnsi="Times New Roman" w:cs="Times New Roman"/>
                <w:color w:val="auto"/>
                <w:kern w:val="0"/>
                <w:sz w:val="24"/>
                <w:highlight w:val="none"/>
                <w:lang w:bidi="ar"/>
              </w:rPr>
              <w:t>根据《石家庄市2024年1-12月乡镇点位空气质量监测数据汇总》</w:t>
            </w:r>
            <w:r>
              <w:rPr>
                <w:rFonts w:hint="default" w:ascii="Times New Roman" w:hAnsi="Times New Roman" w:cs="Times New Roman"/>
                <w:color w:val="auto"/>
                <w:kern w:val="0"/>
                <w:sz w:val="24"/>
                <w:highlight w:val="none"/>
                <w:lang w:eastAsia="zh-CN" w:bidi="ar"/>
              </w:rPr>
              <w:t>，</w:t>
            </w:r>
            <w:r>
              <w:rPr>
                <w:rFonts w:hint="default" w:ascii="Times New Roman" w:hAnsi="Times New Roman" w:cs="Times New Roman"/>
                <w:color w:val="auto"/>
                <w:kern w:val="0"/>
                <w:sz w:val="24"/>
                <w:highlight w:val="none"/>
                <w:lang w:val="en-US" w:eastAsia="zh-CN" w:bidi="ar"/>
              </w:rPr>
              <w:t>井陉县小作镇人民政府站点空气质量监测数据</w:t>
            </w:r>
            <w:r>
              <w:rPr>
                <w:rFonts w:hint="default" w:ascii="Times New Roman" w:hAnsi="Times New Roman" w:cs="Times New Roman"/>
                <w:color w:val="auto"/>
                <w:kern w:val="0"/>
                <w:sz w:val="24"/>
                <w:highlight w:val="none"/>
                <w:lang w:bidi="ar"/>
              </w:rPr>
              <w:t>，如下表所示：</w:t>
            </w:r>
          </w:p>
          <w:p w14:paraId="2429CAD9">
            <w:pPr>
              <w:keepNext w:val="0"/>
              <w:keepLines w:val="0"/>
              <w:suppressLineNumbers w:val="0"/>
              <w:spacing w:before="0" w:beforeAutospacing="0" w:after="0" w:afterAutospacing="0" w:line="440" w:lineRule="atLeas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 xml:space="preserve">3-3   </w:t>
            </w:r>
            <w:r>
              <w:rPr>
                <w:rFonts w:hint="default" w:ascii="Times New Roman" w:hAnsi="Times New Roman" w:cs="Times New Roman"/>
                <w:b/>
                <w:color w:val="auto"/>
                <w:sz w:val="24"/>
                <w:szCs w:val="20"/>
                <w:highlight w:val="none"/>
              </w:rPr>
              <w:t xml:space="preserve"> 区域空气质量统计结果表</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5"/>
              <w:gridCol w:w="2039"/>
              <w:gridCol w:w="1337"/>
              <w:gridCol w:w="1203"/>
              <w:gridCol w:w="1069"/>
              <w:gridCol w:w="1147"/>
            </w:tblGrid>
            <w:tr w14:paraId="5E1FB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bottom w:val="single" w:color="auto" w:sz="4" w:space="0"/>
                    <w:right w:val="single" w:color="auto" w:sz="4" w:space="0"/>
                  </w:tcBorders>
                  <w:noWrap w:val="0"/>
                  <w:vAlign w:val="center"/>
                </w:tcPr>
                <w:p w14:paraId="1394905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污染物</w:t>
                  </w:r>
                </w:p>
              </w:tc>
              <w:tc>
                <w:tcPr>
                  <w:tcW w:w="1301" w:type="pct"/>
                  <w:tcBorders>
                    <w:left w:val="single" w:color="auto" w:sz="4" w:space="0"/>
                    <w:bottom w:val="single" w:color="auto" w:sz="4" w:space="0"/>
                    <w:right w:val="single" w:color="auto" w:sz="4" w:space="0"/>
                  </w:tcBorders>
                  <w:noWrap w:val="0"/>
                  <w:vAlign w:val="center"/>
                </w:tcPr>
                <w:p w14:paraId="474AA0A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年评价指标</w:t>
                  </w:r>
                </w:p>
              </w:tc>
              <w:tc>
                <w:tcPr>
                  <w:tcW w:w="853" w:type="pct"/>
                  <w:tcBorders>
                    <w:left w:val="single" w:color="auto" w:sz="4" w:space="0"/>
                    <w:bottom w:val="single" w:color="auto" w:sz="4" w:space="0"/>
                    <w:right w:val="single" w:color="auto" w:sz="4" w:space="0"/>
                  </w:tcBorders>
                  <w:noWrap w:val="0"/>
                  <w:vAlign w:val="center"/>
                </w:tcPr>
                <w:p w14:paraId="5E3ACE3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b/>
                      <w:bCs/>
                      <w:color w:val="auto"/>
                      <w:kern w:val="2"/>
                      <w:sz w:val="21"/>
                      <w:szCs w:val="24"/>
                      <w:highlight w:val="none"/>
                    </w:rPr>
                  </w:pPr>
                  <w:r>
                    <w:rPr>
                      <w:rFonts w:hint="default" w:ascii="Times New Roman" w:hAnsi="Times New Roman" w:cs="Times New Roman"/>
                      <w:b/>
                      <w:bCs/>
                      <w:color w:val="auto"/>
                      <w:kern w:val="2"/>
                      <w:sz w:val="21"/>
                      <w:szCs w:val="24"/>
                      <w:highlight w:val="none"/>
                      <w:lang w:bidi="ar"/>
                    </w:rPr>
                    <w:t>现状浓度</w:t>
                  </w:r>
                </w:p>
              </w:tc>
              <w:tc>
                <w:tcPr>
                  <w:tcW w:w="768" w:type="pct"/>
                  <w:tcBorders>
                    <w:left w:val="single" w:color="auto" w:sz="4" w:space="0"/>
                    <w:bottom w:val="single" w:color="auto" w:sz="4" w:space="0"/>
                    <w:right w:val="single" w:color="auto" w:sz="4" w:space="0"/>
                  </w:tcBorders>
                  <w:noWrap w:val="0"/>
                  <w:vAlign w:val="center"/>
                </w:tcPr>
                <w:p w14:paraId="064B5F6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标准值</w:t>
                  </w:r>
                </w:p>
              </w:tc>
              <w:tc>
                <w:tcPr>
                  <w:tcW w:w="682" w:type="pct"/>
                  <w:tcBorders>
                    <w:left w:val="single" w:color="auto" w:sz="4" w:space="0"/>
                    <w:bottom w:val="single" w:color="auto" w:sz="4" w:space="0"/>
                    <w:right w:val="single" w:color="auto" w:sz="4" w:space="0"/>
                  </w:tcBorders>
                  <w:noWrap w:val="0"/>
                  <w:vAlign w:val="center"/>
                </w:tcPr>
                <w:p w14:paraId="6AE1049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占标率</w:t>
                  </w:r>
                </w:p>
              </w:tc>
              <w:tc>
                <w:tcPr>
                  <w:tcW w:w="732" w:type="pct"/>
                  <w:tcBorders>
                    <w:left w:val="single" w:color="auto" w:sz="4" w:space="0"/>
                    <w:bottom w:val="single" w:color="auto" w:sz="4" w:space="0"/>
                  </w:tcBorders>
                  <w:noWrap w:val="0"/>
                  <w:vAlign w:val="center"/>
                </w:tcPr>
                <w:p w14:paraId="674DEEE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b/>
                      <w:bCs/>
                      <w:color w:val="auto"/>
                      <w:kern w:val="2"/>
                      <w:position w:val="2"/>
                      <w:sz w:val="21"/>
                      <w:szCs w:val="24"/>
                      <w:highlight w:val="none"/>
                    </w:rPr>
                  </w:pPr>
                  <w:r>
                    <w:rPr>
                      <w:rFonts w:hint="default" w:ascii="Times New Roman" w:hAnsi="Times New Roman" w:eastAsia="Times New Roman" w:cs="Times New Roman"/>
                      <w:b/>
                      <w:bCs/>
                      <w:color w:val="auto"/>
                      <w:kern w:val="2"/>
                      <w:position w:val="2"/>
                      <w:sz w:val="21"/>
                      <w:szCs w:val="24"/>
                      <w:highlight w:val="none"/>
                      <w:lang w:bidi="ar"/>
                    </w:rPr>
                    <w:t>达标情况</w:t>
                  </w:r>
                </w:p>
              </w:tc>
            </w:tr>
            <w:tr w14:paraId="4A2B6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5ABC5BD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10</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2F9D5EDA">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503C479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64</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31FFC84D">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eastAsia" w:ascii="Times New Roman" w:hAnsi="Times New Roman" w:eastAsia="宋体" w:cs="Times New Roman"/>
                      <w:color w:val="auto"/>
                      <w:kern w:val="2"/>
                      <w:sz w:val="21"/>
                      <w:szCs w:val="24"/>
                      <w:highlight w:val="none"/>
                      <w:lang w:val="en-US" w:eastAsia="zh-CN" w:bidi="ar"/>
                    </w:rPr>
                    <w:t>6</w:t>
                  </w:r>
                  <w:r>
                    <w:rPr>
                      <w:rFonts w:hint="default" w:ascii="Times New Roman" w:hAnsi="Times New Roman" w:eastAsia="Times New Roman" w:cs="Times New Roman"/>
                      <w:color w:val="auto"/>
                      <w:kern w:val="2"/>
                      <w:sz w:val="21"/>
                      <w:szCs w:val="24"/>
                      <w:highlight w:val="none"/>
                      <w:lang w:bidi="ar"/>
                    </w:rPr>
                    <w:t>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016BB54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eastAsia" w:ascii="Times New Roman" w:hAnsi="Times New Roman" w:cs="Times New Roman"/>
                      <w:color w:val="auto"/>
                      <w:kern w:val="2"/>
                      <w:sz w:val="21"/>
                      <w:szCs w:val="24"/>
                      <w:highlight w:val="none"/>
                      <w:lang w:val="en-US" w:eastAsia="zh-CN" w:bidi="ar"/>
                    </w:rPr>
                    <w:t>106.7</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0B830A2C">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14132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2EA9725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PM</w:t>
                  </w:r>
                  <w:r>
                    <w:rPr>
                      <w:rFonts w:hint="default" w:ascii="Times New Roman" w:hAnsi="Times New Roman" w:eastAsia="Times New Roman" w:cs="Times New Roman"/>
                      <w:color w:val="auto"/>
                      <w:kern w:val="2"/>
                      <w:sz w:val="13"/>
                      <w:szCs w:val="24"/>
                      <w:highlight w:val="none"/>
                      <w:lang w:bidi="ar"/>
                    </w:rPr>
                    <w:t>2.5</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475926B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1E328969">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eastAsia="宋体" w:cs="Times New Roman"/>
                      <w:color w:val="auto"/>
                      <w:kern w:val="2"/>
                      <w:sz w:val="21"/>
                      <w:szCs w:val="24"/>
                      <w:highlight w:val="none"/>
                      <w:lang w:val="en-US" w:eastAsia="zh-CN" w:bidi="ar"/>
                    </w:rPr>
                    <w:t>38</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2AE2FAA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3</w:t>
                  </w:r>
                  <w:r>
                    <w:rPr>
                      <w:rFonts w:hint="eastAsia" w:ascii="Times New Roman" w:hAnsi="Times New Roman" w:eastAsia="宋体" w:cs="Times New Roman"/>
                      <w:color w:val="auto"/>
                      <w:kern w:val="2"/>
                      <w:sz w:val="21"/>
                      <w:szCs w:val="24"/>
                      <w:highlight w:val="none"/>
                      <w:lang w:val="en-US" w:eastAsia="zh-CN" w:bidi="ar"/>
                    </w:rPr>
                    <w:t>0</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4BDA0FF5">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1</w:t>
                  </w:r>
                  <w:r>
                    <w:rPr>
                      <w:rFonts w:hint="eastAsia" w:ascii="Times New Roman" w:hAnsi="Times New Roman" w:cs="Times New Roman"/>
                      <w:color w:val="auto"/>
                      <w:kern w:val="2"/>
                      <w:sz w:val="21"/>
                      <w:szCs w:val="24"/>
                      <w:highlight w:val="none"/>
                      <w:lang w:val="en-US" w:eastAsia="zh-CN" w:bidi="ar"/>
                    </w:rPr>
                    <w:t>26.7</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3F2FE0E3">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r w14:paraId="52E35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1B9DB9A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SO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4CFFA33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4BCBA29E">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6</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5CA3286A">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60μg/m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7963FF4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09A6A72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60006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5946E66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NO</w:t>
                  </w:r>
                  <w:r>
                    <w:rPr>
                      <w:rFonts w:hint="default" w:ascii="Times New Roman" w:hAnsi="Times New Roman" w:eastAsia="Times New Roman" w:cs="Times New Roman"/>
                      <w:color w:val="auto"/>
                      <w:kern w:val="2"/>
                      <w:sz w:val="13"/>
                      <w:szCs w:val="24"/>
                      <w:highlight w:val="none"/>
                      <w:lang w:bidi="ar"/>
                    </w:rPr>
                    <w:t>2</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16C046F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年平均质量浓度</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23C475A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19</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60195D9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40μg/m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1246415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47.5</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6DC2EB54">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7B677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bottom w:val="single" w:color="auto" w:sz="4" w:space="0"/>
                    <w:right w:val="single" w:color="auto" w:sz="4" w:space="0"/>
                  </w:tcBorders>
                  <w:noWrap w:val="0"/>
                  <w:vAlign w:val="center"/>
                </w:tcPr>
                <w:p w14:paraId="2EAD9E4F">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sz w:val="21"/>
                      <w:szCs w:val="24"/>
                      <w:highlight w:val="none"/>
                      <w:lang w:bidi="ar"/>
                    </w:rPr>
                    <w:t>CO</w:t>
                  </w:r>
                </w:p>
              </w:tc>
              <w:tc>
                <w:tcPr>
                  <w:tcW w:w="1301" w:type="pct"/>
                  <w:tcBorders>
                    <w:top w:val="single" w:color="auto" w:sz="4" w:space="0"/>
                    <w:left w:val="single" w:color="auto" w:sz="4" w:space="0"/>
                    <w:bottom w:val="single" w:color="auto" w:sz="4" w:space="0"/>
                    <w:right w:val="single" w:color="auto" w:sz="4" w:space="0"/>
                  </w:tcBorders>
                  <w:noWrap w:val="0"/>
                  <w:vAlign w:val="center"/>
                </w:tcPr>
                <w:p w14:paraId="46922B16">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24h平均质量浓度第95百分位数</w:t>
                  </w:r>
                </w:p>
              </w:tc>
              <w:tc>
                <w:tcPr>
                  <w:tcW w:w="853" w:type="pct"/>
                  <w:tcBorders>
                    <w:top w:val="single" w:color="auto" w:sz="4" w:space="0"/>
                    <w:left w:val="single" w:color="auto" w:sz="4" w:space="0"/>
                    <w:bottom w:val="single" w:color="auto" w:sz="4" w:space="0"/>
                    <w:right w:val="single" w:color="auto" w:sz="4" w:space="0"/>
                  </w:tcBorders>
                  <w:noWrap w:val="0"/>
                  <w:vAlign w:val="center"/>
                </w:tcPr>
                <w:p w14:paraId="0488CFF1">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w:t>
                  </w:r>
                  <w:r>
                    <w:rPr>
                      <w:rFonts w:hint="default" w:ascii="Times New Roman" w:hAnsi="Times New Roman" w:cs="Times New Roman"/>
                      <w:color w:val="auto"/>
                      <w:kern w:val="2"/>
                      <w:sz w:val="21"/>
                      <w:szCs w:val="24"/>
                      <w:highlight w:val="none"/>
                      <w:lang w:val="en-US" w:eastAsia="zh-CN" w:bidi="ar"/>
                    </w:rPr>
                    <w:t>2</w:t>
                  </w:r>
                  <w:r>
                    <w:rPr>
                      <w:rFonts w:hint="default" w:ascii="Times New Roman" w:hAnsi="Times New Roman" w:eastAsia="Times New Roman" w:cs="Times New Roman"/>
                      <w:color w:val="auto"/>
                      <w:kern w:val="2"/>
                      <w:sz w:val="21"/>
                      <w:szCs w:val="24"/>
                      <w:highlight w:val="none"/>
                      <w:lang w:bidi="ar"/>
                    </w:rPr>
                    <w:t>mg/m</w:t>
                  </w:r>
                  <w:r>
                    <w:rPr>
                      <w:rFonts w:hint="default" w:ascii="Times New Roman" w:hAnsi="Times New Roman" w:eastAsia="Times New Roman" w:cs="Times New Roman"/>
                      <w:color w:val="auto"/>
                      <w:kern w:val="2"/>
                      <w:position w:val="7"/>
                      <w:sz w:val="13"/>
                      <w:szCs w:val="24"/>
                      <w:highlight w:val="none"/>
                      <w:lang w:bidi="ar"/>
                    </w:rPr>
                    <w:t>3</w:t>
                  </w:r>
                </w:p>
              </w:tc>
              <w:tc>
                <w:tcPr>
                  <w:tcW w:w="768" w:type="pct"/>
                  <w:tcBorders>
                    <w:top w:val="single" w:color="auto" w:sz="4" w:space="0"/>
                    <w:left w:val="single" w:color="auto" w:sz="4" w:space="0"/>
                    <w:bottom w:val="single" w:color="auto" w:sz="4" w:space="0"/>
                    <w:right w:val="single" w:color="auto" w:sz="4" w:space="0"/>
                  </w:tcBorders>
                  <w:noWrap w:val="0"/>
                  <w:vAlign w:val="center"/>
                </w:tcPr>
                <w:p w14:paraId="482C50AC">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position w:val="2"/>
                      <w:sz w:val="21"/>
                      <w:szCs w:val="24"/>
                      <w:highlight w:val="none"/>
                    </w:rPr>
                  </w:pPr>
                  <w:r>
                    <w:rPr>
                      <w:rFonts w:hint="default" w:ascii="Times New Roman" w:hAnsi="Times New Roman" w:eastAsia="Times New Roman" w:cs="Times New Roman"/>
                      <w:color w:val="auto"/>
                      <w:kern w:val="2"/>
                      <w:sz w:val="21"/>
                      <w:szCs w:val="24"/>
                      <w:highlight w:val="none"/>
                      <w:lang w:bidi="ar"/>
                    </w:rPr>
                    <w:t>4mg/m</w:t>
                  </w:r>
                  <w:r>
                    <w:rPr>
                      <w:rFonts w:hint="default" w:ascii="Times New Roman" w:hAnsi="Times New Roman" w:eastAsia="Times New Roman" w:cs="Times New Roman"/>
                      <w:color w:val="auto"/>
                      <w:kern w:val="2"/>
                      <w:position w:val="7"/>
                      <w:sz w:val="13"/>
                      <w:szCs w:val="24"/>
                      <w:highlight w:val="none"/>
                      <w:lang w:bidi="ar"/>
                    </w:rPr>
                    <w:t>3</w:t>
                  </w:r>
                </w:p>
              </w:tc>
              <w:tc>
                <w:tcPr>
                  <w:tcW w:w="682" w:type="pct"/>
                  <w:tcBorders>
                    <w:top w:val="single" w:color="auto" w:sz="4" w:space="0"/>
                    <w:left w:val="single" w:color="auto" w:sz="4" w:space="0"/>
                    <w:bottom w:val="single" w:color="auto" w:sz="4" w:space="0"/>
                    <w:right w:val="single" w:color="auto" w:sz="4" w:space="0"/>
                  </w:tcBorders>
                  <w:noWrap w:val="0"/>
                  <w:vAlign w:val="center"/>
                </w:tcPr>
                <w:p w14:paraId="7EE47F62">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val="en-US" w:eastAsia="zh-CN" w:bidi="ar"/>
                    </w:rPr>
                    <w:t>30</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bottom w:val="single" w:color="auto" w:sz="4" w:space="0"/>
                  </w:tcBorders>
                  <w:noWrap w:val="0"/>
                  <w:vAlign w:val="center"/>
                </w:tcPr>
                <w:p w14:paraId="1E1B8390">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达标</w:t>
                  </w:r>
                </w:p>
              </w:tc>
            </w:tr>
            <w:tr w14:paraId="79726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61" w:type="pct"/>
                  <w:tcBorders>
                    <w:top w:val="single" w:color="auto" w:sz="4" w:space="0"/>
                    <w:right w:val="single" w:color="auto" w:sz="4" w:space="0"/>
                  </w:tcBorders>
                  <w:noWrap w:val="0"/>
                  <w:vAlign w:val="center"/>
                </w:tcPr>
                <w:p w14:paraId="52F937D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highlight w:val="none"/>
                    </w:rPr>
                  </w:pPr>
                  <w:r>
                    <w:rPr>
                      <w:rFonts w:hint="default" w:ascii="Times New Roman" w:hAnsi="Times New Roman" w:eastAsia="Times New Roman" w:cs="Times New Roman"/>
                      <w:color w:val="auto"/>
                      <w:kern w:val="2"/>
                      <w:position w:val="2"/>
                      <w:sz w:val="21"/>
                      <w:szCs w:val="24"/>
                      <w:highlight w:val="none"/>
                      <w:lang w:bidi="ar"/>
                    </w:rPr>
                    <w:t>O</w:t>
                  </w:r>
                  <w:r>
                    <w:rPr>
                      <w:rFonts w:hint="default" w:ascii="Times New Roman" w:hAnsi="Times New Roman" w:eastAsia="Times New Roman" w:cs="Times New Roman"/>
                      <w:color w:val="auto"/>
                      <w:kern w:val="2"/>
                      <w:sz w:val="13"/>
                      <w:szCs w:val="24"/>
                      <w:highlight w:val="none"/>
                      <w:lang w:bidi="ar"/>
                    </w:rPr>
                    <w:t>3</w:t>
                  </w:r>
                </w:p>
              </w:tc>
              <w:tc>
                <w:tcPr>
                  <w:tcW w:w="1301" w:type="pct"/>
                  <w:tcBorders>
                    <w:top w:val="single" w:color="auto" w:sz="4" w:space="0"/>
                    <w:left w:val="single" w:color="auto" w:sz="4" w:space="0"/>
                    <w:right w:val="single" w:color="auto" w:sz="4" w:space="0"/>
                  </w:tcBorders>
                  <w:noWrap w:val="0"/>
                  <w:vAlign w:val="center"/>
                </w:tcPr>
                <w:p w14:paraId="4B1E559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8h平均质量浓度第90百分位数</w:t>
                  </w:r>
                </w:p>
              </w:tc>
              <w:tc>
                <w:tcPr>
                  <w:tcW w:w="853" w:type="pct"/>
                  <w:tcBorders>
                    <w:top w:val="single" w:color="auto" w:sz="4" w:space="0"/>
                    <w:left w:val="single" w:color="auto" w:sz="4" w:space="0"/>
                    <w:right w:val="single" w:color="auto" w:sz="4" w:space="0"/>
                  </w:tcBorders>
                  <w:noWrap w:val="0"/>
                  <w:vAlign w:val="center"/>
                </w:tcPr>
                <w:p w14:paraId="11294468">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18</w:t>
                  </w:r>
                  <w:r>
                    <w:rPr>
                      <w:rFonts w:hint="default" w:ascii="Times New Roman" w:hAnsi="Times New Roman" w:cs="Times New Roman"/>
                      <w:color w:val="auto"/>
                      <w:kern w:val="2"/>
                      <w:sz w:val="21"/>
                      <w:szCs w:val="24"/>
                      <w:highlight w:val="none"/>
                      <w:lang w:val="en-US" w:eastAsia="zh-CN" w:bidi="ar"/>
                    </w:rPr>
                    <w:t>2</w:t>
                  </w:r>
                  <w:r>
                    <w:rPr>
                      <w:rFonts w:hint="default" w:ascii="Times New Roman" w:hAnsi="Times New Roman" w:eastAsia="Times New Roman" w:cs="Times New Roman"/>
                      <w:color w:val="auto"/>
                      <w:kern w:val="2"/>
                      <w:sz w:val="21"/>
                      <w:szCs w:val="24"/>
                      <w:highlight w:val="none"/>
                      <w:lang w:bidi="ar"/>
                    </w:rPr>
                    <w:t>μg/m</w:t>
                  </w:r>
                  <w:r>
                    <w:rPr>
                      <w:rFonts w:hint="default" w:ascii="Times New Roman" w:hAnsi="Times New Roman" w:eastAsia="Times New Roman" w:cs="Times New Roman"/>
                      <w:color w:val="auto"/>
                      <w:kern w:val="2"/>
                      <w:sz w:val="21"/>
                      <w:szCs w:val="24"/>
                      <w:highlight w:val="none"/>
                      <w:vertAlign w:val="superscript"/>
                      <w:lang w:bidi="ar"/>
                    </w:rPr>
                    <w:t>3</w:t>
                  </w:r>
                </w:p>
              </w:tc>
              <w:tc>
                <w:tcPr>
                  <w:tcW w:w="768" w:type="pct"/>
                  <w:tcBorders>
                    <w:top w:val="single" w:color="auto" w:sz="4" w:space="0"/>
                    <w:left w:val="single" w:color="auto" w:sz="4" w:space="0"/>
                    <w:right w:val="single" w:color="auto" w:sz="4" w:space="0"/>
                  </w:tcBorders>
                  <w:noWrap w:val="0"/>
                  <w:vAlign w:val="center"/>
                </w:tcPr>
                <w:p w14:paraId="7C067282">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eastAsia="Times New Roman" w:cs="Times New Roman"/>
                      <w:color w:val="auto"/>
                      <w:kern w:val="2"/>
                      <w:sz w:val="21"/>
                      <w:szCs w:val="24"/>
                      <w:highlight w:val="none"/>
                    </w:rPr>
                  </w:pPr>
                  <w:r>
                    <w:rPr>
                      <w:rFonts w:hint="default" w:ascii="Times New Roman" w:hAnsi="Times New Roman" w:eastAsia="Times New Roman" w:cs="Times New Roman"/>
                      <w:color w:val="auto"/>
                      <w:kern w:val="2"/>
                      <w:sz w:val="21"/>
                      <w:szCs w:val="24"/>
                      <w:highlight w:val="none"/>
                      <w:lang w:bidi="ar"/>
                    </w:rPr>
                    <w:t>160μg/m</w:t>
                  </w:r>
                  <w:r>
                    <w:rPr>
                      <w:rFonts w:hint="default" w:ascii="Times New Roman" w:hAnsi="Times New Roman" w:eastAsia="Times New Roman" w:cs="Times New Roman"/>
                      <w:color w:val="auto"/>
                      <w:kern w:val="2"/>
                      <w:sz w:val="21"/>
                      <w:szCs w:val="24"/>
                      <w:highlight w:val="none"/>
                      <w:vertAlign w:val="superscript"/>
                      <w:lang w:bidi="ar"/>
                    </w:rPr>
                    <w:t>3</w:t>
                  </w:r>
                </w:p>
              </w:tc>
              <w:tc>
                <w:tcPr>
                  <w:tcW w:w="682" w:type="pct"/>
                  <w:tcBorders>
                    <w:top w:val="single" w:color="auto" w:sz="4" w:space="0"/>
                    <w:left w:val="single" w:color="auto" w:sz="4" w:space="0"/>
                    <w:right w:val="single" w:color="auto" w:sz="4" w:space="0"/>
                  </w:tcBorders>
                  <w:noWrap w:val="0"/>
                  <w:vAlign w:val="center"/>
                </w:tcPr>
                <w:p w14:paraId="79E85D17">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11</w:t>
                  </w:r>
                  <w:r>
                    <w:rPr>
                      <w:rFonts w:hint="default" w:ascii="Times New Roman" w:hAnsi="Times New Roman" w:cs="Times New Roman"/>
                      <w:color w:val="auto"/>
                      <w:kern w:val="2"/>
                      <w:sz w:val="21"/>
                      <w:szCs w:val="24"/>
                      <w:highlight w:val="none"/>
                      <w:lang w:val="en-US" w:eastAsia="zh-CN" w:bidi="ar"/>
                    </w:rPr>
                    <w:t>3.8</w:t>
                  </w:r>
                  <w:r>
                    <w:rPr>
                      <w:rFonts w:hint="default" w:ascii="Times New Roman" w:hAnsi="Times New Roman" w:cs="Times New Roman"/>
                      <w:color w:val="auto"/>
                      <w:kern w:val="2"/>
                      <w:sz w:val="21"/>
                      <w:szCs w:val="24"/>
                      <w:highlight w:val="none"/>
                      <w:lang w:bidi="ar"/>
                    </w:rPr>
                    <w:t>%</w:t>
                  </w:r>
                </w:p>
              </w:tc>
              <w:tc>
                <w:tcPr>
                  <w:tcW w:w="732" w:type="pct"/>
                  <w:tcBorders>
                    <w:top w:val="single" w:color="auto" w:sz="4" w:space="0"/>
                    <w:left w:val="single" w:color="auto" w:sz="4" w:space="0"/>
                  </w:tcBorders>
                  <w:noWrap w:val="0"/>
                  <w:vAlign w:val="center"/>
                </w:tcPr>
                <w:p w14:paraId="050857BB">
                  <w:pPr>
                    <w:pStyle w:val="41"/>
                    <w:keepNext w:val="0"/>
                    <w:keepLines w:val="0"/>
                    <w:widowControl w:val="0"/>
                    <w:suppressLineNumbers w:val="0"/>
                    <w:kinsoku w:val="0"/>
                    <w:overflowPunct w:val="0"/>
                    <w:autoSpaceDE w:val="0"/>
                    <w:autoSpaceDN w:val="0"/>
                    <w:adjustRightInd w:val="0"/>
                    <w:spacing w:before="0" w:beforeAutospacing="0" w:after="0" w:afterAutospacing="0"/>
                    <w:ind w:left="0" w:right="0"/>
                    <w:jc w:val="center"/>
                    <w:rPr>
                      <w:rFonts w:hint="default" w:ascii="Times New Roman" w:hAnsi="Times New Roman" w:cs="Times New Roman"/>
                      <w:color w:val="auto"/>
                      <w:kern w:val="2"/>
                      <w:sz w:val="21"/>
                      <w:szCs w:val="24"/>
                      <w:highlight w:val="none"/>
                    </w:rPr>
                  </w:pPr>
                  <w:r>
                    <w:rPr>
                      <w:rFonts w:hint="default" w:ascii="Times New Roman" w:hAnsi="Times New Roman" w:cs="Times New Roman"/>
                      <w:color w:val="auto"/>
                      <w:kern w:val="2"/>
                      <w:sz w:val="21"/>
                      <w:szCs w:val="24"/>
                      <w:highlight w:val="none"/>
                      <w:lang w:bidi="ar"/>
                    </w:rPr>
                    <w:t>不达标</w:t>
                  </w:r>
                </w:p>
              </w:tc>
            </w:tr>
          </w:tbl>
          <w:p w14:paraId="6F35DCC3">
            <w:pPr>
              <w:pStyle w:val="171"/>
              <w:keepNext w:val="0"/>
              <w:keepLines w:val="0"/>
              <w:suppressLineNumbers w:val="0"/>
              <w:spacing w:before="0" w:beforeAutospacing="0" w:after="0" w:afterAutospacing="0" w:line="460" w:lineRule="exact"/>
              <w:ind w:left="0" w:right="0"/>
              <w:rPr>
                <w:rFonts w:hint="default" w:ascii="Times New Roman" w:hAnsi="Times New Roman" w:cs="Times New Roman"/>
                <w:highlight w:val="none"/>
                <w:lang w:eastAsia="zh-CN"/>
              </w:rPr>
            </w:pPr>
            <w:r>
              <w:rPr>
                <w:rFonts w:hint="default" w:ascii="Times New Roman" w:hAnsi="Times New Roman" w:cs="Times New Roman"/>
                <w:smallCaps w:val="0"/>
                <w:color w:val="auto"/>
                <w:spacing w:val="0"/>
                <w:highlight w:val="none"/>
              </w:rPr>
              <w:t>由上表</w:t>
            </w:r>
            <w:r>
              <w:rPr>
                <w:rFonts w:hint="default" w:ascii="Times New Roman" w:hAnsi="Times New Roman" w:cs="Times New Roman"/>
                <w:smallCaps w:val="0"/>
                <w:color w:val="auto"/>
                <w:spacing w:val="0"/>
                <w:sz w:val="24"/>
                <w:szCs w:val="24"/>
                <w:highlight w:val="none"/>
              </w:rPr>
              <w:t>可知，</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10</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PM</w:t>
            </w:r>
            <w:r>
              <w:rPr>
                <w:rFonts w:hint="default" w:ascii="Times New Roman" w:hAnsi="Times New Roman" w:cs="Times New Roman"/>
                <w:smallCaps w:val="0"/>
                <w:color w:val="auto"/>
                <w:spacing w:val="0"/>
                <w:kern w:val="0"/>
                <w:sz w:val="24"/>
                <w:szCs w:val="24"/>
                <w:highlight w:val="none"/>
                <w:vertAlign w:val="subscript"/>
              </w:rPr>
              <w:t>2.5</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O</w:t>
            </w:r>
            <w:r>
              <w:rPr>
                <w:rFonts w:hint="default" w:ascii="Times New Roman" w:hAnsi="Times New Roman" w:cs="Times New Roman"/>
                <w:smallCaps w:val="0"/>
                <w:color w:val="auto"/>
                <w:spacing w:val="0"/>
                <w:kern w:val="0"/>
                <w:sz w:val="24"/>
                <w:szCs w:val="24"/>
                <w:highlight w:val="none"/>
                <w:vertAlign w:val="subscript"/>
              </w:rPr>
              <w:t>3</w:t>
            </w:r>
            <w:r>
              <w:rPr>
                <w:rFonts w:hint="default" w:ascii="Times New Roman" w:hAnsi="Times New Roman" w:cs="Times New Roman"/>
                <w:smallCaps w:val="0"/>
                <w:color w:val="auto"/>
                <w:spacing w:val="0"/>
                <w:kern w:val="0"/>
                <w:sz w:val="24"/>
                <w:szCs w:val="24"/>
                <w:highlight w:val="none"/>
                <w:vertAlign w:val="baseline"/>
                <w:lang w:val="en-US" w:eastAsia="zh-CN"/>
              </w:rPr>
              <w:t>不满足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w:t>
            </w:r>
            <w:r>
              <w:rPr>
                <w:rFonts w:hint="default" w:ascii="Times New Roman" w:hAnsi="Times New Roman" w:cs="Times New Roman"/>
                <w:smallCaps w:val="0"/>
                <w:color w:val="auto"/>
                <w:spacing w:val="0"/>
                <w:kern w:val="0"/>
                <w:sz w:val="24"/>
                <w:szCs w:val="24"/>
                <w:highlight w:val="none"/>
              </w:rPr>
              <w:t>SO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NO</w:t>
            </w:r>
            <w:r>
              <w:rPr>
                <w:rFonts w:hint="default" w:ascii="Times New Roman" w:hAnsi="Times New Roman" w:cs="Times New Roman"/>
                <w:smallCaps w:val="0"/>
                <w:color w:val="auto"/>
                <w:spacing w:val="0"/>
                <w:kern w:val="0"/>
                <w:sz w:val="24"/>
                <w:szCs w:val="24"/>
                <w:highlight w:val="none"/>
                <w:vertAlign w:val="subscript"/>
              </w:rPr>
              <w:t>2</w:t>
            </w:r>
            <w:r>
              <w:rPr>
                <w:rFonts w:hint="default" w:ascii="Times New Roman" w:hAnsi="Times New Roman" w:cs="Times New Roman"/>
                <w:smallCaps w:val="0"/>
                <w:color w:val="auto"/>
                <w:spacing w:val="0"/>
                <w:kern w:val="0"/>
                <w:sz w:val="24"/>
                <w:szCs w:val="24"/>
                <w:highlight w:val="none"/>
                <w:vertAlign w:val="baseline"/>
                <w:lang w:eastAsia="zh-CN"/>
              </w:rPr>
              <w:t>、</w:t>
            </w:r>
            <w:r>
              <w:rPr>
                <w:rFonts w:hint="default" w:ascii="Times New Roman" w:hAnsi="Times New Roman" w:cs="Times New Roman"/>
                <w:smallCaps w:val="0"/>
                <w:color w:val="auto"/>
                <w:spacing w:val="0"/>
                <w:kern w:val="0"/>
                <w:sz w:val="24"/>
                <w:szCs w:val="24"/>
                <w:highlight w:val="none"/>
              </w:rPr>
              <w:t>CO</w:t>
            </w:r>
            <w:r>
              <w:rPr>
                <w:rFonts w:hint="default" w:ascii="Times New Roman" w:hAnsi="Times New Roman" w:cs="Times New Roman"/>
                <w:smallCaps w:val="0"/>
                <w:color w:val="auto"/>
                <w:spacing w:val="0"/>
                <w:kern w:val="0"/>
                <w:sz w:val="24"/>
                <w:szCs w:val="24"/>
                <w:highlight w:val="none"/>
                <w:vertAlign w:val="baseline"/>
                <w:lang w:val="en-US" w:eastAsia="zh-CN"/>
              </w:rPr>
              <w:t>满足</w:t>
            </w:r>
            <w:r>
              <w:rPr>
                <w:rFonts w:hint="default" w:ascii="Times New Roman" w:hAnsi="Times New Roman" w:eastAsia="宋体" w:cs="Times New Roman"/>
                <w:bCs/>
                <w:color w:val="auto"/>
                <w:kern w:val="2"/>
                <w:sz w:val="24"/>
                <w:szCs w:val="24"/>
                <w:highlight w:val="none"/>
                <w:lang w:val="en-US" w:eastAsia="zh-CN" w:bidi="ar"/>
              </w:rPr>
              <w:t>《环境空气质量标准》（GB3095-20</w:t>
            </w:r>
            <w:r>
              <w:rPr>
                <w:rFonts w:hint="eastAsia" w:cs="Times New Roman"/>
                <w:bCs/>
                <w:color w:val="auto"/>
                <w:kern w:val="2"/>
                <w:sz w:val="24"/>
                <w:szCs w:val="24"/>
                <w:highlight w:val="none"/>
                <w:lang w:val="en-US" w:eastAsia="zh-CN" w:bidi="ar"/>
              </w:rPr>
              <w:t>26</w:t>
            </w:r>
            <w:r>
              <w:rPr>
                <w:rFonts w:hint="default" w:ascii="Times New Roman" w:hAnsi="Times New Roman" w:eastAsia="宋体" w:cs="Times New Roman"/>
                <w:bCs/>
                <w:color w:val="auto"/>
                <w:kern w:val="2"/>
                <w:sz w:val="24"/>
                <w:szCs w:val="24"/>
                <w:highlight w:val="none"/>
                <w:lang w:val="en-US" w:eastAsia="zh-CN" w:bidi="ar"/>
              </w:rPr>
              <w:t>）</w:t>
            </w:r>
            <w:r>
              <w:rPr>
                <w:rFonts w:hint="eastAsia" w:cs="Times New Roman"/>
                <w:bCs/>
                <w:color w:val="auto"/>
                <w:kern w:val="2"/>
                <w:sz w:val="24"/>
                <w:szCs w:val="24"/>
                <w:highlight w:val="none"/>
                <w:lang w:val="en-US" w:eastAsia="zh-CN" w:bidi="ar"/>
              </w:rPr>
              <w:t>过渡阶段浓度限值二级标准</w:t>
            </w:r>
            <w:r>
              <w:rPr>
                <w:rFonts w:hint="default" w:ascii="Times New Roman" w:hAnsi="Times New Roman" w:cs="Times New Roman"/>
                <w:color w:val="auto"/>
                <w:kern w:val="2"/>
                <w:sz w:val="24"/>
                <w:szCs w:val="24"/>
                <w:highlight w:val="none"/>
                <w:lang w:val="en-US" w:eastAsia="zh-CN" w:bidi="ar"/>
              </w:rPr>
              <w:t>，</w:t>
            </w:r>
            <w:r>
              <w:rPr>
                <w:rFonts w:hint="default" w:ascii="Times New Roman" w:hAnsi="Times New Roman" w:cs="Times New Roman"/>
                <w:color w:val="auto"/>
                <w:kern w:val="0"/>
                <w:sz w:val="24"/>
                <w:highlight w:val="none"/>
                <w:lang w:val="en-US" w:eastAsia="zh-CN" w:bidi="ar"/>
              </w:rPr>
              <w:t>井陉县</w:t>
            </w:r>
            <w:r>
              <w:rPr>
                <w:rFonts w:hint="default" w:ascii="Times New Roman" w:hAnsi="Times New Roman" w:cs="Times New Roman"/>
                <w:smallCaps w:val="0"/>
                <w:color w:val="auto"/>
                <w:spacing w:val="0"/>
                <w:highlight w:val="none"/>
              </w:rPr>
              <w:t>属于不达标区域</w:t>
            </w:r>
            <w:r>
              <w:rPr>
                <w:rFonts w:hint="default" w:ascii="Times New Roman" w:hAnsi="Times New Roman" w:cs="Times New Roman"/>
                <w:smallCaps w:val="0"/>
                <w:color w:val="auto"/>
                <w:spacing w:val="0"/>
                <w:highlight w:val="none"/>
                <w:lang w:eastAsia="zh-CN"/>
              </w:rPr>
              <w:t>。</w:t>
            </w:r>
          </w:p>
          <w:p w14:paraId="721BE5BE">
            <w:pPr>
              <w:keepNext w:val="0"/>
              <w:keepLines w:val="0"/>
              <w:suppressLineNumbers w:val="0"/>
              <w:spacing w:before="0" w:beforeAutospacing="0" w:after="0" w:afterAutospacing="0" w:line="440" w:lineRule="atLeast"/>
              <w:ind w:left="0" w:right="0" w:firstLine="480" w:firstLineChars="200"/>
              <w:rPr>
                <w:rFonts w:hint="default" w:ascii="Times New Roman" w:hAnsi="Times New Roman" w:cs="Times New Roman"/>
                <w:color w:val="auto"/>
                <w:kern w:val="0"/>
                <w:sz w:val="24"/>
                <w:szCs w:val="18"/>
                <w:highlight w:val="none"/>
                <w:lang w:bidi="ar"/>
              </w:rPr>
            </w:pPr>
            <w:r>
              <w:rPr>
                <w:rFonts w:hint="default" w:ascii="Times New Roman" w:hAnsi="Times New Roman" w:cs="Times New Roman"/>
                <w:color w:val="auto"/>
                <w:kern w:val="0"/>
                <w:sz w:val="24"/>
                <w:szCs w:val="18"/>
                <w:highlight w:val="none"/>
                <w:lang w:bidi="ar"/>
              </w:rPr>
              <w:t>（2）其他污染物环境空气质量现状</w:t>
            </w:r>
          </w:p>
          <w:p w14:paraId="3DFC4294">
            <w:pPr>
              <w:keepNext w:val="0"/>
              <w:keepLines w:val="0"/>
              <w:suppressLineNumbers w:val="0"/>
              <w:spacing w:before="0" w:beforeAutospacing="0" w:after="0" w:afterAutospacing="0" w:line="440" w:lineRule="atLeast"/>
              <w:ind w:left="0" w:right="0" w:firstLine="480" w:firstLineChars="200"/>
              <w:rPr>
                <w:rFonts w:hint="default" w:ascii="Times New Roman" w:hAnsi="Times New Roman" w:cs="Times New Roman"/>
                <w:color w:val="auto"/>
                <w:kern w:val="0"/>
                <w:sz w:val="24"/>
                <w:szCs w:val="18"/>
                <w:highlight w:val="none"/>
                <w:lang w:bidi="ar"/>
              </w:rPr>
            </w:pPr>
            <w:r>
              <w:rPr>
                <w:rFonts w:hint="default" w:ascii="Times New Roman" w:hAnsi="Times New Roman" w:cs="Times New Roman"/>
                <w:color w:val="auto"/>
                <w:kern w:val="0"/>
                <w:sz w:val="24"/>
                <w:szCs w:val="18"/>
                <w:highlight w:val="none"/>
                <w:lang w:bidi="ar"/>
              </w:rPr>
              <w:t>本项目特征污染物TSP</w:t>
            </w:r>
            <w:r>
              <w:rPr>
                <w:rFonts w:hint="default" w:ascii="Times New Roman" w:hAnsi="Times New Roman" w:cs="Times New Roman"/>
                <w:color w:val="auto"/>
                <w:kern w:val="0"/>
                <w:sz w:val="24"/>
                <w:szCs w:val="18"/>
                <w:highlight w:val="none"/>
                <w:lang w:eastAsia="zh-CN" w:bidi="ar"/>
              </w:rPr>
              <w:t>、</w:t>
            </w:r>
            <w:r>
              <w:rPr>
                <w:rFonts w:hint="default" w:ascii="Times New Roman" w:hAnsi="Times New Roman" w:cs="Times New Roman"/>
                <w:color w:val="auto"/>
                <w:kern w:val="0"/>
                <w:sz w:val="24"/>
                <w:szCs w:val="18"/>
                <w:highlight w:val="none"/>
                <w:lang w:bidi="ar"/>
              </w:rPr>
              <w:t>非甲烷总烃</w:t>
            </w:r>
            <w:r>
              <w:rPr>
                <w:rFonts w:hint="default" w:ascii="Times New Roman" w:hAnsi="Times New Roman" w:cs="Times New Roman"/>
                <w:kern w:val="0"/>
                <w:sz w:val="24"/>
                <w:szCs w:val="20"/>
                <w:highlight w:val="none"/>
                <w:lang w:val="en-US" w:eastAsia="zh-CN" w:bidi="ar"/>
              </w:rPr>
              <w:t>、甲醛、酚类</w:t>
            </w:r>
            <w:r>
              <w:rPr>
                <w:rFonts w:hint="default" w:ascii="Times New Roman" w:hAnsi="Times New Roman" w:cs="Times New Roman"/>
                <w:color w:val="auto"/>
                <w:kern w:val="0"/>
                <w:sz w:val="24"/>
                <w:szCs w:val="18"/>
                <w:highlight w:val="none"/>
                <w:lang w:bidi="ar"/>
              </w:rPr>
              <w:t>的数据引用《河北石家庄矿区工业园区总体发展规划（2022-2030）环境影响报告书》中的环境空气质量现状监测数据，</w:t>
            </w:r>
            <w:r>
              <w:rPr>
                <w:rFonts w:hint="default" w:ascii="Times New Roman" w:hAnsi="Times New Roman" w:cs="Times New Roman"/>
                <w:color w:val="auto"/>
                <w:kern w:val="0"/>
                <w:sz w:val="24"/>
                <w:szCs w:val="18"/>
                <w:highlight w:val="none"/>
                <w:lang w:val="en-US" w:eastAsia="zh-CN" w:bidi="ar"/>
              </w:rPr>
              <w:t>检测报告编号：云环检字〔2023〕0932号，</w:t>
            </w:r>
            <w:r>
              <w:rPr>
                <w:rFonts w:hint="default" w:ascii="Times New Roman" w:hAnsi="Times New Roman" w:cs="Times New Roman"/>
                <w:color w:val="auto"/>
                <w:kern w:val="0"/>
                <w:sz w:val="24"/>
                <w:szCs w:val="18"/>
                <w:highlight w:val="none"/>
                <w:lang w:bidi="ar"/>
              </w:rPr>
              <w:t>监测地点为厂区西</w:t>
            </w:r>
            <w:r>
              <w:rPr>
                <w:rFonts w:hint="default" w:ascii="Times New Roman" w:hAnsi="Times New Roman" w:cs="Times New Roman"/>
                <w:color w:val="auto"/>
                <w:kern w:val="0"/>
                <w:sz w:val="24"/>
                <w:szCs w:val="18"/>
                <w:highlight w:val="none"/>
                <w:lang w:val="en-US" w:eastAsia="zh-CN" w:bidi="ar"/>
              </w:rPr>
              <w:t>南</w:t>
            </w:r>
            <w:r>
              <w:rPr>
                <w:rFonts w:hint="default" w:ascii="Times New Roman" w:hAnsi="Times New Roman" w:cs="Times New Roman"/>
                <w:color w:val="auto"/>
                <w:kern w:val="0"/>
                <w:sz w:val="24"/>
                <w:szCs w:val="18"/>
                <w:highlight w:val="none"/>
                <w:lang w:bidi="ar"/>
              </w:rPr>
              <w:t>侧约</w:t>
            </w:r>
            <w:r>
              <w:rPr>
                <w:rFonts w:hint="default" w:ascii="Times New Roman" w:hAnsi="Times New Roman" w:cs="Times New Roman"/>
                <w:color w:val="auto"/>
                <w:kern w:val="0"/>
                <w:sz w:val="24"/>
                <w:szCs w:val="18"/>
                <w:highlight w:val="none"/>
                <w:lang w:val="en-US" w:eastAsia="zh-CN" w:bidi="ar"/>
              </w:rPr>
              <w:t>2100</w:t>
            </w:r>
            <w:r>
              <w:rPr>
                <w:rFonts w:hint="default" w:ascii="Times New Roman" w:hAnsi="Times New Roman" w:cs="Times New Roman"/>
                <w:color w:val="auto"/>
                <w:kern w:val="0"/>
                <w:sz w:val="24"/>
                <w:szCs w:val="18"/>
                <w:highlight w:val="none"/>
                <w:lang w:bidi="ar"/>
              </w:rPr>
              <w:t>m处的</w:t>
            </w:r>
            <w:r>
              <w:rPr>
                <w:rFonts w:hint="default" w:ascii="Times New Roman" w:hAnsi="Times New Roman" w:cs="Times New Roman"/>
                <w:color w:val="auto"/>
                <w:kern w:val="0"/>
                <w:sz w:val="24"/>
                <w:szCs w:val="18"/>
                <w:highlight w:val="none"/>
                <w:lang w:val="en-US" w:eastAsia="zh-CN" w:bidi="ar"/>
              </w:rPr>
              <w:t>西王舍村及西侧2450m处的清凉山风景名胜区</w:t>
            </w:r>
            <w:r>
              <w:rPr>
                <w:rFonts w:hint="default" w:ascii="Times New Roman" w:hAnsi="Times New Roman" w:cs="Times New Roman"/>
                <w:color w:val="auto"/>
                <w:kern w:val="0"/>
                <w:sz w:val="24"/>
                <w:szCs w:val="18"/>
                <w:highlight w:val="none"/>
                <w:lang w:bidi="ar"/>
              </w:rPr>
              <w:t>，监测时间</w:t>
            </w:r>
            <w:r>
              <w:rPr>
                <w:rFonts w:hint="default" w:ascii="Times New Roman" w:hAnsi="Times New Roman" w:cs="Times New Roman"/>
                <w:color w:val="auto"/>
                <w:kern w:val="0"/>
                <w:sz w:val="24"/>
                <w:szCs w:val="18"/>
                <w:highlight w:val="none"/>
                <w:lang w:val="en-US" w:eastAsia="zh-CN" w:bidi="ar"/>
              </w:rPr>
              <w:t>分别</w:t>
            </w:r>
            <w:r>
              <w:rPr>
                <w:rFonts w:hint="default" w:ascii="Times New Roman" w:hAnsi="Times New Roman" w:cs="Times New Roman"/>
                <w:color w:val="auto"/>
                <w:kern w:val="0"/>
                <w:sz w:val="24"/>
                <w:szCs w:val="18"/>
                <w:highlight w:val="none"/>
                <w:lang w:bidi="ar"/>
              </w:rPr>
              <w:t>为2023.</w:t>
            </w:r>
            <w:r>
              <w:rPr>
                <w:rFonts w:hint="default" w:ascii="Times New Roman" w:hAnsi="Times New Roman" w:cs="Times New Roman"/>
                <w:color w:val="auto"/>
                <w:kern w:val="0"/>
                <w:sz w:val="24"/>
                <w:szCs w:val="18"/>
                <w:highlight w:val="none"/>
                <w:lang w:val="en-US" w:eastAsia="zh-CN" w:bidi="ar"/>
              </w:rPr>
              <w:t>11.7</w:t>
            </w:r>
            <w:r>
              <w:rPr>
                <w:rFonts w:hint="default" w:ascii="Times New Roman" w:hAnsi="Times New Roman" w:cs="Times New Roman"/>
                <w:color w:val="auto"/>
                <w:kern w:val="0"/>
                <w:sz w:val="24"/>
                <w:szCs w:val="18"/>
                <w:highlight w:val="none"/>
                <w:lang w:bidi="ar"/>
              </w:rPr>
              <w:t>~</w:t>
            </w:r>
            <w:r>
              <w:rPr>
                <w:rFonts w:hint="default" w:ascii="Times New Roman" w:hAnsi="Times New Roman" w:cs="Times New Roman"/>
                <w:color w:val="auto"/>
                <w:kern w:val="0"/>
                <w:sz w:val="24"/>
                <w:szCs w:val="18"/>
                <w:highlight w:val="none"/>
                <w:lang w:val="en-US" w:eastAsia="zh-CN" w:bidi="ar"/>
              </w:rPr>
              <w:t>11.13、</w:t>
            </w:r>
            <w:r>
              <w:rPr>
                <w:rFonts w:hint="default" w:ascii="Times New Roman" w:hAnsi="Times New Roman" w:cs="Times New Roman"/>
                <w:color w:val="auto"/>
                <w:kern w:val="0"/>
                <w:sz w:val="24"/>
                <w:szCs w:val="18"/>
                <w:highlight w:val="none"/>
                <w:lang w:bidi="ar"/>
              </w:rPr>
              <w:t>2023.</w:t>
            </w:r>
            <w:r>
              <w:rPr>
                <w:rFonts w:hint="default" w:ascii="Times New Roman" w:hAnsi="Times New Roman" w:cs="Times New Roman"/>
                <w:color w:val="auto"/>
                <w:kern w:val="0"/>
                <w:sz w:val="24"/>
                <w:szCs w:val="18"/>
                <w:highlight w:val="none"/>
                <w:lang w:val="en-US" w:eastAsia="zh-CN" w:bidi="ar"/>
              </w:rPr>
              <w:t>11.23</w:t>
            </w:r>
            <w:r>
              <w:rPr>
                <w:rFonts w:hint="default" w:ascii="Times New Roman" w:hAnsi="Times New Roman" w:cs="Times New Roman"/>
                <w:color w:val="auto"/>
                <w:kern w:val="0"/>
                <w:sz w:val="24"/>
                <w:szCs w:val="18"/>
                <w:highlight w:val="none"/>
                <w:lang w:bidi="ar"/>
              </w:rPr>
              <w:t>~</w:t>
            </w:r>
            <w:r>
              <w:rPr>
                <w:rFonts w:hint="default" w:ascii="Times New Roman" w:hAnsi="Times New Roman" w:cs="Times New Roman"/>
                <w:color w:val="auto"/>
                <w:kern w:val="0"/>
                <w:sz w:val="24"/>
                <w:szCs w:val="18"/>
                <w:highlight w:val="none"/>
                <w:lang w:val="en-US" w:eastAsia="zh-CN" w:bidi="ar"/>
              </w:rPr>
              <w:t>11.29</w:t>
            </w:r>
            <w:r>
              <w:rPr>
                <w:rFonts w:hint="default" w:ascii="Times New Roman" w:hAnsi="Times New Roman" w:cs="Times New Roman"/>
                <w:color w:val="auto"/>
                <w:kern w:val="0"/>
                <w:sz w:val="24"/>
                <w:szCs w:val="18"/>
                <w:highlight w:val="none"/>
                <w:lang w:bidi="ar"/>
              </w:rPr>
              <w:t>，监测数据在时间、点位的要求上满足《建设项目环境影响报告表编制技术指南</w:t>
            </w:r>
            <w:r>
              <w:rPr>
                <w:rFonts w:hint="default" w:ascii="Times New Roman" w:hAnsi="Times New Roman" w:cs="Times New Roman"/>
                <w:color w:val="auto"/>
                <w:kern w:val="0"/>
                <w:sz w:val="24"/>
                <w:szCs w:val="18"/>
                <w:highlight w:val="none"/>
                <w:lang w:eastAsia="zh-CN" w:bidi="ar"/>
              </w:rPr>
              <w:t>(污染影响类)(试行)》</w:t>
            </w:r>
            <w:r>
              <w:rPr>
                <w:rFonts w:hint="default" w:ascii="Times New Roman" w:hAnsi="Times New Roman" w:cs="Times New Roman"/>
                <w:color w:val="auto"/>
                <w:kern w:val="0"/>
                <w:sz w:val="24"/>
                <w:szCs w:val="18"/>
                <w:highlight w:val="none"/>
                <w:lang w:val="en-US" w:eastAsia="zh-CN" w:bidi="ar"/>
              </w:rPr>
              <w:t>要求</w:t>
            </w:r>
            <w:r>
              <w:rPr>
                <w:rFonts w:hint="default" w:ascii="Times New Roman" w:hAnsi="Times New Roman" w:cs="Times New Roman"/>
                <w:color w:val="auto"/>
                <w:kern w:val="0"/>
                <w:sz w:val="24"/>
                <w:szCs w:val="18"/>
                <w:highlight w:val="none"/>
                <w:lang w:bidi="ar"/>
              </w:rPr>
              <w:t>。特征因子现状监测数据如下表</w:t>
            </w:r>
            <w:r>
              <w:rPr>
                <w:rFonts w:hint="default" w:ascii="Times New Roman" w:hAnsi="Times New Roman" w:cs="Times New Roman"/>
                <w:color w:val="auto"/>
                <w:kern w:val="0"/>
                <w:sz w:val="24"/>
                <w:szCs w:val="18"/>
                <w:highlight w:val="none"/>
                <w:lang w:val="zh-TW" w:bidi="ar"/>
              </w:rPr>
              <w:t>。</w:t>
            </w:r>
          </w:p>
          <w:p w14:paraId="3279A3B5">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sz w:val="24"/>
                <w:szCs w:val="20"/>
                <w:highlight w:val="none"/>
                <w:lang w:bidi="ar"/>
              </w:rPr>
              <w:t>①监测布点：</w:t>
            </w:r>
            <w:r>
              <w:rPr>
                <w:rFonts w:hint="default" w:ascii="Times New Roman" w:hAnsi="Times New Roman" w:cs="Times New Roman"/>
                <w:color w:val="auto"/>
                <w:kern w:val="0"/>
                <w:sz w:val="24"/>
                <w:szCs w:val="18"/>
                <w:highlight w:val="none"/>
                <w:lang w:val="en-US" w:eastAsia="zh-CN" w:bidi="ar"/>
              </w:rPr>
              <w:t>西王舍村、清凉山风景名胜区；</w:t>
            </w:r>
          </w:p>
          <w:p w14:paraId="03D2F114">
            <w:pPr>
              <w:keepNext w:val="0"/>
              <w:keepLines w:val="0"/>
              <w:suppressLineNumbers w:val="0"/>
              <w:spacing w:before="0" w:beforeAutospacing="0" w:after="0" w:afterAutospacing="0" w:line="480" w:lineRule="exact"/>
              <w:ind w:left="0" w:right="0" w:firstLine="480" w:firstLineChars="200"/>
              <w:rPr>
                <w:rFonts w:hint="default" w:ascii="Times New Roman" w:hAnsi="Times New Roman" w:eastAsia="宋体" w:cs="Times New Roman"/>
                <w:sz w:val="24"/>
                <w:szCs w:val="20"/>
                <w:highlight w:val="none"/>
                <w:lang w:val="en-US" w:eastAsia="zh-CN"/>
              </w:rPr>
            </w:pPr>
            <w:r>
              <w:rPr>
                <w:rFonts w:hint="default" w:ascii="Times New Roman" w:hAnsi="Times New Roman" w:cs="Times New Roman"/>
                <w:sz w:val="24"/>
                <w:szCs w:val="20"/>
                <w:highlight w:val="none"/>
                <w:lang w:bidi="ar"/>
              </w:rPr>
              <w:t>②监测因子：</w:t>
            </w:r>
            <w:r>
              <w:rPr>
                <w:rFonts w:hint="default" w:ascii="Times New Roman" w:hAnsi="Times New Roman" w:cs="Times New Roman"/>
                <w:kern w:val="0"/>
                <w:sz w:val="24"/>
                <w:szCs w:val="20"/>
                <w:highlight w:val="none"/>
                <w:lang w:bidi="ar"/>
              </w:rPr>
              <w:t>TSP</w:t>
            </w:r>
            <w:r>
              <w:rPr>
                <w:rFonts w:hint="default" w:ascii="Times New Roman" w:hAnsi="Times New Roman" w:cs="Times New Roman"/>
                <w:kern w:val="0"/>
                <w:sz w:val="24"/>
                <w:szCs w:val="20"/>
                <w:highlight w:val="none"/>
                <w:lang w:eastAsia="zh-CN" w:bidi="ar"/>
              </w:rPr>
              <w:t>、</w:t>
            </w:r>
            <w:r>
              <w:rPr>
                <w:rFonts w:hint="default" w:ascii="Times New Roman" w:hAnsi="Times New Roman" w:cs="Times New Roman"/>
                <w:kern w:val="0"/>
                <w:sz w:val="24"/>
                <w:szCs w:val="20"/>
                <w:highlight w:val="none"/>
                <w:lang w:val="en-US" w:eastAsia="zh-CN" w:bidi="ar"/>
              </w:rPr>
              <w:t>非甲烷总烃、甲醛、酚类；</w:t>
            </w:r>
          </w:p>
          <w:p w14:paraId="380F8F2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lang w:bidi="ar"/>
              </w:rPr>
            </w:pPr>
            <w:r>
              <w:rPr>
                <w:rFonts w:hint="default" w:ascii="Times New Roman" w:hAnsi="Times New Roman" w:cs="Times New Roman"/>
                <w:sz w:val="24"/>
                <w:szCs w:val="20"/>
                <w:highlight w:val="none"/>
                <w:lang w:bidi="ar"/>
              </w:rPr>
              <w:t>监测点位基本信息见下表。</w:t>
            </w:r>
          </w:p>
          <w:p w14:paraId="4BA45F0B">
            <w:pPr>
              <w:pStyle w:val="41"/>
              <w:keepNext w:val="0"/>
              <w:keepLines w:val="0"/>
              <w:widowControl w:val="0"/>
              <w:suppressLineNumbers w:val="0"/>
              <w:adjustRightInd w:val="0"/>
              <w:snapToGrid w:val="0"/>
              <w:spacing w:before="0" w:beforeAutospacing="0" w:after="0" w:afterAutospacing="0" w:line="480" w:lineRule="exact"/>
              <w:ind w:left="0" w:right="0"/>
              <w:jc w:val="center"/>
              <w:rPr>
                <w:rFonts w:hint="default" w:ascii="Times New Roman" w:hAnsi="Times New Roman" w:cs="Times New Roman"/>
                <w:b/>
                <w:bCs/>
                <w:szCs w:val="24"/>
                <w:highlight w:val="none"/>
                <w:lang w:bidi="ar"/>
              </w:rPr>
            </w:pPr>
            <w:r>
              <w:rPr>
                <w:rFonts w:hint="default" w:ascii="Times New Roman" w:hAnsi="Times New Roman" w:cs="Times New Roman"/>
                <w:b/>
                <w:bCs/>
                <w:szCs w:val="24"/>
                <w:highlight w:val="none"/>
                <w:lang w:bidi="ar"/>
              </w:rPr>
              <w:t>表3-</w:t>
            </w:r>
            <w:r>
              <w:rPr>
                <w:rFonts w:hint="default" w:ascii="Times New Roman" w:hAnsi="Times New Roman" w:cs="Times New Roman"/>
                <w:b/>
                <w:bCs/>
                <w:szCs w:val="24"/>
                <w:highlight w:val="none"/>
                <w:lang w:val="en-US" w:eastAsia="zh-CN" w:bidi="ar"/>
              </w:rPr>
              <w:t>4</w:t>
            </w:r>
            <w:r>
              <w:rPr>
                <w:rFonts w:hint="default" w:ascii="Times New Roman" w:hAnsi="Times New Roman" w:cs="Times New Roman"/>
                <w:b/>
                <w:bCs/>
                <w:szCs w:val="24"/>
                <w:highlight w:val="none"/>
                <w:lang w:bidi="ar"/>
              </w:rPr>
              <w:t xml:space="preserve"> </w:t>
            </w:r>
            <w:r>
              <w:rPr>
                <w:rFonts w:hint="default" w:ascii="Times New Roman" w:hAnsi="Times New Roman" w:cs="Times New Roman"/>
                <w:b/>
                <w:bCs/>
                <w:szCs w:val="24"/>
                <w:highlight w:val="none"/>
                <w:lang w:val="en-US" w:eastAsia="zh-CN" w:bidi="ar"/>
              </w:rPr>
              <w:t xml:space="preserve">  </w:t>
            </w:r>
            <w:r>
              <w:rPr>
                <w:rFonts w:hint="default" w:ascii="Times New Roman" w:hAnsi="Times New Roman" w:cs="Times New Roman"/>
                <w:b/>
                <w:bCs/>
                <w:szCs w:val="24"/>
                <w:highlight w:val="none"/>
                <w:lang w:bidi="ar"/>
              </w:rPr>
              <w:t xml:space="preserve"> 其他污染物补充监测点位基本信息</w:t>
            </w:r>
          </w:p>
          <w:tbl>
            <w:tblPr>
              <w:tblStyle w:val="47"/>
              <w:tblW w:w="4950" w:type="pct"/>
              <w:jc w:val="center"/>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Layout w:type="autofit"/>
              <w:tblCellMar>
                <w:top w:w="0" w:type="dxa"/>
                <w:left w:w="28" w:type="dxa"/>
                <w:bottom w:w="0" w:type="dxa"/>
                <w:right w:w="28" w:type="dxa"/>
              </w:tblCellMar>
            </w:tblPr>
            <w:tblGrid>
              <w:gridCol w:w="718"/>
              <w:gridCol w:w="1361"/>
              <w:gridCol w:w="1311"/>
              <w:gridCol w:w="1187"/>
              <w:gridCol w:w="1588"/>
              <w:gridCol w:w="766"/>
              <w:gridCol w:w="836"/>
            </w:tblGrid>
            <w:tr w14:paraId="5FCBF83E">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477" w:type="pct"/>
                  <w:vMerge w:val="restart"/>
                  <w:tcBorders>
                    <w:top w:val="single" w:color="auto" w:sz="12" w:space="0"/>
                    <w:left w:val="nil"/>
                    <w:bottom w:val="single" w:color="auto" w:sz="4" w:space="0"/>
                    <w:right w:val="single" w:color="auto" w:sz="4" w:space="0"/>
                  </w:tcBorders>
                  <w:noWrap w:val="0"/>
                  <w:vAlign w:val="center"/>
                </w:tcPr>
                <w:p w14:paraId="4F060675">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监测点名称</w:t>
                  </w:r>
                </w:p>
              </w:tc>
              <w:tc>
                <w:tcPr>
                  <w:tcW w:w="1734" w:type="pct"/>
                  <w:gridSpan w:val="2"/>
                  <w:tcBorders>
                    <w:top w:val="single" w:color="auto" w:sz="12" w:space="0"/>
                    <w:left w:val="single" w:color="auto" w:sz="4" w:space="0"/>
                    <w:bottom w:val="single" w:color="auto" w:sz="4" w:space="0"/>
                    <w:right w:val="single" w:color="auto" w:sz="4" w:space="0"/>
                  </w:tcBorders>
                  <w:noWrap w:val="0"/>
                  <w:vAlign w:val="center"/>
                </w:tcPr>
                <w:p w14:paraId="035CEEDE">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监测点坐标</w:t>
                  </w:r>
                </w:p>
              </w:tc>
              <w:tc>
                <w:tcPr>
                  <w:tcW w:w="778" w:type="pct"/>
                  <w:vMerge w:val="restart"/>
                  <w:tcBorders>
                    <w:top w:val="single" w:color="auto" w:sz="12" w:space="0"/>
                    <w:left w:val="single" w:color="auto" w:sz="4" w:space="0"/>
                    <w:bottom w:val="single" w:color="auto" w:sz="4" w:space="0"/>
                    <w:right w:val="single" w:color="auto" w:sz="4" w:space="0"/>
                  </w:tcBorders>
                  <w:noWrap w:val="0"/>
                  <w:vAlign w:val="center"/>
                </w:tcPr>
                <w:p w14:paraId="4FD54E64">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监测因子</w:t>
                  </w:r>
                </w:p>
              </w:tc>
              <w:tc>
                <w:tcPr>
                  <w:tcW w:w="950" w:type="pct"/>
                  <w:vMerge w:val="restart"/>
                  <w:tcBorders>
                    <w:top w:val="single" w:color="auto" w:sz="12" w:space="0"/>
                    <w:left w:val="single" w:color="auto" w:sz="4" w:space="0"/>
                    <w:bottom w:val="single" w:color="auto" w:sz="4" w:space="0"/>
                    <w:right w:val="single" w:color="auto" w:sz="4" w:space="0"/>
                  </w:tcBorders>
                  <w:noWrap w:val="0"/>
                  <w:vAlign w:val="center"/>
                </w:tcPr>
                <w:p w14:paraId="22255062">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监测时段</w:t>
                  </w:r>
                </w:p>
              </w:tc>
              <w:tc>
                <w:tcPr>
                  <w:tcW w:w="507" w:type="pct"/>
                  <w:vMerge w:val="restart"/>
                  <w:tcBorders>
                    <w:top w:val="single" w:color="auto" w:sz="12" w:space="0"/>
                    <w:left w:val="single" w:color="auto" w:sz="4" w:space="0"/>
                    <w:bottom w:val="single" w:color="auto" w:sz="4" w:space="0"/>
                    <w:right w:val="single" w:color="auto" w:sz="4" w:space="0"/>
                  </w:tcBorders>
                  <w:noWrap w:val="0"/>
                  <w:vAlign w:val="center"/>
                </w:tcPr>
                <w:p w14:paraId="1DCB2FDC">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与厂址方位</w:t>
                  </w:r>
                </w:p>
              </w:tc>
              <w:tc>
                <w:tcPr>
                  <w:tcW w:w="552" w:type="pct"/>
                  <w:vMerge w:val="restart"/>
                  <w:tcBorders>
                    <w:top w:val="single" w:color="auto" w:sz="12" w:space="0"/>
                    <w:left w:val="single" w:color="auto" w:sz="4" w:space="0"/>
                    <w:bottom w:val="single" w:color="auto" w:sz="4" w:space="0"/>
                    <w:right w:val="nil"/>
                  </w:tcBorders>
                  <w:noWrap w:val="0"/>
                  <w:vAlign w:val="center"/>
                </w:tcPr>
                <w:p w14:paraId="3787A257">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距离（m）</w:t>
                  </w:r>
                </w:p>
              </w:tc>
            </w:tr>
            <w:tr w14:paraId="0E895580">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477" w:type="pct"/>
                  <w:vMerge w:val="continue"/>
                  <w:tcBorders>
                    <w:top w:val="single" w:color="auto" w:sz="12" w:space="0"/>
                    <w:left w:val="nil"/>
                    <w:bottom w:val="single" w:color="auto" w:sz="4" w:space="0"/>
                    <w:right w:val="single" w:color="auto" w:sz="4" w:space="0"/>
                  </w:tcBorders>
                  <w:noWrap w:val="0"/>
                  <w:vAlign w:val="center"/>
                </w:tcPr>
                <w:p w14:paraId="35FBFF00">
                  <w:pPr>
                    <w:keepNext w:val="0"/>
                    <w:keepLines w:val="0"/>
                    <w:suppressLineNumbers w:val="0"/>
                    <w:spacing w:before="0" w:beforeAutospacing="0" w:after="0" w:afterAutospacing="0"/>
                    <w:ind w:left="0" w:right="0"/>
                    <w:rPr>
                      <w:rFonts w:hint="default" w:ascii="Times New Roman" w:hAnsi="Times New Roman" w:cs="Times New Roman"/>
                      <w:b/>
                      <w:bCs/>
                      <w:szCs w:val="21"/>
                      <w:highlight w:val="none"/>
                    </w:rPr>
                  </w:pPr>
                </w:p>
              </w:tc>
              <w:tc>
                <w:tcPr>
                  <w:tcW w:w="876" w:type="pct"/>
                  <w:tcBorders>
                    <w:top w:val="single" w:color="auto" w:sz="4" w:space="0"/>
                    <w:left w:val="single" w:color="auto" w:sz="4" w:space="0"/>
                    <w:bottom w:val="single" w:color="auto" w:sz="4" w:space="0"/>
                    <w:right w:val="single" w:color="auto" w:sz="4" w:space="0"/>
                  </w:tcBorders>
                  <w:noWrap w:val="0"/>
                  <w:vAlign w:val="center"/>
                </w:tcPr>
                <w:p w14:paraId="68282071">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X</w:t>
                  </w:r>
                </w:p>
              </w:tc>
              <w:tc>
                <w:tcPr>
                  <w:tcW w:w="858" w:type="pct"/>
                  <w:tcBorders>
                    <w:top w:val="single" w:color="auto" w:sz="4" w:space="0"/>
                    <w:left w:val="single" w:color="auto" w:sz="4" w:space="0"/>
                    <w:bottom w:val="single" w:color="auto" w:sz="4" w:space="0"/>
                    <w:right w:val="single" w:color="auto" w:sz="4" w:space="0"/>
                  </w:tcBorders>
                  <w:noWrap w:val="0"/>
                  <w:vAlign w:val="center"/>
                </w:tcPr>
                <w:p w14:paraId="0751A7B9">
                  <w:pPr>
                    <w:keepNext w:val="0"/>
                    <w:keepLines w:val="0"/>
                    <w:suppressLineNumbers w:val="0"/>
                    <w:snapToGrid w:val="0"/>
                    <w:spacing w:before="0" w:beforeAutospacing="0" w:after="0" w:afterAutospacing="0"/>
                    <w:ind w:left="0" w:right="0"/>
                    <w:jc w:val="center"/>
                    <w:rPr>
                      <w:rFonts w:hint="default" w:ascii="Times New Roman" w:hAnsi="Times New Roman" w:cs="Times New Roman"/>
                      <w:b/>
                      <w:bCs/>
                      <w:szCs w:val="21"/>
                      <w:highlight w:val="none"/>
                    </w:rPr>
                  </w:pPr>
                  <w:r>
                    <w:rPr>
                      <w:rFonts w:hint="default" w:ascii="Times New Roman" w:hAnsi="Times New Roman" w:cs="Times New Roman"/>
                      <w:b/>
                      <w:bCs/>
                      <w:szCs w:val="21"/>
                      <w:highlight w:val="none"/>
                      <w:lang w:bidi="ar"/>
                    </w:rPr>
                    <w:t>Y</w:t>
                  </w:r>
                </w:p>
              </w:tc>
              <w:tc>
                <w:tcPr>
                  <w:tcW w:w="778" w:type="pct"/>
                  <w:vMerge w:val="continue"/>
                  <w:tcBorders>
                    <w:top w:val="single" w:color="auto" w:sz="12" w:space="0"/>
                    <w:left w:val="single" w:color="auto" w:sz="4" w:space="0"/>
                    <w:bottom w:val="single" w:color="auto" w:sz="4" w:space="0"/>
                    <w:right w:val="single" w:color="auto" w:sz="4" w:space="0"/>
                  </w:tcBorders>
                  <w:noWrap w:val="0"/>
                  <w:vAlign w:val="center"/>
                </w:tcPr>
                <w:p w14:paraId="0E6E199A">
                  <w:pPr>
                    <w:keepNext w:val="0"/>
                    <w:keepLines w:val="0"/>
                    <w:suppressLineNumbers w:val="0"/>
                    <w:spacing w:before="0" w:beforeAutospacing="0" w:after="0" w:afterAutospacing="0"/>
                    <w:ind w:left="0" w:right="0"/>
                    <w:rPr>
                      <w:rFonts w:hint="default" w:ascii="Times New Roman" w:hAnsi="Times New Roman" w:cs="Times New Roman"/>
                      <w:szCs w:val="21"/>
                      <w:highlight w:val="none"/>
                    </w:rPr>
                  </w:pPr>
                </w:p>
              </w:tc>
              <w:tc>
                <w:tcPr>
                  <w:tcW w:w="950" w:type="pct"/>
                  <w:vMerge w:val="continue"/>
                  <w:tcBorders>
                    <w:top w:val="single" w:color="auto" w:sz="12" w:space="0"/>
                    <w:left w:val="single" w:color="auto" w:sz="4" w:space="0"/>
                    <w:bottom w:val="single" w:color="auto" w:sz="4" w:space="0"/>
                    <w:right w:val="single" w:color="auto" w:sz="4" w:space="0"/>
                  </w:tcBorders>
                  <w:noWrap w:val="0"/>
                  <w:vAlign w:val="center"/>
                </w:tcPr>
                <w:p w14:paraId="17A25D03">
                  <w:pPr>
                    <w:keepNext w:val="0"/>
                    <w:keepLines w:val="0"/>
                    <w:suppressLineNumbers w:val="0"/>
                    <w:spacing w:before="0" w:beforeAutospacing="0" w:after="0" w:afterAutospacing="0"/>
                    <w:ind w:left="0" w:right="0"/>
                    <w:rPr>
                      <w:rFonts w:hint="default" w:ascii="Times New Roman" w:hAnsi="Times New Roman" w:cs="Times New Roman"/>
                      <w:szCs w:val="21"/>
                      <w:highlight w:val="none"/>
                    </w:rPr>
                  </w:pPr>
                </w:p>
              </w:tc>
              <w:tc>
                <w:tcPr>
                  <w:tcW w:w="507" w:type="pct"/>
                  <w:vMerge w:val="continue"/>
                  <w:tcBorders>
                    <w:top w:val="single" w:color="auto" w:sz="12" w:space="0"/>
                    <w:left w:val="single" w:color="auto" w:sz="4" w:space="0"/>
                    <w:bottom w:val="single" w:color="auto" w:sz="4" w:space="0"/>
                    <w:right w:val="single" w:color="auto" w:sz="4" w:space="0"/>
                  </w:tcBorders>
                  <w:noWrap w:val="0"/>
                  <w:vAlign w:val="center"/>
                </w:tcPr>
                <w:p w14:paraId="235AEA70">
                  <w:pPr>
                    <w:keepNext w:val="0"/>
                    <w:keepLines w:val="0"/>
                    <w:suppressLineNumbers w:val="0"/>
                    <w:spacing w:before="0" w:beforeAutospacing="0" w:after="0" w:afterAutospacing="0"/>
                    <w:ind w:left="0" w:right="0"/>
                    <w:rPr>
                      <w:rFonts w:hint="default" w:ascii="Times New Roman" w:hAnsi="Times New Roman" w:cs="Times New Roman"/>
                      <w:szCs w:val="21"/>
                      <w:highlight w:val="none"/>
                    </w:rPr>
                  </w:pPr>
                </w:p>
              </w:tc>
              <w:tc>
                <w:tcPr>
                  <w:tcW w:w="552" w:type="pct"/>
                  <w:vMerge w:val="continue"/>
                  <w:tcBorders>
                    <w:top w:val="single" w:color="auto" w:sz="12" w:space="0"/>
                    <w:left w:val="single" w:color="auto" w:sz="4" w:space="0"/>
                    <w:bottom w:val="single" w:color="auto" w:sz="4" w:space="0"/>
                    <w:right w:val="nil"/>
                  </w:tcBorders>
                  <w:noWrap w:val="0"/>
                  <w:vAlign w:val="center"/>
                </w:tcPr>
                <w:p w14:paraId="6EFAB531">
                  <w:pPr>
                    <w:keepNext w:val="0"/>
                    <w:keepLines w:val="0"/>
                    <w:suppressLineNumbers w:val="0"/>
                    <w:spacing w:before="0" w:beforeAutospacing="0" w:after="0" w:afterAutospacing="0"/>
                    <w:ind w:left="0" w:right="0"/>
                    <w:rPr>
                      <w:rFonts w:hint="default" w:ascii="Times New Roman" w:hAnsi="Times New Roman" w:cs="Times New Roman"/>
                      <w:szCs w:val="21"/>
                      <w:highlight w:val="none"/>
                    </w:rPr>
                  </w:pPr>
                </w:p>
              </w:tc>
            </w:tr>
            <w:tr w14:paraId="01F1748E">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477" w:type="pct"/>
                  <w:tcBorders>
                    <w:top w:val="single" w:color="auto" w:sz="4" w:space="0"/>
                    <w:left w:val="nil"/>
                    <w:bottom w:val="single" w:color="auto" w:sz="4" w:space="0"/>
                    <w:right w:val="single" w:color="auto" w:sz="4" w:space="0"/>
                  </w:tcBorders>
                  <w:noWrap w:val="0"/>
                  <w:vAlign w:val="center"/>
                </w:tcPr>
                <w:p w14:paraId="1BABDBB1">
                  <w:pPr>
                    <w:keepNext w:val="0"/>
                    <w:keepLines w:val="0"/>
                    <w:suppressLineNumbers w:val="0"/>
                    <w:snapToGrid w:val="0"/>
                    <w:spacing w:before="0" w:beforeAutospacing="0" w:after="0" w:afterAutospacing="0"/>
                    <w:ind w:left="0" w:right="0"/>
                    <w:jc w:val="center"/>
                    <w:rPr>
                      <w:rFonts w:hint="default" w:ascii="Times New Roman" w:hAnsi="Times New Roman" w:cs="Times New Roman"/>
                      <w:sz w:val="21"/>
                      <w:szCs w:val="21"/>
                      <w:highlight w:val="none"/>
                    </w:rPr>
                  </w:pPr>
                  <w:r>
                    <w:rPr>
                      <w:rFonts w:hint="default" w:ascii="Times New Roman" w:hAnsi="Times New Roman" w:cs="Times New Roman"/>
                      <w:color w:val="auto"/>
                      <w:kern w:val="0"/>
                      <w:sz w:val="21"/>
                      <w:szCs w:val="21"/>
                      <w:highlight w:val="none"/>
                      <w:lang w:val="en-US" w:eastAsia="zh-CN" w:bidi="ar"/>
                    </w:rPr>
                    <w:t>西王舍村</w:t>
                  </w:r>
                </w:p>
              </w:tc>
              <w:tc>
                <w:tcPr>
                  <w:tcW w:w="876" w:type="pct"/>
                  <w:tcBorders>
                    <w:top w:val="single" w:color="auto" w:sz="4" w:space="0"/>
                    <w:left w:val="single" w:color="auto" w:sz="4" w:space="0"/>
                    <w:bottom w:val="single" w:color="auto" w:sz="4" w:space="0"/>
                    <w:right w:val="single" w:color="auto" w:sz="4" w:space="0"/>
                  </w:tcBorders>
                  <w:noWrap w:val="0"/>
                  <w:vAlign w:val="center"/>
                </w:tcPr>
                <w:p w14:paraId="2C1E66B5">
                  <w:pPr>
                    <w:keepNext w:val="0"/>
                    <w:keepLines w:val="0"/>
                    <w:suppressLineNumbers w:val="0"/>
                    <w:snapToGrid w:val="0"/>
                    <w:spacing w:before="0" w:beforeAutospacing="0" w:after="0" w:afterAutospacing="0"/>
                    <w:ind w:left="0" w:right="0"/>
                    <w:jc w:val="center"/>
                    <w:rPr>
                      <w:rFonts w:hint="default" w:ascii="Times New Roman" w:hAnsi="Times New Roman" w:cs="Times New Roman"/>
                      <w:szCs w:val="21"/>
                      <w:highlight w:val="none"/>
                    </w:rPr>
                  </w:pPr>
                  <w:r>
                    <w:rPr>
                      <w:rFonts w:hint="default" w:ascii="Times New Roman" w:hAnsi="Times New Roman" w:cs="Times New Roman"/>
                      <w:szCs w:val="21"/>
                      <w:highlight w:val="none"/>
                    </w:rPr>
                    <w:t>114.030612709</w:t>
                  </w:r>
                </w:p>
              </w:tc>
              <w:tc>
                <w:tcPr>
                  <w:tcW w:w="858" w:type="pct"/>
                  <w:tcBorders>
                    <w:top w:val="single" w:color="auto" w:sz="4" w:space="0"/>
                    <w:left w:val="single" w:color="auto" w:sz="4" w:space="0"/>
                    <w:bottom w:val="single" w:color="auto" w:sz="4" w:space="0"/>
                    <w:right w:val="single" w:color="auto" w:sz="4" w:space="0"/>
                  </w:tcBorders>
                  <w:noWrap w:val="0"/>
                  <w:vAlign w:val="center"/>
                </w:tcPr>
                <w:p w14:paraId="3FDDB8C8">
                  <w:pPr>
                    <w:keepNext w:val="0"/>
                    <w:keepLines w:val="0"/>
                    <w:suppressLineNumbers w:val="0"/>
                    <w:snapToGrid w:val="0"/>
                    <w:spacing w:before="0" w:beforeAutospacing="0" w:after="0" w:afterAutospacing="0"/>
                    <w:ind w:left="0" w:right="0"/>
                    <w:jc w:val="center"/>
                    <w:rPr>
                      <w:rFonts w:hint="default" w:ascii="Times New Roman" w:hAnsi="Times New Roman" w:cs="Times New Roman"/>
                      <w:szCs w:val="21"/>
                      <w:highlight w:val="none"/>
                    </w:rPr>
                  </w:pPr>
                  <w:r>
                    <w:rPr>
                      <w:rFonts w:hint="default" w:ascii="Times New Roman" w:hAnsi="Times New Roman" w:cs="Times New Roman"/>
                      <w:szCs w:val="21"/>
                      <w:highlight w:val="none"/>
                    </w:rPr>
                    <w:t>38.090393464</w:t>
                  </w:r>
                </w:p>
              </w:tc>
              <w:tc>
                <w:tcPr>
                  <w:tcW w:w="778" w:type="pct"/>
                  <w:tcBorders>
                    <w:top w:val="single" w:color="auto" w:sz="4" w:space="0"/>
                    <w:left w:val="single" w:color="auto" w:sz="4" w:space="0"/>
                    <w:bottom w:val="single" w:color="auto" w:sz="4" w:space="0"/>
                    <w:right w:val="single" w:color="auto" w:sz="4" w:space="0"/>
                  </w:tcBorders>
                  <w:noWrap w:val="0"/>
                  <w:vAlign w:val="center"/>
                </w:tcPr>
                <w:p w14:paraId="1E2C88E7">
                  <w:pPr>
                    <w:keepNext w:val="0"/>
                    <w:keepLines w:val="0"/>
                    <w:suppressLineNumbers w:val="0"/>
                    <w:snapToGrid w:val="0"/>
                    <w:spacing w:before="0" w:beforeAutospacing="0" w:after="0" w:afterAutospacing="0"/>
                    <w:ind w:left="0" w:right="0"/>
                    <w:jc w:val="center"/>
                    <w:rPr>
                      <w:rFonts w:hint="default" w:ascii="Times New Roman" w:hAnsi="Times New Roman" w:eastAsia="宋体" w:cs="Times New Roman"/>
                      <w:szCs w:val="21"/>
                      <w:highlight w:val="none"/>
                      <w:lang w:val="en-US" w:eastAsia="zh-CN"/>
                    </w:rPr>
                  </w:pPr>
                  <w:r>
                    <w:rPr>
                      <w:rFonts w:hint="default" w:ascii="Times New Roman" w:hAnsi="Times New Roman" w:cs="Times New Roman"/>
                      <w:szCs w:val="20"/>
                      <w:highlight w:val="none"/>
                    </w:rPr>
                    <w:t>TSP、非甲烷总烃、甲醛、酚类</w:t>
                  </w:r>
                </w:p>
              </w:tc>
              <w:tc>
                <w:tcPr>
                  <w:tcW w:w="950" w:type="pct"/>
                  <w:tcBorders>
                    <w:top w:val="single" w:color="auto" w:sz="4" w:space="0"/>
                    <w:left w:val="single" w:color="auto" w:sz="4" w:space="0"/>
                    <w:bottom w:val="single" w:color="auto" w:sz="4" w:space="0"/>
                    <w:right w:val="single" w:color="auto" w:sz="4" w:space="0"/>
                  </w:tcBorders>
                  <w:noWrap w:val="0"/>
                  <w:vAlign w:val="center"/>
                </w:tcPr>
                <w:p w14:paraId="3703DA45">
                  <w:pPr>
                    <w:keepNext w:val="0"/>
                    <w:keepLines w:val="0"/>
                    <w:suppressLineNumbers w:val="0"/>
                    <w:snapToGrid w:val="0"/>
                    <w:spacing w:before="0" w:beforeAutospacing="0" w:after="0" w:afterAutospacing="0"/>
                    <w:ind w:left="0" w:right="0"/>
                    <w:jc w:val="center"/>
                    <w:rPr>
                      <w:rFonts w:hint="default" w:ascii="Times New Roman" w:hAnsi="Times New Roman" w:cs="Times New Roman"/>
                      <w:sz w:val="21"/>
                      <w:szCs w:val="21"/>
                      <w:highlight w:val="none"/>
                    </w:rPr>
                  </w:pPr>
                  <w:r>
                    <w:rPr>
                      <w:rFonts w:hint="default" w:ascii="Times New Roman" w:hAnsi="Times New Roman" w:cs="Times New Roman"/>
                      <w:color w:val="auto"/>
                      <w:kern w:val="0"/>
                      <w:sz w:val="21"/>
                      <w:szCs w:val="21"/>
                      <w:highlight w:val="none"/>
                      <w:lang w:bidi="ar"/>
                    </w:rPr>
                    <w:t>2023.</w:t>
                  </w:r>
                  <w:r>
                    <w:rPr>
                      <w:rFonts w:hint="default" w:ascii="Times New Roman" w:hAnsi="Times New Roman" w:cs="Times New Roman"/>
                      <w:color w:val="auto"/>
                      <w:kern w:val="0"/>
                      <w:sz w:val="21"/>
                      <w:szCs w:val="21"/>
                      <w:highlight w:val="none"/>
                      <w:lang w:val="en-US" w:eastAsia="zh-CN" w:bidi="ar"/>
                    </w:rPr>
                    <w:t>11.7</w:t>
                  </w:r>
                  <w:r>
                    <w:rPr>
                      <w:rFonts w:hint="default" w:ascii="Times New Roman" w:hAnsi="Times New Roman" w:cs="Times New Roman"/>
                      <w:color w:val="auto"/>
                      <w:kern w:val="0"/>
                      <w:sz w:val="21"/>
                      <w:szCs w:val="21"/>
                      <w:highlight w:val="none"/>
                      <w:lang w:bidi="ar"/>
                    </w:rPr>
                    <w:t>~</w:t>
                  </w:r>
                  <w:r>
                    <w:rPr>
                      <w:rFonts w:hint="default" w:ascii="Times New Roman" w:hAnsi="Times New Roman" w:cs="Times New Roman"/>
                      <w:color w:val="auto"/>
                      <w:kern w:val="0"/>
                      <w:sz w:val="21"/>
                      <w:szCs w:val="21"/>
                      <w:highlight w:val="none"/>
                      <w:lang w:val="en-US" w:eastAsia="zh-CN" w:bidi="ar"/>
                    </w:rPr>
                    <w:t>11.13</w:t>
                  </w:r>
                </w:p>
              </w:tc>
              <w:tc>
                <w:tcPr>
                  <w:tcW w:w="507" w:type="pct"/>
                  <w:tcBorders>
                    <w:top w:val="single" w:color="auto" w:sz="4" w:space="0"/>
                    <w:left w:val="single" w:color="auto" w:sz="4" w:space="0"/>
                    <w:bottom w:val="single" w:color="auto" w:sz="4" w:space="0"/>
                    <w:right w:val="single" w:color="auto" w:sz="4" w:space="0"/>
                  </w:tcBorders>
                  <w:noWrap w:val="0"/>
                  <w:vAlign w:val="center"/>
                </w:tcPr>
                <w:p w14:paraId="605C6D29">
                  <w:pPr>
                    <w:keepNext w:val="0"/>
                    <w:keepLines w:val="0"/>
                    <w:suppressLineNumbers w:val="0"/>
                    <w:snapToGrid w:val="0"/>
                    <w:spacing w:before="0" w:beforeAutospacing="0" w:after="0" w:afterAutospacing="0"/>
                    <w:ind w:left="0" w:right="0"/>
                    <w:jc w:val="center"/>
                    <w:rPr>
                      <w:rFonts w:hint="default" w:ascii="Times New Roman" w:hAnsi="Times New Roman" w:eastAsia="宋体" w:cs="Times New Roman"/>
                      <w:szCs w:val="21"/>
                      <w:highlight w:val="none"/>
                      <w:lang w:val="en-US" w:eastAsia="zh-CN"/>
                    </w:rPr>
                  </w:pPr>
                  <w:r>
                    <w:rPr>
                      <w:rFonts w:hint="default" w:ascii="Times New Roman" w:hAnsi="Times New Roman" w:cs="Times New Roman"/>
                      <w:szCs w:val="21"/>
                      <w:highlight w:val="none"/>
                      <w:lang w:val="en-US" w:eastAsia="zh-CN"/>
                    </w:rPr>
                    <w:t>SW</w:t>
                  </w:r>
                </w:p>
              </w:tc>
              <w:tc>
                <w:tcPr>
                  <w:tcW w:w="552" w:type="pct"/>
                  <w:tcBorders>
                    <w:top w:val="single" w:color="auto" w:sz="4" w:space="0"/>
                    <w:left w:val="single" w:color="auto" w:sz="4" w:space="0"/>
                    <w:bottom w:val="single" w:color="auto" w:sz="4" w:space="0"/>
                    <w:right w:val="nil"/>
                  </w:tcBorders>
                  <w:noWrap w:val="0"/>
                  <w:vAlign w:val="center"/>
                </w:tcPr>
                <w:p w14:paraId="4600B856">
                  <w:pPr>
                    <w:keepNext w:val="0"/>
                    <w:keepLines w:val="0"/>
                    <w:suppressLineNumbers w:val="0"/>
                    <w:snapToGrid w:val="0"/>
                    <w:spacing w:before="0" w:beforeAutospacing="0" w:after="0" w:afterAutospacing="0"/>
                    <w:ind w:left="0" w:right="0"/>
                    <w:jc w:val="center"/>
                    <w:rPr>
                      <w:rFonts w:hint="default" w:ascii="Times New Roman" w:hAnsi="Times New Roman" w:eastAsia="宋体" w:cs="Times New Roman"/>
                      <w:szCs w:val="21"/>
                      <w:highlight w:val="none"/>
                      <w:lang w:val="en-US" w:eastAsia="zh-CN"/>
                    </w:rPr>
                  </w:pPr>
                  <w:r>
                    <w:rPr>
                      <w:rFonts w:hint="default" w:ascii="Times New Roman" w:hAnsi="Times New Roman" w:cs="Times New Roman"/>
                      <w:szCs w:val="21"/>
                      <w:highlight w:val="none"/>
                      <w:lang w:val="en-US" w:eastAsia="zh-CN"/>
                    </w:rPr>
                    <w:t>2100</w:t>
                  </w:r>
                </w:p>
              </w:tc>
            </w:tr>
            <w:tr w14:paraId="23535E75">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477" w:type="pct"/>
                  <w:tcBorders>
                    <w:top w:val="single" w:color="auto" w:sz="4" w:space="0"/>
                    <w:left w:val="nil"/>
                    <w:bottom w:val="single" w:color="auto" w:sz="4" w:space="0"/>
                    <w:right w:val="single" w:color="auto" w:sz="4" w:space="0"/>
                  </w:tcBorders>
                  <w:noWrap w:val="0"/>
                  <w:vAlign w:val="center"/>
                </w:tcPr>
                <w:p w14:paraId="64E13A5C">
                  <w:pPr>
                    <w:keepNext w:val="0"/>
                    <w:keepLines w:val="0"/>
                    <w:suppressLineNumbers w:val="0"/>
                    <w:snapToGrid w:val="0"/>
                    <w:spacing w:before="0" w:beforeAutospacing="0" w:after="0" w:afterAutospacing="0"/>
                    <w:ind w:left="0" w:right="0"/>
                    <w:jc w:val="center"/>
                    <w:rPr>
                      <w:rFonts w:hint="default" w:ascii="Times New Roman" w:hAnsi="Times New Roman"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清凉山风景名胜区</w:t>
                  </w:r>
                </w:p>
              </w:tc>
              <w:tc>
                <w:tcPr>
                  <w:tcW w:w="876" w:type="pct"/>
                  <w:tcBorders>
                    <w:top w:val="single" w:color="auto" w:sz="4" w:space="0"/>
                    <w:left w:val="single" w:color="auto" w:sz="4" w:space="0"/>
                    <w:bottom w:val="single" w:color="auto" w:sz="4" w:space="0"/>
                    <w:right w:val="single" w:color="auto" w:sz="4" w:space="0"/>
                  </w:tcBorders>
                  <w:noWrap w:val="0"/>
                  <w:vAlign w:val="center"/>
                </w:tcPr>
                <w:p w14:paraId="77B23131">
                  <w:pPr>
                    <w:keepNext w:val="0"/>
                    <w:keepLines w:val="0"/>
                    <w:suppressLineNumbers w:val="0"/>
                    <w:snapToGrid w:val="0"/>
                    <w:spacing w:before="0" w:beforeAutospacing="0" w:after="0" w:afterAutospacing="0"/>
                    <w:ind w:left="0" w:right="0"/>
                    <w:jc w:val="center"/>
                    <w:rPr>
                      <w:rFonts w:hint="default" w:ascii="Times New Roman" w:hAnsi="Times New Roman" w:cs="Times New Roman"/>
                      <w:szCs w:val="21"/>
                      <w:highlight w:val="none"/>
                    </w:rPr>
                  </w:pPr>
                  <w:r>
                    <w:rPr>
                      <w:rFonts w:hint="default" w:ascii="Times New Roman" w:hAnsi="Times New Roman" w:cs="Times New Roman"/>
                      <w:szCs w:val="20"/>
                      <w:highlight w:val="none"/>
                    </w:rPr>
                    <w:t>114.008014507</w:t>
                  </w:r>
                </w:p>
              </w:tc>
              <w:tc>
                <w:tcPr>
                  <w:tcW w:w="858" w:type="pct"/>
                  <w:tcBorders>
                    <w:top w:val="single" w:color="auto" w:sz="4" w:space="0"/>
                    <w:left w:val="single" w:color="auto" w:sz="4" w:space="0"/>
                    <w:bottom w:val="single" w:color="auto" w:sz="4" w:space="0"/>
                    <w:right w:val="single" w:color="auto" w:sz="4" w:space="0"/>
                  </w:tcBorders>
                  <w:noWrap w:val="0"/>
                  <w:vAlign w:val="center"/>
                </w:tcPr>
                <w:p w14:paraId="1B97CA50">
                  <w:pPr>
                    <w:keepNext w:val="0"/>
                    <w:keepLines w:val="0"/>
                    <w:suppressLineNumbers w:val="0"/>
                    <w:snapToGrid w:val="0"/>
                    <w:spacing w:before="0" w:beforeAutospacing="0" w:after="0" w:afterAutospacing="0"/>
                    <w:ind w:left="0" w:right="0"/>
                    <w:jc w:val="center"/>
                    <w:rPr>
                      <w:rFonts w:hint="default" w:ascii="Times New Roman" w:hAnsi="Times New Roman" w:cs="Times New Roman"/>
                      <w:szCs w:val="21"/>
                      <w:highlight w:val="none"/>
                    </w:rPr>
                  </w:pPr>
                  <w:r>
                    <w:rPr>
                      <w:rFonts w:hint="default" w:ascii="Times New Roman" w:hAnsi="Times New Roman" w:cs="Times New Roman"/>
                      <w:szCs w:val="20"/>
                      <w:highlight w:val="none"/>
                    </w:rPr>
                    <w:t>38.071170465</w:t>
                  </w:r>
                </w:p>
              </w:tc>
              <w:tc>
                <w:tcPr>
                  <w:tcW w:w="778"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A2864F4">
                  <w:pPr>
                    <w:keepNext w:val="0"/>
                    <w:keepLines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0"/>
                      <w:highlight w:val="none"/>
                    </w:rPr>
                    <w:t>TSP、非甲烷总烃、甲醛、酚类</w:t>
                  </w:r>
                </w:p>
              </w:tc>
              <w:tc>
                <w:tcPr>
                  <w:tcW w:w="95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79A2C8">
                  <w:pPr>
                    <w:keepNext w:val="0"/>
                    <w:keepLines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2023.</w:t>
                  </w:r>
                  <w:r>
                    <w:rPr>
                      <w:rFonts w:hint="default" w:ascii="Times New Roman" w:hAnsi="Times New Roman" w:cs="Times New Roman"/>
                      <w:color w:val="auto"/>
                      <w:kern w:val="0"/>
                      <w:sz w:val="21"/>
                      <w:szCs w:val="21"/>
                      <w:highlight w:val="none"/>
                      <w:lang w:val="en-US" w:eastAsia="zh-CN" w:bidi="ar"/>
                    </w:rPr>
                    <w:t>11.23</w:t>
                  </w:r>
                  <w:r>
                    <w:rPr>
                      <w:rFonts w:hint="default" w:ascii="Times New Roman" w:hAnsi="Times New Roman" w:cs="Times New Roman"/>
                      <w:color w:val="auto"/>
                      <w:kern w:val="0"/>
                      <w:sz w:val="21"/>
                      <w:szCs w:val="21"/>
                      <w:highlight w:val="none"/>
                      <w:lang w:bidi="ar"/>
                    </w:rPr>
                    <w:t>~</w:t>
                  </w:r>
                  <w:r>
                    <w:rPr>
                      <w:rFonts w:hint="default" w:ascii="Times New Roman" w:hAnsi="Times New Roman" w:cs="Times New Roman"/>
                      <w:color w:val="auto"/>
                      <w:kern w:val="0"/>
                      <w:sz w:val="21"/>
                      <w:szCs w:val="21"/>
                      <w:highlight w:val="none"/>
                      <w:lang w:val="en-US" w:eastAsia="zh-CN" w:bidi="ar"/>
                    </w:rPr>
                    <w:t>11.29</w:t>
                  </w:r>
                </w:p>
              </w:tc>
              <w:tc>
                <w:tcPr>
                  <w:tcW w:w="50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690F52E">
                  <w:pPr>
                    <w:keepNext w:val="0"/>
                    <w:keepLines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cs="Times New Roman"/>
                      <w:szCs w:val="21"/>
                      <w:highlight w:val="none"/>
                      <w:lang w:val="en-US" w:eastAsia="zh-CN"/>
                    </w:rPr>
                    <w:t>SW</w:t>
                  </w:r>
                </w:p>
              </w:tc>
              <w:tc>
                <w:tcPr>
                  <w:tcW w:w="552" w:type="pct"/>
                  <w:tcBorders>
                    <w:top w:val="single" w:color="auto" w:sz="4" w:space="0"/>
                    <w:left w:val="single" w:color="auto" w:sz="4" w:space="0"/>
                    <w:bottom w:val="single" w:color="auto" w:sz="4" w:space="0"/>
                    <w:right w:val="nil"/>
                  </w:tcBorders>
                  <w:noWrap w:val="0"/>
                  <w:vAlign w:val="center"/>
                </w:tcPr>
                <w:p w14:paraId="72133E31">
                  <w:pPr>
                    <w:keepNext w:val="0"/>
                    <w:keepLines w:val="0"/>
                    <w:suppressLineNumbers w:val="0"/>
                    <w:snapToGrid w:val="0"/>
                    <w:spacing w:before="0" w:beforeAutospacing="0" w:after="0" w:afterAutospacing="0"/>
                    <w:ind w:left="0" w:right="0"/>
                    <w:jc w:val="center"/>
                    <w:rPr>
                      <w:rFonts w:hint="default" w:ascii="Times New Roman" w:hAnsi="Times New Roman" w:cs="Times New Roman"/>
                      <w:szCs w:val="21"/>
                      <w:highlight w:val="none"/>
                      <w:lang w:val="en-US" w:eastAsia="zh-CN"/>
                    </w:rPr>
                  </w:pPr>
                  <w:r>
                    <w:rPr>
                      <w:rFonts w:hint="default" w:ascii="Times New Roman" w:hAnsi="Times New Roman" w:cs="Times New Roman"/>
                      <w:szCs w:val="21"/>
                      <w:highlight w:val="none"/>
                      <w:lang w:val="en-US" w:eastAsia="zh-CN"/>
                    </w:rPr>
                    <w:t>4650</w:t>
                  </w:r>
                </w:p>
              </w:tc>
            </w:tr>
          </w:tbl>
          <w:p w14:paraId="11CBEC87">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sz w:val="24"/>
                <w:szCs w:val="20"/>
                <w:highlight w:val="none"/>
                <w:lang w:bidi="ar"/>
              </w:rPr>
              <w:t>③评价标准</w:t>
            </w:r>
          </w:p>
          <w:p w14:paraId="0D056336">
            <w:pPr>
              <w:keepNext w:val="0"/>
              <w:keepLines w:val="0"/>
              <w:suppressLineNumbers w:val="0"/>
              <w:spacing w:before="0" w:beforeAutospacing="0" w:after="0" w:afterAutospacing="0" w:line="480" w:lineRule="exact"/>
              <w:ind w:left="0" w:right="0" w:firstLine="480" w:firstLineChars="200"/>
              <w:rPr>
                <w:rFonts w:hint="default" w:ascii="Times New Roman" w:hAnsi="Times New Roman" w:eastAsia="宋体" w:cs="Times New Roman"/>
                <w:sz w:val="24"/>
                <w:szCs w:val="20"/>
                <w:highlight w:val="none"/>
                <w:lang w:eastAsia="zh-CN"/>
              </w:rPr>
            </w:pPr>
            <w:r>
              <w:rPr>
                <w:rFonts w:hint="default" w:ascii="Times New Roman" w:hAnsi="Times New Roman" w:cs="Times New Roman"/>
                <w:sz w:val="24"/>
                <w:szCs w:val="20"/>
                <w:highlight w:val="none"/>
              </w:rPr>
              <w:t>《环境空气质量标准》（GB3095-20</w:t>
            </w:r>
            <w:r>
              <w:rPr>
                <w:rFonts w:hint="eastAsia" w:cs="Times New Roman"/>
                <w:sz w:val="24"/>
                <w:szCs w:val="20"/>
                <w:highlight w:val="none"/>
                <w:lang w:val="en-US" w:eastAsia="zh-CN"/>
              </w:rPr>
              <w:t>26</w:t>
            </w:r>
            <w:r>
              <w:rPr>
                <w:rFonts w:hint="default" w:ascii="Times New Roman" w:hAnsi="Times New Roman" w:cs="Times New Roman"/>
                <w:sz w:val="24"/>
                <w:szCs w:val="20"/>
                <w:highlight w:val="none"/>
              </w:rPr>
              <w:t>）</w:t>
            </w:r>
            <w:r>
              <w:rPr>
                <w:rFonts w:hint="eastAsia" w:cs="Times New Roman"/>
                <w:color w:val="auto"/>
                <w:sz w:val="24"/>
                <w:szCs w:val="24"/>
                <w:highlight w:val="none"/>
                <w:lang w:val="en-US" w:eastAsia="zh-CN"/>
              </w:rPr>
              <w:t>相关</w:t>
            </w:r>
            <w:r>
              <w:rPr>
                <w:rFonts w:hint="default" w:ascii="Times New Roman" w:hAnsi="Times New Roman" w:cs="Times New Roman"/>
                <w:color w:val="auto"/>
                <w:sz w:val="24"/>
                <w:szCs w:val="24"/>
                <w:highlight w:val="none"/>
              </w:rPr>
              <w:t>标准</w:t>
            </w:r>
            <w:r>
              <w:rPr>
                <w:rFonts w:hint="default" w:ascii="Times New Roman" w:hAnsi="Times New Roman" w:cs="Times New Roman"/>
                <w:sz w:val="24"/>
                <w:szCs w:val="20"/>
                <w:highlight w:val="none"/>
                <w:lang w:eastAsia="zh-CN"/>
              </w:rPr>
              <w:t>、</w:t>
            </w:r>
            <w:r>
              <w:rPr>
                <w:rFonts w:hint="default" w:ascii="Times New Roman" w:hAnsi="Times New Roman" w:cs="Times New Roman"/>
                <w:color w:val="auto"/>
                <w:sz w:val="24"/>
                <w:szCs w:val="24"/>
                <w:highlight w:val="none"/>
                <w:lang w:val="en-US" w:eastAsia="zh-CN"/>
              </w:rPr>
              <w:t>《环境空气质量 非甲烷总烃限值》（DB13/1577-2012）</w:t>
            </w:r>
            <w:r>
              <w:rPr>
                <w:rFonts w:hint="default" w:ascii="Times New Roman" w:hAnsi="Times New Roman" w:cs="Times New Roman"/>
                <w:sz w:val="24"/>
                <w:szCs w:val="20"/>
                <w:highlight w:val="none"/>
                <w:lang w:eastAsia="zh-CN"/>
              </w:rPr>
              <w:t>。</w:t>
            </w:r>
          </w:p>
          <w:p w14:paraId="38174822">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sz w:val="24"/>
                <w:szCs w:val="20"/>
                <w:highlight w:val="none"/>
                <w:lang w:bidi="ar"/>
              </w:rPr>
              <w:t>④监测结果统计</w:t>
            </w:r>
          </w:p>
          <w:p w14:paraId="72F028BF">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sz w:val="24"/>
                <w:szCs w:val="20"/>
                <w:highlight w:val="none"/>
                <w:lang w:bidi="ar"/>
              </w:rPr>
              <w:t>大气环境质量现状监测结果见下表。</w:t>
            </w:r>
          </w:p>
          <w:p w14:paraId="2BE865B1">
            <w:pPr>
              <w:keepNext w:val="0"/>
              <w:keepLines w:val="0"/>
              <w:suppressLineNumbers w:val="0"/>
              <w:spacing w:before="0" w:beforeAutospacing="0" w:after="0" w:afterAutospacing="0" w:line="440" w:lineRule="atLeas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 xml:space="preserve">3-5  </w:t>
            </w:r>
            <w:r>
              <w:rPr>
                <w:rFonts w:hint="default" w:ascii="Times New Roman" w:hAnsi="Times New Roman" w:cs="Times New Roman"/>
                <w:b/>
                <w:color w:val="auto"/>
                <w:sz w:val="24"/>
                <w:szCs w:val="20"/>
                <w:highlight w:val="none"/>
              </w:rPr>
              <w:t xml:space="preserve">  </w:t>
            </w:r>
            <w:r>
              <w:rPr>
                <w:rFonts w:hint="default" w:ascii="Times New Roman" w:hAnsi="Times New Roman" w:cs="Times New Roman"/>
                <w:b/>
                <w:color w:val="auto"/>
                <w:sz w:val="24"/>
                <w:szCs w:val="20"/>
                <w:highlight w:val="none"/>
                <w:lang w:val="en-US" w:eastAsia="zh-CN"/>
              </w:rPr>
              <w:t>特征因子现状监测数据（二类区）</w:t>
            </w:r>
          </w:p>
          <w:tbl>
            <w:tblPr>
              <w:tblStyle w:val="4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18"/>
              <w:gridCol w:w="1398"/>
              <w:gridCol w:w="1277"/>
              <w:gridCol w:w="1264"/>
              <w:gridCol w:w="1333"/>
              <w:gridCol w:w="768"/>
              <w:gridCol w:w="771"/>
            </w:tblGrid>
            <w:tr w14:paraId="4D1FB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1" w:hRule="atLeast"/>
                <w:jc w:val="center"/>
              </w:trPr>
              <w:tc>
                <w:tcPr>
                  <w:tcW w:w="650" w:type="pct"/>
                  <w:noWrap w:val="0"/>
                  <w:vAlign w:val="center"/>
                </w:tcPr>
                <w:p w14:paraId="79D82083">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监测点</w:t>
                  </w:r>
                </w:p>
              </w:tc>
              <w:tc>
                <w:tcPr>
                  <w:tcW w:w="892" w:type="pct"/>
                  <w:noWrap w:val="0"/>
                  <w:vAlign w:val="center"/>
                </w:tcPr>
                <w:p w14:paraId="12221FBC">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监测项目</w:t>
                  </w:r>
                </w:p>
              </w:tc>
              <w:tc>
                <w:tcPr>
                  <w:tcW w:w="815" w:type="pct"/>
                  <w:noWrap w:val="0"/>
                  <w:vAlign w:val="center"/>
                </w:tcPr>
                <w:p w14:paraId="4D1E7D0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kern w:val="0"/>
                      <w:sz w:val="21"/>
                      <w:szCs w:val="21"/>
                      <w:highlight w:val="none"/>
                      <w:lang w:val="en-US" w:eastAsia="zh-CN" w:bidi="ar"/>
                    </w:rPr>
                    <w:t>评价标准</w:t>
                  </w:r>
                  <w:r>
                    <w:rPr>
                      <w:rFonts w:hint="default" w:ascii="Times New Roman" w:hAnsi="Times New Roman" w:eastAsia="宋体" w:cs="Times New Roman"/>
                      <w:b/>
                      <w:bCs/>
                      <w:color w:val="auto"/>
                      <w:sz w:val="21"/>
                      <w:szCs w:val="21"/>
                      <w:highlight w:val="none"/>
                      <w:vertAlign w:val="baseline"/>
                      <w:lang w:val="en-US" w:eastAsia="zh-CN"/>
                    </w:rPr>
                    <w:t>（mg/m</w:t>
                  </w:r>
                  <w:r>
                    <w:rPr>
                      <w:rFonts w:hint="default" w:ascii="Times New Roman" w:hAnsi="Times New Roman" w:eastAsia="宋体" w:cs="Times New Roman"/>
                      <w:b/>
                      <w:bCs/>
                      <w:color w:val="auto"/>
                      <w:sz w:val="21"/>
                      <w:szCs w:val="21"/>
                      <w:highlight w:val="none"/>
                      <w:vertAlign w:val="superscript"/>
                      <w:lang w:val="en-US" w:eastAsia="zh-CN"/>
                    </w:rPr>
                    <w:t>3</w:t>
                  </w:r>
                  <w:r>
                    <w:rPr>
                      <w:rFonts w:hint="default" w:ascii="Times New Roman" w:hAnsi="Times New Roman" w:eastAsia="宋体" w:cs="Times New Roman"/>
                      <w:b/>
                      <w:bCs/>
                      <w:color w:val="auto"/>
                      <w:sz w:val="21"/>
                      <w:szCs w:val="21"/>
                      <w:highlight w:val="none"/>
                      <w:vertAlign w:val="baseline"/>
                      <w:lang w:val="en-US" w:eastAsia="zh-CN"/>
                    </w:rPr>
                    <w:t>）</w:t>
                  </w:r>
                </w:p>
              </w:tc>
              <w:tc>
                <w:tcPr>
                  <w:tcW w:w="807" w:type="pct"/>
                  <w:noWrap w:val="0"/>
                  <w:vAlign w:val="center"/>
                </w:tcPr>
                <w:p w14:paraId="7E2E546B">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监测浓度范围（mg/m</w:t>
                  </w:r>
                  <w:r>
                    <w:rPr>
                      <w:rFonts w:hint="default" w:ascii="Times New Roman" w:hAnsi="Times New Roman" w:eastAsia="宋体" w:cs="Times New Roman"/>
                      <w:b/>
                      <w:bCs/>
                      <w:color w:val="auto"/>
                      <w:sz w:val="21"/>
                      <w:szCs w:val="21"/>
                      <w:highlight w:val="none"/>
                      <w:vertAlign w:val="superscript"/>
                      <w:lang w:val="en-US" w:eastAsia="zh-CN"/>
                    </w:rPr>
                    <w:t>3</w:t>
                  </w:r>
                  <w:r>
                    <w:rPr>
                      <w:rFonts w:hint="default" w:ascii="Times New Roman" w:hAnsi="Times New Roman" w:eastAsia="宋体" w:cs="Times New Roman"/>
                      <w:b/>
                      <w:bCs/>
                      <w:color w:val="auto"/>
                      <w:sz w:val="21"/>
                      <w:szCs w:val="21"/>
                      <w:highlight w:val="none"/>
                      <w:vertAlign w:val="baseline"/>
                      <w:lang w:val="en-US" w:eastAsia="zh-CN"/>
                    </w:rPr>
                    <w:t>）</w:t>
                  </w:r>
                </w:p>
              </w:tc>
              <w:tc>
                <w:tcPr>
                  <w:tcW w:w="851" w:type="pct"/>
                  <w:noWrap w:val="0"/>
                  <w:vAlign w:val="center"/>
                </w:tcPr>
                <w:p w14:paraId="2AD7829D">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标准指标P</w:t>
                  </w:r>
                  <w:r>
                    <w:rPr>
                      <w:rFonts w:hint="default" w:ascii="Times New Roman" w:hAnsi="Times New Roman" w:eastAsia="宋体" w:cs="Times New Roman"/>
                      <w:b/>
                      <w:bCs/>
                      <w:color w:val="auto"/>
                      <w:sz w:val="21"/>
                      <w:szCs w:val="21"/>
                      <w:highlight w:val="none"/>
                      <w:vertAlign w:val="subscript"/>
                      <w:lang w:val="en-US" w:eastAsia="zh-CN"/>
                    </w:rPr>
                    <w:t>i</w:t>
                  </w:r>
                  <w:r>
                    <w:rPr>
                      <w:rFonts w:hint="default" w:ascii="Times New Roman" w:hAnsi="Times New Roman" w:eastAsia="宋体" w:cs="Times New Roman"/>
                      <w:b/>
                      <w:bCs/>
                      <w:color w:val="auto"/>
                      <w:sz w:val="21"/>
                      <w:szCs w:val="21"/>
                      <w:highlight w:val="none"/>
                      <w:vertAlign w:val="baseline"/>
                      <w:lang w:val="en-US" w:eastAsia="zh-CN"/>
                    </w:rPr>
                    <w:t>范围</w:t>
                  </w:r>
                </w:p>
              </w:tc>
              <w:tc>
                <w:tcPr>
                  <w:tcW w:w="490" w:type="pct"/>
                  <w:noWrap w:val="0"/>
                  <w:vAlign w:val="center"/>
                </w:tcPr>
                <w:p w14:paraId="0A531E33">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最大超标倍数</w:t>
                  </w:r>
                </w:p>
              </w:tc>
              <w:tc>
                <w:tcPr>
                  <w:tcW w:w="492" w:type="pct"/>
                  <w:noWrap w:val="0"/>
                  <w:vAlign w:val="center"/>
                </w:tcPr>
                <w:p w14:paraId="39D03471">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超标率（%）</w:t>
                  </w:r>
                </w:p>
              </w:tc>
            </w:tr>
            <w:tr w14:paraId="36D73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650" w:type="pct"/>
                  <w:vMerge w:val="restart"/>
                  <w:noWrap w:val="0"/>
                  <w:vAlign w:val="center"/>
                </w:tcPr>
                <w:p w14:paraId="2C94253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西王舍村</w:t>
                  </w:r>
                </w:p>
              </w:tc>
              <w:tc>
                <w:tcPr>
                  <w:tcW w:w="892" w:type="pct"/>
                  <w:noWrap w:val="0"/>
                  <w:vAlign w:val="center"/>
                </w:tcPr>
                <w:p w14:paraId="4C7B22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TSP</w:t>
                  </w:r>
                </w:p>
              </w:tc>
              <w:tc>
                <w:tcPr>
                  <w:tcW w:w="815" w:type="pct"/>
                  <w:noWrap w:val="0"/>
                  <w:vAlign w:val="center"/>
                </w:tcPr>
                <w:p w14:paraId="58DDF5E2">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0.3</w:t>
                  </w:r>
                </w:p>
              </w:tc>
              <w:tc>
                <w:tcPr>
                  <w:tcW w:w="807" w:type="pct"/>
                  <w:noWrap w:val="0"/>
                  <w:vAlign w:val="center"/>
                </w:tcPr>
                <w:p w14:paraId="4AD5CD8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0.105~0.248</w:t>
                  </w:r>
                </w:p>
              </w:tc>
              <w:tc>
                <w:tcPr>
                  <w:tcW w:w="851" w:type="pct"/>
                  <w:noWrap w:val="0"/>
                  <w:vAlign w:val="center"/>
                </w:tcPr>
                <w:p w14:paraId="5C34505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0.35~0.83</w:t>
                  </w:r>
                </w:p>
              </w:tc>
              <w:tc>
                <w:tcPr>
                  <w:tcW w:w="490" w:type="pct"/>
                  <w:noWrap w:val="0"/>
                  <w:vAlign w:val="center"/>
                </w:tcPr>
                <w:p w14:paraId="4565C2B1">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noWrap w:val="0"/>
                  <w:vAlign w:val="center"/>
                </w:tcPr>
                <w:p w14:paraId="023A0FB3">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r>
            <w:tr w14:paraId="12093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650" w:type="pct"/>
                  <w:vMerge w:val="continue"/>
                  <w:noWrap w:val="0"/>
                  <w:vAlign w:val="center"/>
                </w:tcPr>
                <w:p w14:paraId="325E08B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044E04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非甲烷总烃</w:t>
                  </w:r>
                </w:p>
              </w:tc>
              <w:tc>
                <w:tcPr>
                  <w:tcW w:w="815" w:type="pct"/>
                  <w:noWrap w:val="0"/>
                  <w:vAlign w:val="center"/>
                </w:tcPr>
                <w:p w14:paraId="3A559D17">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2.0</w:t>
                  </w:r>
                </w:p>
              </w:tc>
              <w:tc>
                <w:tcPr>
                  <w:tcW w:w="807" w:type="pct"/>
                  <w:noWrap w:val="0"/>
                  <w:vAlign w:val="center"/>
                </w:tcPr>
                <w:p w14:paraId="65D13E3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0.49~0.75</w:t>
                  </w:r>
                </w:p>
              </w:tc>
              <w:tc>
                <w:tcPr>
                  <w:tcW w:w="851" w:type="pct"/>
                  <w:noWrap w:val="0"/>
                  <w:vAlign w:val="center"/>
                </w:tcPr>
                <w:p w14:paraId="2CE86F85">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0.245~0.375</w:t>
                  </w:r>
                </w:p>
              </w:tc>
              <w:tc>
                <w:tcPr>
                  <w:tcW w:w="490" w:type="pct"/>
                  <w:noWrap w:val="0"/>
                  <w:vAlign w:val="center"/>
                </w:tcPr>
                <w:p w14:paraId="22C88ECA">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noWrap w:val="0"/>
                  <w:vAlign w:val="center"/>
                </w:tcPr>
                <w:p w14:paraId="2EC37719">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r>
            <w:tr w14:paraId="0D07F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650" w:type="pct"/>
                  <w:vMerge w:val="continue"/>
                  <w:noWrap w:val="0"/>
                  <w:vAlign w:val="center"/>
                </w:tcPr>
                <w:p w14:paraId="623A9D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6C3E31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szCs w:val="20"/>
                      <w:highlight w:val="none"/>
                    </w:rPr>
                    <w:t>甲醛</w:t>
                  </w:r>
                </w:p>
              </w:tc>
              <w:tc>
                <w:tcPr>
                  <w:tcW w:w="815" w:type="pct"/>
                  <w:noWrap w:val="0"/>
                  <w:vAlign w:val="center"/>
                </w:tcPr>
                <w:p w14:paraId="74D3E327">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0.05</w:t>
                  </w:r>
                </w:p>
              </w:tc>
              <w:tc>
                <w:tcPr>
                  <w:tcW w:w="807" w:type="pct"/>
                  <w:noWrap w:val="0"/>
                  <w:vAlign w:val="center"/>
                </w:tcPr>
                <w:p w14:paraId="10C70C0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ND~0.01</w:t>
                  </w:r>
                </w:p>
              </w:tc>
              <w:tc>
                <w:tcPr>
                  <w:tcW w:w="851" w:type="pct"/>
                  <w:noWrap w:val="0"/>
                  <w:vAlign w:val="center"/>
                </w:tcPr>
                <w:p w14:paraId="67BE356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 ~0.003</w:t>
                  </w:r>
                </w:p>
              </w:tc>
              <w:tc>
                <w:tcPr>
                  <w:tcW w:w="490" w:type="pct"/>
                  <w:shd w:val="clear" w:color="auto" w:fill="auto"/>
                  <w:noWrap w:val="0"/>
                  <w:vAlign w:val="center"/>
                </w:tcPr>
                <w:p w14:paraId="5884E22D">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shd w:val="clear" w:color="auto" w:fill="auto"/>
                  <w:noWrap w:val="0"/>
                  <w:vAlign w:val="center"/>
                </w:tcPr>
                <w:p w14:paraId="1A29AC4C">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r>
            <w:tr w14:paraId="62CBB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9" w:hRule="atLeast"/>
                <w:jc w:val="center"/>
              </w:trPr>
              <w:tc>
                <w:tcPr>
                  <w:tcW w:w="650" w:type="pct"/>
                  <w:vMerge w:val="continue"/>
                  <w:noWrap w:val="0"/>
                  <w:vAlign w:val="center"/>
                </w:tcPr>
                <w:p w14:paraId="3C792B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3BA9BD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szCs w:val="20"/>
                      <w:highlight w:val="none"/>
                    </w:rPr>
                    <w:t>酚类</w:t>
                  </w:r>
                </w:p>
              </w:tc>
              <w:tc>
                <w:tcPr>
                  <w:tcW w:w="815" w:type="pct"/>
                  <w:noWrap w:val="0"/>
                  <w:vAlign w:val="center"/>
                </w:tcPr>
                <w:p w14:paraId="3DD458A5">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0.02</w:t>
                  </w:r>
                </w:p>
              </w:tc>
              <w:tc>
                <w:tcPr>
                  <w:tcW w:w="807" w:type="pct"/>
                  <w:noWrap w:val="0"/>
                  <w:vAlign w:val="center"/>
                </w:tcPr>
                <w:p w14:paraId="758771E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w:t>
                  </w:r>
                </w:p>
              </w:tc>
              <w:tc>
                <w:tcPr>
                  <w:tcW w:w="851" w:type="pct"/>
                  <w:noWrap w:val="0"/>
                  <w:vAlign w:val="center"/>
                </w:tcPr>
                <w:p w14:paraId="4073644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 ~0.25</w:t>
                  </w:r>
                </w:p>
              </w:tc>
              <w:tc>
                <w:tcPr>
                  <w:tcW w:w="490" w:type="pct"/>
                  <w:shd w:val="clear" w:color="auto" w:fill="auto"/>
                  <w:noWrap w:val="0"/>
                  <w:vAlign w:val="center"/>
                </w:tcPr>
                <w:p w14:paraId="3687C785">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shd w:val="clear" w:color="auto" w:fill="auto"/>
                  <w:noWrap w:val="0"/>
                  <w:vAlign w:val="center"/>
                </w:tcPr>
                <w:p w14:paraId="11EED20E">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r>
          </w:tbl>
          <w:p w14:paraId="2D8B5DB5">
            <w:pPr>
              <w:pStyle w:val="2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lang w:eastAsia="zh-CN"/>
              </w:rPr>
            </w:pPr>
            <w:r>
              <w:rPr>
                <w:rFonts w:hint="default" w:ascii="Times New Roman" w:hAnsi="Times New Roman" w:cs="Times New Roman"/>
                <w:color w:val="auto"/>
                <w:sz w:val="24"/>
                <w:szCs w:val="24"/>
                <w:highlight w:val="none"/>
              </w:rPr>
              <w:t>由上表可知，西王舍村TSP</w:t>
            </w:r>
            <w:r>
              <w:rPr>
                <w:rFonts w:hint="default" w:ascii="Times New Roman" w:hAnsi="Times New Roman" w:cs="Times New Roman"/>
                <w:color w:val="auto"/>
                <w:sz w:val="24"/>
                <w:szCs w:val="24"/>
                <w:highlight w:val="none"/>
                <w:lang w:val="en-US" w:eastAsia="zh-CN"/>
              </w:rPr>
              <w:t>浓度值均</w:t>
            </w:r>
            <w:r>
              <w:rPr>
                <w:rFonts w:hint="default" w:ascii="Times New Roman" w:hAnsi="Times New Roman" w:cs="Times New Roman"/>
                <w:color w:val="auto"/>
                <w:sz w:val="24"/>
                <w:szCs w:val="24"/>
                <w:highlight w:val="none"/>
              </w:rPr>
              <w:t>满足《环境空气质量标准》（GB3095-20</w:t>
            </w:r>
            <w:r>
              <w:rPr>
                <w:rFonts w:hint="eastAsia" w:cs="Times New Roman"/>
                <w:color w:val="auto"/>
                <w:sz w:val="24"/>
                <w:szCs w:val="24"/>
                <w:highlight w:val="none"/>
                <w:lang w:val="en-US" w:eastAsia="zh-CN"/>
              </w:rPr>
              <w:t>26</w:t>
            </w:r>
            <w:r>
              <w:rPr>
                <w:rFonts w:hint="default" w:ascii="Times New Roman" w:hAnsi="Times New Roman" w:cs="Times New Roman"/>
                <w:color w:val="auto"/>
                <w:sz w:val="24"/>
                <w:szCs w:val="24"/>
                <w:highlight w:val="none"/>
              </w:rPr>
              <w:t>）二级标准</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非甲烷总烃浓度值均</w:t>
            </w:r>
            <w:r>
              <w:rPr>
                <w:rFonts w:hint="default" w:ascii="Times New Roman" w:hAnsi="Times New Roman" w:cs="Times New Roman"/>
                <w:color w:val="auto"/>
                <w:sz w:val="24"/>
                <w:szCs w:val="24"/>
                <w:highlight w:val="none"/>
              </w:rPr>
              <w:t>满足</w:t>
            </w:r>
            <w:r>
              <w:rPr>
                <w:rFonts w:hint="default" w:ascii="Times New Roman" w:hAnsi="Times New Roman" w:cs="Times New Roman"/>
                <w:color w:val="auto"/>
                <w:sz w:val="24"/>
                <w:szCs w:val="24"/>
                <w:highlight w:val="none"/>
                <w:lang w:val="en-US" w:eastAsia="zh-CN"/>
              </w:rPr>
              <w:t>河北省地方标准《环境空气质量 非甲烷总烃限值》（DB13/1577-2012）二级标准；</w:t>
            </w:r>
            <w:r>
              <w:rPr>
                <w:rFonts w:hint="default" w:ascii="Times New Roman" w:hAnsi="Times New Roman" w:cs="Times New Roman"/>
                <w:kern w:val="0"/>
                <w:sz w:val="24"/>
                <w:szCs w:val="20"/>
                <w:highlight w:val="none"/>
                <w:lang w:val="en-US" w:eastAsia="zh-CN" w:bidi="ar"/>
              </w:rPr>
              <w:t>甲醛</w:t>
            </w:r>
            <w:r>
              <w:rPr>
                <w:rFonts w:hint="default" w:ascii="Times New Roman" w:hAnsi="Times New Roman" w:eastAsia="宋体" w:cs="Times New Roman"/>
                <w:color w:val="auto"/>
                <w:sz w:val="24"/>
                <w:szCs w:val="24"/>
                <w:highlight w:val="none"/>
                <w:lang w:val="en-US" w:eastAsia="zh-CN"/>
              </w:rPr>
              <w:t>满足《环境影响评价技术导则 大气环境》（HJ2.2-2018）附录D中表D.1其他污染物空气质量浓度参考限值</w:t>
            </w:r>
            <w:r>
              <w:rPr>
                <w:rFonts w:hint="default" w:ascii="Times New Roman" w:hAnsi="Times New Roman" w:cs="Times New Roman"/>
                <w:kern w:val="0"/>
                <w:sz w:val="24"/>
                <w:szCs w:val="20"/>
                <w:highlight w:val="none"/>
                <w:lang w:val="en-US" w:eastAsia="zh-CN" w:bidi="ar"/>
              </w:rPr>
              <w:t>；酚类满足</w:t>
            </w:r>
            <w:r>
              <w:rPr>
                <w:rFonts w:hint="default" w:ascii="Times New Roman" w:hAnsi="Times New Roman" w:cs="Times New Roman"/>
                <w:color w:val="auto"/>
                <w:sz w:val="24"/>
                <w:szCs w:val="24"/>
                <w:highlight w:val="none"/>
                <w:lang w:val="en-US" w:eastAsia="zh-CN"/>
              </w:rPr>
              <w:t>《工业企业设计卫生标准》(TJ36-79)</w:t>
            </w:r>
            <w:r>
              <w:rPr>
                <w:rFonts w:hint="default" w:ascii="Times New Roman" w:hAnsi="Times New Roman" w:cs="Times New Roman"/>
                <w:color w:val="auto"/>
                <w:sz w:val="24"/>
                <w:szCs w:val="24"/>
                <w:highlight w:val="none"/>
              </w:rPr>
              <w:t>中最高容许浓度</w:t>
            </w:r>
            <w:r>
              <w:rPr>
                <w:rFonts w:hint="default" w:ascii="Times New Roman" w:hAnsi="Times New Roman" w:cs="Times New Roman"/>
                <w:color w:val="auto"/>
                <w:sz w:val="24"/>
                <w:szCs w:val="24"/>
                <w:highlight w:val="none"/>
                <w:lang w:eastAsia="zh-CN"/>
              </w:rPr>
              <w:t>。</w:t>
            </w:r>
          </w:p>
          <w:p w14:paraId="40C4D1D5">
            <w:pPr>
              <w:keepNext w:val="0"/>
              <w:keepLines w:val="0"/>
              <w:suppressLineNumbers w:val="0"/>
              <w:spacing w:before="0" w:beforeAutospacing="0" w:after="0" w:afterAutospacing="0" w:line="440" w:lineRule="atLeast"/>
              <w:ind w:left="0" w:right="0"/>
              <w:jc w:val="center"/>
              <w:rPr>
                <w:rFonts w:hint="default" w:ascii="Times New Roman" w:hAnsi="Times New Roman" w:cs="Times New Roman"/>
                <w:b/>
                <w:color w:val="auto"/>
                <w:sz w:val="24"/>
                <w:szCs w:val="20"/>
                <w:highlight w:val="none"/>
              </w:rPr>
            </w:pPr>
            <w:r>
              <w:rPr>
                <w:rFonts w:hint="default" w:ascii="Times New Roman" w:hAnsi="Times New Roman"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 xml:space="preserve">3-6  </w:t>
            </w:r>
            <w:r>
              <w:rPr>
                <w:rFonts w:hint="default" w:ascii="Times New Roman" w:hAnsi="Times New Roman" w:cs="Times New Roman"/>
                <w:b/>
                <w:color w:val="auto"/>
                <w:sz w:val="24"/>
                <w:szCs w:val="20"/>
                <w:highlight w:val="none"/>
              </w:rPr>
              <w:t xml:space="preserve">  </w:t>
            </w:r>
            <w:r>
              <w:rPr>
                <w:rFonts w:hint="default" w:ascii="Times New Roman" w:hAnsi="Times New Roman" w:cs="Times New Roman"/>
                <w:b/>
                <w:color w:val="auto"/>
                <w:sz w:val="24"/>
                <w:szCs w:val="20"/>
                <w:highlight w:val="none"/>
                <w:lang w:val="en-US" w:eastAsia="zh-CN"/>
              </w:rPr>
              <w:t>特征因子现状监测数据（一类区）</w:t>
            </w:r>
          </w:p>
          <w:tbl>
            <w:tblPr>
              <w:tblStyle w:val="4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18"/>
              <w:gridCol w:w="1398"/>
              <w:gridCol w:w="1277"/>
              <w:gridCol w:w="1264"/>
              <w:gridCol w:w="1333"/>
              <w:gridCol w:w="768"/>
              <w:gridCol w:w="771"/>
            </w:tblGrid>
            <w:tr w14:paraId="4B8C1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1" w:hRule="atLeast"/>
                <w:jc w:val="center"/>
              </w:trPr>
              <w:tc>
                <w:tcPr>
                  <w:tcW w:w="650" w:type="pct"/>
                  <w:noWrap w:val="0"/>
                  <w:vAlign w:val="center"/>
                </w:tcPr>
                <w:p w14:paraId="3A0608AF">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监测点</w:t>
                  </w:r>
                </w:p>
              </w:tc>
              <w:tc>
                <w:tcPr>
                  <w:tcW w:w="892" w:type="pct"/>
                  <w:noWrap w:val="0"/>
                  <w:vAlign w:val="center"/>
                </w:tcPr>
                <w:p w14:paraId="09C1C28F">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监测项目</w:t>
                  </w:r>
                </w:p>
              </w:tc>
              <w:tc>
                <w:tcPr>
                  <w:tcW w:w="815" w:type="pct"/>
                  <w:noWrap w:val="0"/>
                  <w:vAlign w:val="center"/>
                </w:tcPr>
                <w:p w14:paraId="4866BE7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kern w:val="0"/>
                      <w:sz w:val="21"/>
                      <w:szCs w:val="21"/>
                      <w:highlight w:val="none"/>
                      <w:lang w:val="en-US" w:eastAsia="zh-CN" w:bidi="ar"/>
                    </w:rPr>
                    <w:t>评价标准</w:t>
                  </w:r>
                  <w:r>
                    <w:rPr>
                      <w:rFonts w:hint="default" w:ascii="Times New Roman" w:hAnsi="Times New Roman" w:eastAsia="宋体" w:cs="Times New Roman"/>
                      <w:b/>
                      <w:bCs/>
                      <w:color w:val="auto"/>
                      <w:sz w:val="21"/>
                      <w:szCs w:val="21"/>
                      <w:highlight w:val="none"/>
                      <w:vertAlign w:val="baseline"/>
                      <w:lang w:val="en-US" w:eastAsia="zh-CN"/>
                    </w:rPr>
                    <w:t>（mg/m</w:t>
                  </w:r>
                  <w:r>
                    <w:rPr>
                      <w:rFonts w:hint="default" w:ascii="Times New Roman" w:hAnsi="Times New Roman" w:eastAsia="宋体" w:cs="Times New Roman"/>
                      <w:b/>
                      <w:bCs/>
                      <w:color w:val="auto"/>
                      <w:sz w:val="21"/>
                      <w:szCs w:val="21"/>
                      <w:highlight w:val="none"/>
                      <w:vertAlign w:val="superscript"/>
                      <w:lang w:val="en-US" w:eastAsia="zh-CN"/>
                    </w:rPr>
                    <w:t>3</w:t>
                  </w:r>
                  <w:r>
                    <w:rPr>
                      <w:rFonts w:hint="default" w:ascii="Times New Roman" w:hAnsi="Times New Roman" w:eastAsia="宋体" w:cs="Times New Roman"/>
                      <w:b/>
                      <w:bCs/>
                      <w:color w:val="auto"/>
                      <w:sz w:val="21"/>
                      <w:szCs w:val="21"/>
                      <w:highlight w:val="none"/>
                      <w:vertAlign w:val="baseline"/>
                      <w:lang w:val="en-US" w:eastAsia="zh-CN"/>
                    </w:rPr>
                    <w:t>）</w:t>
                  </w:r>
                </w:p>
              </w:tc>
              <w:tc>
                <w:tcPr>
                  <w:tcW w:w="807" w:type="pct"/>
                  <w:noWrap w:val="0"/>
                  <w:vAlign w:val="center"/>
                </w:tcPr>
                <w:p w14:paraId="183CBAA6">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监测浓度范围（mg/m</w:t>
                  </w:r>
                  <w:r>
                    <w:rPr>
                      <w:rFonts w:hint="default" w:ascii="Times New Roman" w:hAnsi="Times New Roman" w:eastAsia="宋体" w:cs="Times New Roman"/>
                      <w:b/>
                      <w:bCs/>
                      <w:color w:val="auto"/>
                      <w:sz w:val="21"/>
                      <w:szCs w:val="21"/>
                      <w:highlight w:val="none"/>
                      <w:vertAlign w:val="superscript"/>
                      <w:lang w:val="en-US" w:eastAsia="zh-CN"/>
                    </w:rPr>
                    <w:t>3</w:t>
                  </w:r>
                  <w:r>
                    <w:rPr>
                      <w:rFonts w:hint="default" w:ascii="Times New Roman" w:hAnsi="Times New Roman" w:eastAsia="宋体" w:cs="Times New Roman"/>
                      <w:b/>
                      <w:bCs/>
                      <w:color w:val="auto"/>
                      <w:sz w:val="21"/>
                      <w:szCs w:val="21"/>
                      <w:highlight w:val="none"/>
                      <w:vertAlign w:val="baseline"/>
                      <w:lang w:val="en-US" w:eastAsia="zh-CN"/>
                    </w:rPr>
                    <w:t>）</w:t>
                  </w:r>
                </w:p>
              </w:tc>
              <w:tc>
                <w:tcPr>
                  <w:tcW w:w="851" w:type="pct"/>
                  <w:noWrap w:val="0"/>
                  <w:vAlign w:val="center"/>
                </w:tcPr>
                <w:p w14:paraId="31509F72">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标准指标P</w:t>
                  </w:r>
                  <w:r>
                    <w:rPr>
                      <w:rFonts w:hint="default" w:ascii="Times New Roman" w:hAnsi="Times New Roman" w:eastAsia="宋体" w:cs="Times New Roman"/>
                      <w:b/>
                      <w:bCs/>
                      <w:color w:val="auto"/>
                      <w:sz w:val="21"/>
                      <w:szCs w:val="21"/>
                      <w:highlight w:val="none"/>
                      <w:vertAlign w:val="subscript"/>
                      <w:lang w:val="en-US" w:eastAsia="zh-CN"/>
                    </w:rPr>
                    <w:t>i</w:t>
                  </w:r>
                  <w:r>
                    <w:rPr>
                      <w:rFonts w:hint="default" w:ascii="Times New Roman" w:hAnsi="Times New Roman" w:eastAsia="宋体" w:cs="Times New Roman"/>
                      <w:b/>
                      <w:bCs/>
                      <w:color w:val="auto"/>
                      <w:sz w:val="21"/>
                      <w:szCs w:val="21"/>
                      <w:highlight w:val="none"/>
                      <w:vertAlign w:val="baseline"/>
                      <w:lang w:val="en-US" w:eastAsia="zh-CN"/>
                    </w:rPr>
                    <w:t>范围</w:t>
                  </w:r>
                </w:p>
              </w:tc>
              <w:tc>
                <w:tcPr>
                  <w:tcW w:w="490" w:type="pct"/>
                  <w:noWrap w:val="0"/>
                  <w:vAlign w:val="center"/>
                </w:tcPr>
                <w:p w14:paraId="53D4DE03">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最大超标倍数</w:t>
                  </w:r>
                </w:p>
              </w:tc>
              <w:tc>
                <w:tcPr>
                  <w:tcW w:w="492" w:type="pct"/>
                  <w:noWrap w:val="0"/>
                  <w:vAlign w:val="center"/>
                </w:tcPr>
                <w:p w14:paraId="6993938A">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超标率（%）</w:t>
                  </w:r>
                </w:p>
              </w:tc>
            </w:tr>
            <w:tr w14:paraId="1ECB0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1018" w:type="dxa"/>
                  <w:vMerge w:val="restart"/>
                  <w:noWrap w:val="0"/>
                  <w:vAlign w:val="center"/>
                </w:tcPr>
                <w:p w14:paraId="1E085F17">
                  <w:pPr>
                    <w:keepNext w:val="0"/>
                    <w:keepLines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kern w:val="0"/>
                      <w:sz w:val="21"/>
                      <w:szCs w:val="21"/>
                      <w:highlight w:val="none"/>
                      <w:lang w:val="en-US" w:eastAsia="zh-CN" w:bidi="ar"/>
                    </w:rPr>
                    <w:t>清凉山风景名胜区</w:t>
                  </w:r>
                </w:p>
              </w:tc>
              <w:tc>
                <w:tcPr>
                  <w:tcW w:w="892" w:type="pct"/>
                  <w:noWrap w:val="0"/>
                  <w:vAlign w:val="center"/>
                </w:tcPr>
                <w:p w14:paraId="654F65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TSP</w:t>
                  </w:r>
                </w:p>
              </w:tc>
              <w:tc>
                <w:tcPr>
                  <w:tcW w:w="815" w:type="pct"/>
                  <w:noWrap w:val="0"/>
                  <w:vAlign w:val="center"/>
                </w:tcPr>
                <w:p w14:paraId="7C7AF99B">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r>
                    <w:rPr>
                      <w:rFonts w:hint="default" w:ascii="Times New Roman" w:hAnsi="Times New Roman" w:cs="Times New Roman"/>
                      <w:color w:val="auto"/>
                      <w:sz w:val="21"/>
                      <w:szCs w:val="21"/>
                      <w:highlight w:val="none"/>
                      <w:vertAlign w:val="baseline"/>
                      <w:lang w:val="en-US" w:eastAsia="zh-CN"/>
                    </w:rPr>
                    <w:t>12</w:t>
                  </w:r>
                </w:p>
              </w:tc>
              <w:tc>
                <w:tcPr>
                  <w:tcW w:w="807" w:type="pct"/>
                  <w:noWrap w:val="0"/>
                  <w:vAlign w:val="center"/>
                </w:tcPr>
                <w:p w14:paraId="1E16F3A5">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088</w:t>
                  </w: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104</w:t>
                  </w:r>
                </w:p>
              </w:tc>
              <w:tc>
                <w:tcPr>
                  <w:tcW w:w="851" w:type="pct"/>
                  <w:noWrap w:val="0"/>
                  <w:vAlign w:val="center"/>
                </w:tcPr>
                <w:p w14:paraId="423045F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733</w:t>
                  </w: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867</w:t>
                  </w:r>
                </w:p>
              </w:tc>
              <w:tc>
                <w:tcPr>
                  <w:tcW w:w="490" w:type="pct"/>
                  <w:noWrap w:val="0"/>
                  <w:vAlign w:val="center"/>
                </w:tcPr>
                <w:p w14:paraId="22631384">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noWrap w:val="0"/>
                  <w:vAlign w:val="center"/>
                </w:tcPr>
                <w:p w14:paraId="6FC9DF9A">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r>
            <w:tr w14:paraId="03B55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650" w:type="pct"/>
                  <w:vMerge w:val="continue"/>
                  <w:noWrap w:val="0"/>
                  <w:vAlign w:val="center"/>
                </w:tcPr>
                <w:p w14:paraId="3409A6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28ED37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非甲烷总烃</w:t>
                  </w:r>
                </w:p>
              </w:tc>
              <w:tc>
                <w:tcPr>
                  <w:tcW w:w="815" w:type="pct"/>
                  <w:noWrap w:val="0"/>
                  <w:vAlign w:val="center"/>
                </w:tcPr>
                <w:p w14:paraId="5B26DF49">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1.0</w:t>
                  </w:r>
                </w:p>
              </w:tc>
              <w:tc>
                <w:tcPr>
                  <w:tcW w:w="807" w:type="pct"/>
                  <w:noWrap w:val="0"/>
                  <w:vAlign w:val="center"/>
                </w:tcPr>
                <w:p w14:paraId="1FD6480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35</w:t>
                  </w: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54</w:t>
                  </w:r>
                </w:p>
              </w:tc>
              <w:tc>
                <w:tcPr>
                  <w:tcW w:w="1333" w:type="dxa"/>
                  <w:noWrap w:val="0"/>
                  <w:vAlign w:val="center"/>
                </w:tcPr>
                <w:p w14:paraId="40C8C133">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35</w:t>
                  </w:r>
                  <w:r>
                    <w:rPr>
                      <w:rFonts w:hint="default" w:ascii="Times New Roman" w:hAnsi="Times New Roman" w:eastAsia="宋体" w:cs="Times New Roman"/>
                      <w:color w:val="000000"/>
                      <w:kern w:val="0"/>
                      <w:sz w:val="21"/>
                      <w:szCs w:val="21"/>
                      <w:highlight w:val="none"/>
                      <w:lang w:val="en-US" w:eastAsia="zh-CN" w:bidi="ar"/>
                    </w:rPr>
                    <w:t>~0.</w:t>
                  </w:r>
                  <w:r>
                    <w:rPr>
                      <w:rFonts w:hint="default" w:ascii="Times New Roman" w:hAnsi="Times New Roman" w:cs="Times New Roman"/>
                      <w:color w:val="000000"/>
                      <w:kern w:val="0"/>
                      <w:sz w:val="21"/>
                      <w:szCs w:val="21"/>
                      <w:highlight w:val="none"/>
                      <w:lang w:val="en-US" w:eastAsia="zh-CN" w:bidi="ar"/>
                    </w:rPr>
                    <w:t>54</w:t>
                  </w:r>
                </w:p>
              </w:tc>
              <w:tc>
                <w:tcPr>
                  <w:tcW w:w="490" w:type="pct"/>
                  <w:noWrap w:val="0"/>
                  <w:vAlign w:val="center"/>
                </w:tcPr>
                <w:p w14:paraId="4591CF49">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noWrap w:val="0"/>
                  <w:vAlign w:val="center"/>
                </w:tcPr>
                <w:p w14:paraId="3855E206">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0</w:t>
                  </w:r>
                </w:p>
              </w:tc>
            </w:tr>
            <w:tr w14:paraId="4AA54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 w:hRule="atLeast"/>
                <w:jc w:val="center"/>
              </w:trPr>
              <w:tc>
                <w:tcPr>
                  <w:tcW w:w="650" w:type="pct"/>
                  <w:vMerge w:val="continue"/>
                  <w:noWrap w:val="0"/>
                  <w:vAlign w:val="center"/>
                </w:tcPr>
                <w:p w14:paraId="7E51D3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635660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szCs w:val="20"/>
                      <w:highlight w:val="none"/>
                    </w:rPr>
                    <w:t>甲醛</w:t>
                  </w:r>
                </w:p>
              </w:tc>
              <w:tc>
                <w:tcPr>
                  <w:tcW w:w="815" w:type="pct"/>
                  <w:noWrap w:val="0"/>
                  <w:vAlign w:val="center"/>
                </w:tcPr>
                <w:p w14:paraId="457CF121">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0.05</w:t>
                  </w:r>
                </w:p>
              </w:tc>
              <w:tc>
                <w:tcPr>
                  <w:tcW w:w="807" w:type="pct"/>
                  <w:noWrap w:val="0"/>
                  <w:vAlign w:val="center"/>
                </w:tcPr>
                <w:p w14:paraId="1F81190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ND~0.01</w:t>
                  </w:r>
                </w:p>
              </w:tc>
              <w:tc>
                <w:tcPr>
                  <w:tcW w:w="851" w:type="pct"/>
                  <w:noWrap w:val="0"/>
                  <w:vAlign w:val="center"/>
                </w:tcPr>
                <w:p w14:paraId="6927CFA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 ~0.003</w:t>
                  </w:r>
                </w:p>
              </w:tc>
              <w:tc>
                <w:tcPr>
                  <w:tcW w:w="490" w:type="pct"/>
                  <w:shd w:val="clear" w:color="auto" w:fill="auto"/>
                  <w:noWrap w:val="0"/>
                  <w:vAlign w:val="center"/>
                </w:tcPr>
                <w:p w14:paraId="03659516">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shd w:val="clear" w:color="auto" w:fill="auto"/>
                  <w:noWrap w:val="0"/>
                  <w:vAlign w:val="center"/>
                </w:tcPr>
                <w:p w14:paraId="11258E86">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r>
            <w:tr w14:paraId="2204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9" w:hRule="atLeast"/>
                <w:jc w:val="center"/>
              </w:trPr>
              <w:tc>
                <w:tcPr>
                  <w:tcW w:w="650" w:type="pct"/>
                  <w:vMerge w:val="continue"/>
                  <w:noWrap w:val="0"/>
                  <w:vAlign w:val="center"/>
                </w:tcPr>
                <w:p w14:paraId="2E9E183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p>
              </w:tc>
              <w:tc>
                <w:tcPr>
                  <w:tcW w:w="892" w:type="pct"/>
                  <w:noWrap w:val="0"/>
                  <w:vAlign w:val="center"/>
                </w:tcPr>
                <w:p w14:paraId="20D4AA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szCs w:val="20"/>
                      <w:highlight w:val="none"/>
                    </w:rPr>
                    <w:t>酚类</w:t>
                  </w:r>
                </w:p>
              </w:tc>
              <w:tc>
                <w:tcPr>
                  <w:tcW w:w="815" w:type="pct"/>
                  <w:noWrap w:val="0"/>
                  <w:vAlign w:val="center"/>
                </w:tcPr>
                <w:p w14:paraId="7D37911E">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0.02</w:t>
                  </w:r>
                </w:p>
              </w:tc>
              <w:tc>
                <w:tcPr>
                  <w:tcW w:w="807" w:type="pct"/>
                  <w:noWrap w:val="0"/>
                  <w:vAlign w:val="center"/>
                </w:tcPr>
                <w:p w14:paraId="7F070D5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w:t>
                  </w:r>
                </w:p>
              </w:tc>
              <w:tc>
                <w:tcPr>
                  <w:tcW w:w="851" w:type="pct"/>
                  <w:noWrap w:val="0"/>
                  <w:vAlign w:val="center"/>
                </w:tcPr>
                <w:p w14:paraId="677EE1F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ND ~0.25</w:t>
                  </w:r>
                </w:p>
              </w:tc>
              <w:tc>
                <w:tcPr>
                  <w:tcW w:w="490" w:type="pct"/>
                  <w:shd w:val="clear" w:color="auto" w:fill="auto"/>
                  <w:noWrap w:val="0"/>
                  <w:vAlign w:val="center"/>
                </w:tcPr>
                <w:p w14:paraId="4653D660">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c>
                <w:tcPr>
                  <w:tcW w:w="492" w:type="pct"/>
                  <w:shd w:val="clear" w:color="auto" w:fill="auto"/>
                  <w:noWrap w:val="0"/>
                  <w:vAlign w:val="center"/>
                </w:tcPr>
                <w:p w14:paraId="3D47FF4C">
                  <w:pPr>
                    <w:pStyle w:val="235"/>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color w:val="auto"/>
                      <w:kern w:val="24"/>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0</w:t>
                  </w:r>
                </w:p>
              </w:tc>
            </w:tr>
          </w:tbl>
          <w:p w14:paraId="69584CA5">
            <w:pPr>
              <w:pStyle w:val="2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szCs w:val="20"/>
                <w:highlight w:val="none"/>
                <w:lang w:val="en-US" w:eastAsia="zh-CN"/>
              </w:rPr>
            </w:pPr>
            <w:r>
              <w:rPr>
                <w:rFonts w:hint="default" w:ascii="Times New Roman" w:hAnsi="Times New Roman" w:cs="Times New Roman"/>
                <w:color w:val="auto"/>
                <w:sz w:val="24"/>
                <w:szCs w:val="24"/>
                <w:highlight w:val="none"/>
              </w:rPr>
              <w:t>由上表可知，清凉山风景名胜区TSP</w:t>
            </w:r>
            <w:r>
              <w:rPr>
                <w:rFonts w:hint="default" w:ascii="Times New Roman" w:hAnsi="Times New Roman" w:cs="Times New Roman"/>
                <w:color w:val="auto"/>
                <w:sz w:val="24"/>
                <w:szCs w:val="24"/>
                <w:highlight w:val="none"/>
                <w:lang w:val="en-US" w:eastAsia="zh-CN"/>
              </w:rPr>
              <w:t>浓度值均</w:t>
            </w:r>
            <w:r>
              <w:rPr>
                <w:rFonts w:hint="default" w:ascii="Times New Roman" w:hAnsi="Times New Roman" w:cs="Times New Roman"/>
                <w:color w:val="auto"/>
                <w:sz w:val="24"/>
                <w:szCs w:val="24"/>
                <w:highlight w:val="none"/>
              </w:rPr>
              <w:t>满足《环境空气质量标准》（GB3095-20</w:t>
            </w:r>
            <w:r>
              <w:rPr>
                <w:rFonts w:hint="eastAsia" w:cs="Times New Roman"/>
                <w:color w:val="auto"/>
                <w:sz w:val="24"/>
                <w:szCs w:val="24"/>
                <w:highlight w:val="none"/>
                <w:lang w:val="en-US" w:eastAsia="zh-CN"/>
              </w:rPr>
              <w:t>26</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一</w:t>
            </w:r>
            <w:r>
              <w:rPr>
                <w:rFonts w:hint="default" w:ascii="Times New Roman" w:hAnsi="Times New Roman" w:cs="Times New Roman"/>
                <w:color w:val="auto"/>
                <w:sz w:val="24"/>
                <w:szCs w:val="24"/>
                <w:highlight w:val="none"/>
              </w:rPr>
              <w:t>级标准</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非甲烷总烃浓度值均</w:t>
            </w:r>
            <w:r>
              <w:rPr>
                <w:rFonts w:hint="default" w:ascii="Times New Roman" w:hAnsi="Times New Roman" w:cs="Times New Roman"/>
                <w:color w:val="auto"/>
                <w:sz w:val="24"/>
                <w:szCs w:val="24"/>
                <w:highlight w:val="none"/>
              </w:rPr>
              <w:t>满足</w:t>
            </w:r>
            <w:r>
              <w:rPr>
                <w:rFonts w:hint="default" w:ascii="Times New Roman" w:hAnsi="Times New Roman" w:cs="Times New Roman"/>
                <w:color w:val="auto"/>
                <w:sz w:val="24"/>
                <w:szCs w:val="24"/>
                <w:highlight w:val="none"/>
                <w:lang w:val="en-US" w:eastAsia="zh-CN"/>
              </w:rPr>
              <w:t>河北省地方标准《环境空气质量 非甲烷总烃限值》（DB13/1577-2012）一级标准；</w:t>
            </w:r>
            <w:r>
              <w:rPr>
                <w:rFonts w:hint="default" w:ascii="Times New Roman" w:hAnsi="Times New Roman" w:cs="Times New Roman"/>
                <w:kern w:val="0"/>
                <w:sz w:val="24"/>
                <w:szCs w:val="20"/>
                <w:highlight w:val="none"/>
                <w:lang w:val="en-US" w:eastAsia="zh-CN" w:bidi="ar"/>
              </w:rPr>
              <w:t>甲醛</w:t>
            </w:r>
            <w:r>
              <w:rPr>
                <w:rFonts w:hint="default" w:ascii="Times New Roman" w:hAnsi="Times New Roman" w:eastAsia="宋体" w:cs="Times New Roman"/>
                <w:color w:val="auto"/>
                <w:sz w:val="24"/>
                <w:szCs w:val="24"/>
                <w:highlight w:val="none"/>
                <w:lang w:val="en-US" w:eastAsia="zh-CN"/>
              </w:rPr>
              <w:t>满足《环境影响评价技术导则 大气环境》（HJ2.2-2018）附录D中表D.1其他污染物空气质量浓度参考限值</w:t>
            </w:r>
            <w:r>
              <w:rPr>
                <w:rFonts w:hint="default" w:ascii="Times New Roman" w:hAnsi="Times New Roman" w:cs="Times New Roman"/>
                <w:kern w:val="0"/>
                <w:sz w:val="24"/>
                <w:szCs w:val="20"/>
                <w:highlight w:val="none"/>
                <w:lang w:val="en-US" w:eastAsia="zh-CN" w:bidi="ar"/>
              </w:rPr>
              <w:t>；酚类满足</w:t>
            </w:r>
            <w:r>
              <w:rPr>
                <w:rFonts w:hint="default" w:ascii="Times New Roman" w:hAnsi="Times New Roman" w:cs="Times New Roman"/>
                <w:color w:val="auto"/>
                <w:sz w:val="24"/>
                <w:szCs w:val="24"/>
                <w:highlight w:val="none"/>
                <w:lang w:val="en-US" w:eastAsia="zh-CN"/>
              </w:rPr>
              <w:t>《工业企业设计卫生标准》(TJ36-79)</w:t>
            </w:r>
            <w:r>
              <w:rPr>
                <w:rFonts w:hint="default" w:ascii="Times New Roman" w:hAnsi="Times New Roman" w:cs="Times New Roman"/>
                <w:color w:val="auto"/>
                <w:sz w:val="24"/>
                <w:szCs w:val="24"/>
                <w:highlight w:val="none"/>
              </w:rPr>
              <w:t>中最高容许浓度</w:t>
            </w:r>
            <w:r>
              <w:rPr>
                <w:rFonts w:hint="default" w:ascii="Times New Roman" w:hAnsi="Times New Roman" w:cs="Times New Roman"/>
                <w:color w:val="auto"/>
                <w:sz w:val="24"/>
                <w:szCs w:val="24"/>
                <w:highlight w:val="none"/>
                <w:lang w:eastAsia="zh-CN"/>
              </w:rPr>
              <w:t>。</w:t>
            </w:r>
          </w:p>
          <w:p w14:paraId="392CDCD0">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2、水环境</w:t>
            </w:r>
          </w:p>
          <w:p w14:paraId="02F6F137">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color w:val="auto"/>
                <w:kern w:val="0"/>
                <w:sz w:val="24"/>
                <w:highlight w:val="none"/>
                <w:lang w:bidi="ar"/>
              </w:rPr>
              <w:t>根据《202</w:t>
            </w:r>
            <w:r>
              <w:rPr>
                <w:rFonts w:hint="default" w:ascii="Times New Roman" w:hAnsi="Times New Roman" w:cs="Times New Roman"/>
                <w:color w:val="auto"/>
                <w:kern w:val="0"/>
                <w:sz w:val="24"/>
                <w:highlight w:val="none"/>
                <w:lang w:val="en-US" w:eastAsia="zh-CN" w:bidi="ar"/>
              </w:rPr>
              <w:t>4</w:t>
            </w:r>
            <w:r>
              <w:rPr>
                <w:rFonts w:hint="default" w:ascii="Times New Roman" w:hAnsi="Times New Roman" w:cs="Times New Roman"/>
                <w:color w:val="auto"/>
                <w:kern w:val="0"/>
                <w:sz w:val="24"/>
                <w:highlight w:val="none"/>
                <w:lang w:bidi="ar"/>
              </w:rPr>
              <w:t>年石家庄市生态环境状况公报》，</w:t>
            </w:r>
            <w:r>
              <w:rPr>
                <w:rFonts w:hint="default" w:ascii="Times New Roman" w:hAnsi="Times New Roman" w:cs="Times New Roman"/>
                <w:smallCaps w:val="0"/>
                <w:color w:val="auto"/>
                <w:spacing w:val="0"/>
                <w:highlight w:val="none"/>
              </w:rPr>
              <w:t>石家庄市地表水环境质量总体保持稳定，水质状况为轻度污染，其中水库水质状况为优，河流(渠)水质状况为轻度污染。全市12个地表水国省考断面中(2个监测断面长期断流无数据)，I~Ш类水质断面共计8个，占比80%，IV类水质断面共计2个，占比20%，无V类、劣V类水。水库水质状况</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岗南、黄壁庄水库水质均为优，岗南水库出口断面水质类别为工类，黄壁庄水库出口断面水质类别为Ⅱ类。河流(渠)水质状况</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绵河-冶河、石津总干渠水质状况为优，槐河和滹沱河水质状况为良好，洨河和汪洋沟水质状况为轻度污染，磁河、午河长期断流无数据。</w:t>
            </w:r>
          </w:p>
          <w:p w14:paraId="3C6ADD4F">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3、声环境</w:t>
            </w:r>
          </w:p>
          <w:p w14:paraId="67D3B8BC">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szCs w:val="20"/>
                <w:highlight w:val="none"/>
              </w:rPr>
            </w:pPr>
            <w:r>
              <w:rPr>
                <w:rFonts w:hint="default" w:ascii="Times New Roman" w:hAnsi="Times New Roman" w:cs="Times New Roman"/>
                <w:smallCaps w:val="0"/>
                <w:color w:val="auto"/>
                <w:spacing w:val="0"/>
                <w:szCs w:val="20"/>
                <w:highlight w:val="none"/>
              </w:rPr>
              <w:t>项目厂界外周边50米范围内不存在声环境保护目标。</w:t>
            </w:r>
          </w:p>
          <w:p w14:paraId="5A909853">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4、生态环境</w:t>
            </w:r>
          </w:p>
          <w:p w14:paraId="3ED68622">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lang w:val="en-US" w:eastAsia="zh-CN"/>
              </w:rPr>
              <w:t>本</w:t>
            </w:r>
            <w:r>
              <w:rPr>
                <w:rFonts w:hint="default" w:ascii="Times New Roman" w:hAnsi="Times New Roman" w:cs="Times New Roman"/>
                <w:smallCaps w:val="0"/>
                <w:color w:val="auto"/>
                <w:spacing w:val="0"/>
                <w:highlight w:val="none"/>
              </w:rPr>
              <w:t>项目</w:t>
            </w:r>
            <w:r>
              <w:rPr>
                <w:rFonts w:hint="default" w:ascii="Times New Roman" w:hAnsi="Times New Roman" w:eastAsia="宋体" w:cs="Times New Roman"/>
                <w:smallCaps w:val="0"/>
                <w:color w:val="auto"/>
                <w:spacing w:val="0"/>
                <w:highlight w:val="none"/>
              </w:rPr>
              <w:t>位于河北省石家庄市井陉矿区鑫鸿产业园</w:t>
            </w:r>
            <w:r>
              <w:rPr>
                <w:rFonts w:hint="default" w:ascii="Times New Roman" w:hAnsi="Times New Roman" w:eastAsia="宋体" w:cs="Times New Roman"/>
                <w:smallCaps w:val="0"/>
                <w:color w:val="auto"/>
                <w:spacing w:val="0"/>
                <w:highlight w:val="none"/>
                <w:lang w:val="en-US" w:eastAsia="zh-CN"/>
              </w:rPr>
              <w:t>现有厂区内，属于</w:t>
            </w:r>
            <w:r>
              <w:rPr>
                <w:rFonts w:hint="default" w:ascii="Times New Roman" w:hAnsi="Times New Roman" w:eastAsia="宋体" w:cs="Times New Roman"/>
                <w:smallCaps w:val="0"/>
                <w:color w:val="auto"/>
                <w:spacing w:val="0"/>
                <w:highlight w:val="none"/>
                <w:lang w:eastAsia="zh-CN"/>
              </w:rPr>
              <w:t>石钢片区</w:t>
            </w:r>
            <w:r>
              <w:rPr>
                <w:rFonts w:hint="default" w:ascii="Times New Roman" w:hAnsi="Times New Roman" w:eastAsia="宋体" w:cs="Times New Roman"/>
                <w:smallCaps w:val="0"/>
                <w:color w:val="auto"/>
                <w:spacing w:val="0"/>
                <w:highlight w:val="none"/>
              </w:rPr>
              <w:t>规划范围</w:t>
            </w:r>
            <w:r>
              <w:rPr>
                <w:rFonts w:hint="default" w:ascii="Times New Roman" w:hAnsi="Times New Roman" w:eastAsia="宋体" w:cs="Times New Roman"/>
                <w:smallCaps w:val="0"/>
                <w:color w:val="auto"/>
                <w:spacing w:val="0"/>
                <w:highlight w:val="none"/>
                <w:lang w:eastAsia="zh-CN"/>
              </w:rPr>
              <w:t>内；</w:t>
            </w:r>
            <w:r>
              <w:rPr>
                <w:rFonts w:hint="default" w:ascii="Times New Roman" w:hAnsi="Times New Roman" w:cs="Times New Roman"/>
                <w:smallCaps w:val="0"/>
                <w:color w:val="auto"/>
                <w:spacing w:val="0"/>
                <w:highlight w:val="none"/>
              </w:rPr>
              <w:t>项目周围无生态环境保护目标</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不需开展生态现状调查。</w:t>
            </w:r>
          </w:p>
          <w:p w14:paraId="092240EA">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5、电磁辐射</w:t>
            </w:r>
          </w:p>
          <w:p w14:paraId="1BCC32E0">
            <w:pPr>
              <w:keepNext w:val="0"/>
              <w:keepLines w:val="0"/>
              <w:widowControl/>
              <w:suppressLineNumbers w:val="0"/>
              <w:spacing w:before="0" w:beforeAutospacing="0" w:after="0" w:afterAutospacing="0" w:line="500" w:lineRule="exact"/>
              <w:ind w:left="0" w:right="0" w:firstLine="480" w:firstLineChars="200"/>
              <w:rPr>
                <w:rFonts w:hint="default" w:ascii="Times New Roman" w:hAnsi="Times New Roman" w:cs="Times New Roman"/>
                <w:smallCaps w:val="0"/>
                <w:color w:val="auto"/>
                <w:spacing w:val="0"/>
                <w:sz w:val="24"/>
                <w:szCs w:val="20"/>
                <w:highlight w:val="none"/>
              </w:rPr>
            </w:pPr>
            <w:r>
              <w:rPr>
                <w:rFonts w:hint="default" w:ascii="Times New Roman" w:hAnsi="Times New Roman" w:cs="Times New Roman"/>
                <w:smallCaps w:val="0"/>
                <w:color w:val="auto"/>
                <w:spacing w:val="0"/>
                <w:sz w:val="24"/>
                <w:szCs w:val="20"/>
                <w:highlight w:val="none"/>
              </w:rPr>
              <w:t>不涉及。</w:t>
            </w:r>
          </w:p>
          <w:p w14:paraId="56AE0E11">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6、地下水、土壤环境质量现状</w:t>
            </w:r>
          </w:p>
          <w:p w14:paraId="19980D6A">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建设项目不存在地下水、土壤环境污染途径，原则上不开展环境质量现状调查。</w:t>
            </w:r>
          </w:p>
          <w:p w14:paraId="36DFD9D4">
            <w:pPr>
              <w:pStyle w:val="21"/>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szCs w:val="20"/>
                <w:highlight w:val="none"/>
              </w:rPr>
            </w:pPr>
          </w:p>
          <w:p w14:paraId="580857CC">
            <w:pPr>
              <w:keepNext w:val="0"/>
              <w:keepLines w:val="0"/>
              <w:suppressLineNumbers w:val="0"/>
              <w:spacing w:before="0" w:beforeAutospacing="0" w:after="0" w:afterAutospacing="0"/>
              <w:ind w:left="0" w:right="0"/>
              <w:rPr>
                <w:rFonts w:hint="default" w:ascii="Times New Roman" w:hAnsi="Times New Roman" w:cs="Times New Roman"/>
                <w:szCs w:val="20"/>
                <w:highlight w:val="none"/>
              </w:rPr>
            </w:pPr>
          </w:p>
          <w:p w14:paraId="4674F3AB">
            <w:pPr>
              <w:keepNext w:val="0"/>
              <w:keepLines w:val="0"/>
              <w:suppressLineNumbers w:val="0"/>
              <w:spacing w:before="0" w:beforeAutospacing="0" w:after="0" w:afterAutospacing="0"/>
              <w:ind w:left="0" w:right="0"/>
              <w:rPr>
                <w:rFonts w:hint="default" w:ascii="Times New Roman" w:hAnsi="Times New Roman" w:cs="Times New Roman"/>
                <w:szCs w:val="20"/>
                <w:highlight w:val="none"/>
              </w:rPr>
            </w:pPr>
          </w:p>
        </w:tc>
      </w:tr>
      <w:tr w14:paraId="0B1D49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71" w:type="pct"/>
            <w:vAlign w:val="center"/>
          </w:tcPr>
          <w:p w14:paraId="3C3BCFF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环境</w:t>
            </w:r>
          </w:p>
          <w:p w14:paraId="49B3910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保护</w:t>
            </w:r>
          </w:p>
          <w:p w14:paraId="74F3AB0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目标</w:t>
            </w:r>
          </w:p>
        </w:tc>
        <w:tc>
          <w:tcPr>
            <w:tcW w:w="4728" w:type="pct"/>
            <w:vAlign w:val="center"/>
          </w:tcPr>
          <w:p w14:paraId="114D443E">
            <w:pPr>
              <w:pStyle w:val="171"/>
              <w:keepNext w:val="0"/>
              <w:keepLines w:val="0"/>
              <w:suppressLineNumbers w:val="0"/>
              <w:spacing w:before="0" w:beforeAutospacing="0" w:after="0" w:afterAutospacing="0"/>
              <w:ind w:left="0" w:right="0" w:firstLine="482"/>
              <w:rPr>
                <w:rFonts w:hint="default" w:ascii="Times New Roman" w:hAnsi="Times New Roman" w:cs="Times New Roman"/>
                <w:b/>
                <w:bCs/>
                <w:smallCaps w:val="0"/>
                <w:color w:val="auto"/>
                <w:spacing w:val="0"/>
                <w:highlight w:val="none"/>
              </w:rPr>
            </w:pPr>
            <w:r>
              <w:rPr>
                <w:rFonts w:hint="default" w:ascii="Times New Roman" w:hAnsi="Times New Roman" w:cs="Times New Roman"/>
                <w:b/>
                <w:bCs/>
                <w:smallCaps w:val="0"/>
                <w:color w:val="auto"/>
                <w:spacing w:val="0"/>
                <w:highlight w:val="none"/>
              </w:rPr>
              <w:t>1、大气环境</w:t>
            </w:r>
          </w:p>
          <w:p w14:paraId="58DDBDC3">
            <w:pPr>
              <w:keepNext w:val="0"/>
              <w:keepLines w:val="0"/>
              <w:numPr>
                <w:ilvl w:val="0"/>
                <w:numId w:val="0"/>
              </w:numPr>
              <w:suppressLineNumbers w:val="0"/>
              <w:spacing w:before="0" w:beforeAutospacing="0" w:after="0" w:afterAutospacing="0" w:line="360" w:lineRule="auto"/>
              <w:ind w:left="0" w:right="0" w:firstLine="480" w:firstLineChars="200"/>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snapToGrid w:val="0"/>
                <w:color w:val="000000"/>
                <w:sz w:val="24"/>
                <w:szCs w:val="20"/>
                <w:highlight w:val="none"/>
              </w:rPr>
              <w:t>大气评价范围内环境空气保护目标主要包括村庄或居住区、学校和风景名胜区等，清凉山风景名胜区为一类区，保护级别</w:t>
            </w:r>
            <w:r>
              <w:rPr>
                <w:rFonts w:hint="default" w:ascii="Times New Roman" w:hAnsi="Times New Roman" w:cs="Times New Roman"/>
                <w:snapToGrid w:val="0"/>
                <w:color w:val="000000"/>
                <w:sz w:val="24"/>
                <w:szCs w:val="20"/>
                <w:highlight w:val="none"/>
                <w:lang w:val="en-US" w:eastAsia="zh-CN"/>
              </w:rPr>
              <w:t>需</w:t>
            </w:r>
            <w:r>
              <w:rPr>
                <w:rFonts w:hint="default" w:ascii="Times New Roman" w:hAnsi="Times New Roman" w:eastAsia="宋体" w:cs="Times New Roman"/>
                <w:snapToGrid w:val="0"/>
                <w:color w:val="000000"/>
                <w:sz w:val="24"/>
                <w:szCs w:val="20"/>
                <w:highlight w:val="none"/>
              </w:rPr>
              <w:t>满足</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环境空气质量标准</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GB3095-20</w:t>
            </w:r>
            <w:r>
              <w:rPr>
                <w:rFonts w:hint="eastAsia" w:cs="Times New Roman"/>
                <w:snapToGrid w:val="0"/>
                <w:color w:val="000000"/>
                <w:sz w:val="24"/>
                <w:szCs w:val="20"/>
                <w:highlight w:val="none"/>
                <w:lang w:val="en-US" w:eastAsia="zh-CN"/>
              </w:rPr>
              <w:t>26</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一级标准</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其他区域为二类区，保护级别为满足</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环境空气质量标准</w:t>
            </w:r>
            <w:r>
              <w:rPr>
                <w:rFonts w:hint="default" w:ascii="Times New Roman" w:hAnsi="Times New Roman" w:cs="Times New Roman"/>
                <w:snapToGrid w:val="0"/>
                <w:color w:val="000000"/>
                <w:sz w:val="24"/>
                <w:szCs w:val="20"/>
                <w:highlight w:val="none"/>
                <w:lang w:eastAsia="zh-CN"/>
              </w:rPr>
              <w:t>》</w:t>
            </w:r>
            <w:r>
              <w:rPr>
                <w:rFonts w:hint="default" w:ascii="Times New Roman" w:hAnsi="Times New Roman" w:eastAsia="宋体" w:cs="Times New Roman"/>
                <w:snapToGrid w:val="0"/>
                <w:color w:val="000000"/>
                <w:sz w:val="24"/>
                <w:szCs w:val="20"/>
                <w:highlight w:val="none"/>
              </w:rPr>
              <w:t>过渡阶段浓度限值二级标准。具体详见</w:t>
            </w:r>
            <w:r>
              <w:rPr>
                <w:rFonts w:hint="default" w:ascii="Times New Roman" w:hAnsi="Times New Roman" w:cs="Times New Roman"/>
                <w:snapToGrid w:val="0"/>
                <w:color w:val="000000"/>
                <w:sz w:val="24"/>
                <w:szCs w:val="20"/>
                <w:highlight w:val="none"/>
                <w:lang w:val="en-US" w:eastAsia="zh-CN"/>
              </w:rPr>
              <w:t>下表</w:t>
            </w:r>
            <w:r>
              <w:rPr>
                <w:rFonts w:hint="default" w:ascii="Times New Roman" w:hAnsi="Times New Roman" w:eastAsia="宋体" w:cs="Times New Roman"/>
                <w:snapToGrid w:val="0"/>
                <w:color w:val="000000"/>
                <w:sz w:val="24"/>
                <w:szCs w:val="20"/>
                <w:highlight w:val="none"/>
              </w:rPr>
              <w:t>。</w:t>
            </w:r>
          </w:p>
          <w:p w14:paraId="56A67942">
            <w:pPr>
              <w:pStyle w:val="66"/>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textAlignment w:val="auto"/>
              <w:rPr>
                <w:rFonts w:hint="default" w:ascii="Times New Roman" w:hAnsi="Times New Roman" w:cs="Times New Roman"/>
                <w:color w:val="000000"/>
                <w:highlight w:val="none"/>
                <w:lang w:val="en-US" w:eastAsia="zh-CN"/>
              </w:rPr>
            </w:pPr>
            <w:bookmarkStart w:id="8" w:name="_Ref369164422"/>
            <w:r>
              <w:rPr>
                <w:rFonts w:hint="default" w:ascii="Times New Roman" w:hAnsi="Times New Roman" w:cs="Times New Roman"/>
                <w:color w:val="000000"/>
                <w:highlight w:val="none"/>
                <w:lang w:val="en-US" w:eastAsia="zh-CN"/>
              </w:rPr>
              <w:t>表3-4    大气环境保护目标及保护级别</w:t>
            </w:r>
            <w:bookmarkEnd w:id="8"/>
          </w:p>
          <w:tbl>
            <w:tblPr>
              <w:tblStyle w:val="47"/>
              <w:tblW w:w="4995"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65"/>
              <w:gridCol w:w="1285"/>
              <w:gridCol w:w="1190"/>
              <w:gridCol w:w="1655"/>
              <w:gridCol w:w="729"/>
              <w:gridCol w:w="1759"/>
              <w:gridCol w:w="423"/>
              <w:gridCol w:w="526"/>
            </w:tblGrid>
            <w:tr w14:paraId="1C2853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69" w:type="pct"/>
                  <w:vMerge w:val="restart"/>
                  <w:tcBorders>
                    <w:bottom w:val="nil"/>
                  </w:tcBorders>
                  <w:noWrap w:val="0"/>
                  <w:vAlign w:val="center"/>
                </w:tcPr>
                <w:p w14:paraId="708F719D">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rPr>
                    <w:t>环境要素</w:t>
                  </w:r>
                </w:p>
              </w:tc>
              <w:tc>
                <w:tcPr>
                  <w:tcW w:w="1579" w:type="pct"/>
                  <w:gridSpan w:val="2"/>
                  <w:noWrap w:val="0"/>
                  <w:vAlign w:val="center"/>
                </w:tcPr>
                <w:p w14:paraId="1F135889">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rPr>
                    <w:t>坐标°</w:t>
                  </w:r>
                </w:p>
              </w:tc>
              <w:tc>
                <w:tcPr>
                  <w:tcW w:w="1056" w:type="pct"/>
                  <w:vMerge w:val="restart"/>
                  <w:tcBorders>
                    <w:bottom w:val="nil"/>
                  </w:tcBorders>
                  <w:noWrap w:val="0"/>
                  <w:vAlign w:val="center"/>
                </w:tcPr>
                <w:p w14:paraId="229C7D19">
                  <w:pPr>
                    <w:pStyle w:val="228"/>
                    <w:keepNext w:val="0"/>
                    <w:keepLines w:val="0"/>
                    <w:suppressLineNumbers w:val="0"/>
                    <w:spacing w:before="0" w:beforeAutospacing="0" w:after="0" w:afterAutospacing="0" w:line="240" w:lineRule="exact"/>
                    <w:ind w:left="0" w:right="0"/>
                    <w:jc w:val="center"/>
                    <w:rPr>
                      <w:rFonts w:hint="default" w:ascii="Times New Roman" w:hAnsi="Times New Roman" w:eastAsia="宋体" w:cs="Times New Roman"/>
                      <w:b/>
                      <w:bCs/>
                      <w:color w:val="auto"/>
                      <w:spacing w:val="-2"/>
                      <w:sz w:val="21"/>
                      <w:szCs w:val="21"/>
                      <w:highlight w:val="none"/>
                      <w:lang w:eastAsia="zh-CN"/>
                    </w:rPr>
                  </w:pPr>
                  <w:r>
                    <w:rPr>
                      <w:rFonts w:hint="default" w:ascii="Times New Roman" w:hAnsi="Times New Roman" w:cs="Times New Roman"/>
                      <w:b/>
                      <w:bCs/>
                      <w:color w:val="auto"/>
                      <w:spacing w:val="-2"/>
                      <w:sz w:val="21"/>
                      <w:szCs w:val="21"/>
                      <w:highlight w:val="none"/>
                      <w:lang w:val="en-US" w:eastAsia="zh-CN"/>
                    </w:rPr>
                    <w:t>保护对象</w:t>
                  </w:r>
                </w:p>
              </w:tc>
              <w:tc>
                <w:tcPr>
                  <w:tcW w:w="465" w:type="pct"/>
                  <w:vMerge w:val="restart"/>
                  <w:noWrap w:val="0"/>
                  <w:vAlign w:val="center"/>
                </w:tcPr>
                <w:p w14:paraId="0EE16C2F">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lang w:val="en-US" w:eastAsia="zh-CN"/>
                    </w:rPr>
                  </w:pPr>
                  <w:r>
                    <w:rPr>
                      <w:rFonts w:hint="default" w:ascii="Times New Roman" w:hAnsi="Times New Roman" w:cs="Times New Roman"/>
                      <w:b/>
                      <w:bCs/>
                      <w:color w:val="auto"/>
                      <w:spacing w:val="-2"/>
                      <w:sz w:val="21"/>
                      <w:szCs w:val="21"/>
                      <w:highlight w:val="none"/>
                    </w:rPr>
                    <w:t>保护内容</w:t>
                  </w:r>
                </w:p>
              </w:tc>
              <w:tc>
                <w:tcPr>
                  <w:tcW w:w="1122" w:type="pct"/>
                  <w:vMerge w:val="restart"/>
                  <w:noWrap w:val="0"/>
                  <w:vAlign w:val="center"/>
                </w:tcPr>
                <w:p w14:paraId="777C9C56">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lang w:val="en-US" w:eastAsia="zh-CN"/>
                    </w:rPr>
                    <w:t>环境功能区</w:t>
                  </w:r>
                </w:p>
              </w:tc>
              <w:tc>
                <w:tcPr>
                  <w:tcW w:w="270" w:type="pct"/>
                  <w:vMerge w:val="restart"/>
                  <w:tcBorders>
                    <w:bottom w:val="nil"/>
                  </w:tcBorders>
                  <w:noWrap w:val="0"/>
                  <w:vAlign w:val="center"/>
                </w:tcPr>
                <w:p w14:paraId="1B683838">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lang w:val="en-US" w:eastAsia="zh-CN"/>
                    </w:rPr>
                    <w:t>相对厂址</w:t>
                  </w:r>
                  <w:r>
                    <w:rPr>
                      <w:rFonts w:hint="default" w:ascii="Times New Roman" w:hAnsi="Times New Roman" w:cs="Times New Roman"/>
                      <w:b/>
                      <w:bCs/>
                      <w:color w:val="auto"/>
                      <w:spacing w:val="-2"/>
                      <w:sz w:val="21"/>
                      <w:szCs w:val="21"/>
                      <w:highlight w:val="none"/>
                    </w:rPr>
                    <w:t>方位</w:t>
                  </w:r>
                </w:p>
              </w:tc>
              <w:tc>
                <w:tcPr>
                  <w:tcW w:w="335" w:type="pct"/>
                  <w:vMerge w:val="restart"/>
                  <w:tcBorders>
                    <w:bottom w:val="nil"/>
                  </w:tcBorders>
                  <w:noWrap w:val="0"/>
                  <w:vAlign w:val="center"/>
                </w:tcPr>
                <w:p w14:paraId="2E984ED2">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lang w:val="en-US" w:eastAsia="zh-CN"/>
                    </w:rPr>
                    <w:t>相对</w:t>
                  </w:r>
                  <w:r>
                    <w:rPr>
                      <w:rFonts w:hint="default" w:ascii="Times New Roman" w:hAnsi="Times New Roman" w:cs="Times New Roman"/>
                      <w:b/>
                      <w:bCs/>
                      <w:color w:val="auto"/>
                      <w:spacing w:val="-2"/>
                      <w:sz w:val="21"/>
                      <w:szCs w:val="21"/>
                      <w:highlight w:val="none"/>
                      <w:lang w:eastAsia="zh-CN"/>
                    </w:rPr>
                    <w:t>厂界</w:t>
                  </w:r>
                  <w:r>
                    <w:rPr>
                      <w:rFonts w:hint="default" w:ascii="Times New Roman" w:hAnsi="Times New Roman" w:cs="Times New Roman"/>
                      <w:b/>
                      <w:bCs/>
                      <w:color w:val="auto"/>
                      <w:spacing w:val="-2"/>
                      <w:sz w:val="21"/>
                      <w:szCs w:val="21"/>
                      <w:highlight w:val="none"/>
                    </w:rPr>
                    <w:t>距离(m)</w:t>
                  </w:r>
                </w:p>
              </w:tc>
            </w:tr>
            <w:tr w14:paraId="16B4E8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69" w:type="pct"/>
                  <w:vMerge w:val="continue"/>
                  <w:tcBorders>
                    <w:top w:val="nil"/>
                  </w:tcBorders>
                  <w:noWrap w:val="0"/>
                  <w:vAlign w:val="center"/>
                </w:tcPr>
                <w:p w14:paraId="064E8B85">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7F019B6D">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rPr>
                    <w:t>东经</w:t>
                  </w:r>
                </w:p>
              </w:tc>
              <w:tc>
                <w:tcPr>
                  <w:tcW w:w="759" w:type="pct"/>
                  <w:noWrap w:val="0"/>
                  <w:vAlign w:val="center"/>
                </w:tcPr>
                <w:p w14:paraId="72940C01">
                  <w:pPr>
                    <w:pStyle w:val="228"/>
                    <w:keepNext w:val="0"/>
                    <w:keepLines w:val="0"/>
                    <w:suppressLineNumbers w:val="0"/>
                    <w:spacing w:before="0" w:beforeAutospacing="0" w:after="0" w:afterAutospacing="0" w:line="240" w:lineRule="exact"/>
                    <w:ind w:left="0" w:right="0"/>
                    <w:jc w:val="center"/>
                    <w:rPr>
                      <w:rFonts w:hint="default" w:ascii="Times New Roman" w:hAnsi="Times New Roman" w:cs="Times New Roman"/>
                      <w:b/>
                      <w:bCs/>
                      <w:color w:val="auto"/>
                      <w:spacing w:val="-2"/>
                      <w:sz w:val="21"/>
                      <w:szCs w:val="21"/>
                      <w:highlight w:val="none"/>
                    </w:rPr>
                  </w:pPr>
                  <w:r>
                    <w:rPr>
                      <w:rFonts w:hint="default" w:ascii="Times New Roman" w:hAnsi="Times New Roman" w:cs="Times New Roman"/>
                      <w:b/>
                      <w:bCs/>
                      <w:color w:val="auto"/>
                      <w:spacing w:val="-2"/>
                      <w:sz w:val="21"/>
                      <w:szCs w:val="21"/>
                      <w:highlight w:val="none"/>
                    </w:rPr>
                    <w:t>北纬</w:t>
                  </w:r>
                </w:p>
              </w:tc>
              <w:tc>
                <w:tcPr>
                  <w:tcW w:w="1056" w:type="pct"/>
                  <w:vMerge w:val="continue"/>
                  <w:tcBorders>
                    <w:top w:val="nil"/>
                  </w:tcBorders>
                  <w:noWrap w:val="0"/>
                  <w:vAlign w:val="center"/>
                </w:tcPr>
                <w:p w14:paraId="49D76922">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465" w:type="pct"/>
                  <w:vMerge w:val="continue"/>
                  <w:noWrap w:val="0"/>
                  <w:textDirection w:val="tbRlV"/>
                  <w:vAlign w:val="center"/>
                </w:tcPr>
                <w:p w14:paraId="25575A80">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1122" w:type="pct"/>
                  <w:vMerge w:val="continue"/>
                  <w:noWrap w:val="0"/>
                  <w:textDirection w:val="tbRlV"/>
                  <w:vAlign w:val="center"/>
                </w:tcPr>
                <w:p w14:paraId="32B83D43">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270" w:type="pct"/>
                  <w:vMerge w:val="continue"/>
                  <w:tcBorders>
                    <w:top w:val="nil"/>
                  </w:tcBorders>
                  <w:noWrap w:val="0"/>
                  <w:textDirection w:val="tbRlV"/>
                  <w:vAlign w:val="center"/>
                </w:tcPr>
                <w:p w14:paraId="46AA4246">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335" w:type="pct"/>
                  <w:vMerge w:val="continue"/>
                  <w:tcBorders>
                    <w:top w:val="nil"/>
                  </w:tcBorders>
                  <w:noWrap w:val="0"/>
                  <w:vAlign w:val="center"/>
                </w:tcPr>
                <w:p w14:paraId="3F3D9892">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r>
            <w:tr w14:paraId="6FA17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restart"/>
                  <w:noWrap w:val="0"/>
                  <w:vAlign w:val="center"/>
                </w:tcPr>
                <w:p w14:paraId="7FCF36D4">
                  <w:pPr>
                    <w:pStyle w:val="228"/>
                    <w:keepNext w:val="0"/>
                    <w:keepLines w:val="0"/>
                    <w:suppressLineNumbers w:val="0"/>
                    <w:spacing w:before="0" w:beforeAutospacing="0" w:after="0" w:afterAutospacing="0" w:line="240" w:lineRule="exact"/>
                    <w:ind w:left="0" w:right="0"/>
                    <w:jc w:val="center"/>
                    <w:rPr>
                      <w:rFonts w:hint="default" w:ascii="Times New Roman" w:hAnsi="Times New Roman" w:eastAsia="宋体" w:cs="Times New Roman"/>
                      <w:color w:val="auto"/>
                      <w:spacing w:val="-2"/>
                      <w:sz w:val="21"/>
                      <w:szCs w:val="21"/>
                      <w:highlight w:val="none"/>
                      <w:lang w:eastAsia="zh-CN"/>
                    </w:rPr>
                  </w:pPr>
                  <w:r>
                    <w:rPr>
                      <w:rFonts w:hint="default" w:ascii="Times New Roman" w:hAnsi="Times New Roman" w:cs="Times New Roman"/>
                      <w:color w:val="auto"/>
                      <w:spacing w:val="-2"/>
                      <w:sz w:val="21"/>
                      <w:szCs w:val="21"/>
                      <w:highlight w:val="none"/>
                      <w:lang w:val="en-US" w:eastAsia="zh-CN"/>
                    </w:rPr>
                    <w:t>环境空气</w:t>
                  </w:r>
                </w:p>
              </w:tc>
              <w:tc>
                <w:tcPr>
                  <w:tcW w:w="820" w:type="pct"/>
                  <w:noWrap w:val="0"/>
                  <w:vAlign w:val="center"/>
                </w:tcPr>
                <w:p w14:paraId="058D6A91">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pacing w:val="-2"/>
                      <w:sz w:val="21"/>
                      <w:szCs w:val="21"/>
                      <w:highlight w:val="none"/>
                    </w:rPr>
                  </w:pPr>
                  <w:r>
                    <w:rPr>
                      <w:rFonts w:hint="default" w:ascii="Times New Roman" w:hAnsi="Times New Roman" w:eastAsia="宋体" w:cs="Times New Roman"/>
                      <w:color w:val="000000"/>
                      <w:kern w:val="2"/>
                      <w:sz w:val="21"/>
                      <w:szCs w:val="21"/>
                      <w:highlight w:val="none"/>
                      <w:lang w:val="en-US" w:eastAsia="zh-CN" w:bidi="ar-SA"/>
                    </w:rPr>
                    <w:t>114.03827309</w:t>
                  </w:r>
                </w:p>
              </w:tc>
              <w:tc>
                <w:tcPr>
                  <w:tcW w:w="759" w:type="pct"/>
                  <w:noWrap w:val="0"/>
                  <w:vAlign w:val="center"/>
                </w:tcPr>
                <w:p w14:paraId="7D92109B">
                  <w:pPr>
                    <w:keepNext w:val="0"/>
                    <w:keepLines w:val="0"/>
                    <w:suppressLineNumbers w:val="0"/>
                    <w:spacing w:before="0" w:beforeAutospacing="0" w:after="0" w:afterAutospacing="0"/>
                    <w:ind w:left="0" w:leftChars="0" w:right="0" w:rightChars="0"/>
                    <w:jc w:val="center"/>
                    <w:rPr>
                      <w:rFonts w:hint="default" w:ascii="Times New Roman" w:hAnsi="Times New Roman" w:cs="Times New Roman"/>
                      <w:color w:val="auto"/>
                      <w:spacing w:val="-2"/>
                      <w:sz w:val="21"/>
                      <w:szCs w:val="21"/>
                      <w:highlight w:val="none"/>
                    </w:rPr>
                  </w:pPr>
                  <w:r>
                    <w:rPr>
                      <w:rFonts w:hint="default" w:ascii="Times New Roman" w:hAnsi="Times New Roman" w:eastAsia="宋体" w:cs="Times New Roman"/>
                      <w:color w:val="000000"/>
                      <w:kern w:val="2"/>
                      <w:sz w:val="21"/>
                      <w:szCs w:val="21"/>
                      <w:highlight w:val="none"/>
                      <w:lang w:val="en-US" w:eastAsia="zh-CN" w:bidi="ar-SA"/>
                    </w:rPr>
                    <w:t>38.10626141</w:t>
                  </w:r>
                </w:p>
              </w:tc>
              <w:tc>
                <w:tcPr>
                  <w:tcW w:w="1056" w:type="pct"/>
                  <w:noWrap w:val="0"/>
                  <w:vAlign w:val="center"/>
                </w:tcPr>
                <w:p w14:paraId="25B877B3">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贾庄村</w:t>
                  </w:r>
                </w:p>
              </w:tc>
              <w:tc>
                <w:tcPr>
                  <w:tcW w:w="465" w:type="pct"/>
                  <w:noWrap w:val="0"/>
                  <w:vAlign w:val="center"/>
                </w:tcPr>
                <w:p w14:paraId="64D394A6">
                  <w:pPr>
                    <w:keepNext w:val="0"/>
                    <w:keepLines w:val="0"/>
                    <w:suppressLineNumbers w:val="0"/>
                    <w:tabs>
                      <w:tab w:val="left" w:pos="3580"/>
                    </w:tabs>
                    <w:topLinePunct/>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restart"/>
                  <w:noWrap w:val="0"/>
                  <w:vAlign w:val="center"/>
                </w:tcPr>
                <w:p w14:paraId="01533B45">
                  <w:pPr>
                    <w:keepNext w:val="0"/>
                    <w:keepLines w:val="0"/>
                    <w:pageBreakBefore w:val="0"/>
                    <w:widowControl w:val="0"/>
                    <w:suppressLineNumbers w:val="0"/>
                    <w:tabs>
                      <w:tab w:val="left" w:pos="3580"/>
                    </w:tabs>
                    <w:kinsoku/>
                    <w:wordWrap/>
                    <w:overflowPunct/>
                    <w:topLinePunct/>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bCs/>
                      <w:snapToGrid w:val="0"/>
                      <w:color w:val="auto"/>
                      <w:spacing w:val="-6"/>
                      <w:sz w:val="21"/>
                      <w:szCs w:val="21"/>
                      <w:highlight w:val="none"/>
                    </w:rPr>
                  </w:pPr>
                  <w:r>
                    <w:rPr>
                      <w:rFonts w:hint="default" w:ascii="Times New Roman" w:hAnsi="Times New Roman" w:cs="Times New Roman"/>
                      <w:snapToGrid w:val="0"/>
                      <w:color w:val="auto"/>
                      <w:spacing w:val="-6"/>
                      <w:sz w:val="21"/>
                      <w:szCs w:val="21"/>
                      <w:highlight w:val="none"/>
                      <w:lang w:eastAsia="zh-CN"/>
                    </w:rPr>
                    <w:t>《环境空气质量标准》（GB3095-20</w:t>
                  </w:r>
                  <w:r>
                    <w:rPr>
                      <w:rFonts w:hint="eastAsia" w:cs="Times New Roman"/>
                      <w:snapToGrid w:val="0"/>
                      <w:color w:val="auto"/>
                      <w:spacing w:val="-6"/>
                      <w:sz w:val="21"/>
                      <w:szCs w:val="21"/>
                      <w:highlight w:val="none"/>
                      <w:lang w:val="en-US" w:eastAsia="zh-CN"/>
                    </w:rPr>
                    <w:t>26</w:t>
                  </w:r>
                  <w:r>
                    <w:rPr>
                      <w:rFonts w:hint="default" w:ascii="Times New Roman" w:hAnsi="Times New Roman" w:cs="Times New Roman"/>
                      <w:snapToGrid w:val="0"/>
                      <w:color w:val="auto"/>
                      <w:spacing w:val="-6"/>
                      <w:sz w:val="21"/>
                      <w:szCs w:val="21"/>
                      <w:highlight w:val="none"/>
                      <w:lang w:eastAsia="zh-CN"/>
                    </w:rPr>
                    <w:t>）</w:t>
                  </w:r>
                  <w:r>
                    <w:rPr>
                      <w:rFonts w:hint="eastAsia" w:cs="Times New Roman"/>
                      <w:bCs/>
                      <w:color w:val="auto"/>
                      <w:kern w:val="2"/>
                      <w:sz w:val="21"/>
                      <w:szCs w:val="21"/>
                      <w:highlight w:val="none"/>
                      <w:lang w:val="en-US" w:eastAsia="zh-CN" w:bidi="ar"/>
                    </w:rPr>
                    <w:t>过渡阶段浓度限值二级标准</w:t>
                  </w:r>
                  <w:r>
                    <w:rPr>
                      <w:rFonts w:hint="default" w:ascii="Times New Roman" w:hAnsi="Times New Roman" w:cs="Times New Roman"/>
                      <w:snapToGrid w:val="0"/>
                      <w:color w:val="auto"/>
                      <w:spacing w:val="-6"/>
                      <w:sz w:val="21"/>
                      <w:szCs w:val="21"/>
                      <w:highlight w:val="none"/>
                      <w:lang w:eastAsia="zh-CN"/>
                    </w:rPr>
                    <w:t>、河北省地方标准《环境空气质量</w:t>
                  </w:r>
                  <w:r>
                    <w:rPr>
                      <w:rFonts w:hint="default" w:ascii="Times New Roman" w:hAnsi="Times New Roman" w:cs="Times New Roman"/>
                      <w:snapToGrid w:val="0"/>
                      <w:color w:val="auto"/>
                      <w:spacing w:val="-6"/>
                      <w:sz w:val="21"/>
                      <w:szCs w:val="21"/>
                      <w:highlight w:val="none"/>
                      <w:lang w:val="en-US" w:eastAsia="zh-CN"/>
                    </w:rPr>
                    <w:t xml:space="preserve"> </w:t>
                  </w:r>
                  <w:r>
                    <w:rPr>
                      <w:rFonts w:hint="default" w:ascii="Times New Roman" w:hAnsi="Times New Roman" w:cs="Times New Roman"/>
                      <w:snapToGrid w:val="0"/>
                      <w:color w:val="auto"/>
                      <w:spacing w:val="-6"/>
                      <w:sz w:val="21"/>
                      <w:szCs w:val="21"/>
                      <w:highlight w:val="none"/>
                      <w:lang w:eastAsia="zh-CN"/>
                    </w:rPr>
                    <w:t>非甲烷总烃限值》（DB13/1577-2012）表1中1小时平均浓度限值二级标准以及《环境影响评价技术导则 大气环境》（HJ2.2-2018）附录D</w:t>
                  </w:r>
                </w:p>
              </w:tc>
              <w:tc>
                <w:tcPr>
                  <w:tcW w:w="270" w:type="pct"/>
                  <w:noWrap w:val="0"/>
                  <w:vAlign w:val="center"/>
                </w:tcPr>
                <w:p w14:paraId="17269504">
                  <w:pPr>
                    <w:keepNext w:val="0"/>
                    <w:keepLines w:val="0"/>
                    <w:suppressLineNumbers w:val="0"/>
                    <w:spacing w:before="0" w:beforeAutospacing="0" w:after="0" w:afterAutospacing="0" w:line="280" w:lineRule="exact"/>
                    <w:ind w:left="0" w:right="0"/>
                    <w:jc w:val="center"/>
                    <w:rPr>
                      <w:rFonts w:hint="default" w:ascii="Times New Roman" w:hAnsi="Times New Roman" w:eastAsia="宋体" w:cs="Times New Roman"/>
                      <w:color w:val="auto"/>
                      <w:spacing w:val="-2"/>
                      <w:sz w:val="21"/>
                      <w:szCs w:val="21"/>
                      <w:highlight w:val="none"/>
                      <w:lang w:eastAsia="zh-CN"/>
                    </w:rPr>
                  </w:pPr>
                  <w:r>
                    <w:rPr>
                      <w:rFonts w:hint="default" w:ascii="Times New Roman" w:hAnsi="Times New Roman" w:cs="Times New Roman"/>
                      <w:color w:val="auto"/>
                      <w:sz w:val="21"/>
                      <w:szCs w:val="21"/>
                      <w:highlight w:val="none"/>
                      <w:lang w:val="en-US" w:eastAsia="zh-CN"/>
                    </w:rPr>
                    <w:t>W</w:t>
                  </w:r>
                </w:p>
              </w:tc>
              <w:tc>
                <w:tcPr>
                  <w:tcW w:w="335" w:type="pct"/>
                  <w:noWrap w:val="0"/>
                  <w:vAlign w:val="center"/>
                </w:tcPr>
                <w:p w14:paraId="0ABA11CF">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rPr>
                  </w:pPr>
                  <w:r>
                    <w:rPr>
                      <w:rFonts w:hint="default" w:ascii="Times New Roman" w:hAnsi="Times New Roman" w:eastAsia="宋体" w:cs="Times New Roman"/>
                      <w:color w:val="000000"/>
                      <w:szCs w:val="21"/>
                      <w:highlight w:val="none"/>
                      <w:lang w:val="en-US" w:eastAsia="zh-CN"/>
                    </w:rPr>
                    <w:t>360</w:t>
                  </w:r>
                </w:p>
              </w:tc>
            </w:tr>
            <w:tr w14:paraId="0816F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22C3983B">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rPr>
                  </w:pPr>
                </w:p>
              </w:tc>
              <w:tc>
                <w:tcPr>
                  <w:tcW w:w="820" w:type="pct"/>
                  <w:noWrap w:val="0"/>
                  <w:vAlign w:val="center"/>
                </w:tcPr>
                <w:p w14:paraId="05EEF1A5">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pacing w:val="-2"/>
                      <w:sz w:val="21"/>
                      <w:szCs w:val="21"/>
                      <w:highlight w:val="none"/>
                    </w:rPr>
                    <w:t>114.02597705</w:t>
                  </w:r>
                </w:p>
              </w:tc>
              <w:tc>
                <w:tcPr>
                  <w:tcW w:w="759" w:type="pct"/>
                  <w:noWrap w:val="0"/>
                  <w:vAlign w:val="center"/>
                </w:tcPr>
                <w:p w14:paraId="585C4F6F">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pacing w:val="-2"/>
                      <w:sz w:val="21"/>
                      <w:szCs w:val="21"/>
                      <w:highlight w:val="none"/>
                    </w:rPr>
                    <w:t>38.11539813</w:t>
                  </w:r>
                </w:p>
              </w:tc>
              <w:tc>
                <w:tcPr>
                  <w:tcW w:w="1056" w:type="pct"/>
                  <w:noWrap w:val="0"/>
                  <w:vAlign w:val="center"/>
                </w:tcPr>
                <w:p w14:paraId="41C0C82B">
                  <w:pPr>
                    <w:keepNext w:val="0"/>
                    <w:keepLines w:val="0"/>
                    <w:suppressLineNumbers w:val="0"/>
                    <w:spacing w:before="0" w:beforeAutospacing="0" w:after="0" w:afterAutospacing="0" w:line="240" w:lineRule="exact"/>
                    <w:ind w:left="0" w:right="0"/>
                    <w:jc w:val="center"/>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小作村（井陉县）</w:t>
                  </w:r>
                </w:p>
              </w:tc>
              <w:tc>
                <w:tcPr>
                  <w:tcW w:w="465" w:type="pct"/>
                  <w:noWrap w:val="0"/>
                  <w:vAlign w:val="center"/>
                </w:tcPr>
                <w:p w14:paraId="083E28DA">
                  <w:pPr>
                    <w:keepNext w:val="0"/>
                    <w:keepLines w:val="0"/>
                    <w:suppressLineNumbers w:val="0"/>
                    <w:topLinePunct/>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en-US"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06021D96">
                  <w:pPr>
                    <w:keepNext w:val="0"/>
                    <w:keepLines w:val="0"/>
                    <w:suppressLineNumbers w:val="0"/>
                    <w:topLinePunct/>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7055E54B">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sz w:val="21"/>
                      <w:szCs w:val="21"/>
                      <w:highlight w:val="none"/>
                      <w:lang w:eastAsia="en-US"/>
                    </w:rPr>
                  </w:pPr>
                  <w:r>
                    <w:rPr>
                      <w:rFonts w:hint="default" w:ascii="Times New Roman" w:hAnsi="Times New Roman" w:cs="Times New Roman"/>
                      <w:bCs/>
                      <w:color w:val="auto"/>
                      <w:spacing w:val="-6"/>
                      <w:kern w:val="2"/>
                      <w:sz w:val="21"/>
                      <w:szCs w:val="21"/>
                      <w:highlight w:val="none"/>
                    </w:rPr>
                    <w:t>NW</w:t>
                  </w:r>
                </w:p>
              </w:tc>
              <w:tc>
                <w:tcPr>
                  <w:tcW w:w="335" w:type="pct"/>
                  <w:noWrap w:val="0"/>
                  <w:vAlign w:val="center"/>
                </w:tcPr>
                <w:p w14:paraId="41F66515">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z w:val="21"/>
                      <w:szCs w:val="21"/>
                      <w:highlight w:val="none"/>
                      <w:lang w:val="en-US" w:eastAsia="zh-CN"/>
                    </w:rPr>
                    <w:t>1678</w:t>
                  </w:r>
                </w:p>
              </w:tc>
            </w:tr>
            <w:tr w14:paraId="3207D7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30DCECEA">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63EA49ED">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114.04524604</w:t>
                  </w:r>
                </w:p>
              </w:tc>
              <w:tc>
                <w:tcPr>
                  <w:tcW w:w="759" w:type="pct"/>
                  <w:noWrap w:val="0"/>
                  <w:vAlign w:val="center"/>
                </w:tcPr>
                <w:p w14:paraId="522A4AD6">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38.11917965</w:t>
                  </w:r>
                </w:p>
              </w:tc>
              <w:tc>
                <w:tcPr>
                  <w:tcW w:w="1056" w:type="pct"/>
                  <w:noWrap w:val="0"/>
                  <w:vAlign w:val="center"/>
                </w:tcPr>
                <w:p w14:paraId="5AB7ED05">
                  <w:pPr>
                    <w:keepNext w:val="0"/>
                    <w:keepLines w:val="0"/>
                    <w:suppressLineNumbers w:val="0"/>
                    <w:snapToGrid w:val="0"/>
                    <w:spacing w:before="0" w:beforeAutospacing="0" w:after="0" w:afterAutospacing="0" w:line="240" w:lineRule="exact"/>
                    <w:ind w:left="0" w:right="0"/>
                    <w:jc w:val="center"/>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南石门村（井陉县）</w:t>
                  </w:r>
                </w:p>
              </w:tc>
              <w:tc>
                <w:tcPr>
                  <w:tcW w:w="465" w:type="pct"/>
                  <w:noWrap w:val="0"/>
                  <w:vAlign w:val="center"/>
                </w:tcPr>
                <w:p w14:paraId="0A4AA377">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72361C89">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58011319">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lang w:eastAsia="en-US"/>
                    </w:rPr>
                  </w:pPr>
                  <w:r>
                    <w:rPr>
                      <w:rFonts w:hint="default" w:ascii="Times New Roman" w:hAnsi="Times New Roman" w:cs="Times New Roman"/>
                      <w:bCs/>
                      <w:color w:val="auto"/>
                      <w:spacing w:val="-6"/>
                      <w:kern w:val="2"/>
                      <w:sz w:val="21"/>
                      <w:szCs w:val="21"/>
                      <w:highlight w:val="none"/>
                    </w:rPr>
                    <w:t>N</w:t>
                  </w:r>
                </w:p>
              </w:tc>
              <w:tc>
                <w:tcPr>
                  <w:tcW w:w="335" w:type="pct"/>
                  <w:noWrap w:val="0"/>
                  <w:vAlign w:val="center"/>
                </w:tcPr>
                <w:p w14:paraId="7A6DC584">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z w:val="21"/>
                      <w:szCs w:val="21"/>
                      <w:highlight w:val="none"/>
                      <w:lang w:val="en-US" w:eastAsia="zh-CN"/>
                    </w:rPr>
                    <w:t>1300</w:t>
                  </w:r>
                </w:p>
              </w:tc>
            </w:tr>
            <w:tr w14:paraId="7347DF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744E9CE7">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17C3BF7B">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114.04524604</w:t>
                  </w:r>
                </w:p>
              </w:tc>
              <w:tc>
                <w:tcPr>
                  <w:tcW w:w="759" w:type="pct"/>
                  <w:noWrap w:val="0"/>
                  <w:vAlign w:val="center"/>
                </w:tcPr>
                <w:p w14:paraId="18D143BD">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38.12375436</w:t>
                  </w:r>
                </w:p>
              </w:tc>
              <w:tc>
                <w:tcPr>
                  <w:tcW w:w="1056" w:type="pct"/>
                  <w:noWrap w:val="0"/>
                  <w:vAlign w:val="center"/>
                </w:tcPr>
                <w:p w14:paraId="4C5D84BC">
                  <w:pPr>
                    <w:keepNext w:val="0"/>
                    <w:keepLines w:val="0"/>
                    <w:suppressLineNumbers w:val="0"/>
                    <w:snapToGrid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pacing w:val="-2"/>
                      <w:sz w:val="21"/>
                      <w:szCs w:val="21"/>
                      <w:highlight w:val="none"/>
                      <w:lang w:val="en-US" w:eastAsia="zh-CN"/>
                    </w:rPr>
                    <w:t>北石门村（井陉县）</w:t>
                  </w:r>
                </w:p>
              </w:tc>
              <w:tc>
                <w:tcPr>
                  <w:tcW w:w="465" w:type="pct"/>
                  <w:noWrap w:val="0"/>
                  <w:vAlign w:val="center"/>
                </w:tcPr>
                <w:p w14:paraId="4C0F97FC">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30E472CD">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3A151029">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lang w:eastAsia="en-US"/>
                    </w:rPr>
                  </w:pPr>
                  <w:r>
                    <w:rPr>
                      <w:rFonts w:hint="default" w:ascii="Times New Roman" w:hAnsi="Times New Roman" w:cs="Times New Roman"/>
                      <w:bCs/>
                      <w:color w:val="auto"/>
                      <w:spacing w:val="-6"/>
                      <w:kern w:val="2"/>
                      <w:sz w:val="21"/>
                      <w:szCs w:val="21"/>
                      <w:highlight w:val="none"/>
                    </w:rPr>
                    <w:t>N</w:t>
                  </w:r>
                </w:p>
              </w:tc>
              <w:tc>
                <w:tcPr>
                  <w:tcW w:w="335" w:type="pct"/>
                  <w:noWrap w:val="0"/>
                  <w:vAlign w:val="center"/>
                </w:tcPr>
                <w:p w14:paraId="78E061E9">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z w:val="21"/>
                      <w:szCs w:val="21"/>
                      <w:highlight w:val="none"/>
                      <w:lang w:val="en-US" w:eastAsia="zh-CN"/>
                    </w:rPr>
                    <w:t>1780</w:t>
                  </w:r>
                </w:p>
              </w:tc>
            </w:tr>
            <w:tr w14:paraId="23F9F7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007F6CD1">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72528BAB">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lang w:eastAsia="en-US"/>
                    </w:rPr>
                  </w:pPr>
                  <w:r>
                    <w:rPr>
                      <w:rFonts w:hint="default" w:ascii="Times New Roman" w:hAnsi="Times New Roman" w:cs="Times New Roman"/>
                      <w:color w:val="auto"/>
                      <w:spacing w:val="-2"/>
                      <w:kern w:val="2"/>
                      <w:sz w:val="21"/>
                      <w:szCs w:val="21"/>
                      <w:highlight w:val="none"/>
                      <w:lang w:eastAsia="en-US"/>
                    </w:rPr>
                    <w:t>114.05129711</w:t>
                  </w:r>
                </w:p>
              </w:tc>
              <w:tc>
                <w:tcPr>
                  <w:tcW w:w="759" w:type="pct"/>
                  <w:noWrap w:val="0"/>
                  <w:vAlign w:val="center"/>
                </w:tcPr>
                <w:p w14:paraId="34EB6D18">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lang w:eastAsia="en-US"/>
                    </w:rPr>
                  </w:pPr>
                  <w:r>
                    <w:rPr>
                      <w:rFonts w:hint="default" w:ascii="Times New Roman" w:hAnsi="Times New Roman" w:cs="Times New Roman"/>
                      <w:color w:val="auto"/>
                      <w:spacing w:val="-2"/>
                      <w:kern w:val="2"/>
                      <w:sz w:val="21"/>
                      <w:szCs w:val="21"/>
                      <w:highlight w:val="none"/>
                      <w:lang w:eastAsia="en-US"/>
                    </w:rPr>
                    <w:t>38.10107215</w:t>
                  </w:r>
                </w:p>
              </w:tc>
              <w:tc>
                <w:tcPr>
                  <w:tcW w:w="1056" w:type="pct"/>
                  <w:noWrap w:val="0"/>
                  <w:vAlign w:val="center"/>
                </w:tcPr>
                <w:p w14:paraId="3F2C527E">
                  <w:pPr>
                    <w:keepNext w:val="0"/>
                    <w:keepLines w:val="0"/>
                    <w:suppressLineNumbers w:val="0"/>
                    <w:snapToGrid w:val="0"/>
                    <w:spacing w:before="0" w:beforeAutospacing="0" w:after="0" w:afterAutospacing="0" w:line="240" w:lineRule="exact"/>
                    <w:ind w:left="0" w:right="0"/>
                    <w:jc w:val="center"/>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北寨村</w:t>
                  </w:r>
                </w:p>
              </w:tc>
              <w:tc>
                <w:tcPr>
                  <w:tcW w:w="465" w:type="pct"/>
                  <w:noWrap w:val="0"/>
                  <w:vAlign w:val="center"/>
                </w:tcPr>
                <w:p w14:paraId="15D4D39A">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1A16F408">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486C69D7">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lang w:eastAsia="en-US"/>
                    </w:rPr>
                  </w:pPr>
                  <w:r>
                    <w:rPr>
                      <w:rFonts w:hint="default" w:ascii="Times New Roman" w:hAnsi="Times New Roman" w:cs="Times New Roman"/>
                      <w:color w:val="auto"/>
                      <w:sz w:val="21"/>
                      <w:szCs w:val="21"/>
                      <w:highlight w:val="none"/>
                    </w:rPr>
                    <w:t>SE</w:t>
                  </w:r>
                </w:p>
              </w:tc>
              <w:tc>
                <w:tcPr>
                  <w:tcW w:w="335" w:type="pct"/>
                  <w:noWrap w:val="0"/>
                  <w:vAlign w:val="center"/>
                </w:tcPr>
                <w:p w14:paraId="7E0CF05F">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z w:val="21"/>
                      <w:szCs w:val="21"/>
                      <w:highlight w:val="none"/>
                      <w:lang w:val="en-US" w:eastAsia="zh-CN"/>
                    </w:rPr>
                    <w:t>900</w:t>
                  </w:r>
                </w:p>
              </w:tc>
            </w:tr>
            <w:tr w14:paraId="2BD404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47940AEA">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2F626CD5">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114.06034151</w:t>
                  </w:r>
                </w:p>
              </w:tc>
              <w:tc>
                <w:tcPr>
                  <w:tcW w:w="759" w:type="pct"/>
                  <w:noWrap w:val="0"/>
                  <w:vAlign w:val="center"/>
                </w:tcPr>
                <w:p w14:paraId="3C862F5A">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38.09324528</w:t>
                  </w:r>
                </w:p>
              </w:tc>
              <w:tc>
                <w:tcPr>
                  <w:tcW w:w="1056" w:type="pct"/>
                  <w:noWrap w:val="0"/>
                  <w:vAlign w:val="center"/>
                </w:tcPr>
                <w:p w14:paraId="56DBA715">
                  <w:pPr>
                    <w:pStyle w:val="243"/>
                    <w:keepNext w:val="0"/>
                    <w:keepLines w:val="0"/>
                    <w:suppressLineNumbers w:val="0"/>
                    <w:spacing w:before="0" w:beforeAutospacing="0" w:after="0" w:afterAutospacing="0" w:line="240" w:lineRule="exact"/>
                    <w:ind w:left="0" w:right="0"/>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pacing w:val="-2"/>
                      <w:sz w:val="21"/>
                      <w:szCs w:val="21"/>
                      <w:highlight w:val="none"/>
                      <w:lang w:val="en-US" w:eastAsia="zh-CN"/>
                    </w:rPr>
                    <w:t>南寨村</w:t>
                  </w:r>
                </w:p>
              </w:tc>
              <w:tc>
                <w:tcPr>
                  <w:tcW w:w="465" w:type="pct"/>
                  <w:noWrap w:val="0"/>
                  <w:vAlign w:val="center"/>
                </w:tcPr>
                <w:p w14:paraId="2AF1DAFF">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48521D87">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6E61F24F">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lang w:eastAsia="en-US"/>
                    </w:rPr>
                  </w:pPr>
                  <w:r>
                    <w:rPr>
                      <w:rFonts w:hint="default" w:ascii="Times New Roman" w:hAnsi="Times New Roman" w:cs="Times New Roman"/>
                      <w:color w:val="auto"/>
                      <w:sz w:val="21"/>
                      <w:szCs w:val="21"/>
                      <w:highlight w:val="none"/>
                    </w:rPr>
                    <w:t>SE</w:t>
                  </w:r>
                </w:p>
              </w:tc>
              <w:tc>
                <w:tcPr>
                  <w:tcW w:w="335" w:type="pct"/>
                  <w:noWrap w:val="0"/>
                  <w:vAlign w:val="center"/>
                </w:tcPr>
                <w:p w14:paraId="6F6AD412">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2100</w:t>
                  </w:r>
                </w:p>
              </w:tc>
            </w:tr>
            <w:tr w14:paraId="5BDC5C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2F836FB2">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2E21EA80">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114.04690901</w:t>
                  </w:r>
                </w:p>
              </w:tc>
              <w:tc>
                <w:tcPr>
                  <w:tcW w:w="759" w:type="pct"/>
                  <w:noWrap w:val="0"/>
                  <w:vAlign w:val="center"/>
                </w:tcPr>
                <w:p w14:paraId="2DDE04BC">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eastAsia="宋体" w:cs="Times New Roman"/>
                      <w:color w:val="auto"/>
                      <w:spacing w:val="-2"/>
                      <w:kern w:val="2"/>
                      <w:sz w:val="21"/>
                      <w:szCs w:val="21"/>
                      <w:highlight w:val="none"/>
                      <w:lang w:val="en-US" w:eastAsia="zh-CN"/>
                    </w:rPr>
                  </w:pPr>
                  <w:r>
                    <w:rPr>
                      <w:rFonts w:hint="default" w:ascii="Times New Roman" w:hAnsi="Times New Roman" w:cs="Times New Roman"/>
                      <w:color w:val="auto"/>
                      <w:spacing w:val="-2"/>
                      <w:kern w:val="2"/>
                      <w:sz w:val="21"/>
                      <w:szCs w:val="21"/>
                      <w:highlight w:val="none"/>
                    </w:rPr>
                    <w:t>38.0886855</w:t>
                  </w:r>
                  <w:r>
                    <w:rPr>
                      <w:rFonts w:hint="default" w:ascii="Times New Roman" w:hAnsi="Times New Roman" w:cs="Times New Roman"/>
                      <w:color w:val="auto"/>
                      <w:spacing w:val="-2"/>
                      <w:kern w:val="2"/>
                      <w:sz w:val="21"/>
                      <w:szCs w:val="21"/>
                      <w:highlight w:val="none"/>
                      <w:lang w:val="en-US" w:eastAsia="zh-CN"/>
                    </w:rPr>
                    <w:t>5</w:t>
                  </w:r>
                </w:p>
              </w:tc>
              <w:tc>
                <w:tcPr>
                  <w:tcW w:w="1056" w:type="pct"/>
                  <w:noWrap w:val="0"/>
                  <w:vAlign w:val="center"/>
                </w:tcPr>
                <w:p w14:paraId="12C7B6DA">
                  <w:pPr>
                    <w:keepNext w:val="0"/>
                    <w:keepLines w:val="0"/>
                    <w:suppressLineNumbers w:val="0"/>
                    <w:spacing w:before="0" w:beforeAutospacing="0" w:after="0" w:afterAutospacing="0" w:line="240" w:lineRule="exact"/>
                    <w:ind w:left="0" w:right="0"/>
                    <w:jc w:val="center"/>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涧底村</w:t>
                  </w:r>
                </w:p>
              </w:tc>
              <w:tc>
                <w:tcPr>
                  <w:tcW w:w="465" w:type="pct"/>
                  <w:noWrap w:val="0"/>
                  <w:vAlign w:val="center"/>
                </w:tcPr>
                <w:p w14:paraId="33E69211">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05F0DDB7">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4AF9A9F8">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z w:val="21"/>
                      <w:szCs w:val="21"/>
                      <w:highlight w:val="none"/>
                    </w:rPr>
                    <w:t>S</w:t>
                  </w:r>
                </w:p>
              </w:tc>
              <w:tc>
                <w:tcPr>
                  <w:tcW w:w="335" w:type="pct"/>
                  <w:noWrap w:val="0"/>
                  <w:vAlign w:val="center"/>
                </w:tcPr>
                <w:p w14:paraId="78D3E02C">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2200</w:t>
                  </w:r>
                </w:p>
              </w:tc>
            </w:tr>
            <w:tr w14:paraId="5DD079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55BAF1EC">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65853B1D">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114.04005329</w:t>
                  </w:r>
                </w:p>
              </w:tc>
              <w:tc>
                <w:tcPr>
                  <w:tcW w:w="759" w:type="pct"/>
                  <w:noWrap w:val="0"/>
                  <w:vAlign w:val="center"/>
                </w:tcPr>
                <w:p w14:paraId="752B86BD">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38.09468069</w:t>
                  </w:r>
                </w:p>
              </w:tc>
              <w:tc>
                <w:tcPr>
                  <w:tcW w:w="1056" w:type="pct"/>
                  <w:noWrap w:val="0"/>
                  <w:vAlign w:val="center"/>
                </w:tcPr>
                <w:p w14:paraId="5A248F13">
                  <w:pPr>
                    <w:pStyle w:val="243"/>
                    <w:keepNext w:val="0"/>
                    <w:keepLines w:val="0"/>
                    <w:suppressLineNumbers w:val="0"/>
                    <w:spacing w:before="0" w:beforeAutospacing="0" w:after="0" w:afterAutospacing="0" w:line="24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贾庄中学</w:t>
                  </w:r>
                </w:p>
              </w:tc>
              <w:tc>
                <w:tcPr>
                  <w:tcW w:w="465" w:type="pct"/>
                  <w:noWrap w:val="0"/>
                  <w:vAlign w:val="center"/>
                </w:tcPr>
                <w:p w14:paraId="6F1FACF5">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师生</w:t>
                  </w:r>
                </w:p>
              </w:tc>
              <w:tc>
                <w:tcPr>
                  <w:tcW w:w="1122" w:type="pct"/>
                  <w:vMerge w:val="continue"/>
                  <w:noWrap w:val="0"/>
                  <w:vAlign w:val="center"/>
                </w:tcPr>
                <w:p w14:paraId="5984BDC2">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2B07FB17">
                  <w:pPr>
                    <w:pStyle w:val="243"/>
                    <w:keepNext w:val="0"/>
                    <w:keepLines w:val="0"/>
                    <w:suppressLineNumbers w:val="0"/>
                    <w:spacing w:before="0" w:beforeAutospacing="0" w:after="0" w:afterAutospacing="0" w:line="280" w:lineRule="exact"/>
                    <w:ind w:left="0" w:right="0"/>
                    <w:rPr>
                      <w:rFonts w:hint="default" w:ascii="Times New Roman" w:hAnsi="Times New Roman" w:cs="Times New Roman"/>
                      <w:color w:val="auto"/>
                      <w:spacing w:val="-2"/>
                      <w:sz w:val="21"/>
                      <w:szCs w:val="21"/>
                      <w:highlight w:val="none"/>
                    </w:rPr>
                  </w:pPr>
                  <w:r>
                    <w:rPr>
                      <w:rFonts w:hint="default" w:ascii="Times New Roman" w:hAnsi="Times New Roman" w:cs="Times New Roman"/>
                      <w:color w:val="auto"/>
                      <w:sz w:val="21"/>
                      <w:szCs w:val="21"/>
                      <w:highlight w:val="none"/>
                    </w:rPr>
                    <w:t>S</w:t>
                  </w:r>
                </w:p>
              </w:tc>
              <w:tc>
                <w:tcPr>
                  <w:tcW w:w="335" w:type="pct"/>
                  <w:noWrap w:val="0"/>
                  <w:vAlign w:val="center"/>
                </w:tcPr>
                <w:p w14:paraId="19424190">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1450</w:t>
                  </w:r>
                </w:p>
              </w:tc>
            </w:tr>
            <w:tr w14:paraId="14DD81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69" w:type="pct"/>
                  <w:vMerge w:val="continue"/>
                  <w:noWrap w:val="0"/>
                  <w:vAlign w:val="center"/>
                </w:tcPr>
                <w:p w14:paraId="0C9E351F">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4D639DDB">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114.03334776</w:t>
                  </w:r>
                </w:p>
              </w:tc>
              <w:tc>
                <w:tcPr>
                  <w:tcW w:w="759" w:type="pct"/>
                  <w:noWrap w:val="0"/>
                  <w:vAlign w:val="center"/>
                </w:tcPr>
                <w:p w14:paraId="4949340E">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38.09812556</w:t>
                  </w:r>
                </w:p>
              </w:tc>
              <w:tc>
                <w:tcPr>
                  <w:tcW w:w="1056" w:type="pct"/>
                  <w:noWrap w:val="0"/>
                  <w:vAlign w:val="center"/>
                </w:tcPr>
                <w:p w14:paraId="5C205E77">
                  <w:pPr>
                    <w:pStyle w:val="243"/>
                    <w:keepNext w:val="0"/>
                    <w:keepLines w:val="0"/>
                    <w:suppressLineNumbers w:val="0"/>
                    <w:spacing w:before="0" w:beforeAutospacing="0" w:after="0" w:afterAutospacing="0" w:line="24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西王舍村</w:t>
                  </w:r>
                </w:p>
              </w:tc>
              <w:tc>
                <w:tcPr>
                  <w:tcW w:w="465" w:type="pct"/>
                  <w:noWrap w:val="0"/>
                  <w:vAlign w:val="center"/>
                </w:tcPr>
                <w:p w14:paraId="3F357C2D">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color w:val="auto"/>
                      <w:spacing w:val="-2"/>
                      <w:kern w:val="2"/>
                      <w:sz w:val="21"/>
                      <w:szCs w:val="21"/>
                      <w:highlight w:val="none"/>
                      <w:lang w:val="en-US" w:eastAsia="zh-CN" w:bidi="ar-SA"/>
                    </w:rPr>
                  </w:pPr>
                  <w:r>
                    <w:rPr>
                      <w:rFonts w:hint="default" w:ascii="Times New Roman" w:hAnsi="Times New Roman" w:cs="Times New Roman"/>
                      <w:bCs/>
                      <w:color w:val="auto"/>
                      <w:spacing w:val="-6"/>
                      <w:sz w:val="21"/>
                      <w:szCs w:val="21"/>
                      <w:highlight w:val="none"/>
                    </w:rPr>
                    <w:t>居民</w:t>
                  </w:r>
                </w:p>
              </w:tc>
              <w:tc>
                <w:tcPr>
                  <w:tcW w:w="1122" w:type="pct"/>
                  <w:vMerge w:val="continue"/>
                  <w:noWrap w:val="0"/>
                  <w:vAlign w:val="center"/>
                </w:tcPr>
                <w:p w14:paraId="6B665D7A">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bCs/>
                      <w:snapToGrid w:val="0"/>
                      <w:color w:val="auto"/>
                      <w:spacing w:val="-6"/>
                      <w:sz w:val="21"/>
                      <w:szCs w:val="21"/>
                      <w:highlight w:val="none"/>
                    </w:rPr>
                  </w:pPr>
                </w:p>
              </w:tc>
              <w:tc>
                <w:tcPr>
                  <w:tcW w:w="270" w:type="pct"/>
                  <w:noWrap w:val="0"/>
                  <w:vAlign w:val="center"/>
                </w:tcPr>
                <w:p w14:paraId="1D2BC961">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pacing w:val="-2"/>
                      <w:sz w:val="21"/>
                      <w:szCs w:val="21"/>
                      <w:highlight w:val="none"/>
                      <w:lang w:val="en-US" w:eastAsia="zh-CN"/>
                    </w:rPr>
                  </w:pPr>
                  <w:r>
                    <w:rPr>
                      <w:rFonts w:hint="default" w:ascii="Times New Roman" w:hAnsi="Times New Roman" w:cs="Times New Roman"/>
                      <w:color w:val="auto"/>
                      <w:sz w:val="21"/>
                      <w:szCs w:val="21"/>
                      <w:highlight w:val="none"/>
                    </w:rPr>
                    <w:t>S</w:t>
                  </w:r>
                  <w:r>
                    <w:rPr>
                      <w:rFonts w:hint="default" w:ascii="Times New Roman" w:hAnsi="Times New Roman" w:cs="Times New Roman"/>
                      <w:color w:val="auto"/>
                      <w:sz w:val="21"/>
                      <w:szCs w:val="21"/>
                      <w:highlight w:val="none"/>
                      <w:lang w:val="en-US" w:eastAsia="zh-CN"/>
                    </w:rPr>
                    <w:t>W</w:t>
                  </w:r>
                </w:p>
              </w:tc>
              <w:tc>
                <w:tcPr>
                  <w:tcW w:w="335" w:type="pct"/>
                  <w:noWrap w:val="0"/>
                  <w:vAlign w:val="center"/>
                </w:tcPr>
                <w:p w14:paraId="7C5008E7">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eastAsia="宋体" w:cs="Times New Roman"/>
                      <w:color w:val="auto"/>
                      <w:spacing w:val="-2"/>
                      <w:kern w:val="2"/>
                      <w:sz w:val="21"/>
                      <w:szCs w:val="21"/>
                      <w:highlight w:val="none"/>
                      <w:lang w:val="en-US" w:eastAsia="zh-CN"/>
                    </w:rPr>
                  </w:pPr>
                  <w:r>
                    <w:rPr>
                      <w:rFonts w:hint="default" w:ascii="Times New Roman" w:hAnsi="Times New Roman" w:cs="Times New Roman"/>
                      <w:color w:val="auto"/>
                      <w:spacing w:val="-2"/>
                      <w:kern w:val="2"/>
                      <w:sz w:val="21"/>
                      <w:szCs w:val="21"/>
                      <w:highlight w:val="none"/>
                      <w:lang w:val="en-US" w:eastAsia="zh-CN"/>
                    </w:rPr>
                    <w:t>1300</w:t>
                  </w:r>
                </w:p>
              </w:tc>
            </w:tr>
            <w:tr w14:paraId="5D9493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jc w:val="center"/>
              </w:trPr>
              <w:tc>
                <w:tcPr>
                  <w:tcW w:w="169" w:type="pct"/>
                  <w:vMerge w:val="continue"/>
                  <w:noWrap w:val="0"/>
                  <w:vAlign w:val="center"/>
                </w:tcPr>
                <w:p w14:paraId="068F52FA">
                  <w:pPr>
                    <w:keepNext w:val="0"/>
                    <w:keepLines w:val="0"/>
                    <w:suppressLineNumbers w:val="0"/>
                    <w:spacing w:before="0" w:beforeAutospacing="0" w:after="0" w:afterAutospacing="0" w:line="240" w:lineRule="exact"/>
                    <w:ind w:left="0" w:right="0"/>
                    <w:jc w:val="center"/>
                    <w:rPr>
                      <w:rFonts w:hint="default" w:ascii="Times New Roman" w:hAnsi="Times New Roman" w:cs="Times New Roman"/>
                      <w:color w:val="auto"/>
                      <w:spacing w:val="-2"/>
                      <w:sz w:val="21"/>
                      <w:szCs w:val="21"/>
                      <w:highlight w:val="none"/>
                      <w:lang w:eastAsia="en-US"/>
                    </w:rPr>
                  </w:pPr>
                </w:p>
              </w:tc>
              <w:tc>
                <w:tcPr>
                  <w:tcW w:w="820" w:type="pct"/>
                  <w:noWrap w:val="0"/>
                  <w:vAlign w:val="center"/>
                </w:tcPr>
                <w:p w14:paraId="4C16C46B">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114.01533157</w:t>
                  </w:r>
                </w:p>
              </w:tc>
              <w:tc>
                <w:tcPr>
                  <w:tcW w:w="759" w:type="pct"/>
                  <w:noWrap w:val="0"/>
                  <w:vAlign w:val="center"/>
                </w:tcPr>
                <w:p w14:paraId="2895BE92">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rPr>
                  </w:pPr>
                  <w:r>
                    <w:rPr>
                      <w:rFonts w:hint="default" w:ascii="Times New Roman" w:hAnsi="Times New Roman" w:cs="Times New Roman"/>
                      <w:color w:val="auto"/>
                      <w:spacing w:val="-2"/>
                      <w:kern w:val="2"/>
                      <w:sz w:val="21"/>
                      <w:szCs w:val="21"/>
                      <w:highlight w:val="none"/>
                    </w:rPr>
                    <w:t>38.10599626</w:t>
                  </w:r>
                </w:p>
              </w:tc>
              <w:tc>
                <w:tcPr>
                  <w:tcW w:w="1056" w:type="pct"/>
                  <w:noWrap w:val="0"/>
                  <w:vAlign w:val="center"/>
                </w:tcPr>
                <w:p w14:paraId="3AB98ACD">
                  <w:pPr>
                    <w:pStyle w:val="243"/>
                    <w:keepNext w:val="0"/>
                    <w:keepLines w:val="0"/>
                    <w:suppressLineNumbers w:val="0"/>
                    <w:spacing w:before="0" w:beforeAutospacing="0" w:after="0" w:afterAutospacing="0" w:line="240" w:lineRule="exact"/>
                    <w:ind w:left="0" w:right="0"/>
                    <w:rPr>
                      <w:rFonts w:hint="default" w:ascii="Times New Roman" w:hAnsi="Times New Roman" w:cs="Times New Roman"/>
                      <w:color w:val="auto"/>
                      <w:spacing w:val="-2"/>
                      <w:sz w:val="21"/>
                      <w:szCs w:val="21"/>
                      <w:highlight w:val="none"/>
                      <w:lang w:val="en-US" w:eastAsia="zh-CN"/>
                    </w:rPr>
                  </w:pPr>
                  <w:r>
                    <w:rPr>
                      <w:rFonts w:hint="default" w:ascii="Times New Roman" w:hAnsi="Times New Roman" w:cs="Times New Roman"/>
                      <w:color w:val="auto"/>
                      <w:spacing w:val="-2"/>
                      <w:sz w:val="21"/>
                      <w:szCs w:val="21"/>
                      <w:highlight w:val="none"/>
                      <w:lang w:val="en-US" w:eastAsia="zh-CN"/>
                    </w:rPr>
                    <w:t>清凉山风景名胜区</w:t>
                  </w:r>
                </w:p>
              </w:tc>
              <w:tc>
                <w:tcPr>
                  <w:tcW w:w="465" w:type="pct"/>
                  <w:noWrap w:val="0"/>
                  <w:vAlign w:val="center"/>
                </w:tcPr>
                <w:p w14:paraId="2C430BB4">
                  <w:pPr>
                    <w:keepNext w:val="0"/>
                    <w:keepLines w:val="0"/>
                    <w:suppressLineNumbers w:val="0"/>
                    <w:spacing w:before="0" w:beforeAutospacing="0" w:after="0" w:afterAutospacing="0" w:line="280" w:lineRule="exact"/>
                    <w:ind w:left="0" w:right="0"/>
                    <w:jc w:val="center"/>
                    <w:rPr>
                      <w:rFonts w:hint="default" w:ascii="Times New Roman" w:hAnsi="Times New Roman" w:eastAsia="宋体" w:cs="Times New Roman"/>
                      <w:bCs/>
                      <w:color w:val="auto"/>
                      <w:spacing w:val="-6"/>
                      <w:sz w:val="21"/>
                      <w:szCs w:val="21"/>
                      <w:highlight w:val="none"/>
                      <w:lang w:val="en-US" w:eastAsia="zh-CN"/>
                    </w:rPr>
                  </w:pPr>
                  <w:r>
                    <w:rPr>
                      <w:rFonts w:hint="default" w:ascii="Times New Roman" w:hAnsi="Times New Roman" w:cs="Times New Roman"/>
                      <w:bCs/>
                      <w:color w:val="auto"/>
                      <w:spacing w:val="-6"/>
                      <w:sz w:val="21"/>
                      <w:szCs w:val="21"/>
                      <w:highlight w:val="none"/>
                      <w:lang w:val="en-US" w:eastAsia="zh-CN"/>
                    </w:rPr>
                    <w:t>风景区</w:t>
                  </w:r>
                </w:p>
              </w:tc>
              <w:tc>
                <w:tcPr>
                  <w:tcW w:w="1122" w:type="pct"/>
                  <w:shd w:val="clear" w:color="auto" w:fill="auto"/>
                  <w:noWrap w:val="0"/>
                  <w:vAlign w:val="center"/>
                </w:tcPr>
                <w:p w14:paraId="3D5057BB">
                  <w:pPr>
                    <w:keepNext w:val="0"/>
                    <w:keepLines w:val="0"/>
                    <w:pageBreakBefore w:val="0"/>
                    <w:widowControl w:val="0"/>
                    <w:suppressLineNumbers w:val="0"/>
                    <w:tabs>
                      <w:tab w:val="left" w:pos="3580"/>
                    </w:tabs>
                    <w:kinsoku/>
                    <w:wordWrap/>
                    <w:overflowPunct/>
                    <w:topLinePunct/>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Cs/>
                      <w:snapToGrid w:val="0"/>
                      <w:color w:val="auto"/>
                      <w:spacing w:val="-6"/>
                      <w:kern w:val="2"/>
                      <w:sz w:val="21"/>
                      <w:szCs w:val="21"/>
                      <w:highlight w:val="none"/>
                      <w:lang w:val="en-US" w:eastAsia="zh-CN" w:bidi="ar-SA"/>
                    </w:rPr>
                  </w:pPr>
                  <w:r>
                    <w:rPr>
                      <w:rFonts w:hint="default" w:ascii="Times New Roman" w:hAnsi="Times New Roman" w:cs="Times New Roman"/>
                      <w:snapToGrid w:val="0"/>
                      <w:color w:val="auto"/>
                      <w:spacing w:val="-6"/>
                      <w:sz w:val="21"/>
                      <w:szCs w:val="21"/>
                      <w:highlight w:val="none"/>
                      <w:lang w:eastAsia="zh-CN"/>
                    </w:rPr>
                    <w:t>《环境空气质量标准》（GB3095-20</w:t>
                  </w:r>
                  <w:r>
                    <w:rPr>
                      <w:rFonts w:hint="eastAsia" w:cs="Times New Roman"/>
                      <w:snapToGrid w:val="0"/>
                      <w:color w:val="auto"/>
                      <w:spacing w:val="-6"/>
                      <w:sz w:val="21"/>
                      <w:szCs w:val="21"/>
                      <w:highlight w:val="none"/>
                      <w:lang w:val="en-US" w:eastAsia="zh-CN"/>
                    </w:rPr>
                    <w:t>26</w:t>
                  </w:r>
                  <w:r>
                    <w:rPr>
                      <w:rFonts w:hint="default" w:ascii="Times New Roman" w:hAnsi="Times New Roman" w:cs="Times New Roman"/>
                      <w:snapToGrid w:val="0"/>
                      <w:color w:val="auto"/>
                      <w:spacing w:val="-6"/>
                      <w:sz w:val="21"/>
                      <w:szCs w:val="21"/>
                      <w:highlight w:val="none"/>
                      <w:lang w:eastAsia="zh-CN"/>
                    </w:rPr>
                    <w:t>）</w:t>
                  </w:r>
                  <w:r>
                    <w:rPr>
                      <w:rFonts w:hint="default" w:ascii="Times New Roman" w:hAnsi="Times New Roman" w:cs="Times New Roman"/>
                      <w:snapToGrid w:val="0"/>
                      <w:color w:val="auto"/>
                      <w:spacing w:val="-6"/>
                      <w:sz w:val="21"/>
                      <w:szCs w:val="21"/>
                      <w:highlight w:val="none"/>
                      <w:lang w:val="en-US" w:eastAsia="zh-CN"/>
                    </w:rPr>
                    <w:t>一</w:t>
                  </w:r>
                  <w:r>
                    <w:rPr>
                      <w:rFonts w:hint="default" w:ascii="Times New Roman" w:hAnsi="Times New Roman" w:cs="Times New Roman"/>
                      <w:snapToGrid w:val="0"/>
                      <w:color w:val="auto"/>
                      <w:spacing w:val="-6"/>
                      <w:sz w:val="21"/>
                      <w:szCs w:val="21"/>
                      <w:highlight w:val="none"/>
                      <w:lang w:eastAsia="zh-CN"/>
                    </w:rPr>
                    <w:t>级标准、河北省地方标准《环境空气质量 非甲烷总烃限值》（DB13/1577-2012）表1中1小时平均浓度限值</w:t>
                  </w:r>
                  <w:r>
                    <w:rPr>
                      <w:rFonts w:hint="default" w:ascii="Times New Roman" w:hAnsi="Times New Roman" w:cs="Times New Roman"/>
                      <w:snapToGrid w:val="0"/>
                      <w:color w:val="auto"/>
                      <w:spacing w:val="-6"/>
                      <w:sz w:val="21"/>
                      <w:szCs w:val="21"/>
                      <w:highlight w:val="none"/>
                      <w:lang w:val="en-US" w:eastAsia="zh-CN"/>
                    </w:rPr>
                    <w:t>一</w:t>
                  </w:r>
                  <w:r>
                    <w:rPr>
                      <w:rFonts w:hint="default" w:ascii="Times New Roman" w:hAnsi="Times New Roman" w:cs="Times New Roman"/>
                      <w:snapToGrid w:val="0"/>
                      <w:color w:val="auto"/>
                      <w:spacing w:val="-6"/>
                      <w:sz w:val="21"/>
                      <w:szCs w:val="21"/>
                      <w:highlight w:val="none"/>
                      <w:lang w:eastAsia="zh-CN"/>
                    </w:rPr>
                    <w:t>级标准以及《环境影响评价技术导则 大气环境》（HJ2.2-2018）附录D</w:t>
                  </w:r>
                </w:p>
              </w:tc>
              <w:tc>
                <w:tcPr>
                  <w:tcW w:w="270" w:type="pct"/>
                  <w:noWrap w:val="0"/>
                  <w:vAlign w:val="center"/>
                </w:tcPr>
                <w:p w14:paraId="5214F5C1">
                  <w:pPr>
                    <w:pStyle w:val="243"/>
                    <w:keepNext w:val="0"/>
                    <w:keepLines w:val="0"/>
                    <w:suppressLineNumbers w:val="0"/>
                    <w:spacing w:before="0" w:beforeAutospacing="0" w:after="0" w:afterAutospacing="0" w:line="280" w:lineRule="exact"/>
                    <w:ind w:left="0" w:right="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w:t>
                  </w:r>
                </w:p>
              </w:tc>
              <w:tc>
                <w:tcPr>
                  <w:tcW w:w="335" w:type="pct"/>
                  <w:noWrap w:val="0"/>
                  <w:vAlign w:val="center"/>
                </w:tcPr>
                <w:p w14:paraId="3AD91ABB">
                  <w:pPr>
                    <w:pStyle w:val="45"/>
                    <w:keepNext w:val="0"/>
                    <w:keepLines w:val="0"/>
                    <w:widowControl w:val="0"/>
                    <w:suppressLineNumbers w:val="0"/>
                    <w:snapToGrid/>
                    <w:spacing w:before="0" w:beforeAutospacing="0" w:after="0" w:afterAutospacing="0" w:line="280" w:lineRule="exact"/>
                    <w:ind w:left="0" w:right="0" w:firstLine="0" w:firstLineChars="0"/>
                    <w:jc w:val="center"/>
                    <w:rPr>
                      <w:rFonts w:hint="default" w:ascii="Times New Roman" w:hAnsi="Times New Roman" w:cs="Times New Roman"/>
                      <w:color w:val="auto"/>
                      <w:spacing w:val="-2"/>
                      <w:kern w:val="2"/>
                      <w:sz w:val="21"/>
                      <w:szCs w:val="21"/>
                      <w:highlight w:val="none"/>
                      <w:lang w:val="en-US" w:eastAsia="zh-CN"/>
                    </w:rPr>
                  </w:pPr>
                  <w:r>
                    <w:rPr>
                      <w:rFonts w:hint="default" w:ascii="Times New Roman" w:hAnsi="Times New Roman" w:cs="Times New Roman"/>
                      <w:color w:val="auto"/>
                      <w:spacing w:val="-2"/>
                      <w:kern w:val="2"/>
                      <w:sz w:val="21"/>
                      <w:szCs w:val="21"/>
                      <w:highlight w:val="none"/>
                      <w:lang w:val="en-US" w:eastAsia="zh-CN"/>
                    </w:rPr>
                    <w:t>2370</w:t>
                  </w:r>
                </w:p>
              </w:tc>
            </w:tr>
          </w:tbl>
          <w:p w14:paraId="22F4B8B8">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00" w:lineRule="exact"/>
              <w:ind w:left="0" w:right="0" w:firstLine="482"/>
              <w:textAlignment w:val="auto"/>
              <w:rPr>
                <w:rFonts w:hint="eastAsia" w:cs="Times New Roman"/>
                <w:b/>
                <w:smallCaps w:val="0"/>
                <w:color w:val="auto"/>
                <w:spacing w:val="0"/>
                <w:sz w:val="21"/>
                <w:szCs w:val="21"/>
                <w:highlight w:val="none"/>
                <w:lang w:val="en-US" w:eastAsia="zh-CN"/>
              </w:rPr>
            </w:pPr>
            <w:r>
              <w:rPr>
                <w:rFonts w:hint="eastAsia" w:cs="Times New Roman"/>
                <w:b/>
                <w:smallCaps w:val="0"/>
                <w:color w:val="auto"/>
                <w:spacing w:val="0"/>
                <w:sz w:val="21"/>
                <w:szCs w:val="21"/>
                <w:highlight w:val="none"/>
                <w:lang w:val="en-US" w:eastAsia="zh-CN"/>
              </w:rPr>
              <w:t>清凉山风景名胜区：</w:t>
            </w:r>
          </w:p>
          <w:p w14:paraId="14C94F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2010年，井陉矿区人民政府向河北省住房和城乡建设厅申请升级为省级风景名胜区；2011年1月17日，河北省人民政府办公厅出具通知，同意井陉县清凉山景区为省级风景名胜区(办字[2011]6号)；2016年7月，河北省人民政府同意了井陉矿区和井陉县政府联合申请调整清凉山风景名胜区边界的方案，清凉山风景名胜区面积达到16.19平方公里，其中井陉矿区8.62平方公里，井陉县7.57平方公里。清凉山风景区的核心景区位于清凉山风景区的中部山地，包括美女峰、石林、白云观古建筑群等，面积为5.01平方公里；该区域人文景观和自然景观在风景区内分布最为集中，观赏游览价值较高。清凉山风景名胜区是峰、石、林、观相结合，以夏凉避暑、山林季相为主要特色，以山地观光游览为主要功能的山岳型省级风景名胜区；位于井陉矿区城区西部约3km处。清凉山主要由下古生界灰岩构成，在大地构造上地处井陉凹陷的西缘，在内外应力长期共同作用下形成了温带喀斯特景观。已发现和开发的主要景点有：水龙洞、白云观、神女峰、石林、好汉寨、将军救孤、滑雪场等72处。</w:t>
            </w:r>
          </w:p>
          <w:p w14:paraId="208A91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《河北省清凉山风景名胜区总体规划(2021-2035年)》清凉山风景名胜区实行分级保护，风景区分为一级、二级和三级3个等级的保护区。</w:t>
            </w:r>
          </w:p>
          <w:p w14:paraId="2A0552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（1）一级保护区（核心景区—严格禁止建设范围）</w:t>
            </w:r>
          </w:p>
          <w:p w14:paraId="557DFD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规划将清凉山风景区的中部山区，位于井陉矿区西部与井陉县交界地区，观赏游览价值较高，人文景观和自然景观分布最为集中的区域划定为一级保护区。一级保护区的范围与核心景区范围重合，面积为5.01平方公里，占风景名胜区总面积的30.95%。主要景点包括千岩叠翠、野游观光、森林氧吧、石林、红叶长廊等景点。</w:t>
            </w:r>
          </w:p>
          <w:p w14:paraId="0FA26D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（2）二级保护区（严格限制建设范围）</w:t>
            </w:r>
          </w:p>
          <w:p w14:paraId="41D585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规划将风景名胜区一级保护区外围的主要景点资源所在区域，以及风景名胜区内植被环境较好的区域划定为二级保护区。二级保护区位于已划定的生态红线范围内，有景点分布和远景开发价值，处于主要景点保护区和可适度开发区域的过渡空间段。面积3.99平方公里，占风景名胜区总面积的24.64%。</w:t>
            </w:r>
          </w:p>
          <w:p w14:paraId="591872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b/>
                <w:bCs/>
                <w:sz w:val="21"/>
                <w:szCs w:val="21"/>
                <w:highlight w:val="none"/>
              </w:rPr>
            </w:pPr>
            <w:r>
              <w:rPr>
                <w:rFonts w:hint="default" w:ascii="Times New Roman" w:hAnsi="Times New Roman" w:eastAsia="宋体" w:cs="Times New Roman"/>
                <w:b/>
                <w:bCs/>
                <w:color w:val="000000"/>
                <w:kern w:val="0"/>
                <w:sz w:val="21"/>
                <w:szCs w:val="21"/>
                <w:highlight w:val="none"/>
                <w:lang w:val="en-US" w:eastAsia="zh-CN" w:bidi="ar"/>
              </w:rPr>
              <w:t>（3）三级保护区（限制建设范围）</w:t>
            </w:r>
          </w:p>
          <w:p w14:paraId="308B2B9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default" w:ascii="Times New Roman" w:hAnsi="Times New Roman" w:cs="Times New Roman"/>
                <w:sz w:val="24"/>
                <w:szCs w:val="24"/>
                <w:highlight w:val="none"/>
                <w:lang w:val="en-US" w:eastAsia="zh-CN"/>
              </w:rPr>
            </w:pPr>
            <w:r>
              <w:rPr>
                <w:rFonts w:hint="default" w:ascii="Times New Roman" w:hAnsi="Times New Roman" w:eastAsia="宋体" w:cs="Times New Roman"/>
                <w:b/>
                <w:bCs/>
                <w:color w:val="000000"/>
                <w:kern w:val="0"/>
                <w:sz w:val="21"/>
                <w:szCs w:val="21"/>
                <w:highlight w:val="none"/>
                <w:lang w:val="en-US" w:eastAsia="zh-CN" w:bidi="ar"/>
              </w:rPr>
              <w:t>划定依据：规划将风景名胜区内除一、二级保护区外其他区域，面积7.19平方公里，占风景名胜区总面积的44.41%。清凉山的植被覆盖率达99%以上，阴坡及沟谷植物种类多、层次丰富，阳坡和山顶区域的植物品种单一，以黄、荆条、酸枣等灌木为主。经相关资料整理统计，现知清凉山调入区分布有维管植物79科255属433种。其中，类植物5科5属8种、裸子植物2科2属2种、被子植物72科248属423种。另外景区分布着3门21科25种，包含国家二级保护植物1种，省级保护植物24种。清凉山风景名胜区动物分布4纲15目34科63种。</w:t>
            </w:r>
          </w:p>
          <w:p w14:paraId="1064FBE6">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2、声环境</w:t>
            </w:r>
          </w:p>
          <w:p w14:paraId="7DA6282A">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项目厂界外50m范围内</w:t>
            </w:r>
            <w:r>
              <w:rPr>
                <w:rFonts w:hint="default" w:ascii="Times New Roman" w:hAnsi="Times New Roman" w:cs="Times New Roman"/>
                <w:smallCaps w:val="0"/>
                <w:color w:val="auto"/>
                <w:spacing w:val="0"/>
                <w:highlight w:val="none"/>
                <w:lang w:val="en-US" w:eastAsia="zh-CN"/>
              </w:rPr>
              <w:t>不</w:t>
            </w:r>
            <w:r>
              <w:rPr>
                <w:rFonts w:hint="default" w:ascii="Times New Roman" w:hAnsi="Times New Roman" w:cs="Times New Roman"/>
                <w:smallCaps w:val="0"/>
                <w:color w:val="auto"/>
                <w:spacing w:val="0"/>
                <w:highlight w:val="none"/>
              </w:rPr>
              <w:t>存在声环境保护目标。</w:t>
            </w:r>
          </w:p>
          <w:p w14:paraId="3AE4A72D">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3、地下水环境</w:t>
            </w:r>
          </w:p>
          <w:p w14:paraId="1E45B3DD">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szCs w:val="32"/>
                <w:highlight w:val="none"/>
              </w:rPr>
              <w:t>根据项目性质及周围环境特征</w:t>
            </w:r>
            <w:r>
              <w:rPr>
                <w:rFonts w:hint="default" w:ascii="Times New Roman" w:hAnsi="Times New Roman" w:cs="Times New Roman"/>
                <w:smallCaps w:val="0"/>
                <w:color w:val="auto"/>
                <w:spacing w:val="0"/>
                <w:szCs w:val="32"/>
                <w:highlight w:val="none"/>
                <w:lang w:eastAsia="zh-CN"/>
              </w:rPr>
              <w:t>，</w:t>
            </w:r>
            <w:r>
              <w:rPr>
                <w:rFonts w:hint="default" w:ascii="Times New Roman" w:hAnsi="Times New Roman" w:cs="Times New Roman"/>
                <w:smallCaps w:val="0"/>
                <w:color w:val="auto"/>
                <w:spacing w:val="0"/>
                <w:szCs w:val="32"/>
                <w:highlight w:val="none"/>
              </w:rPr>
              <w:t>本项目周边500m范围内无地下水集中式饮用水水源和热水、矿泉水、温泉等特殊地下水</w:t>
            </w:r>
            <w:r>
              <w:rPr>
                <w:rFonts w:hint="default" w:ascii="Times New Roman" w:hAnsi="Times New Roman" w:cs="Times New Roman"/>
                <w:smallCaps w:val="0"/>
                <w:color w:val="auto"/>
                <w:spacing w:val="0"/>
                <w:szCs w:val="32"/>
                <w:highlight w:val="none"/>
                <w:lang w:val="en-US" w:eastAsia="zh-CN"/>
              </w:rPr>
              <w:t>资源</w:t>
            </w:r>
            <w:r>
              <w:rPr>
                <w:rFonts w:hint="default" w:ascii="Times New Roman" w:hAnsi="Times New Roman" w:cs="Times New Roman"/>
                <w:smallCaps w:val="0"/>
                <w:color w:val="auto"/>
                <w:spacing w:val="0"/>
                <w:szCs w:val="32"/>
                <w:highlight w:val="none"/>
                <w:lang w:eastAsia="zh-CN"/>
              </w:rPr>
              <w:t>，</w:t>
            </w:r>
            <w:r>
              <w:rPr>
                <w:rFonts w:hint="default" w:ascii="Times New Roman" w:hAnsi="Times New Roman" w:cs="Times New Roman"/>
                <w:smallCaps w:val="0"/>
                <w:color w:val="auto"/>
                <w:spacing w:val="0"/>
                <w:szCs w:val="32"/>
                <w:highlight w:val="none"/>
              </w:rPr>
              <w:t>不存在地下水环境保护目标</w:t>
            </w:r>
            <w:r>
              <w:rPr>
                <w:rFonts w:hint="default" w:ascii="Times New Roman" w:hAnsi="Times New Roman" w:cs="Times New Roman"/>
                <w:smallCaps w:val="0"/>
                <w:color w:val="auto"/>
                <w:spacing w:val="0"/>
                <w:highlight w:val="none"/>
              </w:rPr>
              <w:t>。</w:t>
            </w:r>
          </w:p>
          <w:p w14:paraId="0435082D">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rPr>
              <w:t>4、生态环境</w:t>
            </w:r>
          </w:p>
          <w:p w14:paraId="3D70420C">
            <w:pPr>
              <w:pStyle w:val="171"/>
              <w:keepNext w:val="0"/>
              <w:keepLines w:val="0"/>
              <w:suppressLineNumbers w:val="0"/>
              <w:spacing w:before="0" w:beforeAutospacing="0" w:after="0" w:afterAutospacing="0"/>
              <w:ind w:left="0" w:right="0" w:firstLine="480"/>
              <w:rPr>
                <w:rFonts w:hint="default" w:ascii="Times New Roman" w:hAnsi="Times New Roman" w:cs="Times New Roman"/>
                <w:szCs w:val="20"/>
                <w:highlight w:val="none"/>
              </w:rPr>
            </w:pPr>
            <w:r>
              <w:rPr>
                <w:rFonts w:hint="default" w:ascii="Times New Roman" w:hAnsi="Times New Roman" w:cs="Times New Roman"/>
                <w:smallCaps w:val="0"/>
                <w:color w:val="auto"/>
                <w:spacing w:val="0"/>
                <w:highlight w:val="none"/>
                <w:lang w:val="en-US" w:eastAsia="zh-CN"/>
              </w:rPr>
              <w:t>本</w:t>
            </w:r>
            <w:r>
              <w:rPr>
                <w:rFonts w:hint="default" w:ascii="Times New Roman" w:hAnsi="Times New Roman" w:cs="Times New Roman"/>
                <w:smallCaps w:val="0"/>
                <w:color w:val="auto"/>
                <w:spacing w:val="0"/>
                <w:highlight w:val="none"/>
              </w:rPr>
              <w:t>项目</w:t>
            </w:r>
            <w:r>
              <w:rPr>
                <w:rFonts w:hint="default" w:ascii="Times New Roman" w:hAnsi="Times New Roman" w:eastAsia="宋体" w:cs="Times New Roman"/>
                <w:smallCaps w:val="0"/>
                <w:color w:val="auto"/>
                <w:spacing w:val="0"/>
                <w:highlight w:val="none"/>
              </w:rPr>
              <w:t>位于河北省石家庄市井陉矿区鑫鸿产业园</w:t>
            </w:r>
            <w:r>
              <w:rPr>
                <w:rFonts w:hint="default" w:ascii="Times New Roman" w:hAnsi="Times New Roman" w:eastAsia="宋体" w:cs="Times New Roman"/>
                <w:smallCaps w:val="0"/>
                <w:color w:val="auto"/>
                <w:spacing w:val="0"/>
                <w:highlight w:val="none"/>
                <w:lang w:val="en-US" w:eastAsia="zh-CN"/>
              </w:rPr>
              <w:t>现有厂区内，属于</w:t>
            </w:r>
            <w:r>
              <w:rPr>
                <w:rFonts w:hint="default" w:ascii="Times New Roman" w:hAnsi="Times New Roman" w:eastAsia="宋体" w:cs="Times New Roman"/>
                <w:smallCaps w:val="0"/>
                <w:color w:val="auto"/>
                <w:spacing w:val="0"/>
                <w:highlight w:val="none"/>
                <w:lang w:eastAsia="zh-CN"/>
              </w:rPr>
              <w:t>石钢片区</w:t>
            </w:r>
            <w:r>
              <w:rPr>
                <w:rFonts w:hint="default" w:ascii="Times New Roman" w:hAnsi="Times New Roman" w:eastAsia="宋体" w:cs="Times New Roman"/>
                <w:smallCaps w:val="0"/>
                <w:color w:val="auto"/>
                <w:spacing w:val="0"/>
                <w:highlight w:val="none"/>
              </w:rPr>
              <w:t>规划范围</w:t>
            </w:r>
            <w:r>
              <w:rPr>
                <w:rFonts w:hint="default" w:ascii="Times New Roman" w:hAnsi="Times New Roman" w:eastAsia="宋体" w:cs="Times New Roman"/>
                <w:smallCaps w:val="0"/>
                <w:color w:val="auto"/>
                <w:spacing w:val="0"/>
                <w:highlight w:val="none"/>
                <w:lang w:eastAsia="zh-CN"/>
              </w:rPr>
              <w:t>内，</w:t>
            </w:r>
            <w:r>
              <w:rPr>
                <w:rFonts w:hint="default" w:ascii="Times New Roman" w:hAnsi="Times New Roman" w:cs="Times New Roman"/>
                <w:smallCaps w:val="0"/>
                <w:color w:val="auto"/>
                <w:spacing w:val="0"/>
                <w:highlight w:val="none"/>
              </w:rPr>
              <w:t>项目周围无生态环境保护目标。</w:t>
            </w:r>
          </w:p>
        </w:tc>
      </w:tr>
      <w:tr w14:paraId="653FF9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271" w:type="pct"/>
            <w:tcMar>
              <w:left w:w="28" w:type="dxa"/>
              <w:right w:w="28" w:type="dxa"/>
            </w:tcMar>
            <w:vAlign w:val="center"/>
          </w:tcPr>
          <w:p w14:paraId="5F52DC4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污染</w:t>
            </w:r>
          </w:p>
          <w:p w14:paraId="5F76F70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物排</w:t>
            </w:r>
          </w:p>
          <w:p w14:paraId="506F7291">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放控</w:t>
            </w:r>
          </w:p>
          <w:p w14:paraId="6A9EF90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制标</w:t>
            </w:r>
          </w:p>
          <w:p w14:paraId="6D29AC1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准</w:t>
            </w:r>
          </w:p>
        </w:tc>
        <w:tc>
          <w:tcPr>
            <w:tcW w:w="4728" w:type="pct"/>
            <w:vAlign w:val="center"/>
          </w:tcPr>
          <w:p w14:paraId="76F3F91E">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default" w:ascii="Times New Roman" w:hAnsi="Times New Roman" w:cs="Times New Roman"/>
                <w:b/>
                <w:smallCaps w:val="0"/>
                <w:color w:val="auto"/>
                <w:spacing w:val="0"/>
                <w:highlight w:val="none"/>
                <w:lang w:val="en-US" w:eastAsia="zh-CN"/>
              </w:rPr>
              <w:t>1</w:t>
            </w:r>
            <w:r>
              <w:rPr>
                <w:rFonts w:hint="default" w:ascii="Times New Roman" w:hAnsi="Times New Roman" w:cs="Times New Roman"/>
                <w:b/>
                <w:smallCaps w:val="0"/>
                <w:color w:val="auto"/>
                <w:spacing w:val="0"/>
                <w:highlight w:val="none"/>
              </w:rPr>
              <w:t>、噪声污染执行标准</w:t>
            </w:r>
          </w:p>
          <w:p w14:paraId="0BE94DF6">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施工期：噪声排放执行《建筑施工噪声排放标准》(GB12523-20</w:t>
            </w:r>
            <w:r>
              <w:rPr>
                <w:rFonts w:hint="default" w:ascii="Times New Roman" w:hAnsi="Times New Roman" w:cs="Times New Roman"/>
                <w:smallCaps w:val="0"/>
                <w:color w:val="auto"/>
                <w:spacing w:val="0"/>
                <w:highlight w:val="none"/>
                <w:lang w:val="en-US" w:eastAsia="zh-CN"/>
              </w:rPr>
              <w:t>25</w:t>
            </w:r>
            <w:r>
              <w:rPr>
                <w:rFonts w:hint="default" w:ascii="Times New Roman" w:hAnsi="Times New Roman" w:cs="Times New Roman"/>
                <w:smallCaps w:val="0"/>
                <w:color w:val="auto"/>
                <w:spacing w:val="0"/>
                <w:highlight w:val="none"/>
              </w:rPr>
              <w:t>)标准的要求。</w:t>
            </w:r>
          </w:p>
          <w:p w14:paraId="78D8531F">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运营期：厂界噪声排放执行《工业企业厂界环境噪声排放标准》（GB12348-2008）</w:t>
            </w:r>
            <w:r>
              <w:rPr>
                <w:rFonts w:hint="default" w:ascii="Times New Roman" w:hAnsi="Times New Roman" w:cs="Times New Roman"/>
                <w:smallCaps w:val="0"/>
                <w:color w:val="auto"/>
                <w:spacing w:val="0"/>
                <w:highlight w:val="none"/>
                <w:lang w:val="en-US" w:eastAsia="zh-CN"/>
              </w:rPr>
              <w:t>3</w:t>
            </w:r>
            <w:r>
              <w:rPr>
                <w:rFonts w:hint="default" w:ascii="Times New Roman" w:hAnsi="Times New Roman" w:cs="Times New Roman"/>
                <w:smallCaps w:val="0"/>
                <w:color w:val="auto"/>
                <w:spacing w:val="0"/>
                <w:highlight w:val="none"/>
              </w:rPr>
              <w:t>类标准</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具体见下表。</w:t>
            </w:r>
          </w:p>
          <w:p w14:paraId="4F0750B0">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表3-</w:t>
            </w:r>
            <w:r>
              <w:rPr>
                <w:rFonts w:hint="default" w:ascii="Times New Roman" w:hAnsi="Times New Roman" w:cs="Times New Roman"/>
                <w:smallCaps w:val="0"/>
                <w:color w:val="auto"/>
                <w:spacing w:val="0"/>
                <w:highlight w:val="none"/>
                <w:lang w:val="en-US" w:eastAsia="zh-CN"/>
              </w:rPr>
              <w:t>5</w:t>
            </w:r>
            <w:r>
              <w:rPr>
                <w:rFonts w:hint="default" w:ascii="Times New Roman" w:hAnsi="Times New Roman" w:cs="Times New Roman"/>
                <w:smallCaps w:val="0"/>
                <w:color w:val="auto"/>
                <w:spacing w:val="0"/>
                <w:highlight w:val="none"/>
              </w:rPr>
              <w:t xml:space="preserve">  </w:t>
            </w:r>
            <w:r>
              <w:rPr>
                <w:rFonts w:hint="default" w:ascii="Times New Roman" w:hAnsi="Times New Roman" w:cs="Times New Roman"/>
                <w:smallCaps w:val="0"/>
                <w:color w:val="auto"/>
                <w:spacing w:val="0"/>
                <w:highlight w:val="none"/>
                <w:lang w:val="en-US" w:eastAsia="zh-CN"/>
              </w:rPr>
              <w:t xml:space="preserve"> </w:t>
            </w:r>
            <w:r>
              <w:rPr>
                <w:rFonts w:hint="default" w:ascii="Times New Roman" w:hAnsi="Times New Roman" w:cs="Times New Roman"/>
                <w:smallCaps w:val="0"/>
                <w:color w:val="auto"/>
                <w:spacing w:val="0"/>
                <w:highlight w:val="none"/>
              </w:rPr>
              <w:t xml:space="preserve"> 噪声排放标准</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3"/>
              <w:gridCol w:w="1421"/>
              <w:gridCol w:w="1915"/>
              <w:gridCol w:w="3404"/>
            </w:tblGrid>
            <w:tr w14:paraId="7351E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1093" w:type="dxa"/>
                  <w:tcBorders>
                    <w:top w:val="single" w:color="auto" w:sz="4" w:space="0"/>
                    <w:left w:val="single" w:color="auto" w:sz="4" w:space="0"/>
                    <w:right w:val="single" w:color="auto" w:sz="4" w:space="0"/>
                  </w:tcBorders>
                  <w:vAlign w:val="center"/>
                </w:tcPr>
                <w:p w14:paraId="19C571A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类别</w:t>
                  </w:r>
                </w:p>
              </w:tc>
              <w:tc>
                <w:tcPr>
                  <w:tcW w:w="1421" w:type="dxa"/>
                  <w:tcBorders>
                    <w:top w:val="single" w:color="auto" w:sz="4" w:space="0"/>
                    <w:left w:val="single" w:color="auto" w:sz="4" w:space="0"/>
                    <w:right w:val="single" w:color="auto" w:sz="4" w:space="0"/>
                  </w:tcBorders>
                  <w:vAlign w:val="center"/>
                </w:tcPr>
                <w:p w14:paraId="5B477C0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方位</w:t>
                  </w:r>
                </w:p>
              </w:tc>
              <w:tc>
                <w:tcPr>
                  <w:tcW w:w="1915" w:type="dxa"/>
                  <w:tcBorders>
                    <w:top w:val="single" w:color="auto" w:sz="4" w:space="0"/>
                    <w:left w:val="single" w:color="auto" w:sz="4" w:space="0"/>
                    <w:bottom w:val="single" w:color="auto" w:sz="4" w:space="0"/>
                    <w:right w:val="single" w:color="auto" w:sz="4" w:space="0"/>
                  </w:tcBorders>
                  <w:vAlign w:val="center"/>
                </w:tcPr>
                <w:p w14:paraId="4D4C372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b/>
                      <w:bCs/>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排放标准</w:t>
                  </w:r>
                </w:p>
              </w:tc>
              <w:tc>
                <w:tcPr>
                  <w:tcW w:w="3404" w:type="dxa"/>
                  <w:tcBorders>
                    <w:top w:val="single" w:color="auto" w:sz="4" w:space="0"/>
                    <w:left w:val="single" w:color="auto" w:sz="4" w:space="0"/>
                    <w:right w:val="single" w:color="auto" w:sz="4" w:space="0"/>
                  </w:tcBorders>
                  <w:vAlign w:val="center"/>
                </w:tcPr>
                <w:p w14:paraId="7A19F84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b/>
                      <w:bCs/>
                      <w:smallCaps w:val="0"/>
                      <w:color w:val="auto"/>
                      <w:spacing w:val="0"/>
                      <w:szCs w:val="21"/>
                      <w:highlight w:val="none"/>
                    </w:rPr>
                    <w:t>标准来源</w:t>
                  </w:r>
                </w:p>
              </w:tc>
            </w:tr>
            <w:tr w14:paraId="23591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093" w:type="dxa"/>
                  <w:vMerge w:val="restart"/>
                  <w:tcBorders>
                    <w:top w:val="single" w:color="auto" w:sz="4" w:space="0"/>
                    <w:left w:val="single" w:color="auto" w:sz="4" w:space="0"/>
                    <w:right w:val="single" w:color="auto" w:sz="4" w:space="0"/>
                  </w:tcBorders>
                  <w:vAlign w:val="center"/>
                </w:tcPr>
                <w:p w14:paraId="6A1B7F3B">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施工期</w:t>
                  </w:r>
                </w:p>
              </w:tc>
              <w:tc>
                <w:tcPr>
                  <w:tcW w:w="1421" w:type="dxa"/>
                  <w:vMerge w:val="restart"/>
                  <w:tcBorders>
                    <w:top w:val="single" w:color="auto" w:sz="4" w:space="0"/>
                    <w:left w:val="single" w:color="auto" w:sz="4" w:space="0"/>
                    <w:right w:val="single" w:color="auto" w:sz="4" w:space="0"/>
                  </w:tcBorders>
                  <w:vAlign w:val="center"/>
                </w:tcPr>
                <w:p w14:paraId="5CC708F3">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场界</w:t>
                  </w:r>
                </w:p>
              </w:tc>
              <w:tc>
                <w:tcPr>
                  <w:tcW w:w="1915" w:type="dxa"/>
                  <w:tcBorders>
                    <w:top w:val="single" w:color="auto" w:sz="4" w:space="0"/>
                    <w:left w:val="single" w:color="auto" w:sz="4" w:space="0"/>
                    <w:bottom w:val="single" w:color="auto" w:sz="4" w:space="0"/>
                    <w:right w:val="single" w:color="auto" w:sz="4" w:space="0"/>
                  </w:tcBorders>
                  <w:vAlign w:val="center"/>
                </w:tcPr>
                <w:p w14:paraId="6D881E9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昼间：70dB(A)</w:t>
                  </w:r>
                </w:p>
              </w:tc>
              <w:tc>
                <w:tcPr>
                  <w:tcW w:w="3404" w:type="dxa"/>
                  <w:vMerge w:val="restart"/>
                  <w:tcBorders>
                    <w:top w:val="single" w:color="auto" w:sz="4" w:space="0"/>
                    <w:left w:val="single" w:color="auto" w:sz="4" w:space="0"/>
                    <w:right w:val="single" w:color="auto" w:sz="4" w:space="0"/>
                  </w:tcBorders>
                  <w:vAlign w:val="center"/>
                </w:tcPr>
                <w:p w14:paraId="1CAF8DDD">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zCs w:val="20"/>
                      <w:highlight w:val="none"/>
                    </w:rPr>
                    <w:t>《建筑施工噪声排放标准》(GB12523-20</w:t>
                  </w:r>
                  <w:r>
                    <w:rPr>
                      <w:rFonts w:hint="default" w:ascii="Times New Roman" w:hAnsi="Times New Roman" w:cs="Times New Roman"/>
                      <w:szCs w:val="20"/>
                      <w:highlight w:val="none"/>
                      <w:lang w:val="en-US" w:eastAsia="zh-CN"/>
                    </w:rPr>
                    <w:t>25</w:t>
                  </w:r>
                  <w:r>
                    <w:rPr>
                      <w:rFonts w:hint="default" w:ascii="Times New Roman" w:hAnsi="Times New Roman" w:cs="Times New Roman"/>
                      <w:szCs w:val="20"/>
                      <w:highlight w:val="none"/>
                    </w:rPr>
                    <w:t>)</w:t>
                  </w:r>
                </w:p>
              </w:tc>
            </w:tr>
            <w:tr w14:paraId="04C37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093" w:type="dxa"/>
                  <w:vMerge w:val="continue"/>
                  <w:tcBorders>
                    <w:left w:val="single" w:color="auto" w:sz="4" w:space="0"/>
                    <w:right w:val="single" w:color="auto" w:sz="4" w:space="0"/>
                  </w:tcBorders>
                  <w:vAlign w:val="center"/>
                </w:tcPr>
                <w:p w14:paraId="6CE305C9">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421" w:type="dxa"/>
                  <w:vMerge w:val="continue"/>
                  <w:tcBorders>
                    <w:left w:val="single" w:color="auto" w:sz="4" w:space="0"/>
                    <w:right w:val="single" w:color="auto" w:sz="4" w:space="0"/>
                  </w:tcBorders>
                  <w:vAlign w:val="center"/>
                </w:tcPr>
                <w:p w14:paraId="0FE077E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915" w:type="dxa"/>
                  <w:tcBorders>
                    <w:top w:val="single" w:color="auto" w:sz="4" w:space="0"/>
                    <w:left w:val="single" w:color="auto" w:sz="4" w:space="0"/>
                    <w:bottom w:val="single" w:color="auto" w:sz="4" w:space="0"/>
                    <w:right w:val="single" w:color="auto" w:sz="4" w:space="0"/>
                  </w:tcBorders>
                  <w:vAlign w:val="center"/>
                </w:tcPr>
                <w:p w14:paraId="7893E935">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夜间：55dB(A)</w:t>
                  </w:r>
                </w:p>
              </w:tc>
              <w:tc>
                <w:tcPr>
                  <w:tcW w:w="3404" w:type="dxa"/>
                  <w:vMerge w:val="continue"/>
                  <w:tcBorders>
                    <w:left w:val="single" w:color="auto" w:sz="4" w:space="0"/>
                    <w:right w:val="single" w:color="auto" w:sz="4" w:space="0"/>
                  </w:tcBorders>
                  <w:vAlign w:val="center"/>
                </w:tcPr>
                <w:p w14:paraId="5E99AB7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r>
            <w:tr w14:paraId="1796C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093" w:type="dxa"/>
                  <w:vMerge w:val="restart"/>
                  <w:tcBorders>
                    <w:left w:val="single" w:color="auto" w:sz="4" w:space="0"/>
                    <w:right w:val="single" w:color="auto" w:sz="4" w:space="0"/>
                  </w:tcBorders>
                  <w:vAlign w:val="center"/>
                </w:tcPr>
                <w:p w14:paraId="60258CC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运营期</w:t>
                  </w:r>
                </w:p>
              </w:tc>
              <w:tc>
                <w:tcPr>
                  <w:tcW w:w="1421" w:type="dxa"/>
                  <w:vMerge w:val="restart"/>
                  <w:tcBorders>
                    <w:left w:val="single" w:color="auto" w:sz="4" w:space="0"/>
                    <w:right w:val="single" w:color="auto" w:sz="4" w:space="0"/>
                  </w:tcBorders>
                  <w:vAlign w:val="center"/>
                </w:tcPr>
                <w:p w14:paraId="553F0292">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厂界</w:t>
                  </w:r>
                </w:p>
              </w:tc>
              <w:tc>
                <w:tcPr>
                  <w:tcW w:w="1915" w:type="dxa"/>
                  <w:tcBorders>
                    <w:top w:val="single" w:color="auto" w:sz="4" w:space="0"/>
                    <w:left w:val="single" w:color="auto" w:sz="4" w:space="0"/>
                    <w:bottom w:val="single" w:color="auto" w:sz="4" w:space="0"/>
                    <w:right w:val="single" w:color="auto" w:sz="4" w:space="0"/>
                  </w:tcBorders>
                  <w:vAlign w:val="center"/>
                </w:tcPr>
                <w:p w14:paraId="56139B06">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昼间：6</w:t>
                  </w:r>
                  <w:r>
                    <w:rPr>
                      <w:rFonts w:hint="default" w:ascii="Times New Roman" w:hAnsi="Times New Roman" w:cs="Times New Roman"/>
                      <w:smallCaps w:val="0"/>
                      <w:color w:val="auto"/>
                      <w:spacing w:val="0"/>
                      <w:szCs w:val="21"/>
                      <w:highlight w:val="none"/>
                      <w:lang w:val="en-US" w:eastAsia="zh-CN"/>
                    </w:rPr>
                    <w:t>5</w:t>
                  </w:r>
                  <w:r>
                    <w:rPr>
                      <w:rFonts w:hint="default" w:ascii="Times New Roman" w:hAnsi="Times New Roman" w:cs="Times New Roman"/>
                      <w:smallCaps w:val="0"/>
                      <w:color w:val="auto"/>
                      <w:spacing w:val="0"/>
                      <w:szCs w:val="21"/>
                      <w:highlight w:val="none"/>
                    </w:rPr>
                    <w:t>dB(A)</w:t>
                  </w:r>
                </w:p>
              </w:tc>
              <w:tc>
                <w:tcPr>
                  <w:tcW w:w="3404" w:type="dxa"/>
                  <w:vMerge w:val="restart"/>
                  <w:tcBorders>
                    <w:left w:val="single" w:color="auto" w:sz="4" w:space="0"/>
                    <w:right w:val="single" w:color="auto" w:sz="4" w:space="0"/>
                  </w:tcBorders>
                  <w:vAlign w:val="center"/>
                </w:tcPr>
                <w:p w14:paraId="29EE4F7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0"/>
                      <w:highlight w:val="none"/>
                    </w:rPr>
                    <w:t>《工业企业厂界环境噪声排放标准》（GB12348-2008）</w:t>
                  </w:r>
                  <w:r>
                    <w:rPr>
                      <w:rFonts w:hint="default" w:ascii="Times New Roman" w:hAnsi="Times New Roman" w:cs="Times New Roman"/>
                      <w:smallCaps w:val="0"/>
                      <w:color w:val="auto"/>
                      <w:spacing w:val="0"/>
                      <w:szCs w:val="20"/>
                      <w:highlight w:val="none"/>
                      <w:lang w:val="en-US" w:eastAsia="zh-CN"/>
                    </w:rPr>
                    <w:t>3</w:t>
                  </w:r>
                  <w:r>
                    <w:rPr>
                      <w:rFonts w:hint="default" w:ascii="Times New Roman" w:hAnsi="Times New Roman" w:cs="Times New Roman"/>
                      <w:smallCaps w:val="0"/>
                      <w:color w:val="auto"/>
                      <w:spacing w:val="0"/>
                      <w:szCs w:val="20"/>
                      <w:highlight w:val="none"/>
                    </w:rPr>
                    <w:t>类标准</w:t>
                  </w:r>
                </w:p>
              </w:tc>
            </w:tr>
            <w:tr w14:paraId="3404A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093" w:type="dxa"/>
                  <w:vMerge w:val="continue"/>
                  <w:tcBorders>
                    <w:left w:val="single" w:color="auto" w:sz="4" w:space="0"/>
                    <w:right w:val="single" w:color="auto" w:sz="4" w:space="0"/>
                  </w:tcBorders>
                  <w:vAlign w:val="center"/>
                </w:tcPr>
                <w:p w14:paraId="5989CC6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421" w:type="dxa"/>
                  <w:vMerge w:val="continue"/>
                  <w:tcBorders>
                    <w:left w:val="single" w:color="auto" w:sz="4" w:space="0"/>
                    <w:right w:val="single" w:color="auto" w:sz="4" w:space="0"/>
                  </w:tcBorders>
                  <w:vAlign w:val="center"/>
                </w:tcPr>
                <w:p w14:paraId="75ACE2CD">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c>
                <w:tcPr>
                  <w:tcW w:w="1915" w:type="dxa"/>
                  <w:tcBorders>
                    <w:top w:val="single" w:color="auto" w:sz="4" w:space="0"/>
                    <w:left w:val="single" w:color="auto" w:sz="4" w:space="0"/>
                    <w:bottom w:val="single" w:color="auto" w:sz="4" w:space="0"/>
                    <w:right w:val="single" w:color="auto" w:sz="4" w:space="0"/>
                  </w:tcBorders>
                  <w:vAlign w:val="center"/>
                </w:tcPr>
                <w:p w14:paraId="5082EE3A">
                  <w:pPr>
                    <w:keepNext w:val="0"/>
                    <w:keepLines w:val="0"/>
                    <w:suppressLineNumbers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r>
                    <w:rPr>
                      <w:rFonts w:hint="default" w:ascii="Times New Roman" w:hAnsi="Times New Roman" w:cs="Times New Roman"/>
                      <w:smallCaps w:val="0"/>
                      <w:color w:val="auto"/>
                      <w:spacing w:val="0"/>
                      <w:szCs w:val="21"/>
                      <w:highlight w:val="none"/>
                    </w:rPr>
                    <w:t>夜间：5</w:t>
                  </w:r>
                  <w:r>
                    <w:rPr>
                      <w:rFonts w:hint="default" w:ascii="Times New Roman" w:hAnsi="Times New Roman" w:cs="Times New Roman"/>
                      <w:smallCaps w:val="0"/>
                      <w:color w:val="auto"/>
                      <w:spacing w:val="0"/>
                      <w:szCs w:val="21"/>
                      <w:highlight w:val="none"/>
                      <w:lang w:val="en-US" w:eastAsia="zh-CN"/>
                    </w:rPr>
                    <w:t>5</w:t>
                  </w:r>
                  <w:r>
                    <w:rPr>
                      <w:rFonts w:hint="default" w:ascii="Times New Roman" w:hAnsi="Times New Roman" w:cs="Times New Roman"/>
                      <w:smallCaps w:val="0"/>
                      <w:color w:val="auto"/>
                      <w:spacing w:val="0"/>
                      <w:szCs w:val="21"/>
                      <w:highlight w:val="none"/>
                    </w:rPr>
                    <w:t>dB(A)</w:t>
                  </w:r>
                </w:p>
              </w:tc>
              <w:tc>
                <w:tcPr>
                  <w:tcW w:w="3404" w:type="dxa"/>
                  <w:vMerge w:val="continue"/>
                  <w:tcBorders>
                    <w:left w:val="single" w:color="auto" w:sz="4" w:space="0"/>
                    <w:right w:val="single" w:color="auto" w:sz="4" w:space="0"/>
                  </w:tcBorders>
                  <w:vAlign w:val="center"/>
                </w:tcPr>
                <w:p w14:paraId="5C1D8E66">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szCs w:val="21"/>
                      <w:highlight w:val="none"/>
                    </w:rPr>
                  </w:pPr>
                </w:p>
              </w:tc>
            </w:tr>
          </w:tbl>
          <w:p w14:paraId="64B3BFAA">
            <w:pPr>
              <w:pStyle w:val="171"/>
              <w:keepNext w:val="0"/>
              <w:keepLines w:val="0"/>
              <w:pageBreakBefore w:val="0"/>
              <w:numPr>
                <w:ilvl w:val="0"/>
                <w:numId w:val="4"/>
              </w:numPr>
              <w:suppressLineNumbers w:val="0"/>
              <w:kinsoku/>
              <w:wordWrap/>
              <w:overflowPunct/>
              <w:topLinePunct w:val="0"/>
              <w:autoSpaceDE/>
              <w:autoSpaceDN/>
              <w:bidi w:val="0"/>
              <w:adjustRightInd/>
              <w:snapToGrid/>
              <w:spacing w:before="0" w:beforeAutospacing="0" w:after="0" w:afterAutospacing="0" w:line="480" w:lineRule="exact"/>
              <w:ind w:left="0" w:leftChars="0" w:right="0" w:rightChars="0" w:firstLine="0" w:firstLineChars="0"/>
              <w:textAlignment w:val="auto"/>
              <w:rPr>
                <w:rFonts w:hint="default" w:ascii="Times New Roman" w:hAnsi="Times New Roman" w:cs="Times New Roman"/>
                <w:b/>
                <w:smallCaps w:val="0"/>
                <w:color w:val="auto"/>
                <w:spacing w:val="0"/>
                <w:highlight w:val="none"/>
                <w:lang w:val="en-US" w:eastAsia="zh-CN"/>
              </w:rPr>
            </w:pPr>
            <w:r>
              <w:rPr>
                <w:rFonts w:hint="default" w:ascii="Times New Roman" w:hAnsi="Times New Roman" w:cs="Times New Roman"/>
                <w:b/>
                <w:smallCaps w:val="0"/>
                <w:color w:val="auto"/>
                <w:spacing w:val="0"/>
                <w:highlight w:val="none"/>
                <w:lang w:val="en-US" w:eastAsia="zh-CN"/>
              </w:rPr>
              <w:t>废气排放标准</w:t>
            </w:r>
          </w:p>
          <w:p w14:paraId="6634EA03">
            <w:pPr>
              <w:pStyle w:val="21"/>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0" w:firstLineChars="200"/>
              <w:textAlignment w:val="auto"/>
              <w:rPr>
                <w:rFonts w:hint="default" w:ascii="Times New Roman" w:hAnsi="Times New Roman" w:cs="Times New Roman"/>
                <w:szCs w:val="20"/>
                <w:highlight w:val="none"/>
                <w:lang w:val="en-US" w:eastAsia="zh-CN"/>
              </w:rPr>
            </w:pPr>
            <w:r>
              <w:rPr>
                <w:rFonts w:hint="default" w:ascii="Times New Roman" w:hAnsi="Times New Roman" w:cs="Times New Roman"/>
                <w:b/>
                <w:bCs/>
                <w:sz w:val="24"/>
                <w:szCs w:val="18"/>
                <w:highlight w:val="none"/>
                <w:lang w:val="en-US" w:eastAsia="zh-CN"/>
              </w:rPr>
              <w:t>非甲烷总烃：</w:t>
            </w:r>
            <w:r>
              <w:rPr>
                <w:rFonts w:hint="default" w:ascii="Times New Roman" w:hAnsi="Times New Roman" w:cs="Times New Roman"/>
                <w:sz w:val="24"/>
                <w:szCs w:val="18"/>
                <w:highlight w:val="none"/>
                <w:lang w:val="en-US" w:eastAsia="zh-CN"/>
              </w:rPr>
              <w:t>本项目有组织排放非甲</w:t>
            </w:r>
            <w:r>
              <w:rPr>
                <w:rFonts w:hint="default" w:ascii="Times New Roman" w:hAnsi="Times New Roman" w:eastAsia="宋体" w:cs="Times New Roman"/>
                <w:sz w:val="24"/>
                <w:szCs w:val="18"/>
                <w:highlight w:val="none"/>
                <w:lang w:val="en-US" w:eastAsia="zh-CN"/>
              </w:rPr>
              <w:t>烷总烃执行《工业企业挥发性有机物排放控制标准》（DB13/2322-20</w:t>
            </w:r>
            <w:r>
              <w:rPr>
                <w:rFonts w:hint="default" w:ascii="Times New Roman" w:hAnsi="Times New Roman" w:cs="Times New Roman"/>
                <w:sz w:val="24"/>
                <w:szCs w:val="18"/>
                <w:highlight w:val="none"/>
                <w:lang w:val="en-US" w:eastAsia="zh-CN"/>
              </w:rPr>
              <w:t>25</w:t>
            </w:r>
            <w:r>
              <w:rPr>
                <w:rFonts w:hint="default" w:ascii="Times New Roman" w:hAnsi="Times New Roman" w:eastAsia="宋体" w:cs="Times New Roman"/>
                <w:sz w:val="24"/>
                <w:szCs w:val="18"/>
                <w:highlight w:val="none"/>
                <w:lang w:val="en-US" w:eastAsia="zh-CN"/>
              </w:rPr>
              <w:t>）表1其他行业标准；厂区内非甲烷总烃执行《工业企业挥发性有机物排放控制标准》（DB13/2322-20</w:t>
            </w:r>
            <w:r>
              <w:rPr>
                <w:rFonts w:hint="default" w:ascii="Times New Roman" w:hAnsi="Times New Roman" w:cs="Times New Roman"/>
                <w:sz w:val="24"/>
                <w:szCs w:val="18"/>
                <w:highlight w:val="none"/>
                <w:lang w:val="en-US" w:eastAsia="zh-CN"/>
              </w:rPr>
              <w:t>25</w:t>
            </w:r>
            <w:r>
              <w:rPr>
                <w:rFonts w:hint="default" w:ascii="Times New Roman" w:hAnsi="Times New Roman" w:eastAsia="宋体" w:cs="Times New Roman"/>
                <w:sz w:val="24"/>
                <w:szCs w:val="18"/>
                <w:highlight w:val="none"/>
                <w:lang w:val="en-US" w:eastAsia="zh-CN"/>
              </w:rPr>
              <w:t>）中</w:t>
            </w:r>
            <w:r>
              <w:rPr>
                <w:rFonts w:hint="default" w:ascii="Times New Roman" w:hAnsi="Times New Roman" w:cs="Times New Roman"/>
                <w:sz w:val="24"/>
                <w:szCs w:val="18"/>
                <w:highlight w:val="none"/>
                <w:lang w:val="en-US" w:eastAsia="zh-CN"/>
              </w:rPr>
              <w:t>表2厂区内挥发性有机物无组织排放限值</w:t>
            </w:r>
            <w:r>
              <w:rPr>
                <w:rFonts w:hint="default" w:ascii="Times New Roman" w:hAnsi="Times New Roman" w:eastAsia="宋体" w:cs="Times New Roman"/>
                <w:sz w:val="24"/>
                <w:szCs w:val="18"/>
                <w:highlight w:val="none"/>
                <w:lang w:val="en-US" w:eastAsia="zh-CN"/>
              </w:rPr>
              <w:t>要求；由于本项目需按铸造B级企业要求进行建设，</w:t>
            </w:r>
            <w:r>
              <w:rPr>
                <w:rFonts w:hint="default" w:ascii="Times New Roman" w:hAnsi="Times New Roman" w:cs="Times New Roman"/>
                <w:sz w:val="24"/>
                <w:szCs w:val="18"/>
                <w:highlight w:val="none"/>
                <w:lang w:val="en-US" w:eastAsia="zh-CN"/>
              </w:rPr>
              <w:t>有组织排放</w:t>
            </w:r>
            <w:r>
              <w:rPr>
                <w:rFonts w:hint="default" w:ascii="Times New Roman" w:hAnsi="Times New Roman" w:eastAsia="宋体" w:cs="Times New Roman"/>
                <w:sz w:val="24"/>
                <w:szCs w:val="18"/>
                <w:highlight w:val="none"/>
                <w:lang w:val="en-US" w:eastAsia="zh-CN"/>
              </w:rPr>
              <w:t>非甲烷总烃排放标准按《重污染天气重点行业应急减排措施制定技术指南（2021年修订版）》中表6-1铸造企业B级标准要求严格执行</w:t>
            </w:r>
            <w:r>
              <w:rPr>
                <w:rFonts w:hint="default" w:ascii="Times New Roman" w:hAnsi="Times New Roman" w:cs="Times New Roman"/>
                <w:sz w:val="24"/>
                <w:szCs w:val="18"/>
                <w:highlight w:val="none"/>
                <w:lang w:val="en-US" w:eastAsia="zh-CN"/>
              </w:rPr>
              <w:t>；厂界</w:t>
            </w:r>
            <w:r>
              <w:rPr>
                <w:rFonts w:hint="default" w:ascii="Times New Roman" w:hAnsi="Times New Roman" w:eastAsia="宋体" w:cs="Times New Roman"/>
                <w:sz w:val="24"/>
                <w:szCs w:val="18"/>
                <w:highlight w:val="none"/>
                <w:lang w:val="en-US" w:eastAsia="zh-CN"/>
              </w:rPr>
              <w:t>非甲烷总烃执行《大气污染物综合排放标准》（GB16297-1996）</w:t>
            </w:r>
            <w:r>
              <w:rPr>
                <w:rFonts w:hint="default" w:ascii="Times New Roman" w:hAnsi="Times New Roman" w:cs="Times New Roman"/>
                <w:sz w:val="24"/>
                <w:szCs w:val="18"/>
                <w:highlight w:val="none"/>
                <w:lang w:val="en-US" w:eastAsia="zh-CN"/>
              </w:rPr>
              <w:t>表2中相关标准。</w:t>
            </w:r>
          </w:p>
          <w:p w14:paraId="2947B9B9">
            <w:pPr>
              <w:pStyle w:val="21"/>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0" w:firstLineChars="200"/>
              <w:textAlignment w:val="auto"/>
              <w:rPr>
                <w:rFonts w:hint="default" w:ascii="Times New Roman" w:hAnsi="Times New Roman" w:eastAsia="宋体" w:cs="Times New Roman"/>
                <w:sz w:val="24"/>
                <w:szCs w:val="18"/>
                <w:highlight w:val="none"/>
                <w:lang w:val="en-US" w:eastAsia="zh-CN"/>
              </w:rPr>
            </w:pPr>
            <w:r>
              <w:rPr>
                <w:rFonts w:hint="default" w:ascii="Times New Roman" w:hAnsi="Times New Roman" w:eastAsia="宋体" w:cs="Times New Roman"/>
                <w:b/>
                <w:bCs/>
                <w:sz w:val="24"/>
                <w:szCs w:val="18"/>
                <w:highlight w:val="none"/>
                <w:lang w:val="en-US" w:eastAsia="zh-CN"/>
              </w:rPr>
              <w:t>颗粒物：</w:t>
            </w:r>
            <w:r>
              <w:rPr>
                <w:rFonts w:hint="default" w:ascii="Times New Roman" w:hAnsi="Times New Roman" w:cs="Times New Roman"/>
                <w:sz w:val="24"/>
                <w:szCs w:val="18"/>
                <w:highlight w:val="none"/>
                <w:lang w:val="en-US" w:eastAsia="zh-CN"/>
              </w:rPr>
              <w:t>本项目有组织排放颗粒物、厂区内无组织颗粒物执行</w:t>
            </w:r>
            <w:r>
              <w:rPr>
                <w:rFonts w:hint="default" w:ascii="Times New Roman" w:hAnsi="Times New Roman" w:eastAsia="宋体" w:cs="Times New Roman"/>
                <w:sz w:val="24"/>
                <w:szCs w:val="18"/>
                <w:highlight w:val="none"/>
                <w:lang w:val="en-US" w:eastAsia="zh-CN"/>
              </w:rPr>
              <w:t>《铸造工业大气污染物排放标准》（GB39726-2020）中相关大气污染物排放限值；厂界无组织排放颗粒物执行《大气污染物综合排放标准》（GB16297-1996）</w:t>
            </w:r>
            <w:r>
              <w:rPr>
                <w:rFonts w:hint="default" w:ascii="Times New Roman" w:hAnsi="Times New Roman" w:cs="Times New Roman"/>
                <w:sz w:val="24"/>
                <w:szCs w:val="18"/>
                <w:highlight w:val="none"/>
                <w:lang w:val="en-US" w:eastAsia="zh-CN"/>
              </w:rPr>
              <w:t>表2中相关标准</w:t>
            </w:r>
            <w:r>
              <w:rPr>
                <w:rFonts w:hint="default" w:ascii="Times New Roman" w:hAnsi="Times New Roman" w:eastAsia="宋体" w:cs="Times New Roman"/>
                <w:sz w:val="24"/>
                <w:szCs w:val="18"/>
                <w:highlight w:val="none"/>
                <w:lang w:val="en-US" w:eastAsia="zh-CN"/>
              </w:rPr>
              <w:t>；由于本项目需按铸造B级企业要求进行建设，</w:t>
            </w:r>
            <w:r>
              <w:rPr>
                <w:rFonts w:hint="default" w:ascii="Times New Roman" w:hAnsi="Times New Roman" w:cs="Times New Roman"/>
                <w:sz w:val="24"/>
                <w:szCs w:val="18"/>
                <w:highlight w:val="none"/>
                <w:lang w:val="en-US" w:eastAsia="zh-CN"/>
              </w:rPr>
              <w:t>有组织排放颗粒物</w:t>
            </w:r>
            <w:r>
              <w:rPr>
                <w:rFonts w:hint="default" w:ascii="Times New Roman" w:hAnsi="Times New Roman" w:eastAsia="宋体" w:cs="Times New Roman"/>
                <w:sz w:val="24"/>
                <w:szCs w:val="18"/>
                <w:highlight w:val="none"/>
                <w:lang w:val="en-US" w:eastAsia="zh-CN"/>
              </w:rPr>
              <w:t>标准按《重污染天气重点行业应急减排措施制定技术指南（2021年修订版）》中表6-1铸造企业B级标准要求严格执行。</w:t>
            </w:r>
          </w:p>
          <w:p w14:paraId="17B785F4">
            <w:pPr>
              <w:pStyle w:val="21"/>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0" w:firstLineChars="200"/>
              <w:textAlignment w:val="auto"/>
              <w:rPr>
                <w:rFonts w:hint="default" w:ascii="Times New Roman" w:hAnsi="Times New Roman" w:cs="Times New Roman"/>
                <w:smallCaps w:val="0"/>
                <w:color w:val="auto"/>
                <w:spacing w:val="0"/>
                <w:szCs w:val="20"/>
                <w:highlight w:val="none"/>
              </w:rPr>
            </w:pPr>
            <w:r>
              <w:rPr>
                <w:rFonts w:hint="default" w:ascii="Times New Roman" w:hAnsi="Times New Roman" w:eastAsia="宋体" w:cs="Times New Roman"/>
                <w:b/>
                <w:bCs/>
                <w:sz w:val="24"/>
                <w:szCs w:val="18"/>
                <w:highlight w:val="none"/>
                <w:lang w:val="en-US" w:eastAsia="zh-CN"/>
              </w:rPr>
              <w:t>甲醛、酚类：</w:t>
            </w:r>
            <w:r>
              <w:rPr>
                <w:rFonts w:hint="default" w:ascii="Times New Roman" w:hAnsi="Times New Roman" w:eastAsia="宋体" w:cs="Times New Roman"/>
                <w:b w:val="0"/>
                <w:bCs w:val="0"/>
                <w:sz w:val="24"/>
                <w:szCs w:val="18"/>
                <w:highlight w:val="none"/>
                <w:lang w:val="en-US" w:eastAsia="zh-CN"/>
              </w:rPr>
              <w:t>有组织排放甲醛、酚类</w:t>
            </w:r>
            <w:r>
              <w:rPr>
                <w:rFonts w:hint="default" w:ascii="Times New Roman" w:hAnsi="Times New Roman" w:eastAsia="宋体" w:cs="Times New Roman"/>
                <w:sz w:val="24"/>
                <w:szCs w:val="18"/>
                <w:highlight w:val="none"/>
                <w:lang w:val="en-US" w:eastAsia="zh-CN"/>
              </w:rPr>
              <w:t>按照《大气污染物综合排放标准》（GB16297-1996）中相关标准要求执行</w:t>
            </w:r>
            <w:r>
              <w:rPr>
                <w:rFonts w:hint="default" w:ascii="Times New Roman" w:hAnsi="Times New Roman" w:cs="Times New Roman"/>
                <w:sz w:val="24"/>
                <w:szCs w:val="18"/>
                <w:highlight w:val="none"/>
                <w:lang w:val="en-US" w:eastAsia="zh-CN"/>
              </w:rPr>
              <w:t>；无组织排放</w:t>
            </w:r>
            <w:r>
              <w:rPr>
                <w:rFonts w:hint="default" w:ascii="Times New Roman" w:hAnsi="Times New Roman" w:eastAsia="宋体" w:cs="Times New Roman"/>
                <w:b w:val="0"/>
                <w:bCs w:val="0"/>
                <w:sz w:val="24"/>
                <w:szCs w:val="18"/>
                <w:highlight w:val="none"/>
                <w:lang w:val="en-US" w:eastAsia="zh-CN"/>
              </w:rPr>
              <w:t>甲醛、酚类</w:t>
            </w:r>
            <w:r>
              <w:rPr>
                <w:rFonts w:hint="default" w:ascii="Times New Roman" w:hAnsi="Times New Roman" w:cs="Times New Roman"/>
                <w:b w:val="0"/>
                <w:bCs w:val="0"/>
                <w:sz w:val="24"/>
                <w:szCs w:val="18"/>
                <w:highlight w:val="none"/>
                <w:lang w:val="en-US" w:eastAsia="zh-CN"/>
              </w:rPr>
              <w:t>按</w:t>
            </w:r>
            <w:r>
              <w:rPr>
                <w:rFonts w:hint="default" w:ascii="Times New Roman" w:hAnsi="Times New Roman" w:eastAsia="宋体" w:cs="Times New Roman"/>
                <w:sz w:val="24"/>
                <w:szCs w:val="18"/>
                <w:highlight w:val="none"/>
                <w:lang w:val="en-US" w:eastAsia="zh-CN"/>
              </w:rPr>
              <w:t>《工业企业挥发性有机物排放控制标准》（DB13/2322-20</w:t>
            </w:r>
            <w:r>
              <w:rPr>
                <w:rFonts w:hint="default" w:ascii="Times New Roman" w:hAnsi="Times New Roman" w:cs="Times New Roman"/>
                <w:sz w:val="24"/>
                <w:szCs w:val="18"/>
                <w:highlight w:val="none"/>
                <w:lang w:val="en-US" w:eastAsia="zh-CN"/>
              </w:rPr>
              <w:t>25</w:t>
            </w:r>
            <w:r>
              <w:rPr>
                <w:rFonts w:hint="default" w:ascii="Times New Roman" w:hAnsi="Times New Roman" w:eastAsia="宋体" w:cs="Times New Roman"/>
                <w:sz w:val="24"/>
                <w:szCs w:val="18"/>
                <w:highlight w:val="none"/>
                <w:lang w:val="en-US" w:eastAsia="zh-CN"/>
              </w:rPr>
              <w:t>）</w:t>
            </w:r>
            <w:r>
              <w:rPr>
                <w:rFonts w:hint="default" w:ascii="Times New Roman" w:hAnsi="Times New Roman" w:cs="Times New Roman"/>
                <w:sz w:val="24"/>
                <w:szCs w:val="18"/>
                <w:highlight w:val="none"/>
                <w:lang w:val="en-US" w:eastAsia="zh-CN"/>
              </w:rPr>
              <w:t>表3企业边界挥发性有机物浓度限值要求。</w:t>
            </w:r>
          </w:p>
        </w:tc>
      </w:tr>
    </w:tbl>
    <w:p w14:paraId="1392AF79">
      <w:pPr>
        <w:rPr>
          <w:highlight w:val="yellow"/>
        </w:rPr>
        <w:sectPr>
          <w:pgSz w:w="11907" w:h="16840"/>
          <w:pgMar w:top="1440" w:right="1800" w:bottom="1440" w:left="1800" w:header="851" w:footer="992" w:gutter="0"/>
          <w:cols w:space="720" w:num="1"/>
          <w:docGrid w:type="linesAndChars" w:linePitch="319" w:charSpace="0"/>
        </w:sectPr>
      </w:pPr>
    </w:p>
    <w:tbl>
      <w:tblPr>
        <w:tblStyle w:val="47"/>
        <w:tblW w:w="5095"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3585"/>
      </w:tblGrid>
      <w:tr w14:paraId="53F82E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271" w:type="pct"/>
            <w:tcMar>
              <w:left w:w="28" w:type="dxa"/>
              <w:right w:w="28" w:type="dxa"/>
            </w:tcMar>
            <w:vAlign w:val="center"/>
          </w:tcPr>
          <w:p w14:paraId="3E5CA83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污</w:t>
            </w:r>
          </w:p>
          <w:p w14:paraId="4A4ADDC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染</w:t>
            </w:r>
          </w:p>
          <w:p w14:paraId="3D32F85C">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物</w:t>
            </w:r>
          </w:p>
          <w:p w14:paraId="1B37E48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排</w:t>
            </w:r>
          </w:p>
          <w:p w14:paraId="60E87984">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放</w:t>
            </w:r>
          </w:p>
          <w:p w14:paraId="52A9687F">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控</w:t>
            </w:r>
          </w:p>
          <w:p w14:paraId="03D8D6F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制</w:t>
            </w:r>
          </w:p>
          <w:p w14:paraId="1EBFD95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标</w:t>
            </w:r>
          </w:p>
          <w:p w14:paraId="14E2C6E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准</w:t>
            </w:r>
          </w:p>
        </w:tc>
        <w:tc>
          <w:tcPr>
            <w:tcW w:w="4728" w:type="pct"/>
            <w:vAlign w:val="center"/>
          </w:tcPr>
          <w:p w14:paraId="660F4738">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表3-</w:t>
            </w:r>
            <w:r>
              <w:rPr>
                <w:rFonts w:hint="eastAsia" w:cs="Times New Roman"/>
                <w:smallCaps w:val="0"/>
                <w:color w:val="auto"/>
                <w:spacing w:val="0"/>
                <w:highlight w:val="none"/>
                <w:lang w:val="en-US" w:eastAsia="zh-CN"/>
              </w:rPr>
              <w:t>6</w:t>
            </w:r>
            <w:r>
              <w:rPr>
                <w:rFonts w:hint="default" w:ascii="Times New Roman" w:hAnsi="Times New Roman" w:cs="Times New Roman"/>
                <w:smallCaps w:val="0"/>
                <w:color w:val="auto"/>
                <w:spacing w:val="0"/>
                <w:highlight w:val="none"/>
              </w:rPr>
              <w:t xml:space="preserve">  </w:t>
            </w:r>
            <w:r>
              <w:rPr>
                <w:rFonts w:hint="eastAsia" w:cs="Times New Roman"/>
                <w:smallCaps w:val="0"/>
                <w:color w:val="auto"/>
                <w:spacing w:val="0"/>
                <w:highlight w:val="none"/>
                <w:lang w:val="en-US" w:eastAsia="zh-CN"/>
              </w:rPr>
              <w:t xml:space="preserve"> </w:t>
            </w:r>
            <w:r>
              <w:rPr>
                <w:rFonts w:hint="default" w:ascii="Times New Roman" w:hAnsi="Times New Roman" w:cs="Times New Roman"/>
                <w:smallCaps w:val="0"/>
                <w:color w:val="auto"/>
                <w:spacing w:val="0"/>
                <w:highlight w:val="none"/>
              </w:rPr>
              <w:t xml:space="preserve"> </w:t>
            </w:r>
            <w:r>
              <w:rPr>
                <w:rFonts w:hint="eastAsia" w:ascii="Times New Roman" w:hAnsi="Times New Roman" w:cs="Times New Roman"/>
                <w:smallCaps w:val="0"/>
                <w:color w:val="auto"/>
                <w:spacing w:val="0"/>
                <w:highlight w:val="none"/>
                <w:lang w:val="en-US" w:eastAsia="zh-CN"/>
              </w:rPr>
              <w:t>废气</w:t>
            </w:r>
            <w:r>
              <w:rPr>
                <w:rFonts w:hint="default" w:ascii="Times New Roman" w:hAnsi="Times New Roman" w:cs="Times New Roman"/>
                <w:smallCaps w:val="0"/>
                <w:color w:val="auto"/>
                <w:spacing w:val="0"/>
                <w:highlight w:val="none"/>
              </w:rPr>
              <w:t>排放标准</w:t>
            </w:r>
          </w:p>
          <w:tbl>
            <w:tblPr>
              <w:tblStyle w:val="4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64"/>
              <w:gridCol w:w="745"/>
              <w:gridCol w:w="1130"/>
              <w:gridCol w:w="2396"/>
              <w:gridCol w:w="1894"/>
              <w:gridCol w:w="2161"/>
              <w:gridCol w:w="16"/>
              <w:gridCol w:w="2145"/>
              <w:gridCol w:w="2203"/>
            </w:tblGrid>
            <w:tr w14:paraId="6AFF0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528" w:type="pct"/>
                  <w:gridSpan w:val="2"/>
                  <w:vMerge w:val="restart"/>
                  <w:tcBorders>
                    <w:tl2br w:val="nil"/>
                    <w:tr2bl w:val="nil"/>
                  </w:tcBorders>
                  <w:noWrap w:val="0"/>
                  <w:vAlign w:val="center"/>
                </w:tcPr>
                <w:p w14:paraId="4044C4A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
                      <w:bCs w:val="0"/>
                      <w:color w:val="000000"/>
                      <w:spacing w:val="0"/>
                      <w:sz w:val="21"/>
                      <w:szCs w:val="21"/>
                      <w:highlight w:val="none"/>
                      <w:lang w:eastAsia="zh-CN"/>
                    </w:rPr>
                  </w:pPr>
                  <w:r>
                    <w:rPr>
                      <w:rFonts w:hint="default" w:ascii="Times New Roman" w:hAnsi="Times New Roman" w:cs="Times New Roman"/>
                      <w:b/>
                      <w:bCs w:val="0"/>
                      <w:color w:val="000000"/>
                      <w:spacing w:val="0"/>
                      <w:sz w:val="21"/>
                      <w:szCs w:val="21"/>
                      <w:highlight w:val="none"/>
                      <w:lang w:val="en-US" w:eastAsia="zh-CN"/>
                    </w:rPr>
                    <w:t>污染源</w:t>
                  </w:r>
                </w:p>
              </w:tc>
              <w:tc>
                <w:tcPr>
                  <w:tcW w:w="423" w:type="pct"/>
                  <w:vMerge w:val="restart"/>
                  <w:tcBorders>
                    <w:tl2br w:val="nil"/>
                    <w:tr2bl w:val="nil"/>
                  </w:tcBorders>
                  <w:noWrap w:val="0"/>
                  <w:vAlign w:val="center"/>
                </w:tcPr>
                <w:p w14:paraId="757B2D8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r>
                    <w:rPr>
                      <w:rFonts w:hint="default" w:ascii="Times New Roman" w:hAnsi="Times New Roman" w:cs="Times New Roman"/>
                      <w:b/>
                      <w:bCs w:val="0"/>
                      <w:color w:val="000000"/>
                      <w:spacing w:val="0"/>
                      <w:sz w:val="21"/>
                      <w:szCs w:val="21"/>
                      <w:highlight w:val="none"/>
                    </w:rPr>
                    <w:t>污染物名称</w:t>
                  </w:r>
                </w:p>
              </w:tc>
              <w:tc>
                <w:tcPr>
                  <w:tcW w:w="897" w:type="pct"/>
                  <w:tcBorders>
                    <w:tl2br w:val="nil"/>
                    <w:tr2bl w:val="nil"/>
                  </w:tcBorders>
                  <w:noWrap w:val="0"/>
                  <w:vAlign w:val="center"/>
                </w:tcPr>
                <w:p w14:paraId="7869361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r>
                    <w:rPr>
                      <w:rFonts w:hint="default" w:ascii="Times New Roman" w:hAnsi="Times New Roman" w:cs="Times New Roman"/>
                      <w:b/>
                      <w:bCs w:val="0"/>
                      <w:snapToGrid w:val="0"/>
                      <w:color w:val="000000"/>
                      <w:spacing w:val="0"/>
                      <w:kern w:val="0"/>
                      <w:sz w:val="21"/>
                      <w:szCs w:val="21"/>
                      <w:highlight w:val="none"/>
                      <w:lang w:eastAsia="zh-CN"/>
                    </w:rPr>
                    <w:t>《铸造工业大气污染物排放标准》（GB39726-2020）表1大气污染物排放限值</w:t>
                  </w:r>
                </w:p>
              </w:tc>
              <w:tc>
                <w:tcPr>
                  <w:tcW w:w="709" w:type="pct"/>
                  <w:tcBorders>
                    <w:tl2br w:val="nil"/>
                    <w:tr2bl w:val="nil"/>
                  </w:tcBorders>
                  <w:shd w:val="clear" w:color="auto" w:fill="auto"/>
                  <w:noWrap w:val="0"/>
                  <w:vAlign w:val="center"/>
                </w:tcPr>
                <w:p w14:paraId="3490FE5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
                      <w:bCs w:val="0"/>
                      <w:snapToGrid w:val="0"/>
                      <w:color w:val="000000"/>
                      <w:spacing w:val="0"/>
                      <w:kern w:val="0"/>
                      <w:sz w:val="21"/>
                      <w:szCs w:val="21"/>
                      <w:highlight w:val="none"/>
                      <w:lang w:val="en-US" w:eastAsia="zh-CN" w:bidi="ar-SA"/>
                    </w:rPr>
                  </w:pPr>
                  <w:r>
                    <w:rPr>
                      <w:rFonts w:hint="default" w:ascii="Times New Roman" w:hAnsi="Times New Roman" w:cs="Times New Roman"/>
                      <w:b/>
                      <w:bCs w:val="0"/>
                      <w:color w:val="000000"/>
                      <w:spacing w:val="0"/>
                      <w:sz w:val="21"/>
                      <w:szCs w:val="21"/>
                      <w:highlight w:val="none"/>
                      <w:lang w:eastAsia="zh-CN"/>
                    </w:rPr>
                    <w:t>《大气污染物综合排放标准》（</w:t>
                  </w:r>
                  <w:r>
                    <w:rPr>
                      <w:rFonts w:hint="default" w:ascii="Times New Roman" w:hAnsi="Times New Roman" w:cs="Times New Roman"/>
                      <w:b/>
                      <w:bCs w:val="0"/>
                      <w:color w:val="000000"/>
                      <w:spacing w:val="0"/>
                      <w:sz w:val="21"/>
                      <w:szCs w:val="21"/>
                      <w:highlight w:val="none"/>
                      <w:lang w:val="en-US" w:eastAsia="zh-CN"/>
                    </w:rPr>
                    <w:t>GB16297-1996</w:t>
                  </w:r>
                  <w:r>
                    <w:rPr>
                      <w:rFonts w:hint="default" w:ascii="Times New Roman" w:hAnsi="Times New Roman" w:cs="Times New Roman"/>
                      <w:b/>
                      <w:bCs w:val="0"/>
                      <w:color w:val="000000"/>
                      <w:spacing w:val="0"/>
                      <w:sz w:val="21"/>
                      <w:szCs w:val="21"/>
                      <w:highlight w:val="none"/>
                      <w:lang w:eastAsia="zh-CN"/>
                    </w:rPr>
                    <w:t>）</w:t>
                  </w:r>
                </w:p>
              </w:tc>
              <w:tc>
                <w:tcPr>
                  <w:tcW w:w="809" w:type="pct"/>
                  <w:tcBorders>
                    <w:tl2br w:val="nil"/>
                    <w:tr2bl w:val="nil"/>
                  </w:tcBorders>
                  <w:shd w:val="clear" w:color="auto" w:fill="auto"/>
                  <w:noWrap w:val="0"/>
                  <w:vAlign w:val="center"/>
                </w:tcPr>
                <w:p w14:paraId="246E41A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
                      <w:bCs w:val="0"/>
                      <w:snapToGrid w:val="0"/>
                      <w:color w:val="000000"/>
                      <w:spacing w:val="0"/>
                      <w:kern w:val="0"/>
                      <w:sz w:val="21"/>
                      <w:szCs w:val="21"/>
                      <w:highlight w:val="none"/>
                      <w:lang w:val="en-US" w:eastAsia="zh-CN" w:bidi="ar-SA"/>
                    </w:rPr>
                  </w:pPr>
                  <w:r>
                    <w:rPr>
                      <w:rFonts w:hint="default" w:ascii="Times New Roman" w:hAnsi="Times New Roman" w:cs="Times New Roman"/>
                      <w:b/>
                      <w:bCs w:val="0"/>
                      <w:color w:val="000000"/>
                      <w:spacing w:val="0"/>
                      <w:kern w:val="2"/>
                      <w:sz w:val="21"/>
                      <w:szCs w:val="21"/>
                      <w:highlight w:val="none"/>
                      <w:lang w:val="en-US" w:eastAsia="zh-CN" w:bidi="ar-SA"/>
                    </w:rPr>
                    <w:t>《工业企业挥发性有机物排放控制标准》（DB13/2322-20</w:t>
                  </w:r>
                  <w:r>
                    <w:rPr>
                      <w:rFonts w:hint="eastAsia" w:cs="Times New Roman"/>
                      <w:b/>
                      <w:bCs w:val="0"/>
                      <w:color w:val="000000"/>
                      <w:spacing w:val="0"/>
                      <w:kern w:val="2"/>
                      <w:sz w:val="21"/>
                      <w:szCs w:val="21"/>
                      <w:highlight w:val="none"/>
                      <w:lang w:val="en-US" w:eastAsia="zh-CN" w:bidi="ar-SA"/>
                    </w:rPr>
                    <w:t>25</w:t>
                  </w:r>
                  <w:r>
                    <w:rPr>
                      <w:rFonts w:hint="default" w:ascii="Times New Roman" w:hAnsi="Times New Roman" w:cs="Times New Roman"/>
                      <w:b/>
                      <w:bCs w:val="0"/>
                      <w:color w:val="000000"/>
                      <w:spacing w:val="0"/>
                      <w:kern w:val="2"/>
                      <w:sz w:val="21"/>
                      <w:szCs w:val="21"/>
                      <w:highlight w:val="none"/>
                      <w:lang w:val="en-US" w:eastAsia="zh-CN" w:bidi="ar-SA"/>
                    </w:rPr>
                    <w:t>）</w:t>
                  </w:r>
                </w:p>
              </w:tc>
              <w:tc>
                <w:tcPr>
                  <w:tcW w:w="809" w:type="pct"/>
                  <w:gridSpan w:val="2"/>
                  <w:tcBorders>
                    <w:tl2br w:val="nil"/>
                    <w:tr2bl w:val="nil"/>
                  </w:tcBorders>
                  <w:shd w:val="clear" w:color="auto" w:fill="auto"/>
                  <w:noWrap w:val="0"/>
                  <w:vAlign w:val="center"/>
                </w:tcPr>
                <w:p w14:paraId="446FD3C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kern w:val="2"/>
                      <w:sz w:val="21"/>
                      <w:szCs w:val="21"/>
                      <w:highlight w:val="none"/>
                      <w:lang w:val="en-US" w:eastAsia="zh-CN" w:bidi="ar-SA"/>
                    </w:rPr>
                  </w:pPr>
                  <w:r>
                    <w:rPr>
                      <w:rFonts w:hint="default" w:ascii="Times New Roman" w:hAnsi="Times New Roman" w:cs="Times New Roman"/>
                      <w:b/>
                      <w:bCs w:val="0"/>
                      <w:color w:val="000000"/>
                      <w:spacing w:val="0"/>
                      <w:kern w:val="2"/>
                      <w:sz w:val="21"/>
                      <w:szCs w:val="21"/>
                      <w:highlight w:val="none"/>
                      <w:lang w:val="en-US" w:eastAsia="zh-CN" w:bidi="ar-SA"/>
                    </w:rPr>
                    <w:t>B级企业要求</w:t>
                  </w:r>
                </w:p>
              </w:tc>
              <w:tc>
                <w:tcPr>
                  <w:tcW w:w="822" w:type="pct"/>
                  <w:tcBorders>
                    <w:tl2br w:val="nil"/>
                    <w:tr2bl w:val="nil"/>
                  </w:tcBorders>
                  <w:shd w:val="clear" w:color="auto" w:fill="auto"/>
                  <w:noWrap w:val="0"/>
                  <w:vAlign w:val="center"/>
                </w:tcPr>
                <w:p w14:paraId="701A743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kern w:val="2"/>
                      <w:sz w:val="21"/>
                      <w:szCs w:val="21"/>
                      <w:highlight w:val="none"/>
                      <w:lang w:val="en-US" w:eastAsia="zh-CN" w:bidi="ar-SA"/>
                    </w:rPr>
                  </w:pPr>
                  <w:r>
                    <w:rPr>
                      <w:rFonts w:hint="default" w:ascii="Times New Roman" w:hAnsi="Times New Roman" w:cs="Times New Roman"/>
                      <w:b/>
                      <w:bCs w:val="0"/>
                      <w:color w:val="000000"/>
                      <w:spacing w:val="0"/>
                      <w:kern w:val="2"/>
                      <w:sz w:val="21"/>
                      <w:szCs w:val="21"/>
                      <w:highlight w:val="none"/>
                      <w:lang w:val="en-US" w:eastAsia="zh-CN" w:bidi="ar-SA"/>
                    </w:rPr>
                    <w:t>最终执行标准</w:t>
                  </w:r>
                </w:p>
              </w:tc>
            </w:tr>
            <w:tr w14:paraId="26364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9" w:hRule="atLeast"/>
                <w:jc w:val="center"/>
              </w:trPr>
              <w:tc>
                <w:tcPr>
                  <w:tcW w:w="528" w:type="pct"/>
                  <w:gridSpan w:val="2"/>
                  <w:vMerge w:val="continue"/>
                  <w:tcBorders>
                    <w:tl2br w:val="nil"/>
                    <w:tr2bl w:val="nil"/>
                  </w:tcBorders>
                  <w:noWrap w:val="0"/>
                  <w:vAlign w:val="center"/>
                </w:tcPr>
                <w:p w14:paraId="2EF9C03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lang w:val="en-US" w:eastAsia="zh-CN"/>
                    </w:rPr>
                  </w:pPr>
                </w:p>
              </w:tc>
              <w:tc>
                <w:tcPr>
                  <w:tcW w:w="423" w:type="pct"/>
                  <w:vMerge w:val="continue"/>
                  <w:tcBorders>
                    <w:tl2br w:val="nil"/>
                    <w:tr2bl w:val="nil"/>
                  </w:tcBorders>
                  <w:noWrap w:val="0"/>
                  <w:vAlign w:val="center"/>
                </w:tcPr>
                <w:p w14:paraId="27E79AFF">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p>
              </w:tc>
              <w:tc>
                <w:tcPr>
                  <w:tcW w:w="2421" w:type="pct"/>
                  <w:gridSpan w:val="4"/>
                  <w:tcBorders>
                    <w:tl2br w:val="nil"/>
                    <w:tr2bl w:val="nil"/>
                  </w:tcBorders>
                  <w:shd w:val="clear" w:color="auto" w:fill="auto"/>
                  <w:noWrap w:val="0"/>
                  <w:vAlign w:val="center"/>
                </w:tcPr>
                <w:p w14:paraId="4865ACBF">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r>
                    <w:rPr>
                      <w:rFonts w:hint="default" w:ascii="Times New Roman" w:hAnsi="Times New Roman" w:cs="Times New Roman"/>
                      <w:b/>
                      <w:bCs w:val="0"/>
                      <w:color w:val="000000"/>
                      <w:spacing w:val="0"/>
                      <w:sz w:val="21"/>
                      <w:szCs w:val="21"/>
                      <w:highlight w:val="none"/>
                    </w:rPr>
                    <w:t>标准值</w:t>
                  </w:r>
                </w:p>
              </w:tc>
              <w:tc>
                <w:tcPr>
                  <w:tcW w:w="1626" w:type="pct"/>
                  <w:gridSpan w:val="2"/>
                  <w:tcBorders>
                    <w:tl2br w:val="nil"/>
                    <w:tr2bl w:val="nil"/>
                  </w:tcBorders>
                  <w:shd w:val="clear" w:color="auto" w:fill="auto"/>
                  <w:noWrap w:val="0"/>
                  <w:vAlign w:val="center"/>
                </w:tcPr>
                <w:p w14:paraId="476BA17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p>
              </w:tc>
            </w:tr>
            <w:tr w14:paraId="6B294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tcBorders>
                    <w:tl2br w:val="nil"/>
                    <w:tr2bl w:val="nil"/>
                  </w:tcBorders>
                  <w:noWrap w:val="0"/>
                  <w:vAlign w:val="center"/>
                </w:tcPr>
                <w:p w14:paraId="712B219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DA001</w:t>
                  </w:r>
                </w:p>
              </w:tc>
              <w:tc>
                <w:tcPr>
                  <w:tcW w:w="278" w:type="pct"/>
                  <w:tcBorders>
                    <w:tl2br w:val="nil"/>
                    <w:tr2bl w:val="nil"/>
                  </w:tcBorders>
                  <w:noWrap w:val="0"/>
                  <w:vAlign w:val="center"/>
                </w:tcPr>
                <w:p w14:paraId="0D3ADCE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auto"/>
                      <w:spacing w:val="0"/>
                      <w:kern w:val="2"/>
                      <w:sz w:val="21"/>
                      <w:szCs w:val="21"/>
                      <w:highlight w:val="none"/>
                      <w:lang w:val="en-US" w:eastAsia="zh-CN" w:bidi="ar-SA"/>
                    </w:rPr>
                  </w:pPr>
                  <w:r>
                    <w:rPr>
                      <w:rFonts w:hint="default" w:ascii="Times New Roman" w:hAnsi="Times New Roman" w:cs="Times New Roman"/>
                      <w:color w:val="auto"/>
                      <w:spacing w:val="0"/>
                      <w:sz w:val="21"/>
                      <w:szCs w:val="21"/>
                      <w:highlight w:val="none"/>
                      <w:lang w:val="en-US" w:eastAsia="zh-CN"/>
                    </w:rPr>
                    <w:t>电炉熔化、注砂</w:t>
                  </w:r>
                  <w:r>
                    <w:rPr>
                      <w:rFonts w:hint="eastAsia" w:cs="Times New Roman"/>
                      <w:color w:val="auto"/>
                      <w:spacing w:val="0"/>
                      <w:sz w:val="21"/>
                      <w:szCs w:val="21"/>
                      <w:highlight w:val="none"/>
                      <w:lang w:val="en-US" w:eastAsia="zh-CN"/>
                    </w:rPr>
                    <w:t>、</w:t>
                  </w:r>
                  <w:r>
                    <w:rPr>
                      <w:rFonts w:hint="default" w:ascii="Times New Roman" w:hAnsi="Times New Roman" w:cs="Times New Roman"/>
                      <w:color w:val="auto"/>
                      <w:spacing w:val="0"/>
                      <w:sz w:val="21"/>
                      <w:szCs w:val="21"/>
                      <w:highlight w:val="none"/>
                      <w:lang w:val="en-US" w:eastAsia="zh-CN"/>
                    </w:rPr>
                    <w:t>落砂工序</w:t>
                  </w:r>
                </w:p>
              </w:tc>
              <w:tc>
                <w:tcPr>
                  <w:tcW w:w="423" w:type="pct"/>
                  <w:tcBorders>
                    <w:tl2br w:val="nil"/>
                    <w:tr2bl w:val="nil"/>
                  </w:tcBorders>
                  <w:noWrap w:val="0"/>
                  <w:vAlign w:val="center"/>
                </w:tcPr>
                <w:p w14:paraId="0F574F0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right="0" w:firstLine="0" w:firstLineChars="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b w:val="0"/>
                      <w:bCs w:val="0"/>
                      <w:color w:val="000000"/>
                      <w:spacing w:val="0"/>
                      <w:sz w:val="21"/>
                      <w:szCs w:val="21"/>
                      <w:highlight w:val="none"/>
                      <w:vertAlign w:val="baseline"/>
                      <w:lang w:val="en-US" w:eastAsia="zh-CN"/>
                    </w:rPr>
                    <w:t>颗粒物</w:t>
                  </w:r>
                </w:p>
              </w:tc>
              <w:tc>
                <w:tcPr>
                  <w:tcW w:w="897" w:type="pct"/>
                  <w:tcBorders>
                    <w:tl2br w:val="nil"/>
                    <w:tr2bl w:val="nil"/>
                  </w:tcBorders>
                  <w:noWrap w:val="0"/>
                  <w:vAlign w:val="center"/>
                </w:tcPr>
                <w:p w14:paraId="3886C9F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浓度≤30mg/m</w:t>
                  </w:r>
                  <w:r>
                    <w:rPr>
                      <w:rFonts w:hint="default" w:ascii="Times New Roman" w:hAnsi="Times New Roman" w:cs="Times New Roman"/>
                      <w:color w:val="000000"/>
                      <w:spacing w:val="0"/>
                      <w:sz w:val="21"/>
                      <w:szCs w:val="21"/>
                      <w:highlight w:val="none"/>
                      <w:vertAlign w:val="superscript"/>
                      <w:lang w:val="en-US" w:eastAsia="zh-CN"/>
                    </w:rPr>
                    <w:t>3</w:t>
                  </w:r>
                </w:p>
              </w:tc>
              <w:tc>
                <w:tcPr>
                  <w:tcW w:w="709" w:type="pct"/>
                  <w:tcBorders>
                    <w:tl2br w:val="nil"/>
                    <w:tr2bl w:val="nil"/>
                  </w:tcBorders>
                  <w:noWrap w:val="0"/>
                  <w:vAlign w:val="center"/>
                </w:tcPr>
                <w:p w14:paraId="159CB33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61D9BE9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3D8047F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浓度≤20mg/m</w:t>
                  </w:r>
                  <w:r>
                    <w:rPr>
                      <w:rFonts w:hint="default" w:ascii="Times New Roman" w:hAnsi="Times New Roman" w:cs="Times New Roman"/>
                      <w:color w:val="000000"/>
                      <w:spacing w:val="0"/>
                      <w:sz w:val="21"/>
                      <w:szCs w:val="21"/>
                      <w:highlight w:val="none"/>
                      <w:vertAlign w:val="superscript"/>
                      <w:lang w:val="en-US" w:eastAsia="zh-CN"/>
                    </w:rPr>
                    <w:t>3</w:t>
                  </w:r>
                </w:p>
              </w:tc>
              <w:tc>
                <w:tcPr>
                  <w:tcW w:w="822" w:type="pct"/>
                  <w:tcBorders>
                    <w:tl2br w:val="nil"/>
                    <w:tr2bl w:val="nil"/>
                  </w:tcBorders>
                  <w:shd w:val="clear" w:color="auto" w:fill="auto"/>
                  <w:noWrap w:val="0"/>
                  <w:vAlign w:val="center"/>
                </w:tcPr>
                <w:p w14:paraId="287F066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
                      <w:bCs w:val="0"/>
                      <w:snapToGrid w:val="0"/>
                      <w:color w:val="000000"/>
                      <w:spacing w:val="0"/>
                      <w:kern w:val="0"/>
                      <w:sz w:val="21"/>
                      <w:szCs w:val="21"/>
                      <w:highlight w:val="none"/>
                      <w:lang w:val="en-US" w:eastAsia="zh-CN" w:bidi="ar-SA"/>
                    </w:rPr>
                  </w:pPr>
                  <w:r>
                    <w:rPr>
                      <w:rFonts w:hint="default" w:ascii="Times New Roman" w:hAnsi="Times New Roman" w:cs="Times New Roman"/>
                      <w:b/>
                      <w:bCs w:val="0"/>
                      <w:color w:val="000000"/>
                      <w:spacing w:val="0"/>
                      <w:sz w:val="21"/>
                      <w:szCs w:val="21"/>
                      <w:highlight w:val="none"/>
                      <w:lang w:val="en-US" w:eastAsia="zh-CN"/>
                    </w:rPr>
                    <w:t>浓度≤20mg/m</w:t>
                  </w:r>
                  <w:r>
                    <w:rPr>
                      <w:rFonts w:hint="default" w:ascii="Times New Roman" w:hAnsi="Times New Roman" w:cs="Times New Roman"/>
                      <w:b/>
                      <w:bCs w:val="0"/>
                      <w:color w:val="000000"/>
                      <w:spacing w:val="0"/>
                      <w:sz w:val="21"/>
                      <w:szCs w:val="21"/>
                      <w:highlight w:val="none"/>
                      <w:vertAlign w:val="superscript"/>
                      <w:lang w:val="en-US" w:eastAsia="zh-CN"/>
                    </w:rPr>
                    <w:t>3</w:t>
                  </w:r>
                </w:p>
              </w:tc>
            </w:tr>
            <w:tr w14:paraId="1929B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vMerge w:val="restart"/>
                  <w:tcBorders>
                    <w:tl2br w:val="nil"/>
                    <w:tr2bl w:val="nil"/>
                  </w:tcBorders>
                  <w:noWrap w:val="0"/>
                  <w:vAlign w:val="center"/>
                </w:tcPr>
                <w:p w14:paraId="5DDEDD2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DA002</w:t>
                  </w:r>
                </w:p>
              </w:tc>
              <w:tc>
                <w:tcPr>
                  <w:tcW w:w="278" w:type="pct"/>
                  <w:vMerge w:val="restart"/>
                  <w:tcBorders>
                    <w:tl2br w:val="nil"/>
                    <w:tr2bl w:val="nil"/>
                  </w:tcBorders>
                  <w:noWrap w:val="0"/>
                  <w:vAlign w:val="center"/>
                </w:tcPr>
                <w:p w14:paraId="43E52BD2">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right="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cs="Times New Roman"/>
                      <w:color w:val="auto"/>
                      <w:spacing w:val="0"/>
                      <w:sz w:val="21"/>
                      <w:szCs w:val="21"/>
                      <w:highlight w:val="none"/>
                      <w:lang w:val="en-US" w:eastAsia="zh-CN"/>
                    </w:rPr>
                    <w:t>制</w:t>
                  </w:r>
                  <w:r>
                    <w:rPr>
                      <w:rFonts w:hint="eastAsia" w:ascii="Times New Roman" w:hAnsi="Times New Roman" w:cs="Times New Roman"/>
                      <w:color w:val="auto"/>
                      <w:spacing w:val="0"/>
                      <w:sz w:val="21"/>
                      <w:szCs w:val="21"/>
                      <w:highlight w:val="none"/>
                      <w:lang w:val="en-US" w:eastAsia="zh-CN"/>
                    </w:rPr>
                    <w:t>壳、浇注</w:t>
                  </w:r>
                  <w:r>
                    <w:rPr>
                      <w:rFonts w:hint="default" w:ascii="Times New Roman" w:hAnsi="Times New Roman" w:cs="Times New Roman"/>
                      <w:color w:val="auto"/>
                      <w:spacing w:val="0"/>
                      <w:sz w:val="21"/>
                      <w:szCs w:val="21"/>
                      <w:highlight w:val="none"/>
                      <w:lang w:val="en-US" w:eastAsia="zh-CN"/>
                    </w:rPr>
                    <w:t>工序</w:t>
                  </w:r>
                </w:p>
              </w:tc>
              <w:tc>
                <w:tcPr>
                  <w:tcW w:w="423" w:type="pct"/>
                  <w:tcBorders>
                    <w:tl2br w:val="nil"/>
                    <w:tr2bl w:val="nil"/>
                  </w:tcBorders>
                  <w:noWrap w:val="0"/>
                  <w:vAlign w:val="center"/>
                </w:tcPr>
                <w:p w14:paraId="6478DA8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right="0" w:firstLine="0" w:firstLineChars="0"/>
                    <w:jc w:val="center"/>
                    <w:textAlignment w:val="auto"/>
                    <w:rPr>
                      <w:rFonts w:hint="default" w:ascii="Times New Roman" w:hAnsi="Times New Roman" w:eastAsia="宋体" w:cs="Times New Roman"/>
                      <w:b w:val="0"/>
                      <w:bCs w:val="0"/>
                      <w:color w:val="000000"/>
                      <w:spacing w:val="0"/>
                      <w:sz w:val="21"/>
                      <w:szCs w:val="21"/>
                      <w:highlight w:val="none"/>
                      <w:vertAlign w:val="baseline"/>
                      <w:lang w:val="en-US" w:eastAsia="zh-CN" w:bidi="ar-SA"/>
                    </w:rPr>
                  </w:pPr>
                  <w:r>
                    <w:rPr>
                      <w:rFonts w:hint="default" w:ascii="Times New Roman" w:hAnsi="Times New Roman" w:cs="Times New Roman"/>
                      <w:b w:val="0"/>
                      <w:bCs w:val="0"/>
                      <w:color w:val="000000"/>
                      <w:spacing w:val="0"/>
                      <w:sz w:val="21"/>
                      <w:szCs w:val="21"/>
                      <w:highlight w:val="none"/>
                      <w:vertAlign w:val="baseline"/>
                      <w:lang w:val="en-US" w:eastAsia="zh-CN"/>
                    </w:rPr>
                    <w:t>颗粒物</w:t>
                  </w:r>
                </w:p>
              </w:tc>
              <w:tc>
                <w:tcPr>
                  <w:tcW w:w="897" w:type="pct"/>
                  <w:tcBorders>
                    <w:tl2br w:val="nil"/>
                    <w:tr2bl w:val="nil"/>
                  </w:tcBorders>
                  <w:noWrap w:val="0"/>
                  <w:vAlign w:val="center"/>
                </w:tcPr>
                <w:p w14:paraId="1F376012">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浓度≤30mg/m</w:t>
                  </w:r>
                  <w:r>
                    <w:rPr>
                      <w:rFonts w:hint="default" w:ascii="Times New Roman" w:hAnsi="Times New Roman" w:cs="Times New Roman"/>
                      <w:color w:val="000000"/>
                      <w:spacing w:val="0"/>
                      <w:sz w:val="21"/>
                      <w:szCs w:val="21"/>
                      <w:highlight w:val="none"/>
                      <w:vertAlign w:val="superscript"/>
                      <w:lang w:val="en-US" w:eastAsia="zh-CN"/>
                    </w:rPr>
                    <w:t>3</w:t>
                  </w:r>
                </w:p>
              </w:tc>
              <w:tc>
                <w:tcPr>
                  <w:tcW w:w="709" w:type="pct"/>
                  <w:tcBorders>
                    <w:tl2br w:val="nil"/>
                    <w:tr2bl w:val="nil"/>
                  </w:tcBorders>
                  <w:noWrap w:val="0"/>
                  <w:vAlign w:val="center"/>
                </w:tcPr>
                <w:p w14:paraId="0ED9D72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531086A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26E4678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color w:val="000000"/>
                      <w:spacing w:val="0"/>
                      <w:sz w:val="21"/>
                      <w:szCs w:val="21"/>
                      <w:highlight w:val="none"/>
                      <w:lang w:val="en-US" w:eastAsia="zh-CN"/>
                    </w:rPr>
                    <w:t>浓度≤20mg/m</w:t>
                  </w:r>
                  <w:r>
                    <w:rPr>
                      <w:rFonts w:hint="default" w:ascii="Times New Roman" w:hAnsi="Times New Roman" w:cs="Times New Roman"/>
                      <w:color w:val="000000"/>
                      <w:spacing w:val="0"/>
                      <w:sz w:val="21"/>
                      <w:szCs w:val="21"/>
                      <w:highlight w:val="none"/>
                      <w:vertAlign w:val="superscript"/>
                      <w:lang w:val="en-US" w:eastAsia="zh-CN"/>
                    </w:rPr>
                    <w:t>3</w:t>
                  </w:r>
                </w:p>
              </w:tc>
              <w:tc>
                <w:tcPr>
                  <w:tcW w:w="822" w:type="pct"/>
                  <w:tcBorders>
                    <w:tl2br w:val="nil"/>
                    <w:tr2bl w:val="nil"/>
                  </w:tcBorders>
                  <w:noWrap w:val="0"/>
                  <w:vAlign w:val="center"/>
                </w:tcPr>
                <w:p w14:paraId="2359875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lang w:val="en-US" w:eastAsia="zh-CN"/>
                    </w:rPr>
                    <w:t>浓度≤20mg/m</w:t>
                  </w:r>
                  <w:r>
                    <w:rPr>
                      <w:rFonts w:hint="default" w:ascii="Times New Roman" w:hAnsi="Times New Roman" w:cs="Times New Roman"/>
                      <w:b/>
                      <w:bCs w:val="0"/>
                      <w:color w:val="000000"/>
                      <w:spacing w:val="0"/>
                      <w:sz w:val="21"/>
                      <w:szCs w:val="21"/>
                      <w:highlight w:val="none"/>
                      <w:vertAlign w:val="superscript"/>
                      <w:lang w:val="en-US" w:eastAsia="zh-CN"/>
                    </w:rPr>
                    <w:t>3</w:t>
                  </w:r>
                </w:p>
              </w:tc>
            </w:tr>
            <w:tr w14:paraId="4DE5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vMerge w:val="continue"/>
                  <w:tcBorders>
                    <w:tl2br w:val="nil"/>
                    <w:tr2bl w:val="nil"/>
                  </w:tcBorders>
                  <w:noWrap w:val="0"/>
                  <w:vAlign w:val="center"/>
                </w:tcPr>
                <w:p w14:paraId="5CB1D14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278" w:type="pct"/>
                  <w:vMerge w:val="continue"/>
                  <w:tcBorders>
                    <w:tl2br w:val="nil"/>
                    <w:tr2bl w:val="nil"/>
                  </w:tcBorders>
                  <w:noWrap w:val="0"/>
                  <w:vAlign w:val="center"/>
                </w:tcPr>
                <w:p w14:paraId="1EEA159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right="0" w:firstLine="0" w:firstLineChars="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tcBorders>
                    <w:tl2br w:val="nil"/>
                    <w:tr2bl w:val="nil"/>
                  </w:tcBorders>
                  <w:noWrap w:val="0"/>
                  <w:vAlign w:val="center"/>
                </w:tcPr>
                <w:p w14:paraId="27DD469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eastAsia="zh-CN"/>
                    </w:rPr>
                    <w:t>甲醛</w:t>
                  </w:r>
                </w:p>
              </w:tc>
              <w:tc>
                <w:tcPr>
                  <w:tcW w:w="897" w:type="pct"/>
                  <w:tcBorders>
                    <w:tl2br w:val="nil"/>
                    <w:tr2bl w:val="nil"/>
                  </w:tcBorders>
                  <w:noWrap w:val="0"/>
                  <w:vAlign w:val="center"/>
                </w:tcPr>
                <w:p w14:paraId="7840F65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171E3AD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vertAlign w:val="baseline"/>
                      <w:lang w:eastAsia="zh-CN"/>
                    </w:rPr>
                  </w:pPr>
                  <w:r>
                    <w:rPr>
                      <w:rFonts w:hint="default" w:ascii="Times New Roman" w:hAnsi="Times New Roman" w:cs="Times New Roman"/>
                      <w:color w:val="000000"/>
                      <w:spacing w:val="0"/>
                      <w:sz w:val="21"/>
                      <w:szCs w:val="21"/>
                      <w:highlight w:val="none"/>
                      <w:lang w:val="en-US" w:eastAsia="zh-CN"/>
                    </w:rPr>
                    <w:t>浓度≤25</w:t>
                  </w:r>
                  <w:r>
                    <w:rPr>
                      <w:rFonts w:hint="default" w:ascii="Times New Roman" w:hAnsi="Times New Roman" w:cs="Times New Roman"/>
                      <w:color w:val="000000"/>
                      <w:spacing w:val="0"/>
                      <w:sz w:val="21"/>
                      <w:szCs w:val="21"/>
                      <w:highlight w:val="none"/>
                    </w:rPr>
                    <w:t>mg/m</w:t>
                  </w:r>
                  <w:r>
                    <w:rPr>
                      <w:rFonts w:hint="default" w:ascii="Times New Roman" w:hAnsi="Times New Roman" w:cs="Times New Roman"/>
                      <w:color w:val="000000"/>
                      <w:spacing w:val="0"/>
                      <w:sz w:val="21"/>
                      <w:szCs w:val="21"/>
                      <w:highlight w:val="none"/>
                      <w:vertAlign w:val="superscript"/>
                    </w:rPr>
                    <w:t>3</w:t>
                  </w:r>
                  <w:r>
                    <w:rPr>
                      <w:rFonts w:hint="default" w:ascii="Times New Roman" w:hAnsi="Times New Roman" w:cs="Times New Roman"/>
                      <w:color w:val="000000"/>
                      <w:spacing w:val="0"/>
                      <w:sz w:val="21"/>
                      <w:szCs w:val="21"/>
                      <w:highlight w:val="none"/>
                      <w:vertAlign w:val="baseline"/>
                      <w:lang w:eastAsia="zh-CN"/>
                    </w:rPr>
                    <w:t>；</w:t>
                  </w:r>
                </w:p>
                <w:p w14:paraId="0E1A260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color w:val="000000"/>
                      <w:spacing w:val="0"/>
                      <w:sz w:val="21"/>
                      <w:szCs w:val="21"/>
                      <w:highlight w:val="none"/>
                      <w:vertAlign w:val="baseline"/>
                      <w:lang w:eastAsia="zh-CN"/>
                    </w:rPr>
                    <w:t>速率</w:t>
                  </w:r>
                  <w:r>
                    <w:rPr>
                      <w:rFonts w:hint="default" w:ascii="Times New Roman" w:hAnsi="Times New Roman" w:cs="Times New Roman"/>
                      <w:color w:val="000000"/>
                      <w:spacing w:val="0"/>
                      <w:sz w:val="21"/>
                      <w:szCs w:val="21"/>
                      <w:highlight w:val="none"/>
                      <w:lang w:val="en-US" w:eastAsia="zh-CN"/>
                    </w:rPr>
                    <w:t>≤0.</w:t>
                  </w:r>
                  <w:r>
                    <w:rPr>
                      <w:rFonts w:hint="eastAsia" w:cs="Times New Roman"/>
                      <w:color w:val="000000"/>
                      <w:spacing w:val="0"/>
                      <w:sz w:val="21"/>
                      <w:szCs w:val="21"/>
                      <w:highlight w:val="none"/>
                      <w:lang w:val="en-US" w:eastAsia="zh-CN"/>
                    </w:rPr>
                    <w:t>915</w:t>
                  </w:r>
                  <w:r>
                    <w:rPr>
                      <w:rFonts w:hint="default" w:ascii="Times New Roman" w:hAnsi="Times New Roman" w:cs="Times New Roman"/>
                      <w:color w:val="000000"/>
                      <w:spacing w:val="0"/>
                      <w:sz w:val="21"/>
                      <w:szCs w:val="21"/>
                      <w:highlight w:val="none"/>
                      <w:lang w:val="en-US" w:eastAsia="zh-CN"/>
                    </w:rPr>
                    <w:t>kg</w:t>
                  </w:r>
                  <w:r>
                    <w:rPr>
                      <w:rFonts w:hint="default" w:ascii="Times New Roman" w:hAnsi="Times New Roman" w:cs="Times New Roman"/>
                      <w:color w:val="000000"/>
                      <w:spacing w:val="0"/>
                      <w:sz w:val="21"/>
                      <w:szCs w:val="21"/>
                      <w:highlight w:val="none"/>
                    </w:rPr>
                    <w:t>/</w:t>
                  </w:r>
                  <w:r>
                    <w:rPr>
                      <w:rFonts w:hint="default" w:ascii="Times New Roman" w:hAnsi="Times New Roman" w:cs="Times New Roman"/>
                      <w:color w:val="000000"/>
                      <w:spacing w:val="0"/>
                      <w:sz w:val="21"/>
                      <w:szCs w:val="21"/>
                      <w:highlight w:val="none"/>
                      <w:lang w:val="en-US" w:eastAsia="zh-CN"/>
                    </w:rPr>
                    <w:t>h</w:t>
                  </w:r>
                </w:p>
              </w:tc>
              <w:tc>
                <w:tcPr>
                  <w:tcW w:w="809" w:type="pct"/>
                  <w:tcBorders>
                    <w:tl2br w:val="nil"/>
                    <w:tr2bl w:val="nil"/>
                  </w:tcBorders>
                  <w:noWrap w:val="0"/>
                  <w:vAlign w:val="center"/>
                </w:tcPr>
                <w:p w14:paraId="6B2E43C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204E01B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39162C72">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vertAlign w:val="baseline"/>
                      <w:lang w:eastAsia="zh-CN"/>
                    </w:rPr>
                  </w:pPr>
                  <w:r>
                    <w:rPr>
                      <w:rFonts w:hint="default" w:ascii="Times New Roman" w:hAnsi="Times New Roman" w:cs="Times New Roman"/>
                      <w:b/>
                      <w:bCs w:val="0"/>
                      <w:color w:val="000000"/>
                      <w:spacing w:val="0"/>
                      <w:sz w:val="21"/>
                      <w:szCs w:val="21"/>
                      <w:highlight w:val="none"/>
                      <w:lang w:val="en-US" w:eastAsia="zh-CN"/>
                    </w:rPr>
                    <w:t>浓度≤25</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r>
                    <w:rPr>
                      <w:rFonts w:hint="default" w:ascii="Times New Roman" w:hAnsi="Times New Roman" w:cs="Times New Roman"/>
                      <w:b/>
                      <w:bCs w:val="0"/>
                      <w:color w:val="000000"/>
                      <w:spacing w:val="0"/>
                      <w:sz w:val="21"/>
                      <w:szCs w:val="21"/>
                      <w:highlight w:val="none"/>
                      <w:vertAlign w:val="baseline"/>
                      <w:lang w:eastAsia="zh-CN"/>
                    </w:rPr>
                    <w:t>；</w:t>
                  </w:r>
                </w:p>
                <w:p w14:paraId="13FC2E5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vertAlign w:val="baseline"/>
                      <w:lang w:eastAsia="zh-CN"/>
                    </w:rPr>
                    <w:t>速率</w:t>
                  </w:r>
                  <w:r>
                    <w:rPr>
                      <w:rFonts w:hint="default" w:ascii="Times New Roman" w:hAnsi="Times New Roman" w:cs="Times New Roman"/>
                      <w:b/>
                      <w:bCs w:val="0"/>
                      <w:color w:val="000000"/>
                      <w:spacing w:val="0"/>
                      <w:sz w:val="21"/>
                      <w:szCs w:val="21"/>
                      <w:highlight w:val="none"/>
                      <w:lang w:val="en-US" w:eastAsia="zh-CN"/>
                    </w:rPr>
                    <w:t>≤0.</w:t>
                  </w:r>
                  <w:r>
                    <w:rPr>
                      <w:rFonts w:hint="eastAsia" w:cs="Times New Roman"/>
                      <w:b/>
                      <w:bCs w:val="0"/>
                      <w:color w:val="000000"/>
                      <w:spacing w:val="0"/>
                      <w:sz w:val="21"/>
                      <w:szCs w:val="21"/>
                      <w:highlight w:val="none"/>
                      <w:lang w:val="en-US" w:eastAsia="zh-CN"/>
                    </w:rPr>
                    <w:t>915</w:t>
                  </w:r>
                  <w:r>
                    <w:rPr>
                      <w:rFonts w:hint="default" w:ascii="Times New Roman" w:hAnsi="Times New Roman" w:cs="Times New Roman"/>
                      <w:b/>
                      <w:bCs w:val="0"/>
                      <w:color w:val="000000"/>
                      <w:spacing w:val="0"/>
                      <w:sz w:val="21"/>
                      <w:szCs w:val="21"/>
                      <w:highlight w:val="none"/>
                      <w:lang w:val="en-US" w:eastAsia="zh-CN"/>
                    </w:rPr>
                    <w:t>kg</w:t>
                  </w:r>
                  <w:r>
                    <w:rPr>
                      <w:rFonts w:hint="default" w:ascii="Times New Roman" w:hAnsi="Times New Roman" w:cs="Times New Roman"/>
                      <w:b/>
                      <w:bCs w:val="0"/>
                      <w:color w:val="000000"/>
                      <w:spacing w:val="0"/>
                      <w:sz w:val="21"/>
                      <w:szCs w:val="21"/>
                      <w:highlight w:val="none"/>
                    </w:rPr>
                    <w:t>/</w:t>
                  </w:r>
                  <w:r>
                    <w:rPr>
                      <w:rFonts w:hint="default" w:ascii="Times New Roman" w:hAnsi="Times New Roman" w:cs="Times New Roman"/>
                      <w:b/>
                      <w:bCs w:val="0"/>
                      <w:color w:val="000000"/>
                      <w:spacing w:val="0"/>
                      <w:sz w:val="21"/>
                      <w:szCs w:val="21"/>
                      <w:highlight w:val="none"/>
                      <w:lang w:val="en-US" w:eastAsia="zh-CN"/>
                    </w:rPr>
                    <w:t>h</w:t>
                  </w:r>
                </w:p>
              </w:tc>
            </w:tr>
            <w:tr w14:paraId="7236B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vMerge w:val="continue"/>
                  <w:tcBorders>
                    <w:tl2br w:val="nil"/>
                    <w:tr2bl w:val="nil"/>
                  </w:tcBorders>
                  <w:noWrap w:val="0"/>
                  <w:vAlign w:val="center"/>
                </w:tcPr>
                <w:p w14:paraId="2E792E1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278" w:type="pct"/>
                  <w:vMerge w:val="continue"/>
                  <w:tcBorders>
                    <w:tl2br w:val="nil"/>
                    <w:tr2bl w:val="nil"/>
                  </w:tcBorders>
                  <w:noWrap w:val="0"/>
                  <w:vAlign w:val="center"/>
                </w:tcPr>
                <w:p w14:paraId="5D60A42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right="0" w:firstLine="0" w:firstLineChars="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tcBorders>
                    <w:tl2br w:val="nil"/>
                    <w:tr2bl w:val="nil"/>
                  </w:tcBorders>
                  <w:noWrap w:val="0"/>
                  <w:vAlign w:val="center"/>
                </w:tcPr>
                <w:p w14:paraId="537F382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酚类</w:t>
                  </w:r>
                </w:p>
              </w:tc>
              <w:tc>
                <w:tcPr>
                  <w:tcW w:w="897" w:type="pct"/>
                  <w:tcBorders>
                    <w:tl2br w:val="nil"/>
                    <w:tr2bl w:val="nil"/>
                  </w:tcBorders>
                  <w:noWrap w:val="0"/>
                  <w:vAlign w:val="center"/>
                </w:tcPr>
                <w:p w14:paraId="30205F0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62DEAD2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vertAlign w:val="baseline"/>
                      <w:lang w:eastAsia="zh-CN"/>
                    </w:rPr>
                  </w:pPr>
                  <w:r>
                    <w:rPr>
                      <w:rFonts w:hint="default" w:ascii="Times New Roman" w:hAnsi="Times New Roman" w:cs="Times New Roman"/>
                      <w:color w:val="000000"/>
                      <w:spacing w:val="0"/>
                      <w:sz w:val="21"/>
                      <w:szCs w:val="21"/>
                      <w:highlight w:val="none"/>
                      <w:lang w:val="en-US" w:eastAsia="zh-CN"/>
                    </w:rPr>
                    <w:t>浓度≤100</w:t>
                  </w:r>
                  <w:r>
                    <w:rPr>
                      <w:rFonts w:hint="default" w:ascii="Times New Roman" w:hAnsi="Times New Roman" w:cs="Times New Roman"/>
                      <w:color w:val="000000"/>
                      <w:spacing w:val="0"/>
                      <w:sz w:val="21"/>
                      <w:szCs w:val="21"/>
                      <w:highlight w:val="none"/>
                    </w:rPr>
                    <w:t>mg/m</w:t>
                  </w:r>
                  <w:r>
                    <w:rPr>
                      <w:rFonts w:hint="default" w:ascii="Times New Roman" w:hAnsi="Times New Roman" w:cs="Times New Roman"/>
                      <w:color w:val="000000"/>
                      <w:spacing w:val="0"/>
                      <w:sz w:val="21"/>
                      <w:szCs w:val="21"/>
                      <w:highlight w:val="none"/>
                      <w:vertAlign w:val="superscript"/>
                    </w:rPr>
                    <w:t>3</w:t>
                  </w:r>
                  <w:r>
                    <w:rPr>
                      <w:rFonts w:hint="default" w:ascii="Times New Roman" w:hAnsi="Times New Roman" w:cs="Times New Roman"/>
                      <w:color w:val="000000"/>
                      <w:spacing w:val="0"/>
                      <w:sz w:val="21"/>
                      <w:szCs w:val="21"/>
                      <w:highlight w:val="none"/>
                      <w:vertAlign w:val="baseline"/>
                      <w:lang w:eastAsia="zh-CN"/>
                    </w:rPr>
                    <w:t>；</w:t>
                  </w:r>
                </w:p>
                <w:p w14:paraId="0D08B07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color w:val="000000"/>
                      <w:spacing w:val="0"/>
                      <w:sz w:val="21"/>
                      <w:szCs w:val="21"/>
                      <w:highlight w:val="none"/>
                      <w:vertAlign w:val="baseline"/>
                      <w:lang w:eastAsia="zh-CN"/>
                    </w:rPr>
                    <w:t>速率</w:t>
                  </w:r>
                  <w:r>
                    <w:rPr>
                      <w:rFonts w:hint="default" w:ascii="Times New Roman" w:hAnsi="Times New Roman" w:cs="Times New Roman"/>
                      <w:color w:val="000000"/>
                      <w:spacing w:val="0"/>
                      <w:sz w:val="21"/>
                      <w:szCs w:val="21"/>
                      <w:highlight w:val="none"/>
                      <w:lang w:val="en-US" w:eastAsia="zh-CN"/>
                    </w:rPr>
                    <w:t>≤</w:t>
                  </w:r>
                  <w:r>
                    <w:rPr>
                      <w:rFonts w:hint="eastAsia" w:cs="Times New Roman"/>
                      <w:color w:val="000000"/>
                      <w:spacing w:val="0"/>
                      <w:sz w:val="21"/>
                      <w:szCs w:val="21"/>
                      <w:highlight w:val="none"/>
                      <w:lang w:val="en-US" w:eastAsia="zh-CN"/>
                    </w:rPr>
                    <w:t>0.375</w:t>
                  </w:r>
                  <w:r>
                    <w:rPr>
                      <w:rFonts w:hint="default" w:ascii="Times New Roman" w:hAnsi="Times New Roman" w:cs="Times New Roman"/>
                      <w:color w:val="000000"/>
                      <w:spacing w:val="0"/>
                      <w:sz w:val="21"/>
                      <w:szCs w:val="21"/>
                      <w:highlight w:val="none"/>
                      <w:lang w:val="en-US" w:eastAsia="zh-CN"/>
                    </w:rPr>
                    <w:t>kg</w:t>
                  </w:r>
                  <w:r>
                    <w:rPr>
                      <w:rFonts w:hint="default" w:ascii="Times New Roman" w:hAnsi="Times New Roman" w:cs="Times New Roman"/>
                      <w:color w:val="000000"/>
                      <w:spacing w:val="0"/>
                      <w:sz w:val="21"/>
                      <w:szCs w:val="21"/>
                      <w:highlight w:val="none"/>
                    </w:rPr>
                    <w:t>/</w:t>
                  </w:r>
                  <w:r>
                    <w:rPr>
                      <w:rFonts w:hint="default" w:ascii="Times New Roman" w:hAnsi="Times New Roman" w:cs="Times New Roman"/>
                      <w:color w:val="000000"/>
                      <w:spacing w:val="0"/>
                      <w:sz w:val="21"/>
                      <w:szCs w:val="21"/>
                      <w:highlight w:val="none"/>
                      <w:lang w:val="en-US" w:eastAsia="zh-CN"/>
                    </w:rPr>
                    <w:t>h</w:t>
                  </w:r>
                </w:p>
              </w:tc>
              <w:tc>
                <w:tcPr>
                  <w:tcW w:w="809" w:type="pct"/>
                  <w:tcBorders>
                    <w:tl2br w:val="nil"/>
                    <w:tr2bl w:val="nil"/>
                  </w:tcBorders>
                  <w:noWrap w:val="0"/>
                  <w:vAlign w:val="center"/>
                </w:tcPr>
                <w:p w14:paraId="3C5D567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5DED1E6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2179F17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vertAlign w:val="baseline"/>
                      <w:lang w:eastAsia="zh-CN"/>
                    </w:rPr>
                  </w:pPr>
                  <w:r>
                    <w:rPr>
                      <w:rFonts w:hint="default" w:ascii="Times New Roman" w:hAnsi="Times New Roman" w:cs="Times New Roman"/>
                      <w:b/>
                      <w:bCs w:val="0"/>
                      <w:color w:val="000000"/>
                      <w:spacing w:val="0"/>
                      <w:sz w:val="21"/>
                      <w:szCs w:val="21"/>
                      <w:highlight w:val="none"/>
                      <w:lang w:val="en-US" w:eastAsia="zh-CN"/>
                    </w:rPr>
                    <w:t>浓度≤100</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r>
                    <w:rPr>
                      <w:rFonts w:hint="default" w:ascii="Times New Roman" w:hAnsi="Times New Roman" w:cs="Times New Roman"/>
                      <w:b/>
                      <w:bCs w:val="0"/>
                      <w:color w:val="000000"/>
                      <w:spacing w:val="0"/>
                      <w:sz w:val="21"/>
                      <w:szCs w:val="21"/>
                      <w:highlight w:val="none"/>
                      <w:vertAlign w:val="baseline"/>
                      <w:lang w:eastAsia="zh-CN"/>
                    </w:rPr>
                    <w:t>；</w:t>
                  </w:r>
                </w:p>
                <w:p w14:paraId="4F481DB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vertAlign w:val="baseline"/>
                      <w:lang w:eastAsia="zh-CN"/>
                    </w:rPr>
                    <w:t>速率</w:t>
                  </w:r>
                  <w:r>
                    <w:rPr>
                      <w:rFonts w:hint="default" w:ascii="Times New Roman" w:hAnsi="Times New Roman" w:cs="Times New Roman"/>
                      <w:b/>
                      <w:bCs w:val="0"/>
                      <w:color w:val="000000"/>
                      <w:spacing w:val="0"/>
                      <w:sz w:val="21"/>
                      <w:szCs w:val="21"/>
                      <w:highlight w:val="none"/>
                      <w:lang w:val="en-US" w:eastAsia="zh-CN"/>
                    </w:rPr>
                    <w:t>≤</w:t>
                  </w:r>
                  <w:r>
                    <w:rPr>
                      <w:rFonts w:hint="eastAsia" w:cs="Times New Roman"/>
                      <w:b/>
                      <w:bCs w:val="0"/>
                      <w:color w:val="000000"/>
                      <w:spacing w:val="0"/>
                      <w:sz w:val="21"/>
                      <w:szCs w:val="21"/>
                      <w:highlight w:val="none"/>
                      <w:lang w:val="en-US" w:eastAsia="zh-CN"/>
                    </w:rPr>
                    <w:t>0.375</w:t>
                  </w:r>
                  <w:r>
                    <w:rPr>
                      <w:rFonts w:hint="default" w:ascii="Times New Roman" w:hAnsi="Times New Roman" w:cs="Times New Roman"/>
                      <w:b/>
                      <w:bCs w:val="0"/>
                      <w:color w:val="000000"/>
                      <w:spacing w:val="0"/>
                      <w:sz w:val="21"/>
                      <w:szCs w:val="21"/>
                      <w:highlight w:val="none"/>
                      <w:lang w:val="en-US" w:eastAsia="zh-CN"/>
                    </w:rPr>
                    <w:t>kg</w:t>
                  </w:r>
                  <w:r>
                    <w:rPr>
                      <w:rFonts w:hint="default" w:ascii="Times New Roman" w:hAnsi="Times New Roman" w:cs="Times New Roman"/>
                      <w:b/>
                      <w:bCs w:val="0"/>
                      <w:color w:val="000000"/>
                      <w:spacing w:val="0"/>
                      <w:sz w:val="21"/>
                      <w:szCs w:val="21"/>
                      <w:highlight w:val="none"/>
                    </w:rPr>
                    <w:t>/</w:t>
                  </w:r>
                  <w:r>
                    <w:rPr>
                      <w:rFonts w:hint="default" w:ascii="Times New Roman" w:hAnsi="Times New Roman" w:cs="Times New Roman"/>
                      <w:b/>
                      <w:bCs w:val="0"/>
                      <w:color w:val="000000"/>
                      <w:spacing w:val="0"/>
                      <w:sz w:val="21"/>
                      <w:szCs w:val="21"/>
                      <w:highlight w:val="none"/>
                      <w:lang w:val="en-US" w:eastAsia="zh-CN"/>
                    </w:rPr>
                    <w:t>h</w:t>
                  </w:r>
                </w:p>
              </w:tc>
            </w:tr>
            <w:tr w14:paraId="67125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vMerge w:val="continue"/>
                  <w:tcBorders>
                    <w:tl2br w:val="nil"/>
                    <w:tr2bl w:val="nil"/>
                  </w:tcBorders>
                  <w:noWrap w:val="0"/>
                  <w:vAlign w:val="center"/>
                </w:tcPr>
                <w:p w14:paraId="039B82E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278" w:type="pct"/>
                  <w:vMerge w:val="continue"/>
                  <w:tcBorders>
                    <w:tl2br w:val="nil"/>
                    <w:tr2bl w:val="nil"/>
                  </w:tcBorders>
                  <w:noWrap w:val="0"/>
                  <w:vAlign w:val="center"/>
                </w:tcPr>
                <w:p w14:paraId="1D22E06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tcBorders>
                    <w:tl2br w:val="nil"/>
                    <w:tr2bl w:val="nil"/>
                  </w:tcBorders>
                  <w:noWrap w:val="0"/>
                  <w:vAlign w:val="center"/>
                </w:tcPr>
                <w:p w14:paraId="4C64A3C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60" w:lineRule="exact"/>
                    <w:ind w:left="0" w:leftChars="0" w:right="0" w:rightChars="0" w:firstLine="0" w:firstLineChars="0"/>
                    <w:jc w:val="center"/>
                    <w:textAlignment w:val="auto"/>
                    <w:rPr>
                      <w:rFonts w:hint="default" w:ascii="Times New Roman" w:hAnsi="Times New Roman" w:eastAsia="宋体" w:cs="Times New Roman"/>
                      <w:b w:val="0"/>
                      <w:bCs w:val="0"/>
                      <w:color w:val="000000"/>
                      <w:spacing w:val="0"/>
                      <w:sz w:val="21"/>
                      <w:szCs w:val="21"/>
                      <w:highlight w:val="none"/>
                      <w:vertAlign w:val="baseline"/>
                      <w:lang w:val="en-US" w:eastAsia="zh-CN" w:bidi="ar-SA"/>
                    </w:rPr>
                  </w:pPr>
                  <w:r>
                    <w:rPr>
                      <w:rFonts w:hint="default" w:ascii="Times New Roman" w:hAnsi="Times New Roman" w:cs="Times New Roman"/>
                      <w:b w:val="0"/>
                      <w:bCs w:val="0"/>
                      <w:color w:val="000000"/>
                      <w:spacing w:val="0"/>
                      <w:sz w:val="21"/>
                      <w:szCs w:val="21"/>
                      <w:highlight w:val="none"/>
                      <w:vertAlign w:val="baseline"/>
                      <w:lang w:val="en-US" w:eastAsia="zh-CN"/>
                    </w:rPr>
                    <w:t>非甲烷总烃</w:t>
                  </w:r>
                </w:p>
              </w:tc>
              <w:tc>
                <w:tcPr>
                  <w:tcW w:w="897" w:type="pct"/>
                  <w:tcBorders>
                    <w:tl2br w:val="nil"/>
                    <w:tr2bl w:val="nil"/>
                  </w:tcBorders>
                  <w:noWrap w:val="0"/>
                  <w:vAlign w:val="center"/>
                </w:tcPr>
                <w:p w14:paraId="223DBA2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7FBA8D03">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72747D5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w:t>
                  </w:r>
                  <w:r>
                    <w:rPr>
                      <w:rFonts w:hint="eastAsia" w:cs="Times New Roman"/>
                      <w:color w:val="000000"/>
                      <w:spacing w:val="0"/>
                      <w:sz w:val="21"/>
                      <w:szCs w:val="21"/>
                      <w:highlight w:val="none"/>
                      <w:lang w:val="en-US" w:eastAsia="zh-CN"/>
                    </w:rPr>
                    <w:t>6</w:t>
                  </w:r>
                  <w:r>
                    <w:rPr>
                      <w:rFonts w:hint="default" w:ascii="Times New Roman" w:hAnsi="Times New Roman" w:cs="Times New Roman"/>
                      <w:color w:val="000000"/>
                      <w:spacing w:val="0"/>
                      <w:sz w:val="21"/>
                      <w:szCs w:val="21"/>
                      <w:highlight w:val="none"/>
                      <w:lang w:val="en-US" w:eastAsia="zh-CN"/>
                    </w:rPr>
                    <w:t>0mg/m</w:t>
                  </w:r>
                  <w:r>
                    <w:rPr>
                      <w:rFonts w:hint="default" w:ascii="Times New Roman" w:hAnsi="Times New Roman" w:cs="Times New Roman"/>
                      <w:color w:val="000000"/>
                      <w:spacing w:val="0"/>
                      <w:sz w:val="21"/>
                      <w:szCs w:val="21"/>
                      <w:highlight w:val="none"/>
                      <w:vertAlign w:val="superscript"/>
                      <w:lang w:val="en-US" w:eastAsia="zh-CN"/>
                    </w:rPr>
                    <w:t>3</w:t>
                  </w:r>
                </w:p>
              </w:tc>
              <w:tc>
                <w:tcPr>
                  <w:tcW w:w="809" w:type="pct"/>
                  <w:gridSpan w:val="2"/>
                  <w:tcBorders>
                    <w:tl2br w:val="nil"/>
                    <w:tr2bl w:val="nil"/>
                  </w:tcBorders>
                  <w:noWrap w:val="0"/>
                  <w:vAlign w:val="center"/>
                </w:tcPr>
                <w:p w14:paraId="4EED910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浓度≤40mg/m</w:t>
                  </w:r>
                  <w:r>
                    <w:rPr>
                      <w:rFonts w:hint="default" w:ascii="Times New Roman" w:hAnsi="Times New Roman" w:cs="Times New Roman"/>
                      <w:color w:val="000000"/>
                      <w:spacing w:val="0"/>
                      <w:sz w:val="21"/>
                      <w:szCs w:val="21"/>
                      <w:highlight w:val="none"/>
                      <w:vertAlign w:val="superscript"/>
                      <w:lang w:val="en-US" w:eastAsia="zh-CN"/>
                    </w:rPr>
                    <w:t>3</w:t>
                  </w:r>
                </w:p>
              </w:tc>
              <w:tc>
                <w:tcPr>
                  <w:tcW w:w="822" w:type="pct"/>
                  <w:tcBorders>
                    <w:tl2br w:val="nil"/>
                    <w:tr2bl w:val="nil"/>
                  </w:tcBorders>
                  <w:noWrap w:val="0"/>
                  <w:vAlign w:val="center"/>
                </w:tcPr>
                <w:p w14:paraId="2E2EEA9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kern w:val="2"/>
                      <w:sz w:val="21"/>
                      <w:szCs w:val="21"/>
                      <w:highlight w:val="none"/>
                      <w:lang w:val="en-US" w:eastAsia="zh-CN" w:bidi="ar-SA"/>
                    </w:rPr>
                  </w:pPr>
                  <w:r>
                    <w:rPr>
                      <w:rFonts w:hint="default" w:ascii="Times New Roman" w:hAnsi="Times New Roman" w:cs="Times New Roman"/>
                      <w:b/>
                      <w:bCs w:val="0"/>
                      <w:color w:val="000000"/>
                      <w:spacing w:val="0"/>
                      <w:sz w:val="21"/>
                      <w:szCs w:val="21"/>
                      <w:highlight w:val="none"/>
                      <w:lang w:val="en-US" w:eastAsia="zh-CN"/>
                    </w:rPr>
                    <w:t>浓度≤40mg/m</w:t>
                  </w:r>
                  <w:r>
                    <w:rPr>
                      <w:rFonts w:hint="default" w:ascii="Times New Roman" w:hAnsi="Times New Roman" w:cs="Times New Roman"/>
                      <w:b/>
                      <w:bCs w:val="0"/>
                      <w:color w:val="000000"/>
                      <w:spacing w:val="0"/>
                      <w:sz w:val="21"/>
                      <w:szCs w:val="21"/>
                      <w:highlight w:val="none"/>
                      <w:vertAlign w:val="superscript"/>
                      <w:lang w:val="en-US" w:eastAsia="zh-CN"/>
                    </w:rPr>
                    <w:t>3</w:t>
                  </w:r>
                </w:p>
              </w:tc>
            </w:tr>
            <w:tr w14:paraId="540A2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49" w:type="pct"/>
                  <w:tcBorders>
                    <w:tl2br w:val="nil"/>
                    <w:tr2bl w:val="nil"/>
                  </w:tcBorders>
                  <w:noWrap w:val="0"/>
                  <w:vAlign w:val="center"/>
                </w:tcPr>
                <w:p w14:paraId="6917B83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DA003</w:t>
                  </w:r>
                </w:p>
              </w:tc>
              <w:tc>
                <w:tcPr>
                  <w:tcW w:w="278" w:type="pct"/>
                  <w:tcBorders>
                    <w:tl2br w:val="nil"/>
                    <w:tr2bl w:val="nil"/>
                  </w:tcBorders>
                  <w:noWrap w:val="0"/>
                  <w:vAlign w:val="center"/>
                </w:tcPr>
                <w:p w14:paraId="49AEC8A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打磨工序</w:t>
                  </w:r>
                </w:p>
              </w:tc>
              <w:tc>
                <w:tcPr>
                  <w:tcW w:w="423" w:type="pct"/>
                  <w:tcBorders>
                    <w:tl2br w:val="nil"/>
                    <w:tr2bl w:val="nil"/>
                  </w:tcBorders>
                  <w:noWrap w:val="0"/>
                  <w:vAlign w:val="center"/>
                </w:tcPr>
                <w:p w14:paraId="18E20B4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eastAsia="zh-CN"/>
                    </w:rPr>
                    <w:t>颗粒物</w:t>
                  </w:r>
                </w:p>
              </w:tc>
              <w:tc>
                <w:tcPr>
                  <w:tcW w:w="897" w:type="pct"/>
                  <w:tcBorders>
                    <w:tl2br w:val="nil"/>
                    <w:tr2bl w:val="nil"/>
                  </w:tcBorders>
                  <w:noWrap w:val="0"/>
                  <w:vAlign w:val="center"/>
                </w:tcPr>
                <w:p w14:paraId="67043C5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浓度≤30mg/m</w:t>
                  </w:r>
                  <w:r>
                    <w:rPr>
                      <w:rFonts w:hint="default" w:ascii="Times New Roman" w:hAnsi="Times New Roman" w:cs="Times New Roman"/>
                      <w:color w:val="000000"/>
                      <w:spacing w:val="0"/>
                      <w:sz w:val="21"/>
                      <w:szCs w:val="21"/>
                      <w:highlight w:val="none"/>
                      <w:vertAlign w:val="superscript"/>
                      <w:lang w:val="en-US" w:eastAsia="zh-CN"/>
                    </w:rPr>
                    <w:t>3</w:t>
                  </w:r>
                </w:p>
              </w:tc>
              <w:tc>
                <w:tcPr>
                  <w:tcW w:w="709" w:type="pct"/>
                  <w:tcBorders>
                    <w:tl2br w:val="nil"/>
                    <w:tr2bl w:val="nil"/>
                  </w:tcBorders>
                  <w:noWrap w:val="0"/>
                  <w:vAlign w:val="center"/>
                </w:tcPr>
                <w:p w14:paraId="4A856C5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66F4CF7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514E2273">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color w:val="000000"/>
                      <w:spacing w:val="0"/>
                      <w:sz w:val="21"/>
                      <w:szCs w:val="21"/>
                      <w:highlight w:val="none"/>
                      <w:lang w:val="en-US" w:eastAsia="zh-CN"/>
                    </w:rPr>
                    <w:t>浓度≤20mg/m</w:t>
                  </w:r>
                  <w:r>
                    <w:rPr>
                      <w:rFonts w:hint="default" w:ascii="Times New Roman" w:hAnsi="Times New Roman" w:cs="Times New Roman"/>
                      <w:color w:val="000000"/>
                      <w:spacing w:val="0"/>
                      <w:sz w:val="21"/>
                      <w:szCs w:val="21"/>
                      <w:highlight w:val="none"/>
                      <w:vertAlign w:val="superscript"/>
                      <w:lang w:val="en-US" w:eastAsia="zh-CN"/>
                    </w:rPr>
                    <w:t>3</w:t>
                  </w:r>
                </w:p>
              </w:tc>
              <w:tc>
                <w:tcPr>
                  <w:tcW w:w="822" w:type="pct"/>
                  <w:tcBorders>
                    <w:tl2br w:val="nil"/>
                    <w:tr2bl w:val="nil"/>
                  </w:tcBorders>
                  <w:noWrap w:val="0"/>
                  <w:vAlign w:val="center"/>
                </w:tcPr>
                <w:p w14:paraId="22A709D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lang w:val="en-US" w:eastAsia="zh-CN"/>
                    </w:rPr>
                    <w:t>浓度≤20mg/m</w:t>
                  </w:r>
                  <w:r>
                    <w:rPr>
                      <w:rFonts w:hint="default" w:ascii="Times New Roman" w:hAnsi="Times New Roman" w:cs="Times New Roman"/>
                      <w:b/>
                      <w:bCs w:val="0"/>
                      <w:color w:val="000000"/>
                      <w:spacing w:val="0"/>
                      <w:sz w:val="21"/>
                      <w:szCs w:val="21"/>
                      <w:highlight w:val="none"/>
                      <w:vertAlign w:val="superscript"/>
                      <w:lang w:val="en-US" w:eastAsia="zh-CN"/>
                    </w:rPr>
                    <w:t>3</w:t>
                  </w:r>
                </w:p>
              </w:tc>
            </w:tr>
            <w:tr w14:paraId="513D3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528" w:type="pct"/>
                  <w:gridSpan w:val="2"/>
                  <w:vMerge w:val="restart"/>
                  <w:tcBorders>
                    <w:tl2br w:val="nil"/>
                    <w:tr2bl w:val="nil"/>
                  </w:tcBorders>
                  <w:noWrap w:val="0"/>
                  <w:vAlign w:val="center"/>
                </w:tcPr>
                <w:p w14:paraId="31970B8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厂区内</w:t>
                  </w:r>
                </w:p>
              </w:tc>
              <w:tc>
                <w:tcPr>
                  <w:tcW w:w="423" w:type="pct"/>
                  <w:tcBorders>
                    <w:tl2br w:val="nil"/>
                    <w:tr2bl w:val="nil"/>
                  </w:tcBorders>
                  <w:noWrap w:val="0"/>
                  <w:vAlign w:val="center"/>
                </w:tcPr>
                <w:p w14:paraId="46AB212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颗粒物</w:t>
                  </w:r>
                </w:p>
              </w:tc>
              <w:tc>
                <w:tcPr>
                  <w:tcW w:w="897" w:type="pct"/>
                  <w:tcBorders>
                    <w:tl2br w:val="nil"/>
                    <w:tr2bl w:val="nil"/>
                  </w:tcBorders>
                  <w:noWrap w:val="0"/>
                  <w:vAlign w:val="center"/>
                </w:tcPr>
                <w:p w14:paraId="667B801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lang w:val="en-US" w:eastAsia="zh-CN"/>
                    </w:rPr>
                    <w:t>浓度≤5</w:t>
                  </w:r>
                  <w:r>
                    <w:rPr>
                      <w:rFonts w:hint="default" w:ascii="Times New Roman" w:hAnsi="Times New Roman" w:cs="Times New Roman"/>
                      <w:color w:val="000000"/>
                      <w:spacing w:val="0"/>
                      <w:sz w:val="21"/>
                      <w:szCs w:val="21"/>
                      <w:highlight w:val="none"/>
                    </w:rPr>
                    <w:t>mg/m</w:t>
                  </w:r>
                  <w:r>
                    <w:rPr>
                      <w:rFonts w:hint="default" w:ascii="Times New Roman" w:hAnsi="Times New Roman" w:cs="Times New Roman"/>
                      <w:color w:val="000000"/>
                      <w:spacing w:val="0"/>
                      <w:sz w:val="21"/>
                      <w:szCs w:val="21"/>
                      <w:highlight w:val="none"/>
                      <w:vertAlign w:val="superscript"/>
                    </w:rPr>
                    <w:t>3</w:t>
                  </w:r>
                </w:p>
              </w:tc>
              <w:tc>
                <w:tcPr>
                  <w:tcW w:w="709" w:type="pct"/>
                  <w:tcBorders>
                    <w:tl2br w:val="nil"/>
                    <w:tr2bl w:val="nil"/>
                  </w:tcBorders>
                  <w:noWrap w:val="0"/>
                  <w:vAlign w:val="center"/>
                </w:tcPr>
                <w:p w14:paraId="3CFBE56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3B1839CF">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7B3BE09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6C7DFF6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lang w:val="en-US" w:eastAsia="zh-CN"/>
                    </w:rPr>
                    <w:t>浓度≤5</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p>
              </w:tc>
            </w:tr>
            <w:tr w14:paraId="06A06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6" w:hRule="atLeast"/>
                <w:jc w:val="center"/>
              </w:trPr>
              <w:tc>
                <w:tcPr>
                  <w:tcW w:w="528" w:type="pct"/>
                  <w:gridSpan w:val="2"/>
                  <w:vMerge w:val="continue"/>
                  <w:tcBorders>
                    <w:tl2br w:val="nil"/>
                    <w:tr2bl w:val="nil"/>
                  </w:tcBorders>
                  <w:noWrap w:val="0"/>
                  <w:vAlign w:val="center"/>
                </w:tcPr>
                <w:p w14:paraId="2581D8FF">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vMerge w:val="restart"/>
                  <w:tcBorders>
                    <w:tl2br w:val="nil"/>
                    <w:tr2bl w:val="nil"/>
                  </w:tcBorders>
                  <w:noWrap w:val="0"/>
                  <w:vAlign w:val="center"/>
                </w:tcPr>
                <w:p w14:paraId="6CEB30D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非甲烷总烃</w:t>
                  </w:r>
                </w:p>
              </w:tc>
              <w:tc>
                <w:tcPr>
                  <w:tcW w:w="897" w:type="pct"/>
                  <w:tcBorders>
                    <w:tl2br w:val="nil"/>
                    <w:tr2bl w:val="nil"/>
                  </w:tcBorders>
                  <w:noWrap w:val="0"/>
                  <w:vAlign w:val="center"/>
                </w:tcPr>
                <w:p w14:paraId="74C2FD7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rPr>
                    <w:t>车间外1h平均浓度最高点</w:t>
                  </w:r>
                  <w:r>
                    <w:rPr>
                      <w:rFonts w:hint="default" w:ascii="Times New Roman" w:hAnsi="Times New Roman" w:cs="Times New Roman"/>
                      <w:color w:val="000000"/>
                      <w:spacing w:val="0"/>
                      <w:sz w:val="21"/>
                      <w:szCs w:val="21"/>
                      <w:highlight w:val="none"/>
                      <w:lang w:val="en-US" w:eastAsia="zh-CN"/>
                    </w:rPr>
                    <w:t>10m</w:t>
                  </w:r>
                  <w:r>
                    <w:rPr>
                      <w:rFonts w:hint="default" w:ascii="Times New Roman" w:hAnsi="Times New Roman" w:cs="Times New Roman"/>
                      <w:color w:val="000000"/>
                      <w:spacing w:val="0"/>
                      <w:sz w:val="21"/>
                      <w:szCs w:val="21"/>
                      <w:highlight w:val="none"/>
                    </w:rPr>
                    <w:t>g/m</w:t>
                  </w:r>
                  <w:r>
                    <w:rPr>
                      <w:rFonts w:hint="default" w:ascii="Times New Roman" w:hAnsi="Times New Roman" w:cs="Times New Roman"/>
                      <w:color w:val="000000"/>
                      <w:spacing w:val="0"/>
                      <w:sz w:val="21"/>
                      <w:szCs w:val="21"/>
                      <w:highlight w:val="none"/>
                      <w:vertAlign w:val="superscript"/>
                    </w:rPr>
                    <w:t>3</w:t>
                  </w:r>
                </w:p>
              </w:tc>
              <w:tc>
                <w:tcPr>
                  <w:tcW w:w="709" w:type="pct"/>
                  <w:tcBorders>
                    <w:tl2br w:val="nil"/>
                    <w:tr2bl w:val="nil"/>
                  </w:tcBorders>
                  <w:noWrap w:val="0"/>
                  <w:vAlign w:val="center"/>
                </w:tcPr>
                <w:p w14:paraId="75C2819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504C7EA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000000"/>
                      <w:spacing w:val="0"/>
                      <w:sz w:val="21"/>
                      <w:szCs w:val="21"/>
                      <w:highlight w:val="none"/>
                      <w:lang w:eastAsia="zh-CN"/>
                    </w:rPr>
                  </w:pPr>
                  <w:r>
                    <w:rPr>
                      <w:rFonts w:hint="eastAsia" w:cs="Times New Roman"/>
                      <w:color w:val="000000"/>
                      <w:spacing w:val="0"/>
                      <w:sz w:val="21"/>
                      <w:szCs w:val="21"/>
                      <w:highlight w:val="none"/>
                      <w:lang w:val="en-US" w:eastAsia="zh-CN"/>
                    </w:rPr>
                    <w:t>厂房</w:t>
                  </w:r>
                  <w:r>
                    <w:rPr>
                      <w:rFonts w:hint="default" w:ascii="Times New Roman" w:hAnsi="Times New Roman" w:cs="Times New Roman"/>
                      <w:color w:val="000000"/>
                      <w:spacing w:val="0"/>
                      <w:sz w:val="21"/>
                      <w:szCs w:val="21"/>
                      <w:highlight w:val="none"/>
                    </w:rPr>
                    <w:t>外1h平均浓度最高点</w:t>
                  </w:r>
                  <w:r>
                    <w:rPr>
                      <w:rFonts w:hint="eastAsia" w:cs="Times New Roman"/>
                      <w:color w:val="000000"/>
                      <w:spacing w:val="0"/>
                      <w:sz w:val="21"/>
                      <w:szCs w:val="21"/>
                      <w:highlight w:val="none"/>
                      <w:lang w:val="en-US" w:eastAsia="zh-CN"/>
                    </w:rPr>
                    <w:t>2</w:t>
                  </w:r>
                  <w:r>
                    <w:rPr>
                      <w:rFonts w:hint="default" w:ascii="Times New Roman" w:hAnsi="Times New Roman" w:cs="Times New Roman"/>
                      <w:color w:val="000000"/>
                      <w:spacing w:val="0"/>
                      <w:sz w:val="21"/>
                      <w:szCs w:val="21"/>
                      <w:highlight w:val="none"/>
                      <w:lang w:val="en-US" w:eastAsia="zh-CN"/>
                    </w:rPr>
                    <w:t>m</w:t>
                  </w:r>
                  <w:r>
                    <w:rPr>
                      <w:rFonts w:hint="default" w:ascii="Times New Roman" w:hAnsi="Times New Roman" w:cs="Times New Roman"/>
                      <w:color w:val="000000"/>
                      <w:spacing w:val="0"/>
                      <w:sz w:val="21"/>
                      <w:szCs w:val="21"/>
                      <w:highlight w:val="none"/>
                    </w:rPr>
                    <w:t>g/m</w:t>
                  </w:r>
                  <w:r>
                    <w:rPr>
                      <w:rFonts w:hint="default" w:ascii="Times New Roman" w:hAnsi="Times New Roman" w:cs="Times New Roman"/>
                      <w:color w:val="000000"/>
                      <w:spacing w:val="0"/>
                      <w:sz w:val="21"/>
                      <w:szCs w:val="21"/>
                      <w:highlight w:val="none"/>
                      <w:vertAlign w:val="superscript"/>
                    </w:rPr>
                    <w:t>3</w:t>
                  </w:r>
                </w:p>
              </w:tc>
              <w:tc>
                <w:tcPr>
                  <w:tcW w:w="809" w:type="pct"/>
                  <w:gridSpan w:val="2"/>
                  <w:tcBorders>
                    <w:tl2br w:val="nil"/>
                    <w:tr2bl w:val="nil"/>
                  </w:tcBorders>
                  <w:noWrap w:val="0"/>
                  <w:vAlign w:val="center"/>
                </w:tcPr>
                <w:p w14:paraId="0CD0099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eastAsia="zh-CN"/>
                    </w:rPr>
                  </w:pPr>
                  <w:r>
                    <w:rPr>
                      <w:rFonts w:hint="default" w:ascii="Times New Roman" w:hAnsi="Times New Roman" w:cs="Times New Roman"/>
                      <w:color w:val="000000"/>
                      <w:spacing w:val="0"/>
                      <w:sz w:val="21"/>
                      <w:szCs w:val="21"/>
                      <w:highlight w:val="none"/>
                    </w:rPr>
                    <w:t>车间外1h平均浓度最高点</w:t>
                  </w:r>
                  <w:r>
                    <w:rPr>
                      <w:rFonts w:hint="default" w:ascii="Times New Roman" w:hAnsi="Times New Roman" w:cs="Times New Roman"/>
                      <w:color w:val="000000"/>
                      <w:spacing w:val="0"/>
                      <w:sz w:val="21"/>
                      <w:szCs w:val="21"/>
                      <w:highlight w:val="none"/>
                      <w:lang w:val="en-US" w:eastAsia="zh-CN"/>
                    </w:rPr>
                    <w:t>6m</w:t>
                  </w:r>
                  <w:r>
                    <w:rPr>
                      <w:rFonts w:hint="default" w:ascii="Times New Roman" w:hAnsi="Times New Roman" w:cs="Times New Roman"/>
                      <w:color w:val="000000"/>
                      <w:spacing w:val="0"/>
                      <w:sz w:val="21"/>
                      <w:szCs w:val="21"/>
                      <w:highlight w:val="none"/>
                    </w:rPr>
                    <w:t>g/m</w:t>
                  </w:r>
                  <w:r>
                    <w:rPr>
                      <w:rFonts w:hint="default" w:ascii="Times New Roman" w:hAnsi="Times New Roman" w:cs="Times New Roman"/>
                      <w:color w:val="000000"/>
                      <w:spacing w:val="0"/>
                      <w:sz w:val="21"/>
                      <w:szCs w:val="21"/>
                      <w:highlight w:val="none"/>
                      <w:vertAlign w:val="superscript"/>
                    </w:rPr>
                    <w:t>3</w:t>
                  </w:r>
                </w:p>
              </w:tc>
              <w:tc>
                <w:tcPr>
                  <w:tcW w:w="822" w:type="pct"/>
                  <w:tcBorders>
                    <w:tl2br w:val="nil"/>
                    <w:tr2bl w:val="nil"/>
                  </w:tcBorders>
                  <w:noWrap w:val="0"/>
                  <w:vAlign w:val="center"/>
                </w:tcPr>
                <w:p w14:paraId="28759393">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lang w:eastAsia="zh-CN"/>
                    </w:rPr>
                  </w:pPr>
                  <w:r>
                    <w:rPr>
                      <w:rFonts w:hint="default" w:ascii="Times New Roman" w:hAnsi="Times New Roman" w:cs="Times New Roman"/>
                      <w:b/>
                      <w:bCs w:val="0"/>
                      <w:color w:val="000000"/>
                      <w:spacing w:val="0"/>
                      <w:sz w:val="21"/>
                      <w:szCs w:val="21"/>
                      <w:highlight w:val="none"/>
                    </w:rPr>
                    <w:t>车间外1h平均浓度最高点</w:t>
                  </w:r>
                  <w:r>
                    <w:rPr>
                      <w:rFonts w:hint="eastAsia" w:cs="Times New Roman"/>
                      <w:b/>
                      <w:bCs w:val="0"/>
                      <w:color w:val="000000"/>
                      <w:spacing w:val="0"/>
                      <w:sz w:val="21"/>
                      <w:szCs w:val="21"/>
                      <w:highlight w:val="none"/>
                      <w:lang w:val="en-US" w:eastAsia="zh-CN"/>
                    </w:rPr>
                    <w:t>2</w:t>
                  </w:r>
                  <w:r>
                    <w:rPr>
                      <w:rFonts w:hint="default" w:ascii="Times New Roman" w:hAnsi="Times New Roman" w:cs="Times New Roman"/>
                      <w:b/>
                      <w:bCs w:val="0"/>
                      <w:color w:val="000000"/>
                      <w:spacing w:val="0"/>
                      <w:sz w:val="21"/>
                      <w:szCs w:val="21"/>
                      <w:highlight w:val="none"/>
                      <w:lang w:val="en-US" w:eastAsia="zh-CN"/>
                    </w:rPr>
                    <w:t>m</w:t>
                  </w:r>
                  <w:r>
                    <w:rPr>
                      <w:rFonts w:hint="default" w:ascii="Times New Roman" w:hAnsi="Times New Roman" w:cs="Times New Roman"/>
                      <w:b/>
                      <w:bCs w:val="0"/>
                      <w:color w:val="000000"/>
                      <w:spacing w:val="0"/>
                      <w:sz w:val="21"/>
                      <w:szCs w:val="21"/>
                      <w:highlight w:val="none"/>
                    </w:rPr>
                    <w:t>g/m</w:t>
                  </w:r>
                  <w:r>
                    <w:rPr>
                      <w:rFonts w:hint="default" w:ascii="Times New Roman" w:hAnsi="Times New Roman" w:cs="Times New Roman"/>
                      <w:b/>
                      <w:bCs w:val="0"/>
                      <w:color w:val="000000"/>
                      <w:spacing w:val="0"/>
                      <w:sz w:val="21"/>
                      <w:szCs w:val="21"/>
                      <w:highlight w:val="none"/>
                      <w:vertAlign w:val="superscript"/>
                    </w:rPr>
                    <w:t>3</w:t>
                  </w:r>
                </w:p>
              </w:tc>
            </w:tr>
            <w:tr w14:paraId="2497A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528" w:type="pct"/>
                  <w:gridSpan w:val="2"/>
                  <w:vMerge w:val="continue"/>
                  <w:tcBorders>
                    <w:tl2br w:val="nil"/>
                    <w:tr2bl w:val="nil"/>
                  </w:tcBorders>
                  <w:noWrap w:val="0"/>
                  <w:vAlign w:val="center"/>
                </w:tcPr>
                <w:p w14:paraId="34B405CF">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vMerge w:val="continue"/>
                  <w:tcBorders>
                    <w:tl2br w:val="nil"/>
                    <w:tr2bl w:val="nil"/>
                  </w:tcBorders>
                  <w:noWrap w:val="0"/>
                  <w:vAlign w:val="center"/>
                </w:tcPr>
                <w:p w14:paraId="59F564E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897" w:type="pct"/>
                  <w:tcBorders>
                    <w:tl2br w:val="nil"/>
                    <w:tr2bl w:val="nil"/>
                  </w:tcBorders>
                  <w:noWrap w:val="0"/>
                  <w:vAlign w:val="center"/>
                </w:tcPr>
                <w:p w14:paraId="5E660EF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color w:val="000000"/>
                      <w:spacing w:val="0"/>
                      <w:sz w:val="21"/>
                      <w:szCs w:val="21"/>
                      <w:highlight w:val="none"/>
                    </w:rPr>
                    <w:t>车间外任意一次浓度最高点</w:t>
                  </w:r>
                  <w:r>
                    <w:rPr>
                      <w:rFonts w:hint="default" w:ascii="Times New Roman" w:hAnsi="Times New Roman" w:cs="Times New Roman"/>
                      <w:color w:val="000000"/>
                      <w:spacing w:val="0"/>
                      <w:sz w:val="21"/>
                      <w:szCs w:val="21"/>
                      <w:highlight w:val="none"/>
                      <w:lang w:val="en-US" w:eastAsia="zh-CN"/>
                    </w:rPr>
                    <w:t>3</w:t>
                  </w:r>
                  <w:r>
                    <w:rPr>
                      <w:rFonts w:hint="default" w:ascii="Times New Roman" w:hAnsi="Times New Roman" w:cs="Times New Roman"/>
                      <w:color w:val="000000"/>
                      <w:spacing w:val="0"/>
                      <w:sz w:val="21"/>
                      <w:szCs w:val="21"/>
                      <w:highlight w:val="none"/>
                    </w:rPr>
                    <w:t>0mg/m</w:t>
                  </w:r>
                  <w:r>
                    <w:rPr>
                      <w:rFonts w:hint="default" w:ascii="Times New Roman" w:hAnsi="Times New Roman" w:cs="Times New Roman"/>
                      <w:color w:val="000000"/>
                      <w:spacing w:val="0"/>
                      <w:sz w:val="21"/>
                      <w:szCs w:val="21"/>
                      <w:highlight w:val="none"/>
                      <w:vertAlign w:val="superscript"/>
                    </w:rPr>
                    <w:t>3</w:t>
                  </w:r>
                </w:p>
              </w:tc>
              <w:tc>
                <w:tcPr>
                  <w:tcW w:w="709" w:type="pct"/>
                  <w:tcBorders>
                    <w:tl2br w:val="nil"/>
                    <w:tr2bl w:val="nil"/>
                  </w:tcBorders>
                  <w:noWrap w:val="0"/>
                  <w:vAlign w:val="center"/>
                </w:tcPr>
                <w:p w14:paraId="4D3CDD3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tcBorders>
                    <w:tl2br w:val="nil"/>
                    <w:tr2bl w:val="nil"/>
                  </w:tcBorders>
                  <w:noWrap w:val="0"/>
                  <w:vAlign w:val="center"/>
                </w:tcPr>
                <w:p w14:paraId="64058EF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eastAsia" w:cs="Times New Roman"/>
                      <w:color w:val="000000"/>
                      <w:spacing w:val="0"/>
                      <w:sz w:val="21"/>
                      <w:szCs w:val="21"/>
                      <w:highlight w:val="none"/>
                      <w:lang w:val="en-US" w:eastAsia="zh-CN"/>
                    </w:rPr>
                    <w:t>厂房</w:t>
                  </w:r>
                  <w:r>
                    <w:rPr>
                      <w:rFonts w:hint="default" w:ascii="Times New Roman" w:hAnsi="Times New Roman" w:cs="Times New Roman"/>
                      <w:color w:val="000000"/>
                      <w:spacing w:val="0"/>
                      <w:sz w:val="21"/>
                      <w:szCs w:val="21"/>
                      <w:highlight w:val="none"/>
                    </w:rPr>
                    <w:t>外任意一次浓度最高点</w:t>
                  </w:r>
                  <w:r>
                    <w:rPr>
                      <w:rFonts w:hint="eastAsia" w:cs="Times New Roman"/>
                      <w:color w:val="000000"/>
                      <w:spacing w:val="0"/>
                      <w:sz w:val="21"/>
                      <w:szCs w:val="21"/>
                      <w:highlight w:val="none"/>
                      <w:lang w:val="en-US" w:eastAsia="zh-CN"/>
                    </w:rPr>
                    <w:t>1</w:t>
                  </w:r>
                  <w:r>
                    <w:rPr>
                      <w:rFonts w:hint="default" w:ascii="Times New Roman" w:hAnsi="Times New Roman" w:cs="Times New Roman"/>
                      <w:color w:val="000000"/>
                      <w:spacing w:val="0"/>
                      <w:sz w:val="21"/>
                      <w:szCs w:val="21"/>
                      <w:highlight w:val="none"/>
                    </w:rPr>
                    <w:t>0mg/m</w:t>
                  </w:r>
                  <w:r>
                    <w:rPr>
                      <w:rFonts w:hint="default" w:ascii="Times New Roman" w:hAnsi="Times New Roman" w:cs="Times New Roman"/>
                      <w:color w:val="000000"/>
                      <w:spacing w:val="0"/>
                      <w:sz w:val="21"/>
                      <w:szCs w:val="21"/>
                      <w:highlight w:val="none"/>
                      <w:vertAlign w:val="superscript"/>
                    </w:rPr>
                    <w:t>3</w:t>
                  </w:r>
                </w:p>
              </w:tc>
              <w:tc>
                <w:tcPr>
                  <w:tcW w:w="809" w:type="pct"/>
                  <w:gridSpan w:val="2"/>
                  <w:tcBorders>
                    <w:tl2br w:val="nil"/>
                    <w:tr2bl w:val="nil"/>
                  </w:tcBorders>
                  <w:noWrap w:val="0"/>
                  <w:vAlign w:val="center"/>
                </w:tcPr>
                <w:p w14:paraId="3BB8426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snapToGrid w:val="0"/>
                      <w:color w:val="000000"/>
                      <w:spacing w:val="0"/>
                      <w:kern w:val="0"/>
                      <w:sz w:val="21"/>
                      <w:szCs w:val="21"/>
                      <w:highlight w:val="none"/>
                      <w:lang w:eastAsia="zh-CN"/>
                    </w:rPr>
                  </w:pPr>
                  <w:r>
                    <w:rPr>
                      <w:rFonts w:hint="default" w:ascii="Times New Roman" w:hAnsi="Times New Roman" w:cs="Times New Roman"/>
                      <w:color w:val="000000"/>
                      <w:spacing w:val="0"/>
                      <w:sz w:val="21"/>
                      <w:szCs w:val="21"/>
                      <w:highlight w:val="none"/>
                    </w:rPr>
                    <w:t>车间外任意一次浓度最高点</w:t>
                  </w:r>
                  <w:r>
                    <w:rPr>
                      <w:rFonts w:hint="default" w:ascii="Times New Roman" w:hAnsi="Times New Roman" w:cs="Times New Roman"/>
                      <w:color w:val="000000"/>
                      <w:spacing w:val="0"/>
                      <w:sz w:val="21"/>
                      <w:szCs w:val="21"/>
                      <w:highlight w:val="none"/>
                      <w:lang w:val="en-US" w:eastAsia="zh-CN"/>
                    </w:rPr>
                    <w:t>2</w:t>
                  </w:r>
                  <w:r>
                    <w:rPr>
                      <w:rFonts w:hint="default" w:ascii="Times New Roman" w:hAnsi="Times New Roman" w:cs="Times New Roman"/>
                      <w:color w:val="000000"/>
                      <w:spacing w:val="0"/>
                      <w:sz w:val="21"/>
                      <w:szCs w:val="21"/>
                      <w:highlight w:val="none"/>
                    </w:rPr>
                    <w:t>0mg/m</w:t>
                  </w:r>
                  <w:r>
                    <w:rPr>
                      <w:rFonts w:hint="default" w:ascii="Times New Roman" w:hAnsi="Times New Roman" w:cs="Times New Roman"/>
                      <w:color w:val="000000"/>
                      <w:spacing w:val="0"/>
                      <w:sz w:val="21"/>
                      <w:szCs w:val="21"/>
                      <w:highlight w:val="none"/>
                      <w:vertAlign w:val="superscript"/>
                    </w:rPr>
                    <w:t>3</w:t>
                  </w:r>
                </w:p>
              </w:tc>
              <w:tc>
                <w:tcPr>
                  <w:tcW w:w="822" w:type="pct"/>
                  <w:tcBorders>
                    <w:tl2br w:val="nil"/>
                    <w:tr2bl w:val="nil"/>
                  </w:tcBorders>
                  <w:noWrap w:val="0"/>
                  <w:vAlign w:val="center"/>
                </w:tcPr>
                <w:p w14:paraId="6B8C878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snapToGrid w:val="0"/>
                      <w:color w:val="000000"/>
                      <w:spacing w:val="0"/>
                      <w:kern w:val="0"/>
                      <w:sz w:val="21"/>
                      <w:szCs w:val="21"/>
                      <w:highlight w:val="none"/>
                      <w:lang w:eastAsia="zh-CN"/>
                    </w:rPr>
                  </w:pPr>
                  <w:r>
                    <w:rPr>
                      <w:rFonts w:hint="default" w:ascii="Times New Roman" w:hAnsi="Times New Roman" w:cs="Times New Roman"/>
                      <w:b/>
                      <w:bCs w:val="0"/>
                      <w:color w:val="000000"/>
                      <w:spacing w:val="0"/>
                      <w:sz w:val="21"/>
                      <w:szCs w:val="21"/>
                      <w:highlight w:val="none"/>
                    </w:rPr>
                    <w:t>车间外任意一次浓度最高点</w:t>
                  </w:r>
                  <w:r>
                    <w:rPr>
                      <w:rFonts w:hint="eastAsia" w:cs="Times New Roman"/>
                      <w:b/>
                      <w:bCs w:val="0"/>
                      <w:color w:val="000000"/>
                      <w:spacing w:val="0"/>
                      <w:sz w:val="21"/>
                      <w:szCs w:val="21"/>
                      <w:highlight w:val="none"/>
                      <w:lang w:val="en-US" w:eastAsia="zh-CN"/>
                    </w:rPr>
                    <w:t>1</w:t>
                  </w:r>
                  <w:r>
                    <w:rPr>
                      <w:rFonts w:hint="default" w:ascii="Times New Roman" w:hAnsi="Times New Roman" w:cs="Times New Roman"/>
                      <w:b/>
                      <w:bCs w:val="0"/>
                      <w:color w:val="000000"/>
                      <w:spacing w:val="0"/>
                      <w:sz w:val="21"/>
                      <w:szCs w:val="21"/>
                      <w:highlight w:val="none"/>
                    </w:rPr>
                    <w:t>0mg/m</w:t>
                  </w:r>
                  <w:r>
                    <w:rPr>
                      <w:rFonts w:hint="default" w:ascii="Times New Roman" w:hAnsi="Times New Roman" w:cs="Times New Roman"/>
                      <w:b/>
                      <w:bCs w:val="0"/>
                      <w:color w:val="000000"/>
                      <w:spacing w:val="0"/>
                      <w:sz w:val="21"/>
                      <w:szCs w:val="21"/>
                      <w:highlight w:val="none"/>
                      <w:vertAlign w:val="superscript"/>
                    </w:rPr>
                    <w:t>3</w:t>
                  </w:r>
                </w:p>
              </w:tc>
            </w:tr>
            <w:tr w14:paraId="6DAC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0" w:hRule="atLeast"/>
                <w:jc w:val="center"/>
              </w:trPr>
              <w:tc>
                <w:tcPr>
                  <w:tcW w:w="528" w:type="pct"/>
                  <w:gridSpan w:val="2"/>
                  <w:vMerge w:val="restart"/>
                  <w:tcBorders>
                    <w:tl2br w:val="nil"/>
                    <w:tr2bl w:val="nil"/>
                  </w:tcBorders>
                  <w:noWrap w:val="0"/>
                  <w:vAlign w:val="center"/>
                </w:tcPr>
                <w:p w14:paraId="6AD27D73">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厂界</w:t>
                  </w:r>
                </w:p>
              </w:tc>
              <w:tc>
                <w:tcPr>
                  <w:tcW w:w="423" w:type="pct"/>
                  <w:tcBorders>
                    <w:tl2br w:val="nil"/>
                    <w:tr2bl w:val="nil"/>
                  </w:tcBorders>
                  <w:noWrap w:val="0"/>
                  <w:vAlign w:val="center"/>
                </w:tcPr>
                <w:p w14:paraId="4E17917A">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eastAsia="zh-CN"/>
                    </w:rPr>
                    <w:t>颗粒物</w:t>
                  </w:r>
                </w:p>
              </w:tc>
              <w:tc>
                <w:tcPr>
                  <w:tcW w:w="897" w:type="pct"/>
                  <w:tcBorders>
                    <w:tl2br w:val="nil"/>
                    <w:tr2bl w:val="nil"/>
                  </w:tcBorders>
                  <w:noWrap w:val="0"/>
                  <w:vAlign w:val="center"/>
                </w:tcPr>
                <w:p w14:paraId="2A9AD3A1">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kern w:val="2"/>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28ABABB3">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浓度≤</w:t>
                  </w:r>
                  <w:r>
                    <w:rPr>
                      <w:rFonts w:hint="default" w:ascii="Times New Roman" w:hAnsi="Times New Roman" w:cs="Times New Roman"/>
                      <w:bCs/>
                      <w:color w:val="000000"/>
                      <w:spacing w:val="0"/>
                      <w:kern w:val="2"/>
                      <w:sz w:val="21"/>
                      <w:szCs w:val="21"/>
                      <w:highlight w:val="none"/>
                      <w:lang w:val="en-US" w:eastAsia="zh-CN" w:bidi="ar-SA"/>
                    </w:rPr>
                    <w:t>1.0</w:t>
                  </w:r>
                  <w:r>
                    <w:rPr>
                      <w:rFonts w:hint="default" w:ascii="Times New Roman" w:hAnsi="Times New Roman" w:cs="Times New Roman"/>
                      <w:color w:val="000000"/>
                      <w:spacing w:val="0"/>
                      <w:sz w:val="21"/>
                      <w:szCs w:val="21"/>
                      <w:highlight w:val="none"/>
                    </w:rPr>
                    <w:t>mg/</w:t>
                  </w:r>
                  <w:r>
                    <w:rPr>
                      <w:rFonts w:hint="default" w:ascii="Times New Roman" w:hAnsi="Times New Roman" w:cs="Times New Roman"/>
                      <w:bCs/>
                      <w:color w:val="000000"/>
                      <w:spacing w:val="0"/>
                      <w:sz w:val="21"/>
                      <w:szCs w:val="21"/>
                      <w:highlight w:val="none"/>
                    </w:rPr>
                    <w:t>m</w:t>
                  </w:r>
                  <w:r>
                    <w:rPr>
                      <w:rFonts w:hint="default" w:ascii="Times New Roman" w:hAnsi="Times New Roman" w:cs="Times New Roman"/>
                      <w:color w:val="000000"/>
                      <w:spacing w:val="0"/>
                      <w:sz w:val="21"/>
                      <w:szCs w:val="21"/>
                      <w:highlight w:val="none"/>
                      <w:vertAlign w:val="superscript"/>
                    </w:rPr>
                    <w:t>3</w:t>
                  </w:r>
                </w:p>
              </w:tc>
              <w:tc>
                <w:tcPr>
                  <w:tcW w:w="809" w:type="pct"/>
                  <w:tcBorders>
                    <w:tl2br w:val="nil"/>
                    <w:tr2bl w:val="nil"/>
                  </w:tcBorders>
                  <w:noWrap w:val="0"/>
                  <w:vAlign w:val="center"/>
                </w:tcPr>
                <w:p w14:paraId="42214C3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401BD03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51A2F56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lang w:eastAsia="zh-CN"/>
                    </w:rPr>
                  </w:pPr>
                  <w:r>
                    <w:rPr>
                      <w:rFonts w:hint="default" w:ascii="Times New Roman" w:hAnsi="Times New Roman" w:cs="Times New Roman"/>
                      <w:b/>
                      <w:bCs w:val="0"/>
                      <w:color w:val="000000"/>
                      <w:spacing w:val="0"/>
                      <w:sz w:val="21"/>
                      <w:szCs w:val="21"/>
                      <w:highlight w:val="none"/>
                      <w:lang w:val="en-US" w:eastAsia="zh-CN"/>
                    </w:rPr>
                    <w:t>浓度≤</w:t>
                  </w:r>
                  <w:r>
                    <w:rPr>
                      <w:rFonts w:hint="default" w:ascii="Times New Roman" w:hAnsi="Times New Roman" w:cs="Times New Roman"/>
                      <w:b/>
                      <w:bCs w:val="0"/>
                      <w:color w:val="000000"/>
                      <w:spacing w:val="0"/>
                      <w:kern w:val="2"/>
                      <w:sz w:val="21"/>
                      <w:szCs w:val="21"/>
                      <w:highlight w:val="none"/>
                      <w:lang w:val="en-US" w:eastAsia="zh-CN" w:bidi="ar-SA"/>
                    </w:rPr>
                    <w:t>1.0</w:t>
                  </w:r>
                  <w:r>
                    <w:rPr>
                      <w:rFonts w:hint="default" w:ascii="Times New Roman" w:hAnsi="Times New Roman" w:cs="Times New Roman"/>
                      <w:b/>
                      <w:bCs w:val="0"/>
                      <w:color w:val="000000"/>
                      <w:spacing w:val="0"/>
                      <w:sz w:val="21"/>
                      <w:szCs w:val="21"/>
                      <w:highlight w:val="none"/>
                    </w:rPr>
                    <w:t>mg/</w:t>
                  </w:r>
                  <w:r>
                    <w:rPr>
                      <w:rFonts w:hint="default" w:ascii="Times New Roman" w:hAnsi="Times New Roman" w:cs="Times New Roman"/>
                      <w:b/>
                      <w:bCs w:val="0"/>
                      <w:color w:val="000000"/>
                      <w:spacing w:val="0"/>
                      <w:sz w:val="21"/>
                      <w:szCs w:val="21"/>
                      <w:highlight w:val="none"/>
                      <w:vertAlign w:val="superscript"/>
                    </w:rPr>
                    <w:t>3</w:t>
                  </w:r>
                </w:p>
              </w:tc>
            </w:tr>
            <w:tr w14:paraId="31BD6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528" w:type="pct"/>
                  <w:gridSpan w:val="2"/>
                  <w:vMerge w:val="continue"/>
                  <w:tcBorders>
                    <w:tl2br w:val="nil"/>
                    <w:tr2bl w:val="nil"/>
                  </w:tcBorders>
                  <w:noWrap w:val="0"/>
                  <w:vAlign w:val="center"/>
                </w:tcPr>
                <w:p w14:paraId="68E9BA12">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p>
              </w:tc>
              <w:tc>
                <w:tcPr>
                  <w:tcW w:w="423" w:type="pct"/>
                  <w:tcBorders>
                    <w:tl2br w:val="nil"/>
                    <w:tr2bl w:val="nil"/>
                  </w:tcBorders>
                  <w:noWrap w:val="0"/>
                  <w:vAlign w:val="center"/>
                </w:tcPr>
                <w:p w14:paraId="3CBFF0B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酚类</w:t>
                  </w:r>
                </w:p>
              </w:tc>
              <w:tc>
                <w:tcPr>
                  <w:tcW w:w="897" w:type="pct"/>
                  <w:tcBorders>
                    <w:tl2br w:val="nil"/>
                    <w:tr2bl w:val="nil"/>
                  </w:tcBorders>
                  <w:noWrap w:val="0"/>
                  <w:vAlign w:val="center"/>
                </w:tcPr>
                <w:p w14:paraId="651E967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color w:val="000000"/>
                      <w:spacing w:val="0"/>
                      <w:sz w:val="21"/>
                      <w:szCs w:val="21"/>
                      <w:highlight w:val="none"/>
                      <w:lang w:val="en-US"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64F19598">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eastAsia="宋体" w:cs="Times New Roman"/>
                      <w:color w:val="000000"/>
                      <w:spacing w:val="0"/>
                      <w:sz w:val="21"/>
                      <w:szCs w:val="21"/>
                      <w:highlight w:val="none"/>
                      <w:lang w:val="en-US" w:eastAsia="zh-CN"/>
                    </w:rPr>
                  </w:pPr>
                  <w:r>
                    <w:rPr>
                      <w:rFonts w:hint="default" w:ascii="Times New Roman" w:hAnsi="Times New Roman" w:cs="Times New Roman"/>
                      <w:bCs/>
                      <w:color w:val="000000"/>
                      <w:spacing w:val="0"/>
                      <w:sz w:val="21"/>
                      <w:szCs w:val="21"/>
                      <w:highlight w:val="none"/>
                      <w:lang w:val="en-US" w:eastAsia="zh-CN"/>
                    </w:rPr>
                    <w:t>浓度≤0.0</w:t>
                  </w:r>
                  <w:r>
                    <w:rPr>
                      <w:rFonts w:hint="eastAsia" w:cs="Times New Roman"/>
                      <w:bCs/>
                      <w:color w:val="000000"/>
                      <w:spacing w:val="0"/>
                      <w:sz w:val="21"/>
                      <w:szCs w:val="21"/>
                      <w:highlight w:val="none"/>
                      <w:lang w:val="en-US" w:eastAsia="zh-CN"/>
                    </w:rPr>
                    <w:t>8</w:t>
                  </w:r>
                  <w:r>
                    <w:rPr>
                      <w:rFonts w:hint="default" w:ascii="Times New Roman" w:hAnsi="Times New Roman" w:cs="Times New Roman"/>
                      <w:bCs/>
                      <w:color w:val="000000"/>
                      <w:spacing w:val="0"/>
                      <w:sz w:val="21"/>
                      <w:szCs w:val="21"/>
                      <w:highlight w:val="none"/>
                    </w:rPr>
                    <w:t>mg/m</w:t>
                  </w:r>
                  <w:r>
                    <w:rPr>
                      <w:rFonts w:hint="default" w:ascii="Times New Roman" w:hAnsi="Times New Roman" w:cs="Times New Roman"/>
                      <w:bCs/>
                      <w:color w:val="000000"/>
                      <w:spacing w:val="0"/>
                      <w:sz w:val="21"/>
                      <w:szCs w:val="21"/>
                      <w:highlight w:val="none"/>
                      <w:vertAlign w:val="superscript"/>
                    </w:rPr>
                    <w:t>3</w:t>
                  </w:r>
                </w:p>
              </w:tc>
              <w:tc>
                <w:tcPr>
                  <w:tcW w:w="809" w:type="pct"/>
                  <w:tcBorders>
                    <w:tl2br w:val="nil"/>
                    <w:tr2bl w:val="nil"/>
                  </w:tcBorders>
                  <w:noWrap w:val="0"/>
                  <w:vAlign w:val="center"/>
                </w:tcPr>
                <w:p w14:paraId="5F17327B">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eastAsia="宋体" w:cs="Times New Roman"/>
                      <w:color w:val="000000"/>
                      <w:spacing w:val="0"/>
                      <w:sz w:val="21"/>
                      <w:szCs w:val="21"/>
                      <w:highlight w:val="none"/>
                      <w:lang w:val="en-US" w:eastAsia="zh-CN"/>
                    </w:rPr>
                  </w:pPr>
                  <w:r>
                    <w:rPr>
                      <w:rFonts w:hint="default" w:ascii="Times New Roman" w:hAnsi="Times New Roman" w:cs="Times New Roman"/>
                      <w:bCs/>
                      <w:color w:val="000000"/>
                      <w:spacing w:val="0"/>
                      <w:sz w:val="21"/>
                      <w:szCs w:val="21"/>
                      <w:highlight w:val="none"/>
                      <w:lang w:val="en-US" w:eastAsia="zh-CN"/>
                    </w:rPr>
                    <w:t>浓度≤0.0</w:t>
                  </w:r>
                  <w:r>
                    <w:rPr>
                      <w:rFonts w:hint="eastAsia" w:cs="Times New Roman"/>
                      <w:bCs/>
                      <w:color w:val="000000"/>
                      <w:spacing w:val="0"/>
                      <w:sz w:val="21"/>
                      <w:szCs w:val="21"/>
                      <w:highlight w:val="none"/>
                      <w:lang w:val="en-US" w:eastAsia="zh-CN"/>
                    </w:rPr>
                    <w:t>2</w:t>
                  </w:r>
                  <w:r>
                    <w:rPr>
                      <w:rFonts w:hint="default" w:ascii="Times New Roman" w:hAnsi="Times New Roman" w:cs="Times New Roman"/>
                      <w:bCs/>
                      <w:color w:val="000000"/>
                      <w:spacing w:val="0"/>
                      <w:sz w:val="21"/>
                      <w:szCs w:val="21"/>
                      <w:highlight w:val="none"/>
                    </w:rPr>
                    <w:t>mg/m</w:t>
                  </w:r>
                  <w:r>
                    <w:rPr>
                      <w:rFonts w:hint="default" w:ascii="Times New Roman" w:hAnsi="Times New Roman" w:cs="Times New Roman"/>
                      <w:bCs/>
                      <w:color w:val="000000"/>
                      <w:spacing w:val="0"/>
                      <w:sz w:val="21"/>
                      <w:szCs w:val="21"/>
                      <w:highlight w:val="none"/>
                      <w:vertAlign w:val="superscript"/>
                    </w:rPr>
                    <w:t>3</w:t>
                  </w:r>
                </w:p>
              </w:tc>
              <w:tc>
                <w:tcPr>
                  <w:tcW w:w="809" w:type="pct"/>
                  <w:gridSpan w:val="2"/>
                  <w:tcBorders>
                    <w:tl2br w:val="nil"/>
                    <w:tr2bl w:val="nil"/>
                  </w:tcBorders>
                  <w:noWrap w:val="0"/>
                  <w:vAlign w:val="center"/>
                </w:tcPr>
                <w:p w14:paraId="2075223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val="en-US"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2DE8CA29">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
                      <w:bCs w:val="0"/>
                      <w:color w:val="000000"/>
                      <w:spacing w:val="0"/>
                      <w:sz w:val="21"/>
                      <w:szCs w:val="21"/>
                      <w:highlight w:val="none"/>
                      <w:lang w:val="en-US" w:eastAsia="zh-CN"/>
                    </w:rPr>
                  </w:pPr>
                  <w:r>
                    <w:rPr>
                      <w:rFonts w:hint="default" w:ascii="Times New Roman" w:hAnsi="Times New Roman" w:cs="Times New Roman"/>
                      <w:b/>
                      <w:bCs w:val="0"/>
                      <w:color w:val="000000"/>
                      <w:spacing w:val="0"/>
                      <w:sz w:val="21"/>
                      <w:szCs w:val="21"/>
                      <w:highlight w:val="none"/>
                      <w:lang w:val="en-US" w:eastAsia="zh-CN"/>
                    </w:rPr>
                    <w:t>浓度≤0.0</w:t>
                  </w:r>
                  <w:r>
                    <w:rPr>
                      <w:rFonts w:hint="eastAsia" w:cs="Times New Roman"/>
                      <w:b/>
                      <w:bCs w:val="0"/>
                      <w:color w:val="000000"/>
                      <w:spacing w:val="0"/>
                      <w:sz w:val="21"/>
                      <w:szCs w:val="21"/>
                      <w:highlight w:val="none"/>
                      <w:lang w:val="en-US" w:eastAsia="zh-CN"/>
                    </w:rPr>
                    <w:t>2</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p>
              </w:tc>
            </w:tr>
            <w:tr w14:paraId="4A6AA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 w:hRule="atLeast"/>
                <w:jc w:val="center"/>
              </w:trPr>
              <w:tc>
                <w:tcPr>
                  <w:tcW w:w="528" w:type="pct"/>
                  <w:gridSpan w:val="2"/>
                  <w:vMerge w:val="continue"/>
                  <w:tcBorders>
                    <w:tl2br w:val="nil"/>
                    <w:tr2bl w:val="nil"/>
                  </w:tcBorders>
                  <w:noWrap w:val="0"/>
                  <w:vAlign w:val="center"/>
                </w:tcPr>
                <w:p w14:paraId="5FAA047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val="en-US" w:eastAsia="zh-CN"/>
                    </w:rPr>
                  </w:pPr>
                </w:p>
              </w:tc>
              <w:tc>
                <w:tcPr>
                  <w:tcW w:w="423" w:type="pct"/>
                  <w:tcBorders>
                    <w:tl2br w:val="nil"/>
                    <w:tr2bl w:val="nil"/>
                  </w:tcBorders>
                  <w:noWrap w:val="0"/>
                  <w:vAlign w:val="center"/>
                </w:tcPr>
                <w:p w14:paraId="54284B4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eastAsia="zh-CN"/>
                    </w:rPr>
                  </w:pPr>
                  <w:r>
                    <w:rPr>
                      <w:rFonts w:hint="default" w:ascii="Times New Roman" w:hAnsi="Times New Roman" w:eastAsia="宋体" w:cs="Times New Roman"/>
                      <w:color w:val="000000"/>
                      <w:spacing w:val="0"/>
                      <w:sz w:val="21"/>
                      <w:szCs w:val="21"/>
                      <w:highlight w:val="none"/>
                      <w:lang w:eastAsia="zh-CN"/>
                    </w:rPr>
                    <w:t>甲醛</w:t>
                  </w:r>
                </w:p>
              </w:tc>
              <w:tc>
                <w:tcPr>
                  <w:tcW w:w="897" w:type="pct"/>
                  <w:tcBorders>
                    <w:tl2br w:val="nil"/>
                    <w:tr2bl w:val="nil"/>
                  </w:tcBorders>
                  <w:noWrap w:val="0"/>
                  <w:vAlign w:val="center"/>
                </w:tcPr>
                <w:p w14:paraId="43E3601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bCs/>
                      <w:color w:val="000000"/>
                      <w:spacing w:val="0"/>
                      <w:sz w:val="21"/>
                      <w:szCs w:val="21"/>
                      <w:highlight w:val="none"/>
                      <w:lang w:val="en-US"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544A70C7">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000000"/>
                      <w:spacing w:val="0"/>
                      <w:sz w:val="21"/>
                      <w:szCs w:val="21"/>
                      <w:highlight w:val="none"/>
                      <w:lang w:val="en-US"/>
                    </w:rPr>
                  </w:pPr>
                  <w:r>
                    <w:rPr>
                      <w:rFonts w:hint="default" w:ascii="Times New Roman" w:hAnsi="Times New Roman" w:cs="Times New Roman"/>
                      <w:bCs/>
                      <w:color w:val="000000"/>
                      <w:spacing w:val="0"/>
                      <w:sz w:val="21"/>
                      <w:szCs w:val="21"/>
                      <w:highlight w:val="none"/>
                      <w:lang w:val="en-US" w:eastAsia="zh-CN"/>
                    </w:rPr>
                    <w:t>浓度≤0.2</w:t>
                  </w:r>
                  <w:r>
                    <w:rPr>
                      <w:rFonts w:hint="default" w:ascii="Times New Roman" w:hAnsi="Times New Roman" w:cs="Times New Roman"/>
                      <w:bCs/>
                      <w:color w:val="000000"/>
                      <w:spacing w:val="0"/>
                      <w:sz w:val="21"/>
                      <w:szCs w:val="21"/>
                      <w:highlight w:val="none"/>
                    </w:rPr>
                    <w:t>mg/m</w:t>
                  </w:r>
                  <w:r>
                    <w:rPr>
                      <w:rFonts w:hint="default" w:ascii="Times New Roman" w:hAnsi="Times New Roman" w:cs="Times New Roman"/>
                      <w:bCs/>
                      <w:color w:val="000000"/>
                      <w:spacing w:val="0"/>
                      <w:sz w:val="21"/>
                      <w:szCs w:val="21"/>
                      <w:highlight w:val="none"/>
                      <w:vertAlign w:val="superscript"/>
                    </w:rPr>
                    <w:t>3</w:t>
                  </w:r>
                </w:p>
              </w:tc>
              <w:tc>
                <w:tcPr>
                  <w:tcW w:w="809" w:type="pct"/>
                  <w:tcBorders>
                    <w:tl2br w:val="nil"/>
                    <w:tr2bl w:val="nil"/>
                  </w:tcBorders>
                  <w:noWrap w:val="0"/>
                  <w:vAlign w:val="center"/>
                </w:tcPr>
                <w:p w14:paraId="28D747DC">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000000"/>
                      <w:spacing w:val="0"/>
                      <w:sz w:val="21"/>
                      <w:szCs w:val="21"/>
                      <w:highlight w:val="none"/>
                    </w:rPr>
                  </w:pPr>
                  <w:r>
                    <w:rPr>
                      <w:rFonts w:hint="default" w:ascii="Times New Roman" w:hAnsi="Times New Roman" w:cs="Times New Roman"/>
                      <w:bCs/>
                      <w:color w:val="000000"/>
                      <w:spacing w:val="0"/>
                      <w:sz w:val="21"/>
                      <w:szCs w:val="21"/>
                      <w:highlight w:val="none"/>
                      <w:lang w:val="en-US" w:eastAsia="zh-CN"/>
                    </w:rPr>
                    <w:t>浓度≤0.2</w:t>
                  </w:r>
                  <w:r>
                    <w:rPr>
                      <w:rFonts w:hint="default" w:ascii="Times New Roman" w:hAnsi="Times New Roman" w:cs="Times New Roman"/>
                      <w:bCs/>
                      <w:color w:val="000000"/>
                      <w:spacing w:val="0"/>
                      <w:sz w:val="21"/>
                      <w:szCs w:val="21"/>
                      <w:highlight w:val="none"/>
                    </w:rPr>
                    <w:t>mg/m</w:t>
                  </w:r>
                  <w:r>
                    <w:rPr>
                      <w:rFonts w:hint="default" w:ascii="Times New Roman" w:hAnsi="Times New Roman" w:cs="Times New Roman"/>
                      <w:bCs/>
                      <w:color w:val="000000"/>
                      <w:spacing w:val="0"/>
                      <w:sz w:val="21"/>
                      <w:szCs w:val="21"/>
                      <w:highlight w:val="none"/>
                      <w:vertAlign w:val="superscript"/>
                    </w:rPr>
                    <w:t>3</w:t>
                  </w:r>
                </w:p>
              </w:tc>
              <w:tc>
                <w:tcPr>
                  <w:tcW w:w="809" w:type="pct"/>
                  <w:gridSpan w:val="2"/>
                  <w:tcBorders>
                    <w:tl2br w:val="nil"/>
                    <w:tr2bl w:val="nil"/>
                  </w:tcBorders>
                  <w:noWrap w:val="0"/>
                  <w:vAlign w:val="center"/>
                </w:tcPr>
                <w:p w14:paraId="67B60CCD">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color w:val="000000"/>
                      <w:spacing w:val="0"/>
                      <w:sz w:val="21"/>
                      <w:szCs w:val="21"/>
                      <w:highlight w:val="none"/>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0C6766E6">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rPr>
                  </w:pPr>
                  <w:r>
                    <w:rPr>
                      <w:rFonts w:hint="default" w:ascii="Times New Roman" w:hAnsi="Times New Roman" w:cs="Times New Roman"/>
                      <w:b/>
                      <w:bCs w:val="0"/>
                      <w:color w:val="000000"/>
                      <w:spacing w:val="0"/>
                      <w:sz w:val="21"/>
                      <w:szCs w:val="21"/>
                      <w:highlight w:val="none"/>
                      <w:lang w:val="en-US" w:eastAsia="zh-CN"/>
                    </w:rPr>
                    <w:t>浓度≤0.2</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p>
              </w:tc>
            </w:tr>
            <w:tr w14:paraId="3750D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 w:hRule="atLeast"/>
                <w:jc w:val="center"/>
              </w:trPr>
              <w:tc>
                <w:tcPr>
                  <w:tcW w:w="528" w:type="pct"/>
                  <w:gridSpan w:val="2"/>
                  <w:vMerge w:val="continue"/>
                  <w:tcBorders>
                    <w:tl2br w:val="nil"/>
                    <w:tr2bl w:val="nil"/>
                  </w:tcBorders>
                  <w:noWrap w:val="0"/>
                  <w:vAlign w:val="center"/>
                </w:tcPr>
                <w:p w14:paraId="52E4B65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val="en-US" w:eastAsia="zh-CN"/>
                    </w:rPr>
                  </w:pPr>
                </w:p>
              </w:tc>
              <w:tc>
                <w:tcPr>
                  <w:tcW w:w="423" w:type="pct"/>
                  <w:tcBorders>
                    <w:tl2br w:val="nil"/>
                    <w:tr2bl w:val="nil"/>
                  </w:tcBorders>
                  <w:noWrap w:val="0"/>
                  <w:vAlign w:val="center"/>
                </w:tcPr>
                <w:p w14:paraId="53FB9C85">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eastAsia="宋体" w:cs="Times New Roman"/>
                      <w:color w:val="000000"/>
                      <w:spacing w:val="0"/>
                      <w:sz w:val="21"/>
                      <w:szCs w:val="21"/>
                      <w:highlight w:val="none"/>
                      <w:lang w:eastAsia="zh-CN"/>
                    </w:rPr>
                  </w:pPr>
                  <w:r>
                    <w:rPr>
                      <w:rFonts w:hint="default" w:ascii="Times New Roman" w:hAnsi="Times New Roman" w:cs="Times New Roman"/>
                      <w:color w:val="000000"/>
                      <w:spacing w:val="0"/>
                      <w:sz w:val="21"/>
                      <w:szCs w:val="21"/>
                      <w:highlight w:val="none"/>
                      <w:lang w:val="en-US" w:eastAsia="zh-CN"/>
                    </w:rPr>
                    <w:t>非甲烷总烃</w:t>
                  </w:r>
                </w:p>
              </w:tc>
              <w:tc>
                <w:tcPr>
                  <w:tcW w:w="897" w:type="pct"/>
                  <w:tcBorders>
                    <w:tl2br w:val="nil"/>
                    <w:tr2bl w:val="nil"/>
                  </w:tcBorders>
                  <w:noWrap w:val="0"/>
                  <w:vAlign w:val="center"/>
                </w:tcPr>
                <w:p w14:paraId="0CCFE0A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709" w:type="pct"/>
                  <w:tcBorders>
                    <w:tl2br w:val="nil"/>
                    <w:tr2bl w:val="nil"/>
                  </w:tcBorders>
                  <w:noWrap w:val="0"/>
                  <w:vAlign w:val="center"/>
                </w:tcPr>
                <w:p w14:paraId="529482D2">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bCs/>
                      <w:color w:val="000000"/>
                      <w:spacing w:val="0"/>
                      <w:sz w:val="21"/>
                      <w:szCs w:val="21"/>
                      <w:highlight w:val="none"/>
                      <w:lang w:val="en-US" w:eastAsia="zh-CN"/>
                    </w:rPr>
                  </w:pPr>
                  <w:r>
                    <w:rPr>
                      <w:rFonts w:hint="default" w:ascii="Times New Roman" w:hAnsi="Times New Roman" w:cs="Times New Roman"/>
                      <w:color w:val="000000"/>
                      <w:spacing w:val="0"/>
                      <w:sz w:val="21"/>
                      <w:szCs w:val="21"/>
                      <w:highlight w:val="none"/>
                      <w:lang w:val="en-US" w:eastAsia="zh-CN"/>
                    </w:rPr>
                    <w:t>浓度≤</w:t>
                  </w:r>
                  <w:r>
                    <w:rPr>
                      <w:rFonts w:hint="eastAsia" w:cs="Times New Roman"/>
                      <w:bCs/>
                      <w:color w:val="000000"/>
                      <w:spacing w:val="0"/>
                      <w:kern w:val="2"/>
                      <w:sz w:val="21"/>
                      <w:szCs w:val="21"/>
                      <w:highlight w:val="none"/>
                      <w:lang w:val="en-US" w:eastAsia="zh-CN" w:bidi="ar-SA"/>
                    </w:rPr>
                    <w:t>4</w:t>
                  </w:r>
                  <w:r>
                    <w:rPr>
                      <w:rFonts w:hint="default" w:ascii="Times New Roman" w:hAnsi="Times New Roman" w:cs="Times New Roman"/>
                      <w:bCs/>
                      <w:color w:val="000000"/>
                      <w:spacing w:val="0"/>
                      <w:kern w:val="2"/>
                      <w:sz w:val="21"/>
                      <w:szCs w:val="21"/>
                      <w:highlight w:val="none"/>
                      <w:lang w:val="en-US" w:eastAsia="zh-CN" w:bidi="ar-SA"/>
                    </w:rPr>
                    <w:t>.</w:t>
                  </w:r>
                  <w:r>
                    <w:rPr>
                      <w:rFonts w:hint="eastAsia" w:cs="Times New Roman"/>
                      <w:bCs/>
                      <w:color w:val="000000"/>
                      <w:spacing w:val="0"/>
                      <w:kern w:val="2"/>
                      <w:sz w:val="21"/>
                      <w:szCs w:val="21"/>
                      <w:highlight w:val="none"/>
                      <w:lang w:val="en-US" w:eastAsia="zh-CN" w:bidi="ar-SA"/>
                    </w:rPr>
                    <w:t>0</w:t>
                  </w:r>
                  <w:r>
                    <w:rPr>
                      <w:rFonts w:hint="default" w:ascii="Times New Roman" w:hAnsi="Times New Roman" w:cs="Times New Roman"/>
                      <w:color w:val="000000"/>
                      <w:spacing w:val="0"/>
                      <w:sz w:val="21"/>
                      <w:szCs w:val="21"/>
                      <w:highlight w:val="none"/>
                    </w:rPr>
                    <w:t>mg/</w:t>
                  </w:r>
                  <w:r>
                    <w:rPr>
                      <w:rFonts w:hint="default" w:ascii="Times New Roman" w:hAnsi="Times New Roman" w:cs="Times New Roman"/>
                      <w:bCs/>
                      <w:color w:val="000000"/>
                      <w:spacing w:val="0"/>
                      <w:sz w:val="21"/>
                      <w:szCs w:val="21"/>
                      <w:highlight w:val="none"/>
                    </w:rPr>
                    <w:t>m</w:t>
                  </w:r>
                  <w:r>
                    <w:rPr>
                      <w:rFonts w:hint="default" w:ascii="Times New Roman" w:hAnsi="Times New Roman" w:cs="Times New Roman"/>
                      <w:color w:val="000000"/>
                      <w:spacing w:val="0"/>
                      <w:sz w:val="21"/>
                      <w:szCs w:val="21"/>
                      <w:highlight w:val="none"/>
                      <w:vertAlign w:val="superscript"/>
                    </w:rPr>
                    <w:t>3</w:t>
                  </w:r>
                </w:p>
              </w:tc>
              <w:tc>
                <w:tcPr>
                  <w:tcW w:w="809" w:type="pct"/>
                  <w:tcBorders>
                    <w:tl2br w:val="nil"/>
                    <w:tr2bl w:val="nil"/>
                  </w:tcBorders>
                  <w:noWrap w:val="0"/>
                  <w:vAlign w:val="center"/>
                </w:tcPr>
                <w:p w14:paraId="28BC7A14">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bCs/>
                      <w:color w:val="000000"/>
                      <w:spacing w:val="0"/>
                      <w:sz w:val="21"/>
                      <w:szCs w:val="21"/>
                      <w:highlight w:val="none"/>
                      <w:lang w:val="en-US" w:eastAsia="zh-CN"/>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09" w:type="pct"/>
                  <w:gridSpan w:val="2"/>
                  <w:tcBorders>
                    <w:tl2br w:val="nil"/>
                    <w:tr2bl w:val="nil"/>
                  </w:tcBorders>
                  <w:noWrap w:val="0"/>
                  <w:vAlign w:val="center"/>
                </w:tcPr>
                <w:p w14:paraId="4B214040">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Cs/>
                      <w:snapToGrid w:val="0"/>
                      <w:color w:val="000000"/>
                      <w:spacing w:val="0"/>
                      <w:kern w:val="0"/>
                      <w:sz w:val="21"/>
                      <w:szCs w:val="21"/>
                      <w:highlight w:val="none"/>
                      <w:lang w:val="en-US" w:eastAsia="zh-CN" w:bidi="ar-SA"/>
                    </w:rPr>
                  </w:pPr>
                  <w:r>
                    <w:rPr>
                      <w:rFonts w:hint="default" w:ascii="Times New Roman" w:hAnsi="Times New Roman" w:cs="Times New Roman"/>
                      <w:bCs/>
                      <w:snapToGrid w:val="0"/>
                      <w:color w:val="000000"/>
                      <w:spacing w:val="0"/>
                      <w:kern w:val="0"/>
                      <w:sz w:val="21"/>
                      <w:szCs w:val="21"/>
                      <w:highlight w:val="none"/>
                      <w:lang w:val="en-US" w:eastAsia="zh-CN" w:bidi="ar-SA"/>
                    </w:rPr>
                    <w:t>/</w:t>
                  </w:r>
                </w:p>
              </w:tc>
              <w:tc>
                <w:tcPr>
                  <w:tcW w:w="822" w:type="pct"/>
                  <w:tcBorders>
                    <w:tl2br w:val="nil"/>
                    <w:tr2bl w:val="nil"/>
                  </w:tcBorders>
                  <w:noWrap w:val="0"/>
                  <w:vAlign w:val="center"/>
                </w:tcPr>
                <w:p w14:paraId="2E6F1FD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textAlignment w:val="auto"/>
                    <w:rPr>
                      <w:rFonts w:hint="default" w:ascii="Times New Roman" w:hAnsi="Times New Roman" w:cs="Times New Roman"/>
                      <w:b/>
                      <w:bCs w:val="0"/>
                      <w:color w:val="000000"/>
                      <w:spacing w:val="0"/>
                      <w:sz w:val="21"/>
                      <w:szCs w:val="21"/>
                      <w:highlight w:val="none"/>
                      <w:lang w:val="en-US" w:eastAsia="zh-CN"/>
                    </w:rPr>
                  </w:pPr>
                  <w:r>
                    <w:rPr>
                      <w:rFonts w:hint="default" w:ascii="Times New Roman" w:hAnsi="Times New Roman" w:cs="Times New Roman"/>
                      <w:b/>
                      <w:bCs w:val="0"/>
                      <w:color w:val="000000"/>
                      <w:spacing w:val="0"/>
                      <w:sz w:val="21"/>
                      <w:szCs w:val="21"/>
                      <w:highlight w:val="none"/>
                      <w:lang w:val="en-US" w:eastAsia="zh-CN"/>
                    </w:rPr>
                    <w:t>浓度≤</w:t>
                  </w:r>
                  <w:r>
                    <w:rPr>
                      <w:rFonts w:hint="eastAsia" w:cs="Times New Roman"/>
                      <w:b/>
                      <w:bCs w:val="0"/>
                      <w:color w:val="000000"/>
                      <w:spacing w:val="0"/>
                      <w:kern w:val="2"/>
                      <w:sz w:val="21"/>
                      <w:szCs w:val="21"/>
                      <w:highlight w:val="none"/>
                      <w:lang w:val="en-US" w:eastAsia="zh-CN" w:bidi="ar-SA"/>
                    </w:rPr>
                    <w:t>4</w:t>
                  </w:r>
                  <w:r>
                    <w:rPr>
                      <w:rFonts w:hint="default" w:ascii="Times New Roman" w:hAnsi="Times New Roman" w:cs="Times New Roman"/>
                      <w:b/>
                      <w:bCs w:val="0"/>
                      <w:color w:val="000000"/>
                      <w:spacing w:val="0"/>
                      <w:kern w:val="2"/>
                      <w:sz w:val="21"/>
                      <w:szCs w:val="21"/>
                      <w:highlight w:val="none"/>
                      <w:lang w:val="en-US" w:eastAsia="zh-CN" w:bidi="ar-SA"/>
                    </w:rPr>
                    <w:t>.</w:t>
                  </w:r>
                  <w:r>
                    <w:rPr>
                      <w:rFonts w:hint="eastAsia" w:cs="Times New Roman"/>
                      <w:b/>
                      <w:bCs w:val="0"/>
                      <w:color w:val="000000"/>
                      <w:spacing w:val="0"/>
                      <w:kern w:val="2"/>
                      <w:sz w:val="21"/>
                      <w:szCs w:val="21"/>
                      <w:highlight w:val="none"/>
                      <w:lang w:val="en-US" w:eastAsia="zh-CN" w:bidi="ar-SA"/>
                    </w:rPr>
                    <w:t>0</w:t>
                  </w:r>
                  <w:r>
                    <w:rPr>
                      <w:rFonts w:hint="default" w:ascii="Times New Roman" w:hAnsi="Times New Roman" w:cs="Times New Roman"/>
                      <w:b/>
                      <w:bCs w:val="0"/>
                      <w:color w:val="000000"/>
                      <w:spacing w:val="0"/>
                      <w:sz w:val="21"/>
                      <w:szCs w:val="21"/>
                      <w:highlight w:val="none"/>
                    </w:rPr>
                    <w:t>mg/m</w:t>
                  </w:r>
                  <w:r>
                    <w:rPr>
                      <w:rFonts w:hint="default" w:ascii="Times New Roman" w:hAnsi="Times New Roman" w:cs="Times New Roman"/>
                      <w:b/>
                      <w:bCs w:val="0"/>
                      <w:color w:val="000000"/>
                      <w:spacing w:val="0"/>
                      <w:sz w:val="21"/>
                      <w:szCs w:val="21"/>
                      <w:highlight w:val="none"/>
                      <w:vertAlign w:val="superscript"/>
                    </w:rPr>
                    <w:t>3</w:t>
                  </w:r>
                </w:p>
              </w:tc>
            </w:tr>
            <w:tr w14:paraId="2CCE7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 w:hRule="atLeast"/>
                <w:jc w:val="center"/>
              </w:trPr>
              <w:tc>
                <w:tcPr>
                  <w:tcW w:w="5000" w:type="pct"/>
                  <w:gridSpan w:val="9"/>
                  <w:tcBorders>
                    <w:tl2br w:val="nil"/>
                    <w:tr2bl w:val="nil"/>
                  </w:tcBorders>
                  <w:noWrap w:val="0"/>
                  <w:vAlign w:val="center"/>
                </w:tcPr>
                <w:p w14:paraId="7EDFD20E">
                  <w:pPr>
                    <w:pStyle w:val="236"/>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right="0" w:firstLine="420" w:firstLineChars="200"/>
                    <w:jc w:val="both"/>
                    <w:textAlignment w:val="auto"/>
                    <w:rPr>
                      <w:rFonts w:hint="default" w:ascii="Times New Roman" w:hAnsi="Times New Roman" w:cs="Times New Roman"/>
                      <w:b/>
                      <w:bCs w:val="0"/>
                      <w:color w:val="000000"/>
                      <w:spacing w:val="0"/>
                      <w:sz w:val="21"/>
                      <w:szCs w:val="21"/>
                      <w:highlight w:val="none"/>
                      <w:lang w:val="en-US" w:eastAsia="zh-CN"/>
                    </w:rPr>
                  </w:pPr>
                  <w:r>
                    <w:rPr>
                      <w:rFonts w:hint="eastAsia" w:cs="Times New Roman"/>
                      <w:b/>
                      <w:bCs w:val="0"/>
                      <w:color w:val="000000"/>
                      <w:spacing w:val="0"/>
                      <w:sz w:val="21"/>
                      <w:szCs w:val="21"/>
                      <w:highlight w:val="none"/>
                      <w:lang w:val="en-US" w:eastAsia="zh-CN"/>
                    </w:rPr>
                    <w:t>由于厂区内办公楼总高为20m，根据</w:t>
                  </w:r>
                  <w:r>
                    <w:rPr>
                      <w:rFonts w:hint="default" w:ascii="Times New Roman" w:hAnsi="Times New Roman" w:cs="Times New Roman"/>
                      <w:b/>
                      <w:bCs w:val="0"/>
                      <w:color w:val="000000"/>
                      <w:spacing w:val="0"/>
                      <w:sz w:val="21"/>
                      <w:szCs w:val="21"/>
                      <w:highlight w:val="none"/>
                      <w:lang w:eastAsia="zh-CN"/>
                    </w:rPr>
                    <w:t>《大气污染物综合排放标准》（</w:t>
                  </w:r>
                  <w:r>
                    <w:rPr>
                      <w:rFonts w:hint="default" w:ascii="Times New Roman" w:hAnsi="Times New Roman" w:cs="Times New Roman"/>
                      <w:b/>
                      <w:bCs w:val="0"/>
                      <w:color w:val="000000"/>
                      <w:spacing w:val="0"/>
                      <w:sz w:val="21"/>
                      <w:szCs w:val="21"/>
                      <w:highlight w:val="none"/>
                      <w:lang w:val="en-US" w:eastAsia="zh-CN"/>
                    </w:rPr>
                    <w:t>GB16297-1996</w:t>
                  </w:r>
                  <w:r>
                    <w:rPr>
                      <w:rFonts w:hint="default" w:ascii="Times New Roman" w:hAnsi="Times New Roman" w:cs="Times New Roman"/>
                      <w:b/>
                      <w:bCs w:val="0"/>
                      <w:color w:val="000000"/>
                      <w:spacing w:val="0"/>
                      <w:sz w:val="21"/>
                      <w:szCs w:val="21"/>
                      <w:highlight w:val="none"/>
                      <w:lang w:eastAsia="zh-CN"/>
                    </w:rPr>
                    <w:t>）</w:t>
                  </w:r>
                  <w:r>
                    <w:rPr>
                      <w:rFonts w:hint="eastAsia" w:ascii="Times New Roman" w:hAnsi="Times New Roman" w:cs="Times New Roman"/>
                      <w:b/>
                      <w:bCs w:val="0"/>
                      <w:color w:val="000000"/>
                      <w:spacing w:val="0"/>
                      <w:sz w:val="21"/>
                      <w:szCs w:val="21"/>
                      <w:highlight w:val="none"/>
                      <w:lang w:eastAsia="zh-CN"/>
                    </w:rPr>
                    <w:t>：</w:t>
                  </w:r>
                  <w:r>
                    <w:rPr>
                      <w:rFonts w:hint="default" w:ascii="Times New Roman" w:hAnsi="Times New Roman" w:cs="Times New Roman"/>
                      <w:b/>
                      <w:bCs w:val="0"/>
                      <w:color w:val="000000"/>
                      <w:spacing w:val="0"/>
                      <w:sz w:val="21"/>
                      <w:szCs w:val="21"/>
                      <w:highlight w:val="none"/>
                      <w:lang w:val="en-US" w:eastAsia="zh-CN"/>
                    </w:rPr>
                    <w:t>7.1排气筒高度除须遵守表列排放速率标准值外,还应高出周围200m半径范围的建筑5m以上，不能达到该要求的排气筒,应按其高度对应的表列排放速率标准值严格50%执行</w:t>
                  </w:r>
                  <w:r>
                    <w:rPr>
                      <w:rFonts w:hint="eastAsia" w:cs="Times New Roman"/>
                      <w:b/>
                      <w:bCs w:val="0"/>
                      <w:color w:val="000000"/>
                      <w:spacing w:val="0"/>
                      <w:sz w:val="21"/>
                      <w:szCs w:val="21"/>
                      <w:highlight w:val="none"/>
                      <w:lang w:val="en-US" w:eastAsia="zh-CN"/>
                    </w:rPr>
                    <w:t>。本项目设置排气筒高度为25m高。甲醛、酚类排放速率按内插法计算。</w:t>
                  </w:r>
                </w:p>
              </w:tc>
            </w:tr>
          </w:tbl>
          <w:p w14:paraId="4848FBBA">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hint="default" w:ascii="Times New Roman" w:hAnsi="Times New Roman" w:cs="Times New Roman"/>
                <w:smallCaps w:val="0"/>
                <w:color w:val="auto"/>
                <w:spacing w:val="0"/>
                <w:highlight w:val="none"/>
              </w:rPr>
            </w:pPr>
          </w:p>
        </w:tc>
      </w:tr>
    </w:tbl>
    <w:p w14:paraId="1C2B4A57">
      <w:pPr>
        <w:sectPr>
          <w:pgSz w:w="16840" w:h="11907" w:orient="landscape"/>
          <w:pgMar w:top="1800" w:right="1440" w:bottom="1800" w:left="1440" w:header="851" w:footer="992" w:gutter="0"/>
          <w:cols w:space="720" w:num="1"/>
          <w:docGrid w:type="linesAndChars" w:linePitch="319" w:charSpace="0"/>
        </w:sectPr>
      </w:pPr>
    </w:p>
    <w:p w14:paraId="7027E837">
      <w:pPr>
        <w:pStyle w:val="5"/>
        <w:ind w:left="0" w:leftChars="0" w:firstLine="0" w:firstLineChars="0"/>
      </w:pPr>
    </w:p>
    <w:tbl>
      <w:tblPr>
        <w:tblStyle w:val="47"/>
        <w:tblW w:w="519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67"/>
        <w:gridCol w:w="4"/>
        <w:gridCol w:w="8295"/>
      </w:tblGrid>
      <w:tr w14:paraId="0C33D3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269" w:type="pct"/>
            <w:gridSpan w:val="2"/>
            <w:tcMar>
              <w:left w:w="28" w:type="dxa"/>
              <w:right w:w="28" w:type="dxa"/>
            </w:tcMar>
            <w:vAlign w:val="center"/>
          </w:tcPr>
          <w:p w14:paraId="6BA1EFB8">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污染</w:t>
            </w:r>
          </w:p>
          <w:p w14:paraId="56F65C57">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物排</w:t>
            </w:r>
          </w:p>
          <w:p w14:paraId="4F808660">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放控</w:t>
            </w:r>
          </w:p>
          <w:p w14:paraId="0126E2A5">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制标</w:t>
            </w:r>
          </w:p>
          <w:p w14:paraId="7346ACB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准</w:t>
            </w:r>
          </w:p>
        </w:tc>
        <w:tc>
          <w:tcPr>
            <w:tcW w:w="4730" w:type="pct"/>
            <w:vAlign w:val="center"/>
          </w:tcPr>
          <w:p w14:paraId="71D8C489">
            <w:pPr>
              <w:pStyle w:val="21"/>
              <w:keepNext w:val="0"/>
              <w:keepLines w:val="0"/>
              <w:suppressLineNumbers w:val="0"/>
              <w:spacing w:before="0" w:beforeAutospacing="0" w:after="0" w:afterAutospacing="0"/>
              <w:ind w:left="0" w:right="0"/>
              <w:rPr>
                <w:rFonts w:hint="eastAsia"/>
                <w:szCs w:val="20"/>
                <w:highlight w:val="none"/>
                <w:lang w:val="en-US" w:eastAsia="zh-CN"/>
              </w:rPr>
            </w:pPr>
          </w:p>
          <w:p w14:paraId="3A78A35E">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3、</w:t>
            </w:r>
            <w:r>
              <w:rPr>
                <w:rFonts w:hint="default" w:ascii="Times New Roman" w:hAnsi="Times New Roman" w:cs="Times New Roman"/>
                <w:b/>
                <w:smallCaps w:val="0"/>
                <w:color w:val="auto"/>
                <w:spacing w:val="0"/>
                <w:highlight w:val="none"/>
              </w:rPr>
              <w:t>固体废物排放标准</w:t>
            </w:r>
          </w:p>
          <w:p w14:paraId="5BD199A1">
            <w:pPr>
              <w:pStyle w:val="171"/>
              <w:keepNext w:val="0"/>
              <w:keepLines w:val="0"/>
              <w:suppressLineNumbers w:val="0"/>
              <w:spacing w:before="0" w:beforeAutospacing="0" w:after="0" w:afterAutospacing="0"/>
              <w:ind w:left="0" w:right="0" w:firstLine="480"/>
              <w:rPr>
                <w:rFonts w:hint="eastAsia"/>
                <w:color w:val="000000"/>
                <w:sz w:val="24"/>
                <w:szCs w:val="24"/>
                <w:highlight w:val="none"/>
                <w:lang w:eastAsia="zh-CN"/>
              </w:rPr>
            </w:pPr>
            <w:r>
              <w:rPr>
                <w:rFonts w:hint="eastAsia"/>
                <w:color w:val="000000"/>
                <w:sz w:val="24"/>
                <w:szCs w:val="24"/>
                <w:highlight w:val="none"/>
                <w:lang w:val="en-US" w:eastAsia="zh-CN"/>
              </w:rPr>
              <w:t>危险废物不在厂区内贮存，即产即清；</w:t>
            </w:r>
            <w:r>
              <w:rPr>
                <w:rFonts w:hint="default"/>
                <w:color w:val="000000"/>
                <w:sz w:val="24"/>
                <w:szCs w:val="24"/>
                <w:highlight w:val="none"/>
              </w:rPr>
              <w:t>一般固体废物执行《</w:t>
            </w:r>
            <w:r>
              <w:rPr>
                <w:rFonts w:hint="eastAsia"/>
                <w:color w:val="000000"/>
                <w:sz w:val="24"/>
                <w:szCs w:val="24"/>
                <w:highlight w:val="none"/>
              </w:rPr>
              <w:t>一般工业固体废物贮存和填埋污染控制标准</w:t>
            </w:r>
            <w:r>
              <w:rPr>
                <w:rFonts w:hint="default"/>
                <w:color w:val="000000"/>
                <w:sz w:val="24"/>
                <w:szCs w:val="24"/>
                <w:highlight w:val="none"/>
              </w:rPr>
              <w:t>》（GB18599-2020）</w:t>
            </w:r>
            <w:r>
              <w:rPr>
                <w:rFonts w:hint="eastAsia"/>
                <w:color w:val="000000"/>
                <w:sz w:val="24"/>
                <w:szCs w:val="24"/>
                <w:highlight w:val="none"/>
                <w:lang w:val="en-US" w:eastAsia="zh-CN"/>
              </w:rPr>
              <w:t>中相关规定</w:t>
            </w:r>
            <w:r>
              <w:rPr>
                <w:rFonts w:hint="default"/>
                <w:color w:val="000000"/>
                <w:sz w:val="24"/>
                <w:szCs w:val="24"/>
                <w:highlight w:val="none"/>
              </w:rPr>
              <w:t>；生活垃圾参照《中华人民共和国固体废物污染环境防治法》（20</w:t>
            </w:r>
            <w:r>
              <w:rPr>
                <w:rFonts w:hint="eastAsia"/>
                <w:color w:val="000000"/>
                <w:sz w:val="24"/>
                <w:szCs w:val="24"/>
                <w:highlight w:val="none"/>
              </w:rPr>
              <w:t>20</w:t>
            </w:r>
            <w:r>
              <w:rPr>
                <w:rFonts w:hint="default"/>
                <w:color w:val="000000"/>
                <w:sz w:val="24"/>
                <w:szCs w:val="24"/>
                <w:highlight w:val="none"/>
              </w:rPr>
              <w:t>年修</w:t>
            </w:r>
            <w:r>
              <w:rPr>
                <w:rFonts w:hint="eastAsia"/>
                <w:highlight w:val="none"/>
                <w:lang w:val="en-US" w:eastAsia="zh-CN"/>
              </w:rPr>
              <w:t>订</w:t>
            </w:r>
            <w:r>
              <w:rPr>
                <w:rFonts w:hint="default"/>
                <w:color w:val="000000"/>
                <w:sz w:val="24"/>
                <w:szCs w:val="24"/>
                <w:highlight w:val="none"/>
              </w:rPr>
              <w:t>）中第</w:t>
            </w:r>
            <w:r>
              <w:rPr>
                <w:rFonts w:hint="eastAsia"/>
                <w:color w:val="000000"/>
                <w:sz w:val="24"/>
                <w:szCs w:val="24"/>
                <w:highlight w:val="none"/>
              </w:rPr>
              <w:t>四章</w:t>
            </w:r>
            <w:r>
              <w:rPr>
                <w:rFonts w:hint="default"/>
                <w:color w:val="000000"/>
                <w:sz w:val="24"/>
                <w:szCs w:val="24"/>
                <w:highlight w:val="none"/>
              </w:rPr>
              <w:t>生活垃圾污染环境的防治有关要求</w:t>
            </w:r>
            <w:r>
              <w:rPr>
                <w:rFonts w:hint="eastAsia"/>
                <w:color w:val="000000"/>
                <w:sz w:val="24"/>
                <w:szCs w:val="24"/>
                <w:highlight w:val="none"/>
                <w:lang w:eastAsia="zh-CN"/>
              </w:rPr>
              <w:t>。</w:t>
            </w:r>
          </w:p>
          <w:p w14:paraId="5696DD82">
            <w:pPr>
              <w:pStyle w:val="21"/>
              <w:keepNext w:val="0"/>
              <w:keepLines w:val="0"/>
              <w:suppressLineNumbers w:val="0"/>
              <w:spacing w:before="0" w:beforeAutospacing="0" w:after="0" w:afterAutospacing="0"/>
              <w:ind w:left="0" w:right="0"/>
              <w:rPr>
                <w:rFonts w:hint="eastAsia"/>
                <w:color w:val="000000"/>
                <w:sz w:val="24"/>
                <w:szCs w:val="24"/>
                <w:highlight w:val="none"/>
                <w:lang w:eastAsia="zh-CN"/>
              </w:rPr>
            </w:pPr>
          </w:p>
          <w:p w14:paraId="7031595F">
            <w:pPr>
              <w:keepNext w:val="0"/>
              <w:keepLines w:val="0"/>
              <w:suppressLineNumbers w:val="0"/>
              <w:spacing w:before="0" w:beforeAutospacing="0" w:after="0" w:afterAutospacing="0"/>
              <w:ind w:left="0" w:right="0"/>
              <w:rPr>
                <w:rFonts w:hint="eastAsia"/>
                <w:szCs w:val="20"/>
                <w:highlight w:val="none"/>
                <w:lang w:val="en-US" w:eastAsia="zh-CN"/>
              </w:rPr>
            </w:pPr>
          </w:p>
        </w:tc>
      </w:tr>
      <w:tr w14:paraId="600D3A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2" w:hRule="atLeast"/>
          <w:jc w:val="center"/>
        </w:trPr>
        <w:tc>
          <w:tcPr>
            <w:tcW w:w="267" w:type="pct"/>
            <w:vAlign w:val="center"/>
          </w:tcPr>
          <w:p w14:paraId="30162143">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总量</w:t>
            </w:r>
          </w:p>
          <w:p w14:paraId="0C41E53A">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 w:val="24"/>
                <w:szCs w:val="21"/>
                <w:highlight w:val="none"/>
              </w:rPr>
            </w:pPr>
            <w:r>
              <w:rPr>
                <w:rFonts w:hint="default" w:ascii="Times New Roman" w:hAnsi="Times New Roman" w:cs="Times New Roman"/>
                <w:smallCaps w:val="0"/>
                <w:color w:val="auto"/>
                <w:spacing w:val="0"/>
                <w:kern w:val="0"/>
                <w:sz w:val="24"/>
                <w:szCs w:val="21"/>
                <w:highlight w:val="none"/>
              </w:rPr>
              <w:t>控制</w:t>
            </w:r>
          </w:p>
          <w:p w14:paraId="0E4A61BE">
            <w:pPr>
              <w:keepNext w:val="0"/>
              <w:keepLines w:val="0"/>
              <w:suppressLineNumbers w:val="0"/>
              <w:adjustRightInd w:val="0"/>
              <w:snapToGrid w:val="0"/>
              <w:spacing w:before="0" w:beforeAutospacing="0" w:after="0" w:afterAutospacing="0"/>
              <w:ind w:left="0" w:right="0"/>
              <w:jc w:val="center"/>
              <w:rPr>
                <w:rFonts w:hint="default" w:ascii="Times New Roman" w:hAnsi="Times New Roman" w:cs="Times New Roman"/>
                <w:smallCaps w:val="0"/>
                <w:color w:val="auto"/>
                <w:spacing w:val="0"/>
                <w:kern w:val="0"/>
                <w:szCs w:val="21"/>
                <w:highlight w:val="none"/>
              </w:rPr>
            </w:pPr>
            <w:r>
              <w:rPr>
                <w:rFonts w:hint="default" w:ascii="Times New Roman" w:hAnsi="Times New Roman" w:cs="Times New Roman"/>
                <w:smallCaps w:val="0"/>
                <w:color w:val="auto"/>
                <w:spacing w:val="0"/>
                <w:kern w:val="0"/>
                <w:sz w:val="24"/>
                <w:szCs w:val="21"/>
                <w:highlight w:val="none"/>
              </w:rPr>
              <w:t>指标</w:t>
            </w:r>
          </w:p>
        </w:tc>
        <w:tc>
          <w:tcPr>
            <w:tcW w:w="4732" w:type="pct"/>
            <w:gridSpan w:val="2"/>
            <w:vAlign w:val="center"/>
          </w:tcPr>
          <w:p w14:paraId="661A3BC4">
            <w:pPr>
              <w:pStyle w:val="5"/>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eastAsia="宋体" w:cs="Times New Roman"/>
                <w:b w:val="0"/>
                <w:bCs w:val="0"/>
                <w:color w:val="auto"/>
                <w:sz w:val="24"/>
                <w:szCs w:val="20"/>
                <w:highlight w:val="none"/>
              </w:rPr>
            </w:pPr>
          </w:p>
          <w:p w14:paraId="568082CA">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1DFFF1B3">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61F46E25">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7AA3B384">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46DE00FE">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5380E30F">
            <w:pPr>
              <w:pStyle w:val="6"/>
              <w:keepNext w:val="0"/>
              <w:keepLines w:val="0"/>
              <w:suppressLineNumbers w:val="0"/>
              <w:spacing w:before="0" w:beforeAutospacing="0" w:after="0" w:afterAutospacing="0"/>
              <w:ind w:left="0" w:right="0"/>
              <w:rPr>
                <w:rFonts w:hint="default" w:ascii="Times New Roman" w:hAnsi="Times New Roman" w:eastAsia="宋体" w:cs="Times New Roman"/>
                <w:b w:val="0"/>
                <w:bCs w:val="0"/>
                <w:color w:val="auto"/>
                <w:sz w:val="24"/>
                <w:szCs w:val="20"/>
                <w:highlight w:val="none"/>
              </w:rPr>
            </w:pPr>
          </w:p>
          <w:p w14:paraId="6261B268">
            <w:pPr>
              <w:pStyle w:val="5"/>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eastAsia="宋体" w:cs="Times New Roman"/>
                <w:b w:val="0"/>
                <w:bCs w:val="0"/>
                <w:color w:val="auto"/>
                <w:sz w:val="24"/>
                <w:szCs w:val="20"/>
                <w:highlight w:val="none"/>
              </w:rPr>
            </w:pPr>
            <w:r>
              <w:rPr>
                <w:rFonts w:hint="default" w:ascii="Times New Roman" w:hAnsi="Times New Roman" w:eastAsia="宋体" w:cs="Times New Roman"/>
                <w:b w:val="0"/>
                <w:bCs w:val="0"/>
                <w:color w:val="auto"/>
                <w:sz w:val="24"/>
                <w:szCs w:val="20"/>
                <w:highlight w:val="none"/>
              </w:rPr>
              <w:t>根据“十</w:t>
            </w:r>
            <w:r>
              <w:rPr>
                <w:rFonts w:hint="default" w:ascii="Times New Roman" w:hAnsi="Times New Roman" w:eastAsia="宋体" w:cs="Times New Roman"/>
                <w:b w:val="0"/>
                <w:bCs w:val="0"/>
                <w:color w:val="auto"/>
                <w:sz w:val="24"/>
                <w:szCs w:val="20"/>
                <w:highlight w:val="none"/>
                <w:lang w:val="en-US" w:eastAsia="zh-CN"/>
              </w:rPr>
              <w:t>四</w:t>
            </w:r>
            <w:r>
              <w:rPr>
                <w:rFonts w:hint="default" w:ascii="Times New Roman" w:hAnsi="Times New Roman" w:eastAsia="宋体" w:cs="Times New Roman"/>
                <w:b w:val="0"/>
                <w:bCs w:val="0"/>
                <w:color w:val="auto"/>
                <w:sz w:val="24"/>
                <w:szCs w:val="20"/>
                <w:highlight w:val="none"/>
              </w:rPr>
              <w:t>五”期间污染物排放总量控制目标，主要废气污染物控制因子为SO</w:t>
            </w:r>
            <w:r>
              <w:rPr>
                <w:rFonts w:hint="default" w:ascii="Times New Roman" w:hAnsi="Times New Roman" w:eastAsia="宋体" w:cs="Times New Roman"/>
                <w:b w:val="0"/>
                <w:bCs w:val="0"/>
                <w:color w:val="auto"/>
                <w:sz w:val="24"/>
                <w:szCs w:val="20"/>
                <w:highlight w:val="none"/>
                <w:vertAlign w:val="subscript"/>
              </w:rPr>
              <w:t>2</w:t>
            </w:r>
            <w:r>
              <w:rPr>
                <w:rFonts w:hint="default" w:ascii="Times New Roman" w:hAnsi="Times New Roman" w:eastAsia="宋体" w:cs="Times New Roman"/>
                <w:b w:val="0"/>
                <w:bCs w:val="0"/>
                <w:color w:val="auto"/>
                <w:sz w:val="24"/>
                <w:szCs w:val="20"/>
                <w:highlight w:val="none"/>
              </w:rPr>
              <w:t>、NO</w:t>
            </w:r>
            <w:r>
              <w:rPr>
                <w:rFonts w:hint="default" w:ascii="Times New Roman" w:hAnsi="Times New Roman" w:eastAsia="宋体" w:cs="Times New Roman"/>
                <w:b w:val="0"/>
                <w:bCs w:val="0"/>
                <w:color w:val="auto"/>
                <w:sz w:val="24"/>
                <w:szCs w:val="20"/>
                <w:highlight w:val="none"/>
                <w:vertAlign w:val="subscript"/>
              </w:rPr>
              <w:t>X</w:t>
            </w:r>
            <w:r>
              <w:rPr>
                <w:rFonts w:hint="default" w:ascii="Times New Roman" w:hAnsi="Times New Roman" w:eastAsia="宋体" w:cs="Times New Roman"/>
                <w:b w:val="0"/>
                <w:bCs w:val="0"/>
                <w:color w:val="auto"/>
                <w:sz w:val="24"/>
                <w:szCs w:val="20"/>
                <w:highlight w:val="none"/>
              </w:rPr>
              <w:t>，主要废水污染物控制因子为COD、氨氮</w:t>
            </w:r>
            <w:r>
              <w:rPr>
                <w:rFonts w:hint="eastAsia" w:cs="Times New Roman"/>
                <w:b w:val="0"/>
                <w:bCs w:val="0"/>
                <w:color w:val="auto"/>
                <w:sz w:val="24"/>
                <w:szCs w:val="20"/>
                <w:highlight w:val="none"/>
                <w:lang w:eastAsia="zh-CN"/>
              </w:rPr>
              <w:t>，</w:t>
            </w:r>
            <w:r>
              <w:rPr>
                <w:rFonts w:hint="eastAsia" w:ascii="Times New Roman" w:hAnsi="Times New Roman" w:eastAsia="宋体" w:cs="Times New Roman"/>
                <w:b w:val="0"/>
                <w:bCs w:val="0"/>
                <w:color w:val="auto"/>
                <w:sz w:val="24"/>
                <w:szCs w:val="20"/>
                <w:highlight w:val="none"/>
                <w:lang w:val="en-US" w:eastAsia="zh-CN"/>
              </w:rPr>
              <w:t>特征因子为颗粒物、非甲烷总烃。</w:t>
            </w:r>
          </w:p>
          <w:p w14:paraId="1C3963BE">
            <w:pPr>
              <w:pStyle w:val="5"/>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eastAsia="宋体" w:cs="Times New Roman"/>
                <w:b w:val="0"/>
                <w:bCs w:val="0"/>
                <w:color w:val="auto"/>
                <w:sz w:val="24"/>
                <w:szCs w:val="20"/>
                <w:highlight w:val="none"/>
              </w:rPr>
            </w:pPr>
            <w:r>
              <w:rPr>
                <w:rFonts w:hint="default" w:ascii="Times New Roman" w:hAnsi="Times New Roman" w:eastAsia="宋体" w:cs="Times New Roman"/>
                <w:b w:val="0"/>
                <w:bCs w:val="0"/>
                <w:color w:val="auto"/>
                <w:sz w:val="24"/>
                <w:szCs w:val="20"/>
                <w:highlight w:val="none"/>
              </w:rPr>
              <w:t>（1）大气污染物总量指标核定</w:t>
            </w:r>
          </w:p>
          <w:p w14:paraId="7C7FE78C">
            <w:pPr>
              <w:pStyle w:val="5"/>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eastAsia" w:ascii="Times New Roman" w:hAnsi="Times New Roman" w:eastAsia="宋体" w:cs="Times New Roman"/>
                <w:b w:val="0"/>
                <w:bCs w:val="0"/>
                <w:color w:val="auto"/>
                <w:sz w:val="24"/>
                <w:szCs w:val="24"/>
                <w:highlight w:val="none"/>
                <w:lang w:eastAsia="zh-CN"/>
              </w:rPr>
            </w:pPr>
            <w:r>
              <w:rPr>
                <w:rFonts w:hint="eastAsia" w:ascii="Times New Roman" w:hAnsi="Times New Roman" w:eastAsia="宋体" w:cs="Times New Roman"/>
                <w:b w:val="0"/>
                <w:bCs w:val="0"/>
                <w:color w:val="auto"/>
                <w:sz w:val="24"/>
                <w:szCs w:val="20"/>
                <w:highlight w:val="none"/>
                <w:lang w:val="en-US" w:eastAsia="zh-CN"/>
              </w:rPr>
              <w:t>本项目</w:t>
            </w:r>
            <w:r>
              <w:rPr>
                <w:rFonts w:hint="default" w:ascii="Times New Roman" w:hAnsi="Times New Roman" w:eastAsia="宋体" w:cs="Times New Roman"/>
                <w:b w:val="0"/>
                <w:bCs w:val="0"/>
                <w:color w:val="auto"/>
                <w:sz w:val="24"/>
                <w:szCs w:val="20"/>
                <w:highlight w:val="none"/>
                <w:lang w:val="en-US" w:eastAsia="zh-CN"/>
              </w:rPr>
              <w:t>不涉及SO</w:t>
            </w:r>
            <w:r>
              <w:rPr>
                <w:rFonts w:hint="default" w:ascii="Times New Roman" w:hAnsi="Times New Roman" w:eastAsia="宋体" w:cs="Times New Roman"/>
                <w:b w:val="0"/>
                <w:bCs w:val="0"/>
                <w:color w:val="auto"/>
                <w:sz w:val="24"/>
                <w:szCs w:val="20"/>
                <w:highlight w:val="none"/>
                <w:vertAlign w:val="subscript"/>
                <w:lang w:val="en-US" w:eastAsia="zh-CN"/>
              </w:rPr>
              <w:t>2</w:t>
            </w:r>
            <w:r>
              <w:rPr>
                <w:rFonts w:hint="default" w:ascii="Times New Roman" w:hAnsi="Times New Roman" w:eastAsia="宋体" w:cs="Times New Roman"/>
                <w:b w:val="0"/>
                <w:bCs w:val="0"/>
                <w:color w:val="auto"/>
                <w:sz w:val="24"/>
                <w:szCs w:val="20"/>
                <w:highlight w:val="none"/>
                <w:lang w:val="en-US" w:eastAsia="zh-CN"/>
              </w:rPr>
              <w:t>和NOx排放</w:t>
            </w:r>
            <w:r>
              <w:rPr>
                <w:rFonts w:hint="eastAsia" w:cs="Times New Roman"/>
                <w:b w:val="0"/>
                <w:bCs w:val="0"/>
                <w:color w:val="auto"/>
                <w:sz w:val="24"/>
                <w:szCs w:val="20"/>
                <w:highlight w:val="none"/>
                <w:lang w:val="en-US" w:eastAsia="zh-CN"/>
              </w:rPr>
              <w:t>，</w:t>
            </w:r>
            <w:r>
              <w:rPr>
                <w:rFonts w:hint="eastAsia" w:ascii="Times New Roman" w:hAnsi="Times New Roman" w:eastAsia="宋体" w:cs="Times New Roman"/>
                <w:b w:val="0"/>
                <w:bCs w:val="0"/>
                <w:color w:val="auto"/>
                <w:sz w:val="24"/>
                <w:szCs w:val="20"/>
                <w:highlight w:val="none"/>
                <w:lang w:val="en-US" w:eastAsia="zh-CN"/>
              </w:rPr>
              <w:t>颗粒物</w:t>
            </w:r>
            <w:r>
              <w:rPr>
                <w:rFonts w:hint="eastAsia" w:cs="Times New Roman"/>
                <w:b w:val="0"/>
                <w:bCs w:val="0"/>
                <w:color w:val="auto"/>
                <w:sz w:val="24"/>
                <w:szCs w:val="20"/>
                <w:highlight w:val="none"/>
                <w:lang w:val="en-US" w:eastAsia="zh-CN"/>
              </w:rPr>
              <w:t>、非甲烷总烃</w:t>
            </w:r>
            <w:r>
              <w:rPr>
                <w:rFonts w:hint="eastAsia" w:ascii="Times New Roman" w:hAnsi="Times New Roman" w:eastAsia="宋体" w:cs="Times New Roman"/>
                <w:b w:val="0"/>
                <w:bCs w:val="0"/>
                <w:color w:val="auto"/>
                <w:sz w:val="24"/>
                <w:szCs w:val="20"/>
                <w:highlight w:val="none"/>
                <w:lang w:val="en-US" w:eastAsia="zh-CN"/>
              </w:rPr>
              <w:t>总量控制指标</w:t>
            </w:r>
            <w:r>
              <w:rPr>
                <w:rFonts w:hint="eastAsia" w:cs="Times New Roman"/>
                <w:b w:val="0"/>
                <w:bCs w:val="0"/>
                <w:color w:val="auto"/>
                <w:sz w:val="24"/>
                <w:szCs w:val="20"/>
                <w:highlight w:val="none"/>
                <w:lang w:val="en-US" w:eastAsia="zh-CN"/>
              </w:rPr>
              <w:t>根据第四章</w:t>
            </w:r>
            <w:r>
              <w:rPr>
                <w:rFonts w:hint="eastAsia" w:ascii="Times New Roman" w:hAnsi="Times New Roman" w:cs="Times New Roman"/>
                <w:b w:val="0"/>
                <w:bCs w:val="0"/>
                <w:color w:val="auto"/>
                <w:sz w:val="24"/>
                <w:szCs w:val="24"/>
                <w:highlight w:val="none"/>
                <w:lang w:val="en-US" w:eastAsia="zh-CN"/>
              </w:rPr>
              <w:t>源强核算内容</w:t>
            </w:r>
            <w:r>
              <w:rPr>
                <w:rFonts w:hint="eastAsia" w:cs="Times New Roman"/>
                <w:b w:val="0"/>
                <w:bCs w:val="0"/>
                <w:color w:val="auto"/>
                <w:sz w:val="24"/>
                <w:szCs w:val="20"/>
                <w:highlight w:val="none"/>
                <w:lang w:val="en-US" w:eastAsia="zh-CN"/>
              </w:rPr>
              <w:t>，</w:t>
            </w:r>
            <w:r>
              <w:rPr>
                <w:rFonts w:hint="eastAsia" w:ascii="Times New Roman" w:hAnsi="Times New Roman" w:eastAsia="宋体" w:cs="Times New Roman"/>
                <w:b w:val="0"/>
                <w:bCs w:val="0"/>
                <w:color w:val="auto"/>
                <w:sz w:val="24"/>
                <w:szCs w:val="20"/>
                <w:highlight w:val="none"/>
                <w:lang w:val="en-US" w:eastAsia="zh-CN"/>
              </w:rPr>
              <w:t>参考预测排放量，因此，本项目大气污染物总量控制指标为</w:t>
            </w:r>
            <w:r>
              <w:rPr>
                <w:rFonts w:hint="default"/>
                <w:color w:val="auto"/>
                <w:sz w:val="24"/>
                <w:szCs w:val="24"/>
                <w:highlight w:val="none"/>
              </w:rPr>
              <w:t>SO</w:t>
            </w:r>
            <w:r>
              <w:rPr>
                <w:rFonts w:hint="default"/>
                <w:color w:val="auto"/>
                <w:sz w:val="24"/>
                <w:szCs w:val="24"/>
                <w:highlight w:val="none"/>
                <w:vertAlign w:val="subscript"/>
              </w:rPr>
              <w:t>2</w:t>
            </w:r>
            <w:r>
              <w:rPr>
                <w:rFonts w:hint="default" w:ascii="Times New Roman" w:hAnsi="Times New Roman" w:cs="Times New Roman"/>
                <w:color w:val="auto"/>
                <w:sz w:val="24"/>
                <w:szCs w:val="20"/>
                <w:highlight w:val="none"/>
                <w:lang w:eastAsia="zh-CN"/>
              </w:rPr>
              <w:t>：</w:t>
            </w:r>
            <w:r>
              <w:rPr>
                <w:rFonts w:hint="eastAsia" w:ascii="Times New Roman" w:hAnsi="Times New Roman" w:eastAsia="宋体" w:cs="Times New Roman"/>
                <w:color w:val="auto"/>
                <w:sz w:val="24"/>
                <w:szCs w:val="20"/>
                <w:highlight w:val="none"/>
                <w:lang w:val="en-US" w:eastAsia="zh-CN"/>
              </w:rPr>
              <w:t>0</w:t>
            </w:r>
            <w:r>
              <w:rPr>
                <w:rFonts w:hint="default"/>
                <w:color w:val="auto"/>
                <w:sz w:val="24"/>
                <w:szCs w:val="24"/>
                <w:highlight w:val="none"/>
              </w:rPr>
              <w:t>t/a</w:t>
            </w:r>
            <w:r>
              <w:rPr>
                <w:rFonts w:hint="eastAsia"/>
                <w:color w:val="auto"/>
                <w:sz w:val="24"/>
                <w:szCs w:val="24"/>
                <w:highlight w:val="none"/>
                <w:lang w:eastAsia="zh-CN"/>
              </w:rPr>
              <w:t>，</w:t>
            </w:r>
            <w:r>
              <w:rPr>
                <w:rFonts w:hint="default"/>
                <w:color w:val="auto"/>
                <w:sz w:val="24"/>
                <w:szCs w:val="24"/>
                <w:highlight w:val="none"/>
              </w:rPr>
              <w:t>NOx</w:t>
            </w:r>
            <w:r>
              <w:rPr>
                <w:rFonts w:hint="default" w:ascii="Times New Roman" w:hAnsi="Times New Roman" w:cs="Times New Roman"/>
                <w:color w:val="auto"/>
                <w:sz w:val="24"/>
                <w:szCs w:val="20"/>
                <w:highlight w:val="none"/>
                <w:lang w:eastAsia="zh-CN"/>
              </w:rPr>
              <w:t>：</w:t>
            </w:r>
            <w:r>
              <w:rPr>
                <w:rFonts w:hint="eastAsia" w:ascii="Times New Roman" w:hAnsi="Times New Roman" w:eastAsia="宋体" w:cs="Times New Roman"/>
                <w:color w:val="auto"/>
                <w:sz w:val="24"/>
                <w:szCs w:val="20"/>
                <w:highlight w:val="none"/>
                <w:lang w:val="en-US" w:eastAsia="zh-CN"/>
              </w:rPr>
              <w:t>0</w:t>
            </w:r>
            <w:r>
              <w:rPr>
                <w:rFonts w:hint="default"/>
                <w:color w:val="auto"/>
                <w:sz w:val="24"/>
                <w:szCs w:val="24"/>
                <w:highlight w:val="none"/>
              </w:rPr>
              <w:t>t/a</w:t>
            </w:r>
            <w:r>
              <w:rPr>
                <w:rFonts w:hint="eastAsia"/>
                <w:color w:val="auto"/>
                <w:sz w:val="24"/>
                <w:szCs w:val="24"/>
                <w:highlight w:val="none"/>
                <w:lang w:eastAsia="zh-CN"/>
              </w:rPr>
              <w:t>，</w:t>
            </w:r>
            <w:r>
              <w:rPr>
                <w:rFonts w:hint="eastAsia"/>
                <w:color w:val="auto"/>
                <w:sz w:val="24"/>
                <w:szCs w:val="24"/>
                <w:highlight w:val="none"/>
              </w:rPr>
              <w:t>颗粒物</w:t>
            </w:r>
            <w:r>
              <w:rPr>
                <w:rFonts w:hint="default" w:ascii="Times New Roman" w:hAnsi="Times New Roman" w:cs="Times New Roman"/>
                <w:color w:val="auto"/>
                <w:sz w:val="24"/>
                <w:szCs w:val="24"/>
                <w:highlight w:val="none"/>
                <w:lang w:eastAsia="zh-CN"/>
              </w:rPr>
              <w:t>：</w:t>
            </w:r>
            <w:r>
              <w:rPr>
                <w:rFonts w:hint="eastAsia" w:ascii="Times New Roman" w:hAnsi="Times New Roman" w:cs="Times New Roman"/>
                <w:color w:val="auto"/>
                <w:kern w:val="0"/>
                <w:sz w:val="24"/>
                <w:szCs w:val="24"/>
                <w:highlight w:val="none"/>
                <w:lang w:val="en-US" w:eastAsia="zh-CN" w:bidi="ar-SA"/>
              </w:rPr>
              <w:t>0.</w:t>
            </w:r>
            <w:r>
              <w:rPr>
                <w:rFonts w:hint="eastAsia" w:cs="Times New Roman"/>
                <w:color w:val="auto"/>
                <w:kern w:val="0"/>
                <w:sz w:val="24"/>
                <w:szCs w:val="24"/>
                <w:highlight w:val="none"/>
                <w:lang w:val="en-US" w:eastAsia="zh-CN" w:bidi="ar-SA"/>
              </w:rPr>
              <w:t>573</w:t>
            </w:r>
            <w:r>
              <w:rPr>
                <w:rFonts w:hint="eastAsia"/>
                <w:color w:val="auto"/>
                <w:sz w:val="24"/>
                <w:szCs w:val="24"/>
                <w:highlight w:val="none"/>
              </w:rPr>
              <w:t>t/a</w:t>
            </w:r>
            <w:r>
              <w:rPr>
                <w:rFonts w:hint="eastAsia" w:ascii="Times New Roman" w:hAnsi="Times New Roman" w:eastAsia="宋体" w:cs="Times New Roman"/>
                <w:b w:val="0"/>
                <w:bCs w:val="0"/>
                <w:color w:val="auto"/>
                <w:sz w:val="24"/>
                <w:szCs w:val="24"/>
                <w:highlight w:val="none"/>
                <w:lang w:eastAsia="zh-CN"/>
              </w:rPr>
              <w:t>，</w:t>
            </w:r>
            <w:r>
              <w:rPr>
                <w:rFonts w:hint="eastAsia" w:ascii="Times New Roman" w:hAnsi="Times New Roman" w:eastAsia="宋体" w:cs="Times New Roman"/>
                <w:b w:val="0"/>
                <w:bCs w:val="0"/>
                <w:color w:val="auto"/>
                <w:sz w:val="24"/>
                <w:szCs w:val="24"/>
                <w:highlight w:val="none"/>
                <w:lang w:val="en-US" w:eastAsia="zh-CN"/>
              </w:rPr>
              <w:t>非甲烷总烃</w:t>
            </w:r>
            <w:r>
              <w:rPr>
                <w:rFonts w:hint="default" w:ascii="Times New Roman" w:hAnsi="Times New Roman" w:cs="Times New Roman"/>
                <w:color w:val="auto"/>
                <w:sz w:val="24"/>
                <w:szCs w:val="24"/>
                <w:highlight w:val="none"/>
                <w:lang w:eastAsia="zh-CN"/>
              </w:rPr>
              <w:t>：</w:t>
            </w:r>
            <w:r>
              <w:rPr>
                <w:rFonts w:hint="eastAsia" w:ascii="Times New Roman" w:hAnsi="Times New Roman" w:cs="Times New Roman"/>
                <w:color w:val="auto"/>
                <w:kern w:val="0"/>
                <w:sz w:val="24"/>
                <w:szCs w:val="24"/>
                <w:highlight w:val="none"/>
                <w:lang w:val="en-US" w:eastAsia="zh-CN" w:bidi="ar-SA"/>
              </w:rPr>
              <w:t>0.1</w:t>
            </w:r>
            <w:r>
              <w:rPr>
                <w:rFonts w:hint="eastAsia" w:cs="Times New Roman"/>
                <w:color w:val="auto"/>
                <w:kern w:val="0"/>
                <w:sz w:val="24"/>
                <w:szCs w:val="24"/>
                <w:highlight w:val="none"/>
                <w:lang w:val="en-US" w:eastAsia="zh-CN" w:bidi="ar-SA"/>
              </w:rPr>
              <w:t>62</w:t>
            </w:r>
            <w:r>
              <w:rPr>
                <w:rFonts w:hint="eastAsia"/>
                <w:color w:val="auto"/>
                <w:sz w:val="24"/>
                <w:szCs w:val="24"/>
                <w:highlight w:val="none"/>
              </w:rPr>
              <w:t>t/a</w:t>
            </w:r>
            <w:r>
              <w:rPr>
                <w:rFonts w:hint="eastAsia" w:ascii="Times New Roman" w:hAnsi="Times New Roman" w:eastAsia="宋体" w:cs="Times New Roman"/>
                <w:b w:val="0"/>
                <w:bCs w:val="0"/>
                <w:color w:val="auto"/>
                <w:sz w:val="24"/>
                <w:szCs w:val="24"/>
                <w:highlight w:val="none"/>
                <w:lang w:eastAsia="zh-CN"/>
              </w:rPr>
              <w:t>。</w:t>
            </w:r>
          </w:p>
          <w:p w14:paraId="7FF41D3A">
            <w:pPr>
              <w:pStyle w:val="5"/>
              <w:keepNext w:val="0"/>
              <w:keepLines w:val="0"/>
              <w:pageBreakBefore w:val="0"/>
              <w:widowControl w:val="0"/>
              <w:numPr>
                <w:ilvl w:val="0"/>
                <w:numId w:val="7"/>
              </w:numPr>
              <w:suppressLineNumbers w:val="0"/>
              <w:kinsoku/>
              <w:wordWrap/>
              <w:overflowPunct/>
              <w:topLinePunct w:val="0"/>
              <w:bidi w:val="0"/>
              <w:spacing w:before="0" w:beforeAutospacing="0" w:after="0" w:afterAutospacing="0" w:line="480" w:lineRule="exact"/>
              <w:ind w:left="0" w:right="0" w:firstLine="480"/>
              <w:textAlignment w:val="auto"/>
              <w:rPr>
                <w:rFonts w:hint="default" w:ascii="Times New Roman" w:hAnsi="Times New Roman" w:eastAsia="宋体" w:cs="Times New Roman"/>
                <w:b w:val="0"/>
                <w:bCs w:val="0"/>
                <w:color w:val="auto"/>
                <w:sz w:val="24"/>
                <w:szCs w:val="20"/>
                <w:highlight w:val="none"/>
              </w:rPr>
            </w:pPr>
            <w:r>
              <w:rPr>
                <w:rFonts w:hint="default" w:ascii="Times New Roman" w:hAnsi="Times New Roman" w:eastAsia="宋体" w:cs="Times New Roman"/>
                <w:b w:val="0"/>
                <w:bCs w:val="0"/>
                <w:color w:val="auto"/>
                <w:sz w:val="24"/>
                <w:szCs w:val="20"/>
                <w:highlight w:val="none"/>
              </w:rPr>
              <w:t>废水污染物总量指标核定</w:t>
            </w:r>
          </w:p>
          <w:p w14:paraId="4852C64A">
            <w:pPr>
              <w:pStyle w:val="5"/>
              <w:keepNext w:val="0"/>
              <w:keepLines w:val="0"/>
              <w:pageBreakBefore w:val="0"/>
              <w:widowControl w:val="0"/>
              <w:numPr>
                <w:ilvl w:val="0"/>
                <w:numId w:val="0"/>
              </w:numPr>
              <w:suppressLineNumbers w:val="0"/>
              <w:kinsoku/>
              <w:wordWrap/>
              <w:overflowPunct/>
              <w:topLinePunct w:val="0"/>
              <w:bidi w:val="0"/>
              <w:spacing w:before="0" w:beforeAutospacing="0" w:after="0" w:afterAutospacing="0" w:line="480" w:lineRule="exact"/>
              <w:ind w:left="0" w:right="0" w:rightChars="0" w:firstLine="480" w:firstLineChars="200"/>
              <w:textAlignment w:val="auto"/>
              <w:rPr>
                <w:rFonts w:hint="eastAsia"/>
                <w:color w:val="auto"/>
                <w:sz w:val="24"/>
                <w:szCs w:val="24"/>
                <w:highlight w:val="none"/>
                <w:lang w:eastAsia="zh-CN"/>
              </w:rPr>
            </w:pPr>
            <w:r>
              <w:rPr>
                <w:rFonts w:hint="eastAsia" w:ascii="Times New Roman" w:hAnsi="Times New Roman" w:cs="Times New Roman"/>
                <w:bCs/>
                <w:color w:val="000000"/>
                <w:sz w:val="24"/>
                <w:szCs w:val="20"/>
                <w:highlight w:val="none"/>
                <w:lang w:val="en-US" w:eastAsia="zh-CN"/>
              </w:rPr>
              <w:t>本项目</w:t>
            </w:r>
            <w:r>
              <w:rPr>
                <w:rFonts w:hint="eastAsia" w:ascii="Times New Roman" w:hAnsi="Times New Roman" w:cs="Times New Roman"/>
                <w:color w:val="000000"/>
                <w:sz w:val="24"/>
                <w:szCs w:val="20"/>
                <w:highlight w:val="none"/>
                <w:lang w:val="en-US" w:eastAsia="zh-CN"/>
              </w:rPr>
              <w:t>中频电炉循环冷却水循环使用不外排</w:t>
            </w:r>
            <w:r>
              <w:rPr>
                <w:rFonts w:hint="eastAsia" w:cs="Times New Roman"/>
                <w:color w:val="000000"/>
                <w:sz w:val="24"/>
                <w:szCs w:val="20"/>
                <w:highlight w:val="none"/>
                <w:lang w:val="en-US" w:eastAsia="zh-CN"/>
              </w:rPr>
              <w:t>，雾炮用水全部消耗</w:t>
            </w:r>
            <w:r>
              <w:rPr>
                <w:rFonts w:hint="eastAsia" w:ascii="Times New Roman" w:hAnsi="Times New Roman" w:cs="Times New Roman"/>
                <w:color w:val="000000"/>
                <w:sz w:val="24"/>
                <w:szCs w:val="20"/>
                <w:highlight w:val="none"/>
                <w:lang w:val="en-US" w:eastAsia="zh-CN"/>
              </w:rPr>
              <w:t>；生活污水</w:t>
            </w:r>
            <w:r>
              <w:rPr>
                <w:rFonts w:hint="eastAsia" w:cs="Times New Roman"/>
                <w:bCs/>
                <w:color w:val="000000"/>
                <w:sz w:val="24"/>
                <w:szCs w:val="20"/>
                <w:highlight w:val="none"/>
                <w:lang w:val="en-US" w:eastAsia="zh-CN"/>
              </w:rPr>
              <w:t>排入防渗旱厕，定期清掏</w:t>
            </w:r>
            <w:r>
              <w:rPr>
                <w:rFonts w:hint="eastAsia" w:ascii="Times New Roman" w:hAnsi="Times New Roman" w:cs="Times New Roman"/>
                <w:bCs/>
                <w:color w:val="000000"/>
                <w:sz w:val="24"/>
                <w:szCs w:val="20"/>
                <w:highlight w:val="none"/>
                <w:lang w:val="en-US" w:eastAsia="zh-CN"/>
              </w:rPr>
              <w:t>不外排。即</w:t>
            </w:r>
            <w:r>
              <w:rPr>
                <w:rFonts w:hint="default" w:ascii="Times New Roman" w:hAnsi="Times New Roman" w:eastAsia="宋体" w:cs="Times New Roman"/>
                <w:b w:val="0"/>
                <w:bCs w:val="0"/>
                <w:color w:val="auto"/>
                <w:sz w:val="24"/>
                <w:szCs w:val="20"/>
                <w:highlight w:val="none"/>
              </w:rPr>
              <w:t>COD</w:t>
            </w:r>
            <w:r>
              <w:rPr>
                <w:rFonts w:hint="default" w:ascii="Times New Roman" w:hAnsi="Times New Roman" w:cs="Times New Roman"/>
                <w:color w:val="auto"/>
                <w:sz w:val="24"/>
                <w:szCs w:val="20"/>
                <w:highlight w:val="none"/>
                <w:lang w:eastAsia="zh-CN"/>
              </w:rPr>
              <w:t>：</w:t>
            </w:r>
            <w:r>
              <w:rPr>
                <w:rFonts w:hint="eastAsia" w:ascii="Times New Roman" w:hAnsi="Times New Roman" w:eastAsia="宋体" w:cs="Times New Roman"/>
                <w:color w:val="auto"/>
                <w:sz w:val="24"/>
                <w:szCs w:val="20"/>
                <w:highlight w:val="none"/>
                <w:lang w:val="en-US" w:eastAsia="zh-CN"/>
              </w:rPr>
              <w:t>0</w:t>
            </w:r>
            <w:r>
              <w:rPr>
                <w:rFonts w:hint="default"/>
                <w:color w:val="auto"/>
                <w:sz w:val="24"/>
                <w:szCs w:val="24"/>
                <w:highlight w:val="none"/>
              </w:rPr>
              <w:t>t/a</w:t>
            </w:r>
            <w:r>
              <w:rPr>
                <w:rFonts w:hint="default" w:ascii="Times New Roman" w:hAnsi="Times New Roman" w:eastAsia="宋体" w:cs="Times New Roman"/>
                <w:b w:val="0"/>
                <w:bCs w:val="0"/>
                <w:color w:val="auto"/>
                <w:sz w:val="24"/>
                <w:szCs w:val="20"/>
                <w:highlight w:val="none"/>
              </w:rPr>
              <w:t>、氨氮</w:t>
            </w:r>
            <w:r>
              <w:rPr>
                <w:rFonts w:hint="default" w:ascii="Times New Roman" w:hAnsi="Times New Roman" w:cs="Times New Roman"/>
                <w:color w:val="auto"/>
                <w:sz w:val="24"/>
                <w:szCs w:val="20"/>
                <w:highlight w:val="none"/>
                <w:lang w:eastAsia="zh-CN"/>
              </w:rPr>
              <w:t>：</w:t>
            </w:r>
            <w:r>
              <w:rPr>
                <w:rFonts w:hint="eastAsia" w:ascii="Times New Roman" w:hAnsi="Times New Roman" w:eastAsia="宋体" w:cs="Times New Roman"/>
                <w:color w:val="auto"/>
                <w:sz w:val="24"/>
                <w:szCs w:val="20"/>
                <w:highlight w:val="none"/>
                <w:lang w:val="en-US" w:eastAsia="zh-CN"/>
              </w:rPr>
              <w:t>0</w:t>
            </w:r>
            <w:r>
              <w:rPr>
                <w:rFonts w:hint="default"/>
                <w:color w:val="auto"/>
                <w:sz w:val="24"/>
                <w:szCs w:val="24"/>
                <w:highlight w:val="none"/>
              </w:rPr>
              <w:t>t/a</w:t>
            </w:r>
            <w:r>
              <w:rPr>
                <w:rFonts w:hint="eastAsia"/>
                <w:color w:val="auto"/>
                <w:sz w:val="24"/>
                <w:szCs w:val="24"/>
                <w:highlight w:val="none"/>
                <w:lang w:eastAsia="zh-CN"/>
              </w:rPr>
              <w:t>。</w:t>
            </w:r>
          </w:p>
          <w:p w14:paraId="31C9449C">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75DFAF4A">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30849CC5">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18290419">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60EEE342">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576681FD">
            <w:pPr>
              <w:pStyle w:val="6"/>
              <w:keepNext w:val="0"/>
              <w:keepLines w:val="0"/>
              <w:suppressLineNumbers w:val="0"/>
              <w:spacing w:before="0" w:beforeAutospacing="0" w:after="0" w:afterAutospacing="0"/>
              <w:ind w:left="0" w:right="0"/>
              <w:rPr>
                <w:rFonts w:hint="eastAsia"/>
                <w:color w:val="auto"/>
                <w:sz w:val="24"/>
                <w:szCs w:val="24"/>
                <w:highlight w:val="none"/>
                <w:lang w:eastAsia="zh-CN"/>
              </w:rPr>
            </w:pPr>
          </w:p>
          <w:p w14:paraId="4094D0E1">
            <w:pPr>
              <w:pStyle w:val="6"/>
              <w:keepNext w:val="0"/>
              <w:keepLines w:val="0"/>
              <w:suppressLineNumbers w:val="0"/>
              <w:spacing w:before="0" w:beforeAutospacing="0" w:after="0" w:afterAutospacing="0"/>
              <w:ind w:left="0" w:right="0"/>
              <w:rPr>
                <w:rFonts w:hint="default"/>
                <w:szCs w:val="20"/>
                <w:highlight w:val="none"/>
                <w:lang w:val="en-US" w:eastAsia="zh-CN"/>
              </w:rPr>
            </w:pPr>
          </w:p>
          <w:p w14:paraId="6F61AEF6">
            <w:pPr>
              <w:pStyle w:val="6"/>
              <w:keepNext w:val="0"/>
              <w:keepLines w:val="0"/>
              <w:suppressLineNumbers w:val="0"/>
              <w:spacing w:before="0" w:beforeAutospacing="0" w:after="0" w:afterAutospacing="0"/>
              <w:ind w:left="0" w:right="0"/>
              <w:rPr>
                <w:rFonts w:hint="default"/>
                <w:color w:val="auto"/>
                <w:szCs w:val="20"/>
                <w:highlight w:val="none"/>
                <w:lang w:val="en-US" w:eastAsia="zh-CN"/>
              </w:rPr>
            </w:pPr>
          </w:p>
        </w:tc>
      </w:tr>
    </w:tbl>
    <w:p w14:paraId="4F50A8E3">
      <w:pPr>
        <w:pStyle w:val="41"/>
        <w:pageBreakBefore/>
        <w:jc w:val="center"/>
        <w:outlineLvl w:val="0"/>
        <w:rPr>
          <w:rFonts w:hint="default" w:ascii="Times New Roman" w:hAnsi="Times New Roman" w:eastAsia="黑体" w:cs="Times New Roman"/>
          <w:smallCaps w:val="0"/>
          <w:snapToGrid w:val="0"/>
          <w:color w:val="auto"/>
          <w:spacing w:val="0"/>
          <w:sz w:val="30"/>
          <w:szCs w:val="30"/>
          <w:highlight w:val="none"/>
        </w:rPr>
      </w:pPr>
      <w:bookmarkStart w:id="9" w:name="_Toc17254"/>
      <w:r>
        <w:rPr>
          <w:rFonts w:hint="default" w:ascii="Times New Roman" w:hAnsi="Times New Roman" w:eastAsia="黑体" w:cs="Times New Roman"/>
          <w:smallCaps w:val="0"/>
          <w:snapToGrid w:val="0"/>
          <w:color w:val="auto"/>
          <w:spacing w:val="0"/>
          <w:sz w:val="30"/>
          <w:szCs w:val="30"/>
          <w:highlight w:val="none"/>
        </w:rPr>
        <w:t>四、主要环境影响和保护措施</w:t>
      </w:r>
      <w:bookmarkEnd w:id="9"/>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5"/>
        <w:gridCol w:w="8068"/>
      </w:tblGrid>
      <w:tr w14:paraId="0A9F8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 w:type="pct"/>
            <w:vAlign w:val="center"/>
          </w:tcPr>
          <w:p w14:paraId="0DB720E8">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施工</w:t>
            </w:r>
          </w:p>
          <w:p w14:paraId="1919B1A3">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期环</w:t>
            </w:r>
          </w:p>
          <w:p w14:paraId="1E2BC8B9">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境保</w:t>
            </w:r>
          </w:p>
          <w:p w14:paraId="5B69C21B">
            <w:pPr>
              <w:pStyle w:val="41"/>
              <w:keepNext w:val="0"/>
              <w:keepLines w:val="0"/>
              <w:suppressLineNumbers w:val="0"/>
              <w:adjustRightInd w:val="0"/>
              <w:snapToGrid w:val="0"/>
              <w:spacing w:before="0" w:beforeAutospacing="0" w:after="0" w:afterAutospacing="0"/>
              <w:ind w:left="0" w:right="0"/>
              <w:rPr>
                <w:rFonts w:hint="default" w:ascii="Times New Roman" w:hAnsi="Times New Roman" w:eastAsia="宋体" w:cs="Times New Roman"/>
                <w:smallCaps w:val="0"/>
                <w:color w:val="auto"/>
                <w:spacing w:val="0"/>
                <w:kern w:val="2"/>
                <w:szCs w:val="21"/>
                <w:highlight w:val="none"/>
              </w:rPr>
            </w:pPr>
            <w:r>
              <w:rPr>
                <w:rFonts w:hint="default" w:ascii="Times New Roman" w:hAnsi="Times New Roman" w:eastAsia="宋体" w:cs="Times New Roman"/>
                <w:smallCaps w:val="0"/>
                <w:color w:val="auto"/>
                <w:spacing w:val="0"/>
                <w:kern w:val="2"/>
                <w:szCs w:val="21"/>
                <w:highlight w:val="none"/>
              </w:rPr>
              <w:t>护措施</w:t>
            </w:r>
          </w:p>
        </w:tc>
        <w:tc>
          <w:tcPr>
            <w:tcW w:w="4732" w:type="pct"/>
          </w:tcPr>
          <w:p w14:paraId="3A11EBCF">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1、施工期大气环境影响和保护措施</w:t>
            </w:r>
          </w:p>
          <w:p w14:paraId="28CA1A87">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lang w:val="en-US" w:eastAsia="zh-CN"/>
              </w:rPr>
              <w:t>项目利用现有厂房，施工期主要为设备安装。</w:t>
            </w:r>
            <w:r>
              <w:rPr>
                <w:rFonts w:hint="eastAsia" w:cs="Times New Roman"/>
                <w:smallCaps w:val="0"/>
                <w:color w:val="auto"/>
                <w:spacing w:val="0"/>
                <w:highlight w:val="none"/>
                <w:lang w:val="en-US" w:eastAsia="zh-CN"/>
              </w:rPr>
              <w:t>无废气产生</w:t>
            </w:r>
            <w:r>
              <w:rPr>
                <w:rFonts w:hint="default" w:ascii="Times New Roman" w:hAnsi="Times New Roman" w:eastAsia="宋体" w:cs="Times New Roman"/>
                <w:smallCaps w:val="0"/>
                <w:color w:val="auto"/>
                <w:spacing w:val="0"/>
                <w:highlight w:val="none"/>
              </w:rPr>
              <w:t>。</w:t>
            </w:r>
          </w:p>
          <w:p w14:paraId="381479FF">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2、施工期噪声环境影响和保护措施</w:t>
            </w:r>
          </w:p>
          <w:p w14:paraId="7C2A6262">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施工期产生的噪声源主要为</w:t>
            </w:r>
            <w:r>
              <w:rPr>
                <w:rFonts w:hint="default" w:ascii="Times New Roman" w:hAnsi="Times New Roman" w:cs="Times New Roman"/>
                <w:smallCaps w:val="0"/>
                <w:color w:val="auto"/>
                <w:spacing w:val="0"/>
                <w:highlight w:val="none"/>
                <w:lang w:val="en-US" w:eastAsia="zh-CN"/>
              </w:rPr>
              <w:t>设备</w:t>
            </w:r>
            <w:r>
              <w:rPr>
                <w:rFonts w:hint="default" w:ascii="Times New Roman" w:hAnsi="Times New Roman" w:eastAsia="宋体" w:cs="Times New Roman"/>
                <w:smallCaps w:val="0"/>
                <w:color w:val="auto"/>
                <w:spacing w:val="0"/>
                <w:highlight w:val="none"/>
              </w:rPr>
              <w:t>运输车辆等机械产生的噪声，其特点是间歇或阵发性的，并具备流动性的特征。为减少施工噪声对敏感点的影响，结合施工进展，采取如下防治措施：</w:t>
            </w:r>
          </w:p>
          <w:p w14:paraId="493668B2">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（1）施工单位应合理安排施工时间，做到文明施工，除工程必需外，严禁在中午12:00~14:00、夜间22:00~6:00期间进行施工；</w:t>
            </w:r>
          </w:p>
          <w:p w14:paraId="57C9D570">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（2）项目施工布置时将噪声源强较高的施工设备远离周边敏感点；</w:t>
            </w:r>
          </w:p>
          <w:p w14:paraId="48CD0B0C">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（3）运输车辆要选择合适的时间及路线进行运输，尽量避开居民点和环境敏感点，车辆进出现场时应减速、禁鸣；</w:t>
            </w:r>
          </w:p>
          <w:p w14:paraId="5CA3B825">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（4）</w:t>
            </w:r>
            <w:r>
              <w:rPr>
                <w:rFonts w:hint="default" w:ascii="Times New Roman" w:hAnsi="Times New Roman" w:eastAsia="宋体" w:cs="Times New Roman"/>
                <w:smallCaps w:val="0"/>
                <w:color w:val="auto"/>
                <w:spacing w:val="0"/>
                <w:highlight w:val="none"/>
                <w:lang w:val="en-US" w:eastAsia="zh-CN"/>
              </w:rPr>
              <w:t>项目在现有厂区内建设，厂区设有围墙，符合围挡的要求</w:t>
            </w:r>
            <w:r>
              <w:rPr>
                <w:rFonts w:hint="default" w:ascii="Times New Roman" w:hAnsi="Times New Roman" w:eastAsia="宋体" w:cs="Times New Roman"/>
                <w:smallCaps w:val="0"/>
                <w:color w:val="auto"/>
                <w:spacing w:val="0"/>
                <w:highlight w:val="none"/>
              </w:rPr>
              <w:t>。</w:t>
            </w:r>
          </w:p>
          <w:p w14:paraId="3DF9E5DB">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通过采取以上措施，施工噪声对周边敏感点影响程度较小</w:t>
            </w:r>
            <w:r>
              <w:rPr>
                <w:rFonts w:hint="default" w:ascii="Times New Roman" w:hAnsi="Times New Roman" w:eastAsia="宋体" w:cs="Times New Roman"/>
                <w:smallCaps w:val="0"/>
                <w:color w:val="auto"/>
                <w:spacing w:val="0"/>
                <w:highlight w:val="none"/>
                <w:lang w:eastAsia="zh-CN"/>
              </w:rPr>
              <w:t>，</w:t>
            </w:r>
            <w:r>
              <w:rPr>
                <w:rFonts w:hint="default" w:ascii="Times New Roman" w:hAnsi="Times New Roman" w:eastAsia="宋体" w:cs="Times New Roman"/>
                <w:smallCaps w:val="0"/>
                <w:color w:val="auto"/>
                <w:spacing w:val="0"/>
                <w:highlight w:val="none"/>
                <w:lang w:val="en-US" w:eastAsia="zh-CN"/>
              </w:rPr>
              <w:t>满足《建筑施工噪声排放标准》(GB12523-20</w:t>
            </w:r>
            <w:r>
              <w:rPr>
                <w:rFonts w:hint="eastAsia" w:cs="Times New Roman"/>
                <w:smallCaps w:val="0"/>
                <w:color w:val="auto"/>
                <w:spacing w:val="0"/>
                <w:highlight w:val="none"/>
                <w:lang w:val="en-US" w:eastAsia="zh-CN"/>
              </w:rPr>
              <w:t>25</w:t>
            </w:r>
            <w:r>
              <w:rPr>
                <w:rFonts w:hint="default" w:ascii="Times New Roman" w:hAnsi="Times New Roman" w:eastAsia="宋体" w:cs="Times New Roman"/>
                <w:smallCaps w:val="0"/>
                <w:color w:val="auto"/>
                <w:spacing w:val="0"/>
                <w:highlight w:val="none"/>
                <w:lang w:val="en-US" w:eastAsia="zh-CN"/>
              </w:rPr>
              <w:t>)标准的要求</w:t>
            </w:r>
            <w:r>
              <w:rPr>
                <w:rFonts w:hint="default" w:ascii="Times New Roman" w:hAnsi="Times New Roman" w:eastAsia="宋体" w:cs="Times New Roman"/>
                <w:smallCaps w:val="0"/>
                <w:color w:val="auto"/>
                <w:spacing w:val="0"/>
                <w:highlight w:val="none"/>
              </w:rPr>
              <w:t>。</w:t>
            </w:r>
          </w:p>
          <w:p w14:paraId="04EC0EB9">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3、施工期水环境影响分析</w:t>
            </w:r>
          </w:p>
          <w:p w14:paraId="57822182">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textAlignment w:val="auto"/>
              <w:rPr>
                <w:rFonts w:hint="default" w:ascii="Times New Roman" w:hAnsi="Times New Roman" w:eastAsia="宋体" w:cs="Times New Roman"/>
                <w:smallCaps w:val="0"/>
                <w:color w:val="auto"/>
                <w:spacing w:val="0"/>
                <w:highlight w:val="none"/>
              </w:rPr>
            </w:pPr>
            <w:r>
              <w:rPr>
                <w:rFonts w:hint="default" w:ascii="Times New Roman" w:hAnsi="Times New Roman" w:eastAsia="宋体" w:cs="Times New Roman"/>
                <w:smallCaps w:val="0"/>
                <w:color w:val="auto"/>
                <w:spacing w:val="0"/>
                <w:highlight w:val="none"/>
              </w:rPr>
              <w:t>项目施工期废水主要为施工人员生活污水。</w:t>
            </w:r>
            <w:r>
              <w:rPr>
                <w:rFonts w:hint="eastAsia" w:cs="Times New Roman"/>
                <w:smallCaps w:val="0"/>
                <w:color w:val="auto"/>
                <w:spacing w:val="0"/>
                <w:highlight w:val="none"/>
                <w:lang w:val="en-US" w:eastAsia="zh-CN"/>
              </w:rPr>
              <w:t>本项目施工期较短，</w:t>
            </w:r>
            <w:r>
              <w:rPr>
                <w:rFonts w:hint="default" w:ascii="Times New Roman" w:hAnsi="Times New Roman" w:eastAsia="宋体" w:cs="Times New Roman"/>
                <w:smallCaps w:val="0"/>
                <w:color w:val="auto"/>
                <w:spacing w:val="0"/>
                <w:highlight w:val="none"/>
              </w:rPr>
              <w:t>施工人员</w:t>
            </w:r>
            <w:r>
              <w:rPr>
                <w:rFonts w:hint="eastAsia" w:cs="Times New Roman"/>
                <w:smallCaps w:val="0"/>
                <w:color w:val="auto"/>
                <w:spacing w:val="0"/>
                <w:highlight w:val="none"/>
                <w:lang w:val="en-US" w:eastAsia="zh-CN"/>
              </w:rPr>
              <w:t>为周围村民，</w:t>
            </w:r>
            <w:r>
              <w:rPr>
                <w:rFonts w:hint="default" w:ascii="Times New Roman" w:hAnsi="Times New Roman" w:eastAsia="宋体" w:cs="Times New Roman"/>
                <w:smallCaps w:val="0"/>
                <w:color w:val="auto"/>
                <w:spacing w:val="0"/>
                <w:highlight w:val="none"/>
                <w:lang w:val="en-US" w:eastAsia="zh-CN"/>
              </w:rPr>
              <w:t>生活污水</w:t>
            </w:r>
            <w:r>
              <w:rPr>
                <w:rFonts w:hint="eastAsia" w:cs="Times New Roman"/>
                <w:smallCaps w:val="0"/>
                <w:color w:val="auto"/>
                <w:spacing w:val="0"/>
                <w:highlight w:val="none"/>
                <w:lang w:val="en-US" w:eastAsia="zh-CN"/>
              </w:rPr>
              <w:t>较少，直接泼洒抑尘</w:t>
            </w:r>
            <w:r>
              <w:rPr>
                <w:rFonts w:hint="default" w:ascii="Times New Roman" w:hAnsi="Times New Roman" w:eastAsia="宋体" w:cs="Times New Roman"/>
                <w:smallCaps w:val="0"/>
                <w:color w:val="auto"/>
                <w:spacing w:val="0"/>
                <w:highlight w:val="none"/>
                <w:lang w:val="en-US" w:eastAsia="zh-CN"/>
              </w:rPr>
              <w:t>，</w:t>
            </w:r>
            <w:r>
              <w:rPr>
                <w:rFonts w:hint="default" w:ascii="Times New Roman" w:hAnsi="Times New Roman" w:eastAsia="宋体" w:cs="Times New Roman"/>
                <w:smallCaps w:val="0"/>
                <w:color w:val="auto"/>
                <w:spacing w:val="0"/>
                <w:highlight w:val="none"/>
              </w:rPr>
              <w:t>不会对当地水环境产生影响。</w:t>
            </w:r>
          </w:p>
          <w:p w14:paraId="7C1CCB2B">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2"/>
              <w:textAlignment w:val="auto"/>
              <w:rPr>
                <w:rFonts w:hint="default" w:ascii="Times New Roman" w:hAnsi="Times New Roman" w:eastAsia="宋体" w:cs="Times New Roman"/>
                <w:b/>
                <w:smallCaps w:val="0"/>
                <w:color w:val="auto"/>
                <w:spacing w:val="0"/>
                <w:highlight w:val="none"/>
              </w:rPr>
            </w:pPr>
            <w:r>
              <w:rPr>
                <w:rFonts w:hint="default" w:ascii="Times New Roman" w:hAnsi="Times New Roman" w:eastAsia="宋体" w:cs="Times New Roman"/>
                <w:b/>
                <w:smallCaps w:val="0"/>
                <w:color w:val="auto"/>
                <w:spacing w:val="0"/>
                <w:highlight w:val="none"/>
              </w:rPr>
              <w:t>4、施工期固废环境影响和保护措施</w:t>
            </w:r>
          </w:p>
          <w:p w14:paraId="2FFC61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jc w:val="left"/>
              <w:textAlignment w:val="auto"/>
              <w:rPr>
                <w:rFonts w:hint="default" w:ascii="Times New Roman" w:hAnsi="Times New Roman" w:eastAsia="宋体" w:cs="Times New Roman"/>
                <w:smallCaps w:val="0"/>
                <w:color w:val="auto"/>
                <w:spacing w:val="0"/>
                <w:sz w:val="24"/>
                <w:szCs w:val="24"/>
                <w:highlight w:val="none"/>
              </w:rPr>
            </w:pPr>
            <w:r>
              <w:rPr>
                <w:rFonts w:hint="default" w:ascii="Times New Roman" w:hAnsi="Times New Roman" w:eastAsia="宋体" w:cs="Times New Roman"/>
                <w:smallCaps w:val="0"/>
                <w:color w:val="auto"/>
                <w:spacing w:val="0"/>
                <w:sz w:val="24"/>
                <w:szCs w:val="24"/>
                <w:highlight w:val="none"/>
              </w:rPr>
              <w:t>施工期固体废弃物主要是设备安装过程中产生的设备包装物</w:t>
            </w:r>
            <w:r>
              <w:rPr>
                <w:rFonts w:hint="default" w:ascii="Times New Roman" w:hAnsi="Times New Roman" w:eastAsia="宋体" w:cs="Times New Roman"/>
                <w:smallCaps w:val="0"/>
                <w:color w:val="auto"/>
                <w:spacing w:val="0"/>
                <w:sz w:val="24"/>
                <w:szCs w:val="24"/>
                <w:highlight w:val="none"/>
                <w:lang w:eastAsia="zh-CN"/>
              </w:rPr>
              <w:t>、</w:t>
            </w:r>
            <w:r>
              <w:rPr>
                <w:rFonts w:hint="default" w:ascii="Times New Roman" w:hAnsi="Times New Roman" w:eastAsia="宋体" w:cs="Times New Roman"/>
                <w:smallCaps w:val="0"/>
                <w:color w:val="auto"/>
                <w:spacing w:val="0"/>
                <w:sz w:val="24"/>
                <w:szCs w:val="24"/>
                <w:highlight w:val="none"/>
              </w:rPr>
              <w:t>施工人员的生活垃圾，均属一般固体废物。</w:t>
            </w:r>
          </w:p>
          <w:p w14:paraId="109928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jc w:val="left"/>
              <w:textAlignment w:val="auto"/>
              <w:rPr>
                <w:rFonts w:hint="default" w:ascii="Times New Roman" w:hAnsi="Times New Roman" w:eastAsia="宋体" w:cs="Times New Roman"/>
                <w:smallCaps w:val="0"/>
                <w:color w:val="auto"/>
                <w:spacing w:val="0"/>
                <w:sz w:val="24"/>
                <w:szCs w:val="24"/>
                <w:highlight w:val="none"/>
              </w:rPr>
            </w:pPr>
            <w:r>
              <w:rPr>
                <w:rFonts w:hint="default" w:ascii="Times New Roman" w:hAnsi="Times New Roman" w:eastAsia="宋体" w:cs="Times New Roman"/>
                <w:smallCaps w:val="0"/>
                <w:color w:val="auto"/>
                <w:spacing w:val="0"/>
                <w:sz w:val="24"/>
                <w:szCs w:val="24"/>
                <w:highlight w:val="none"/>
              </w:rPr>
              <w:t>上述固体废物应及时收集，不能随意抛弃、转移和扩散，设备安装过程中产生的设备包装物；</w:t>
            </w:r>
            <w:r>
              <w:rPr>
                <w:rFonts w:hint="default" w:ascii="Times New Roman" w:hAnsi="Times New Roman" w:eastAsia="宋体" w:cs="Times New Roman"/>
                <w:smallCaps w:val="0"/>
                <w:color w:val="auto"/>
                <w:spacing w:val="0"/>
                <w:sz w:val="24"/>
                <w:szCs w:val="24"/>
                <w:highlight w:val="none"/>
                <w:lang w:eastAsia="zh-CN"/>
              </w:rPr>
              <w:t>生活垃圾由环卫部门统一处理</w:t>
            </w:r>
            <w:r>
              <w:rPr>
                <w:rFonts w:hint="default" w:ascii="Times New Roman" w:hAnsi="Times New Roman" w:eastAsia="宋体" w:cs="Times New Roman"/>
                <w:smallCaps w:val="0"/>
                <w:color w:val="auto"/>
                <w:spacing w:val="0"/>
                <w:sz w:val="24"/>
                <w:szCs w:val="24"/>
                <w:highlight w:val="none"/>
              </w:rPr>
              <w:t>。</w:t>
            </w:r>
          </w:p>
          <w:p w14:paraId="3EF6BC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jc w:val="left"/>
              <w:textAlignment w:val="auto"/>
              <w:rPr>
                <w:rFonts w:hint="default" w:ascii="Times New Roman" w:hAnsi="Times New Roman" w:eastAsia="宋体" w:cs="Times New Roman"/>
                <w:smallCaps w:val="0"/>
                <w:snapToGrid w:val="0"/>
                <w:color w:val="auto"/>
                <w:spacing w:val="0"/>
                <w:kern w:val="2"/>
                <w:sz w:val="24"/>
                <w:szCs w:val="24"/>
                <w:highlight w:val="none"/>
                <w:lang w:val="en-US" w:eastAsia="zh-CN" w:bidi="ar-SA"/>
              </w:rPr>
            </w:pPr>
            <w:r>
              <w:rPr>
                <w:rFonts w:hint="default" w:ascii="Times New Roman" w:hAnsi="Times New Roman" w:eastAsia="宋体" w:cs="Times New Roman"/>
                <w:smallCaps w:val="0"/>
                <w:color w:val="auto"/>
                <w:spacing w:val="0"/>
                <w:sz w:val="24"/>
                <w:szCs w:val="24"/>
                <w:highlight w:val="none"/>
              </w:rPr>
              <w:t>采取以上措施后，施工期固废可得到妥善处置，对周围环境影响较小</w:t>
            </w:r>
            <w:r>
              <w:rPr>
                <w:rFonts w:hint="default" w:ascii="Times New Roman" w:hAnsi="Times New Roman" w:eastAsia="宋体" w:cs="Times New Roman"/>
                <w:smallCaps w:val="0"/>
                <w:snapToGrid w:val="0"/>
                <w:color w:val="auto"/>
                <w:spacing w:val="0"/>
                <w:kern w:val="2"/>
                <w:sz w:val="24"/>
                <w:szCs w:val="24"/>
                <w:highlight w:val="none"/>
                <w:lang w:val="en-US" w:eastAsia="zh-CN" w:bidi="ar-SA"/>
              </w:rPr>
              <w:t>。</w:t>
            </w:r>
          </w:p>
          <w:p w14:paraId="180920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left"/>
              <w:textAlignment w:val="auto"/>
              <w:rPr>
                <w:rFonts w:hint="default" w:ascii="Times New Roman" w:hAnsi="Times New Roman" w:eastAsia="宋体" w:cs="Times New Roman"/>
                <w:b/>
                <w:bCs/>
                <w:smallCaps w:val="0"/>
                <w:color w:val="auto"/>
                <w:spacing w:val="0"/>
                <w:kern w:val="0"/>
                <w:sz w:val="24"/>
                <w:szCs w:val="20"/>
                <w:highlight w:val="none"/>
                <w:lang w:bidi="ar"/>
              </w:rPr>
            </w:pPr>
            <w:r>
              <w:rPr>
                <w:rFonts w:hint="default" w:ascii="Times New Roman" w:hAnsi="Times New Roman" w:eastAsia="宋体" w:cs="Times New Roman"/>
                <w:b/>
                <w:bCs/>
                <w:smallCaps w:val="0"/>
                <w:color w:val="auto"/>
                <w:spacing w:val="0"/>
                <w:kern w:val="0"/>
                <w:sz w:val="24"/>
                <w:szCs w:val="20"/>
                <w:highlight w:val="none"/>
                <w:lang w:bidi="ar"/>
              </w:rPr>
              <w:t>5、生态影响防治措施</w:t>
            </w:r>
          </w:p>
          <w:p w14:paraId="3BBDD33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left"/>
              <w:textAlignment w:val="auto"/>
              <w:rPr>
                <w:rFonts w:hint="eastAsia" w:ascii="Times New Roman" w:hAnsi="Times New Roman" w:eastAsia="宋体" w:cs="Times New Roman"/>
                <w:smallCaps w:val="0"/>
                <w:color w:val="auto"/>
                <w:spacing w:val="0"/>
                <w:szCs w:val="20"/>
                <w:highlight w:val="none"/>
                <w:lang w:eastAsia="zh-CN"/>
              </w:rPr>
            </w:pPr>
            <w:r>
              <w:rPr>
                <w:rFonts w:hint="default" w:ascii="Times New Roman" w:hAnsi="Times New Roman" w:eastAsia="宋体" w:cs="Times New Roman"/>
                <w:smallCaps w:val="0"/>
                <w:color w:val="auto"/>
                <w:spacing w:val="0"/>
                <w:sz w:val="24"/>
                <w:szCs w:val="20"/>
                <w:highlight w:val="none"/>
                <w:lang w:val="en-US" w:eastAsia="zh-CN"/>
              </w:rPr>
              <w:t>本项目位于河北省石家庄市井陉矿区鑫鸿产业园5号厂房，周围无生态保护目标</w:t>
            </w:r>
            <w:r>
              <w:rPr>
                <w:rFonts w:hint="default" w:ascii="Times New Roman" w:hAnsi="Times New Roman" w:eastAsia="宋体" w:cs="Times New Roman"/>
                <w:smallCaps w:val="0"/>
                <w:color w:val="auto"/>
                <w:spacing w:val="0"/>
                <w:sz w:val="24"/>
                <w:szCs w:val="20"/>
                <w:highlight w:val="none"/>
              </w:rPr>
              <w:t>。</w:t>
            </w:r>
            <w:r>
              <w:rPr>
                <w:rFonts w:hint="default" w:ascii="Times New Roman" w:hAnsi="Times New Roman" w:eastAsia="宋体" w:cs="Times New Roman"/>
                <w:smallCaps w:val="0"/>
                <w:color w:val="auto"/>
                <w:spacing w:val="0"/>
                <w:sz w:val="24"/>
                <w:szCs w:val="20"/>
                <w:highlight w:val="none"/>
                <w:lang w:val="en-US" w:eastAsia="zh-CN"/>
              </w:rPr>
              <w:t>综上所述，</w:t>
            </w:r>
            <w:r>
              <w:rPr>
                <w:rFonts w:hint="default" w:ascii="Times New Roman" w:hAnsi="Times New Roman" w:eastAsia="宋体" w:cs="Times New Roman"/>
                <w:smallCaps w:val="0"/>
                <w:color w:val="auto"/>
                <w:spacing w:val="0"/>
                <w:sz w:val="24"/>
                <w:szCs w:val="20"/>
                <w:highlight w:val="none"/>
              </w:rPr>
              <w:t>施工期对周围环境的影响是局部的、暂时的，随着工程施工结束而消失</w:t>
            </w:r>
            <w:r>
              <w:rPr>
                <w:rFonts w:hint="default" w:ascii="Times New Roman" w:hAnsi="Times New Roman" w:cs="Times New Roman"/>
                <w:smallCaps w:val="0"/>
                <w:color w:val="auto"/>
                <w:spacing w:val="0"/>
                <w:sz w:val="24"/>
                <w:szCs w:val="20"/>
                <w:highlight w:val="none"/>
                <w:lang w:eastAsia="zh-CN"/>
              </w:rPr>
              <w:t>。</w:t>
            </w:r>
          </w:p>
        </w:tc>
      </w:tr>
      <w:tr w14:paraId="65168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8" w:hRule="atLeast"/>
        </w:trPr>
        <w:tc>
          <w:tcPr>
            <w:tcW w:w="267" w:type="pct"/>
            <w:vAlign w:val="center"/>
          </w:tcPr>
          <w:p w14:paraId="02AAB27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运营</w:t>
            </w:r>
          </w:p>
          <w:p w14:paraId="4B5C7D8F">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期环</w:t>
            </w:r>
          </w:p>
          <w:p w14:paraId="0C7B5FF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境影</w:t>
            </w:r>
          </w:p>
          <w:p w14:paraId="7DD86DEE">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响和</w:t>
            </w:r>
          </w:p>
          <w:p w14:paraId="4D9AA6C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保护措施</w:t>
            </w:r>
          </w:p>
        </w:tc>
        <w:tc>
          <w:tcPr>
            <w:tcW w:w="4732" w:type="pct"/>
            <w:vAlign w:val="top"/>
          </w:tcPr>
          <w:p w14:paraId="75B02BD4">
            <w:pPr>
              <w:pStyle w:val="171"/>
              <w:keepNext w:val="0"/>
              <w:keepLines w:val="0"/>
              <w:pageBreakBefore w:val="0"/>
              <w:suppressLineNumbers w:val="0"/>
              <w:kinsoku/>
              <w:wordWrap/>
              <w:overflowPunct/>
              <w:topLinePunct w:val="0"/>
              <w:bidi w:val="0"/>
              <w:spacing w:before="0" w:beforeAutospacing="0" w:after="0" w:afterAutospacing="0" w:line="480" w:lineRule="exact"/>
              <w:ind w:left="0" w:leftChars="0" w:right="0" w:firstLine="0" w:firstLineChars="0"/>
              <w:jc w:val="both"/>
              <w:textAlignment w:val="auto"/>
              <w:rPr>
                <w:rFonts w:hint="default" w:ascii="Times New Roman" w:hAnsi="Times New Roman" w:eastAsia="宋体" w:cs="Times New Roman"/>
                <w:b/>
                <w:smallCaps w:val="0"/>
                <w:color w:val="auto"/>
                <w:spacing w:val="0"/>
                <w:highlight w:val="none"/>
              </w:rPr>
            </w:pPr>
            <w:r>
              <w:rPr>
                <w:rFonts w:hint="eastAsia" w:cs="Times New Roman"/>
                <w:b/>
                <w:smallCaps w:val="0"/>
                <w:color w:val="auto"/>
                <w:spacing w:val="0"/>
                <w:highlight w:val="none"/>
                <w:lang w:val="en-US" w:eastAsia="zh-CN"/>
              </w:rPr>
              <w:t>一、</w:t>
            </w:r>
            <w:r>
              <w:rPr>
                <w:rFonts w:hint="default" w:ascii="Times New Roman" w:hAnsi="Times New Roman" w:eastAsia="宋体" w:cs="Times New Roman"/>
                <w:b/>
                <w:smallCaps w:val="0"/>
                <w:color w:val="auto"/>
                <w:spacing w:val="0"/>
                <w:highlight w:val="none"/>
              </w:rPr>
              <w:t>废气</w:t>
            </w:r>
          </w:p>
          <w:p w14:paraId="3A19163B">
            <w:pPr>
              <w:pStyle w:val="238"/>
              <w:keepNext w:val="0"/>
              <w:keepLines w:val="0"/>
              <w:pageBreakBefore w:val="0"/>
              <w:widowControl/>
              <w:suppressLineNumbers w:val="0"/>
              <w:kinsoku/>
              <w:wordWrap/>
              <w:overflowPunct/>
              <w:topLinePunct w:val="0"/>
              <w:bidi w:val="0"/>
              <w:adjustRightInd w:val="0"/>
              <w:snapToGrid w:val="0"/>
              <w:spacing w:before="0" w:beforeLines="0" w:beforeAutospacing="0" w:after="0" w:afterAutospacing="0" w:line="480" w:lineRule="exact"/>
              <w:ind w:left="0" w:right="0" w:firstLine="422"/>
              <w:textAlignment w:val="auto"/>
              <w:rPr>
                <w:rFonts w:hint="default" w:ascii="Times New Roman" w:hAnsi="Times New Roman" w:eastAsia="宋体" w:cs="Times New Roman"/>
                <w:b/>
                <w:bCs/>
                <w:color w:val="auto"/>
                <w:sz w:val="24"/>
                <w:szCs w:val="24"/>
                <w:highlight w:val="none"/>
                <w:lang w:val="en-US"/>
              </w:rPr>
            </w:pPr>
            <w:r>
              <w:rPr>
                <w:rFonts w:hint="eastAsia" w:ascii="Times New Roman" w:hAnsi="Times New Roman" w:eastAsia="宋体" w:cs="Times New Roman"/>
                <w:b/>
                <w:bCs/>
                <w:color w:val="auto"/>
                <w:sz w:val="24"/>
                <w:szCs w:val="24"/>
                <w:highlight w:val="none"/>
                <w:lang w:val="en-US" w:eastAsia="zh-CN"/>
              </w:rPr>
              <w:t>1、</w:t>
            </w:r>
            <w:r>
              <w:rPr>
                <w:rFonts w:hint="eastAsia" w:ascii="Times New Roman" w:hAnsi="Times New Roman" w:cs="Times New Roman"/>
                <w:b/>
                <w:bCs/>
                <w:color w:val="auto"/>
                <w:sz w:val="24"/>
                <w:szCs w:val="24"/>
                <w:highlight w:val="none"/>
                <w:lang w:val="en-US" w:eastAsia="zh-CN"/>
              </w:rPr>
              <w:t>源强核算</w:t>
            </w:r>
          </w:p>
          <w:p w14:paraId="0F48B72C">
            <w:pPr>
              <w:pStyle w:val="238"/>
              <w:keepNext w:val="0"/>
              <w:keepLines w:val="0"/>
              <w:pageBreakBefore w:val="0"/>
              <w:widowControl/>
              <w:suppressLineNumbers w:val="0"/>
              <w:kinsoku/>
              <w:wordWrap/>
              <w:overflowPunct/>
              <w:topLinePunct w:val="0"/>
              <w:bidi w:val="0"/>
              <w:adjustRightInd w:val="0"/>
              <w:snapToGrid w:val="0"/>
              <w:spacing w:before="0" w:beforeLines="0" w:beforeAutospacing="0" w:after="0" w:afterAutospacing="0" w:line="480" w:lineRule="exact"/>
              <w:ind w:left="0" w:right="0" w:firstLine="422"/>
              <w:textAlignment w:val="auto"/>
              <w:rPr>
                <w:rFonts w:hint="eastAsia" w:ascii="Times New Roman" w:hAnsi="Times New Roman" w:cs="Times New Roman"/>
                <w:b w:val="0"/>
                <w:bCs w:val="0"/>
                <w:color w:val="auto"/>
                <w:sz w:val="24"/>
                <w:szCs w:val="24"/>
                <w:highlight w:val="none"/>
                <w:lang w:val="en-US" w:eastAsia="zh-CN"/>
              </w:rPr>
            </w:pPr>
            <w:r>
              <w:rPr>
                <w:rFonts w:hint="eastAsia" w:ascii="Times New Roman" w:hAnsi="Times New Roman" w:cs="Times New Roman"/>
                <w:b w:val="0"/>
                <w:bCs w:val="0"/>
                <w:color w:val="auto"/>
                <w:sz w:val="24"/>
                <w:szCs w:val="24"/>
                <w:highlight w:val="none"/>
                <w:lang w:val="en-US" w:eastAsia="zh-CN"/>
              </w:rPr>
              <w:t>（1）有组织废气</w:t>
            </w:r>
          </w:p>
          <w:p w14:paraId="4A823976">
            <w:pPr>
              <w:pStyle w:val="238"/>
              <w:keepNext w:val="0"/>
              <w:keepLines w:val="0"/>
              <w:pageBreakBefore w:val="0"/>
              <w:widowControl/>
              <w:suppressLineNumbers w:val="0"/>
              <w:kinsoku/>
              <w:wordWrap/>
              <w:overflowPunct/>
              <w:topLinePunct w:val="0"/>
              <w:bidi w:val="0"/>
              <w:adjustRightInd w:val="0"/>
              <w:snapToGrid w:val="0"/>
              <w:spacing w:before="0" w:beforeLines="0" w:beforeAutospacing="0" w:after="0" w:afterAutospacing="0" w:line="480" w:lineRule="exact"/>
              <w:ind w:left="0" w:right="0" w:firstLine="422"/>
              <w:textAlignment w:val="auto"/>
              <w:rPr>
                <w:rFonts w:hint="default" w:ascii="Times New Roman" w:hAnsi="Times New Roman" w:cs="Times New Roman"/>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①</w:t>
            </w:r>
            <w:r>
              <w:rPr>
                <w:rFonts w:hint="eastAsia" w:ascii="Times New Roman" w:hAnsi="Times New Roman" w:cs="Times New Roman"/>
                <w:b w:val="0"/>
                <w:bCs w:val="0"/>
                <w:color w:val="auto"/>
                <w:sz w:val="24"/>
                <w:szCs w:val="24"/>
                <w:highlight w:val="none"/>
                <w:lang w:val="en-US" w:eastAsia="zh-CN"/>
              </w:rPr>
              <w:t>电炉熔化废气、注砂落砂</w:t>
            </w:r>
            <w:r>
              <w:rPr>
                <w:rFonts w:hint="eastAsia" w:ascii="Times New Roman" w:hAnsi="Times New Roman" w:eastAsia="宋体" w:cs="Times New Roman"/>
                <w:color w:val="000000"/>
                <w:kern w:val="0"/>
                <w:sz w:val="24"/>
                <w:highlight w:val="none"/>
                <w:lang w:val="en-US" w:eastAsia="zh-CN"/>
              </w:rPr>
              <w:t>废气</w:t>
            </w:r>
          </w:p>
          <w:p w14:paraId="46905ED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szCs w:val="20"/>
                <w:highlight w:val="none"/>
                <w:lang w:val="en-US" w:eastAsia="zh-CN"/>
              </w:rPr>
            </w:pPr>
            <w:r>
              <w:rPr>
                <w:rFonts w:hint="eastAsia" w:ascii="Times New Roman" w:hAnsi="Times New Roman" w:cs="Times New Roman"/>
                <w:b w:val="0"/>
                <w:bCs w:val="0"/>
                <w:color w:val="auto"/>
                <w:sz w:val="24"/>
                <w:szCs w:val="24"/>
                <w:highlight w:val="none"/>
                <w:lang w:val="en-US" w:eastAsia="zh-CN"/>
              </w:rPr>
              <w:t>项目废钢、</w:t>
            </w:r>
            <w:r>
              <w:rPr>
                <w:rFonts w:hint="eastAsia" w:cs="Times New Roman"/>
                <w:b w:val="0"/>
                <w:bCs w:val="0"/>
                <w:color w:val="auto"/>
                <w:sz w:val="24"/>
                <w:szCs w:val="24"/>
                <w:highlight w:val="none"/>
                <w:lang w:val="en-US" w:eastAsia="zh-CN"/>
              </w:rPr>
              <w:t>米</w:t>
            </w:r>
            <w:r>
              <w:rPr>
                <w:rFonts w:hint="eastAsia" w:ascii="Times New Roman" w:hAnsi="Times New Roman" w:cs="Times New Roman"/>
                <w:b w:val="0"/>
                <w:bCs w:val="0"/>
                <w:color w:val="auto"/>
                <w:sz w:val="24"/>
                <w:szCs w:val="24"/>
                <w:highlight w:val="none"/>
                <w:lang w:val="en-US" w:eastAsia="zh-CN"/>
              </w:rPr>
              <w:t>铁等熔化过程中产生颗粒物，参照《排放源统计调查产排污核算方法和系数手册》中-“机械行业系数手册-C33-C37行业核算环节 01铸造核算环节-</w:t>
            </w:r>
            <w:r>
              <w:rPr>
                <w:rFonts w:hint="eastAsia" w:cs="Times New Roman"/>
                <w:b w:val="0"/>
                <w:bCs w:val="0"/>
                <w:color w:val="auto"/>
                <w:sz w:val="24"/>
                <w:szCs w:val="24"/>
                <w:highlight w:val="none"/>
                <w:lang w:val="en-US" w:eastAsia="zh-CN"/>
              </w:rPr>
              <w:t>铸件</w:t>
            </w:r>
            <w:r>
              <w:rPr>
                <w:rFonts w:hint="eastAsia" w:ascii="Times New Roman" w:hAnsi="Times New Roman" w:cs="Times New Roman"/>
                <w:b w:val="0"/>
                <w:bCs w:val="0"/>
                <w:color w:val="auto"/>
                <w:sz w:val="24"/>
                <w:szCs w:val="24"/>
                <w:highlight w:val="none"/>
                <w:lang w:val="en-US" w:eastAsia="zh-CN"/>
              </w:rPr>
              <w:t>-熔炼（感应电炉/电阻炉及其他）工艺”中产排污系数进行源强核算。注砂、落砂</w:t>
            </w:r>
            <w:r>
              <w:rPr>
                <w:rFonts w:hint="eastAsia" w:ascii="Times New Roman" w:hAnsi="Times New Roman" w:eastAsia="宋体" w:cs="Times New Roman"/>
                <w:color w:val="000000"/>
                <w:kern w:val="0"/>
                <w:sz w:val="24"/>
                <w:szCs w:val="20"/>
                <w:highlight w:val="none"/>
                <w:lang w:val="en-US" w:eastAsia="zh-CN"/>
              </w:rPr>
              <w:t>过程中产生的废气，颗粒物参照《排放源统计调查产排污核算方法和系数手册》中-“机械行业系数手册-C33-C37行业核算环节01铸造核算环节-铸件-砂处理(树脂砂)工艺”中产排污系数进行源强核算。</w:t>
            </w:r>
          </w:p>
          <w:p w14:paraId="1EF4F35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0" w:firstLineChars="0"/>
              <w:jc w:val="center"/>
              <w:textAlignment w:val="auto"/>
              <w:rPr>
                <w:rFonts w:hint="default"/>
                <w:highlight w:val="none"/>
                <w:lang w:val="en-US" w:eastAsia="zh-CN"/>
              </w:rPr>
            </w:pPr>
            <w:r>
              <w:rPr>
                <w:rFonts w:hint="eastAsia" w:ascii="Times New Roman" w:hAnsi="Times New Roman" w:cs="Times New Roman"/>
                <w:b/>
                <w:bCs/>
                <w:color w:val="auto"/>
                <w:sz w:val="24"/>
                <w:szCs w:val="24"/>
                <w:highlight w:val="none"/>
                <w:lang w:val="en-US" w:eastAsia="zh-CN"/>
              </w:rPr>
              <w:t>表4-1    电炉熔化、注砂落砂工序废气源强核算</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1"/>
              <w:gridCol w:w="386"/>
              <w:gridCol w:w="661"/>
              <w:gridCol w:w="614"/>
              <w:gridCol w:w="653"/>
              <w:gridCol w:w="641"/>
              <w:gridCol w:w="546"/>
              <w:gridCol w:w="612"/>
              <w:gridCol w:w="587"/>
              <w:gridCol w:w="722"/>
              <w:gridCol w:w="614"/>
              <w:gridCol w:w="614"/>
              <w:gridCol w:w="631"/>
            </w:tblGrid>
            <w:tr w14:paraId="28333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357" w:type="pct"/>
                  <w:noWrap w:val="0"/>
                  <w:vAlign w:val="center"/>
                </w:tcPr>
                <w:p w14:paraId="20BB8782">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工序</w:t>
                  </w:r>
                </w:p>
              </w:tc>
              <w:tc>
                <w:tcPr>
                  <w:tcW w:w="246" w:type="pct"/>
                  <w:noWrap w:val="0"/>
                  <w:vAlign w:val="center"/>
                </w:tcPr>
                <w:p w14:paraId="5D8ABC4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污染物</w:t>
                  </w:r>
                </w:p>
              </w:tc>
              <w:tc>
                <w:tcPr>
                  <w:tcW w:w="421" w:type="pct"/>
                  <w:noWrap w:val="0"/>
                  <w:vAlign w:val="center"/>
                </w:tcPr>
                <w:p w14:paraId="58732C38">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产污系数</w:t>
                  </w:r>
                </w:p>
              </w:tc>
              <w:tc>
                <w:tcPr>
                  <w:tcW w:w="391" w:type="pct"/>
                  <w:noWrap w:val="0"/>
                  <w:vAlign w:val="center"/>
                </w:tcPr>
                <w:p w14:paraId="5BF8CF9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产能</w:t>
                  </w:r>
                </w:p>
                <w:p w14:paraId="44104F73">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t/a</w:t>
                  </w:r>
                </w:p>
              </w:tc>
              <w:tc>
                <w:tcPr>
                  <w:tcW w:w="416" w:type="pct"/>
                  <w:noWrap w:val="0"/>
                  <w:vAlign w:val="center"/>
                </w:tcPr>
                <w:p w14:paraId="79103DA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产生量t/a</w:t>
                  </w:r>
                </w:p>
              </w:tc>
              <w:tc>
                <w:tcPr>
                  <w:tcW w:w="408" w:type="pct"/>
                  <w:noWrap w:val="0"/>
                  <w:vAlign w:val="center"/>
                </w:tcPr>
                <w:p w14:paraId="15995468">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收集措施</w:t>
                  </w:r>
                </w:p>
              </w:tc>
              <w:tc>
                <w:tcPr>
                  <w:tcW w:w="348" w:type="pct"/>
                  <w:noWrap w:val="0"/>
                  <w:vAlign w:val="center"/>
                </w:tcPr>
                <w:p w14:paraId="4DB4D08D">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治理措施</w:t>
                  </w:r>
                </w:p>
              </w:tc>
              <w:tc>
                <w:tcPr>
                  <w:tcW w:w="390" w:type="pct"/>
                  <w:noWrap w:val="0"/>
                  <w:vAlign w:val="center"/>
                </w:tcPr>
                <w:p w14:paraId="581C37D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收集效率%</w:t>
                  </w:r>
                </w:p>
              </w:tc>
              <w:tc>
                <w:tcPr>
                  <w:tcW w:w="374" w:type="pct"/>
                  <w:noWrap w:val="0"/>
                  <w:vAlign w:val="center"/>
                </w:tcPr>
                <w:p w14:paraId="6360D09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处理效率%</w:t>
                  </w:r>
                </w:p>
              </w:tc>
              <w:tc>
                <w:tcPr>
                  <w:tcW w:w="460" w:type="pct"/>
                  <w:noWrap w:val="0"/>
                  <w:vAlign w:val="center"/>
                </w:tcPr>
                <w:p w14:paraId="55D4324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排放浓度mg/m</w:t>
                  </w:r>
                  <w:r>
                    <w:rPr>
                      <w:rFonts w:hint="default" w:ascii="Times New Roman" w:hAnsi="Times New Roman" w:cs="Times New Roman"/>
                      <w:b/>
                      <w:bCs/>
                      <w:color w:val="auto"/>
                      <w:spacing w:val="-23"/>
                      <w:sz w:val="21"/>
                      <w:szCs w:val="21"/>
                      <w:highlight w:val="none"/>
                      <w:vertAlign w:val="superscript"/>
                      <w:lang w:val="en-US" w:eastAsia="zh-CN"/>
                    </w:rPr>
                    <w:t>3</w:t>
                  </w:r>
                </w:p>
              </w:tc>
              <w:tc>
                <w:tcPr>
                  <w:tcW w:w="391" w:type="pct"/>
                  <w:noWrap w:val="0"/>
                  <w:vAlign w:val="center"/>
                </w:tcPr>
                <w:p w14:paraId="0C797525">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排放速率kg/h</w:t>
                  </w:r>
                </w:p>
              </w:tc>
              <w:tc>
                <w:tcPr>
                  <w:tcW w:w="391" w:type="pct"/>
                  <w:noWrap w:val="0"/>
                  <w:vAlign w:val="center"/>
                </w:tcPr>
                <w:p w14:paraId="6F1E3AB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b/>
                      <w:bCs/>
                      <w:color w:val="auto"/>
                      <w:spacing w:val="-23"/>
                      <w:sz w:val="21"/>
                      <w:szCs w:val="21"/>
                      <w:highlight w:val="none"/>
                      <w:vertAlign w:val="baseline"/>
                      <w:lang w:val="en-US" w:eastAsia="zh-CN" w:bidi="ar-SA"/>
                    </w:rPr>
                  </w:pPr>
                  <w:r>
                    <w:rPr>
                      <w:rFonts w:hint="default" w:ascii="Times New Roman" w:hAnsi="Times New Roman" w:cs="Times New Roman"/>
                      <w:b/>
                      <w:bCs/>
                      <w:color w:val="auto"/>
                      <w:spacing w:val="-23"/>
                      <w:sz w:val="21"/>
                      <w:szCs w:val="21"/>
                      <w:highlight w:val="none"/>
                      <w:vertAlign w:val="baseline"/>
                      <w:lang w:val="en-US" w:eastAsia="zh-CN"/>
                    </w:rPr>
                    <w:t>有组织排放量t/a</w:t>
                  </w:r>
                </w:p>
              </w:tc>
              <w:tc>
                <w:tcPr>
                  <w:tcW w:w="401" w:type="pct"/>
                  <w:noWrap w:val="0"/>
                  <w:vAlign w:val="center"/>
                </w:tcPr>
                <w:p w14:paraId="7AD86FBB">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b/>
                      <w:bCs/>
                      <w:color w:val="auto"/>
                      <w:spacing w:val="-23"/>
                      <w:sz w:val="21"/>
                      <w:szCs w:val="21"/>
                      <w:highlight w:val="none"/>
                      <w:vertAlign w:val="baseline"/>
                      <w:lang w:val="en-US" w:eastAsia="zh-CN"/>
                    </w:rPr>
                  </w:pPr>
                  <w:r>
                    <w:rPr>
                      <w:rFonts w:hint="default" w:ascii="Times New Roman" w:hAnsi="Times New Roman" w:cs="Times New Roman"/>
                      <w:b/>
                      <w:bCs/>
                      <w:color w:val="auto"/>
                      <w:spacing w:val="-23"/>
                      <w:sz w:val="21"/>
                      <w:szCs w:val="21"/>
                      <w:highlight w:val="none"/>
                      <w:vertAlign w:val="baseline"/>
                      <w:lang w:val="en-US" w:eastAsia="zh-CN"/>
                    </w:rPr>
                    <w:t>无组织排放量t/a</w:t>
                  </w:r>
                </w:p>
              </w:tc>
            </w:tr>
            <w:tr w14:paraId="61E16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357" w:type="pct"/>
                  <w:noWrap w:val="0"/>
                  <w:vAlign w:val="center"/>
                </w:tcPr>
                <w:p w14:paraId="0616037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熔化</w:t>
                  </w:r>
                </w:p>
              </w:tc>
              <w:tc>
                <w:tcPr>
                  <w:tcW w:w="246" w:type="pct"/>
                  <w:noWrap w:val="0"/>
                  <w:vAlign w:val="center"/>
                </w:tcPr>
                <w:p w14:paraId="6AA6C28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颗粒物</w:t>
                  </w:r>
                </w:p>
              </w:tc>
              <w:tc>
                <w:tcPr>
                  <w:tcW w:w="421" w:type="pct"/>
                  <w:noWrap w:val="0"/>
                  <w:vAlign w:val="center"/>
                </w:tcPr>
                <w:p w14:paraId="0F478DE3">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0.479kg/t-产品</w:t>
                  </w:r>
                </w:p>
              </w:tc>
              <w:tc>
                <w:tcPr>
                  <w:tcW w:w="391" w:type="pct"/>
                  <w:noWrap w:val="0"/>
                  <w:vAlign w:val="center"/>
                </w:tcPr>
                <w:p w14:paraId="20BB086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3000</w:t>
                  </w:r>
                </w:p>
              </w:tc>
              <w:tc>
                <w:tcPr>
                  <w:tcW w:w="416" w:type="pct"/>
                  <w:noWrap w:val="0"/>
                  <w:vAlign w:val="center"/>
                </w:tcPr>
                <w:p w14:paraId="1CEE3241">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1.437</w:t>
                  </w:r>
                </w:p>
              </w:tc>
              <w:tc>
                <w:tcPr>
                  <w:tcW w:w="408" w:type="pct"/>
                  <w:noWrap w:val="0"/>
                  <w:vAlign w:val="center"/>
                </w:tcPr>
                <w:p w14:paraId="606771A2">
                  <w:pPr>
                    <w:keepNext w:val="0"/>
                    <w:keepLines w:val="0"/>
                    <w:pageBreakBefore w:val="0"/>
                    <w:widowControl/>
                    <w:suppressLineNumbers w:val="0"/>
                    <w:kinsoku/>
                    <w:wordWrap/>
                    <w:overflowPunct/>
                    <w:topLinePunct w:val="0"/>
                    <w:bidi w:val="0"/>
                    <w:spacing w:before="0" w:beforeAutospacing="0" w:after="0" w:afterAutospacing="0" w:line="240" w:lineRule="exact"/>
                    <w:ind w:left="0" w:right="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集气罩+区域二次密闭</w:t>
                  </w:r>
                </w:p>
              </w:tc>
              <w:tc>
                <w:tcPr>
                  <w:tcW w:w="348" w:type="pct"/>
                  <w:vMerge w:val="restart"/>
                  <w:noWrap w:val="0"/>
                  <w:vAlign w:val="center"/>
                </w:tcPr>
                <w:p w14:paraId="64E33AB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布袋除尘器+25m排气筒DA001</w:t>
                  </w:r>
                </w:p>
              </w:tc>
              <w:tc>
                <w:tcPr>
                  <w:tcW w:w="390" w:type="pct"/>
                  <w:noWrap w:val="0"/>
                  <w:vAlign w:val="center"/>
                </w:tcPr>
                <w:p w14:paraId="7F93C1C6">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99%</w:t>
                  </w:r>
                </w:p>
              </w:tc>
              <w:tc>
                <w:tcPr>
                  <w:tcW w:w="374" w:type="pct"/>
                  <w:noWrap w:val="0"/>
                  <w:vAlign w:val="center"/>
                </w:tcPr>
                <w:p w14:paraId="3C591065">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99%</w:t>
                  </w:r>
                </w:p>
              </w:tc>
              <w:tc>
                <w:tcPr>
                  <w:tcW w:w="460" w:type="pct"/>
                  <w:vMerge w:val="restart"/>
                  <w:noWrap w:val="0"/>
                  <w:vAlign w:val="center"/>
                </w:tcPr>
                <w:p w14:paraId="487D4E2D">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eastAsia" w:ascii="Times New Roman" w:hAnsi="Times New Roman" w:cs="Times New Roman"/>
                      <w:b w:val="0"/>
                      <w:bCs w:val="0"/>
                      <w:color w:val="auto"/>
                      <w:spacing w:val="-23"/>
                      <w:sz w:val="21"/>
                      <w:szCs w:val="21"/>
                      <w:highlight w:val="none"/>
                      <w:vertAlign w:val="baseline"/>
                      <w:lang w:val="en-US" w:eastAsia="zh-CN"/>
                    </w:rPr>
                    <w:t>8.15</w:t>
                  </w:r>
                </w:p>
              </w:tc>
              <w:tc>
                <w:tcPr>
                  <w:tcW w:w="391" w:type="pct"/>
                  <w:vMerge w:val="restart"/>
                  <w:noWrap w:val="0"/>
                  <w:vAlign w:val="center"/>
                </w:tcPr>
                <w:p w14:paraId="46B4B46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eastAsia" w:ascii="Times New Roman" w:hAnsi="Times New Roman" w:cs="Times New Roman"/>
                      <w:b w:val="0"/>
                      <w:bCs w:val="0"/>
                      <w:color w:val="auto"/>
                      <w:spacing w:val="-23"/>
                      <w:sz w:val="21"/>
                      <w:szCs w:val="21"/>
                      <w:highlight w:val="none"/>
                      <w:vertAlign w:val="baseline"/>
                      <w:lang w:val="en-US" w:eastAsia="zh-CN"/>
                    </w:rPr>
                    <w:t>0.163</w:t>
                  </w:r>
                </w:p>
              </w:tc>
              <w:tc>
                <w:tcPr>
                  <w:tcW w:w="391" w:type="pct"/>
                  <w:vMerge w:val="restart"/>
                  <w:noWrap w:val="0"/>
                  <w:vAlign w:val="center"/>
                </w:tcPr>
                <w:p w14:paraId="371FBA2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eastAsia" w:ascii="Times New Roman" w:hAnsi="Times New Roman" w:cs="Times New Roman"/>
                      <w:b w:val="0"/>
                      <w:bCs w:val="0"/>
                      <w:color w:val="auto"/>
                      <w:spacing w:val="-23"/>
                      <w:sz w:val="21"/>
                      <w:szCs w:val="21"/>
                      <w:highlight w:val="none"/>
                      <w:vertAlign w:val="baseline"/>
                      <w:lang w:val="en-US" w:eastAsia="zh-CN"/>
                    </w:rPr>
                    <w:t>0.489</w:t>
                  </w:r>
                </w:p>
              </w:tc>
              <w:tc>
                <w:tcPr>
                  <w:tcW w:w="401" w:type="pct"/>
                  <w:vMerge w:val="restart"/>
                  <w:noWrap w:val="0"/>
                  <w:vAlign w:val="center"/>
                </w:tcPr>
                <w:p w14:paraId="430C0052">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eastAsia" w:ascii="Times New Roman" w:hAnsi="Times New Roman" w:cs="Times New Roman"/>
                      <w:b w:val="0"/>
                      <w:bCs w:val="0"/>
                      <w:color w:val="auto"/>
                      <w:spacing w:val="-23"/>
                      <w:sz w:val="21"/>
                      <w:szCs w:val="21"/>
                      <w:highlight w:val="none"/>
                      <w:vertAlign w:val="baseline"/>
                      <w:lang w:val="en-US" w:eastAsia="zh-CN"/>
                    </w:rPr>
                    <w:t>0.494</w:t>
                  </w:r>
                </w:p>
              </w:tc>
            </w:tr>
            <w:tr w14:paraId="5F126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57" w:type="pct"/>
                  <w:shd w:val="clear" w:color="auto" w:fill="auto"/>
                  <w:noWrap w:val="0"/>
                  <w:vAlign w:val="center"/>
                </w:tcPr>
                <w:p w14:paraId="318144A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注砂、落砂</w:t>
                  </w:r>
                </w:p>
              </w:tc>
              <w:tc>
                <w:tcPr>
                  <w:tcW w:w="246" w:type="pct"/>
                  <w:shd w:val="clear" w:color="auto" w:fill="auto"/>
                  <w:noWrap w:val="0"/>
                  <w:vAlign w:val="center"/>
                </w:tcPr>
                <w:p w14:paraId="1F337D93">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颗粒物</w:t>
                  </w:r>
                </w:p>
              </w:tc>
              <w:tc>
                <w:tcPr>
                  <w:tcW w:w="421" w:type="pct"/>
                  <w:shd w:val="clear" w:color="auto" w:fill="auto"/>
                  <w:noWrap w:val="0"/>
                  <w:vAlign w:val="center"/>
                </w:tcPr>
                <w:p w14:paraId="320C2C82">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16.0kg/t-产品</w:t>
                  </w:r>
                </w:p>
              </w:tc>
              <w:tc>
                <w:tcPr>
                  <w:tcW w:w="391" w:type="pct"/>
                  <w:shd w:val="clear" w:color="auto" w:fill="auto"/>
                  <w:noWrap w:val="0"/>
                  <w:vAlign w:val="center"/>
                </w:tcPr>
                <w:p w14:paraId="2E42B37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3000</w:t>
                  </w:r>
                </w:p>
              </w:tc>
              <w:tc>
                <w:tcPr>
                  <w:tcW w:w="416" w:type="pct"/>
                  <w:shd w:val="clear" w:color="auto" w:fill="auto"/>
                  <w:noWrap w:val="0"/>
                  <w:vAlign w:val="center"/>
                </w:tcPr>
                <w:p w14:paraId="01925BA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48</w:t>
                  </w:r>
                </w:p>
              </w:tc>
              <w:tc>
                <w:tcPr>
                  <w:tcW w:w="408" w:type="pct"/>
                  <w:noWrap w:val="0"/>
                  <w:vAlign w:val="center"/>
                </w:tcPr>
                <w:p w14:paraId="3E07AA66">
                  <w:pPr>
                    <w:keepNext w:val="0"/>
                    <w:keepLines w:val="0"/>
                    <w:pageBreakBefore w:val="0"/>
                    <w:widowControl/>
                    <w:suppressLineNumbers w:val="0"/>
                    <w:kinsoku/>
                    <w:wordWrap/>
                    <w:overflowPunct/>
                    <w:topLinePunct w:val="0"/>
                    <w:bidi w:val="0"/>
                    <w:spacing w:before="0" w:beforeAutospacing="0" w:after="0" w:afterAutospacing="0" w:line="240" w:lineRule="exact"/>
                    <w:ind w:left="0" w:right="0"/>
                    <w:jc w:val="left"/>
                    <w:textAlignment w:val="auto"/>
                    <w:rPr>
                      <w:rFonts w:hint="default" w:ascii="Times New Roman" w:hAnsi="Times New Roman" w:cs="Times New Roman"/>
                      <w:b w:val="0"/>
                      <w:bCs w:val="0"/>
                      <w:color w:val="auto"/>
                      <w:spacing w:val="-23"/>
                      <w:sz w:val="21"/>
                      <w:szCs w:val="21"/>
                      <w:highlight w:val="none"/>
                      <w:vertAlign w:val="baseline"/>
                      <w:lang w:val="en-US" w:eastAsia="zh-CN"/>
                    </w:rPr>
                  </w:pPr>
                  <w:r>
                    <w:rPr>
                      <w:rFonts w:hint="default" w:ascii="Times New Roman" w:hAnsi="Times New Roman" w:cs="Times New Roman"/>
                      <w:b w:val="0"/>
                      <w:bCs w:val="0"/>
                      <w:color w:val="auto"/>
                      <w:spacing w:val="-23"/>
                      <w:sz w:val="21"/>
                      <w:szCs w:val="21"/>
                      <w:highlight w:val="none"/>
                      <w:vertAlign w:val="baseline"/>
                      <w:lang w:val="en-US" w:eastAsia="zh-CN"/>
                    </w:rPr>
                    <w:t>集气罩（三面围挡）</w:t>
                  </w:r>
                </w:p>
              </w:tc>
              <w:tc>
                <w:tcPr>
                  <w:tcW w:w="348" w:type="pct"/>
                  <w:vMerge w:val="continue"/>
                  <w:noWrap w:val="0"/>
                  <w:vAlign w:val="center"/>
                </w:tcPr>
                <w:p w14:paraId="6F201AEE">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right="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p>
              </w:tc>
              <w:tc>
                <w:tcPr>
                  <w:tcW w:w="390" w:type="pct"/>
                  <w:shd w:val="clear" w:color="auto" w:fill="auto"/>
                  <w:noWrap w:val="0"/>
                  <w:vAlign w:val="center"/>
                </w:tcPr>
                <w:p w14:paraId="15D36F06">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99%</w:t>
                  </w:r>
                </w:p>
              </w:tc>
              <w:tc>
                <w:tcPr>
                  <w:tcW w:w="374" w:type="pct"/>
                  <w:shd w:val="clear" w:color="auto" w:fill="auto"/>
                  <w:noWrap w:val="0"/>
                  <w:vAlign w:val="center"/>
                </w:tcPr>
                <w:p w14:paraId="07ED118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r>
                    <w:rPr>
                      <w:rFonts w:hint="default" w:ascii="Times New Roman" w:hAnsi="Times New Roman" w:cs="Times New Roman"/>
                      <w:b w:val="0"/>
                      <w:bCs w:val="0"/>
                      <w:color w:val="auto"/>
                      <w:spacing w:val="-23"/>
                      <w:sz w:val="21"/>
                      <w:szCs w:val="21"/>
                      <w:highlight w:val="none"/>
                      <w:vertAlign w:val="baseline"/>
                      <w:lang w:val="en-US" w:eastAsia="zh-CN"/>
                    </w:rPr>
                    <w:t>99%</w:t>
                  </w:r>
                </w:p>
              </w:tc>
              <w:tc>
                <w:tcPr>
                  <w:tcW w:w="460" w:type="pct"/>
                  <w:vMerge w:val="continue"/>
                  <w:shd w:val="clear" w:color="auto" w:fill="auto"/>
                  <w:noWrap w:val="0"/>
                  <w:vAlign w:val="center"/>
                </w:tcPr>
                <w:p w14:paraId="3197547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p>
              </w:tc>
              <w:tc>
                <w:tcPr>
                  <w:tcW w:w="391" w:type="pct"/>
                  <w:vMerge w:val="continue"/>
                  <w:shd w:val="clear" w:color="auto" w:fill="auto"/>
                  <w:noWrap w:val="0"/>
                  <w:vAlign w:val="center"/>
                </w:tcPr>
                <w:p w14:paraId="0B659776">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cs="Times New Roman"/>
                      <w:b w:val="0"/>
                      <w:bCs w:val="0"/>
                      <w:color w:val="auto"/>
                      <w:spacing w:val="-23"/>
                      <w:sz w:val="21"/>
                      <w:szCs w:val="21"/>
                      <w:highlight w:val="none"/>
                      <w:vertAlign w:val="baseline"/>
                      <w:lang w:val="en-US" w:eastAsia="zh-CN"/>
                    </w:rPr>
                  </w:pPr>
                </w:p>
              </w:tc>
              <w:tc>
                <w:tcPr>
                  <w:tcW w:w="391" w:type="pct"/>
                  <w:vMerge w:val="continue"/>
                  <w:shd w:val="clear" w:color="auto" w:fill="auto"/>
                  <w:noWrap w:val="0"/>
                  <w:vAlign w:val="center"/>
                </w:tcPr>
                <w:p w14:paraId="4D8173A6">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p>
              </w:tc>
              <w:tc>
                <w:tcPr>
                  <w:tcW w:w="401" w:type="pct"/>
                  <w:vMerge w:val="continue"/>
                  <w:shd w:val="clear" w:color="auto" w:fill="auto"/>
                  <w:noWrap w:val="0"/>
                  <w:vAlign w:val="center"/>
                </w:tcPr>
                <w:p w14:paraId="2EBF0BF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exact"/>
                    <w:ind w:left="0" w:leftChars="0" w:right="0" w:rightChars="0" w:firstLine="0" w:firstLineChars="0"/>
                    <w:jc w:val="center"/>
                    <w:textAlignment w:val="auto"/>
                    <w:rPr>
                      <w:rFonts w:hint="default" w:ascii="Times New Roman" w:hAnsi="Times New Roman" w:eastAsia="宋体" w:cs="Times New Roman"/>
                      <w:b w:val="0"/>
                      <w:bCs w:val="0"/>
                      <w:color w:val="auto"/>
                      <w:spacing w:val="-23"/>
                      <w:sz w:val="21"/>
                      <w:szCs w:val="21"/>
                      <w:highlight w:val="none"/>
                      <w:vertAlign w:val="baseline"/>
                      <w:lang w:val="en-US" w:eastAsia="zh-CN" w:bidi="ar-SA"/>
                    </w:rPr>
                  </w:pPr>
                </w:p>
              </w:tc>
            </w:tr>
          </w:tbl>
          <w:p w14:paraId="592711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000000"/>
                <w:kern w:val="0"/>
                <w:sz w:val="24"/>
                <w:szCs w:val="20"/>
                <w:highlight w:val="none"/>
                <w:lang w:eastAsia="zh-CN"/>
              </w:rPr>
            </w:pPr>
            <w:r>
              <w:rPr>
                <w:rFonts w:hint="default" w:ascii="Times New Roman" w:hAnsi="Times New Roman" w:eastAsia="宋体" w:cs="Times New Roman"/>
                <w:color w:val="000000"/>
                <w:kern w:val="0"/>
                <w:sz w:val="24"/>
                <w:szCs w:val="20"/>
                <w:highlight w:val="none"/>
              </w:rPr>
              <w:t>采用集气罩收集废气的，风量按以下公式计算</w:t>
            </w:r>
            <w:r>
              <w:rPr>
                <w:rFonts w:hint="eastAsia" w:ascii="Times New Roman" w:hAnsi="Times New Roman" w:eastAsia="宋体" w:cs="Times New Roman"/>
                <w:color w:val="000000"/>
                <w:kern w:val="0"/>
                <w:sz w:val="24"/>
                <w:szCs w:val="20"/>
                <w:highlight w:val="none"/>
                <w:lang w:eastAsia="zh-CN"/>
              </w:rPr>
              <w:t>：</w:t>
            </w:r>
          </w:p>
          <w:p w14:paraId="0C94DC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Q</w:t>
            </w:r>
            <w:r>
              <w:rPr>
                <w:rFonts w:hint="default" w:ascii="Times New Roman" w:hAnsi="Times New Roman" w:eastAsia="宋体" w:cs="Times New Roman"/>
                <w:color w:val="000000"/>
                <w:kern w:val="0"/>
                <w:sz w:val="24"/>
                <w:szCs w:val="20"/>
                <w:highlight w:val="none"/>
                <w:lang w:val="en-US" w:eastAsia="zh-CN"/>
              </w:rPr>
              <w:t>=3600×V</w:t>
            </w:r>
            <w:r>
              <w:rPr>
                <w:rFonts w:hint="eastAsia" w:ascii="Times New Roman" w:hAnsi="Times New Roman" w:eastAsia="宋体" w:cs="Times New Roman"/>
                <w:color w:val="000000"/>
                <w:kern w:val="0"/>
                <w:sz w:val="24"/>
                <w:szCs w:val="20"/>
                <w:highlight w:val="none"/>
                <w:vertAlign w:val="subscript"/>
                <w:lang w:val="en-US" w:eastAsia="zh-CN"/>
              </w:rPr>
              <w:t>x</w:t>
            </w:r>
            <w:r>
              <w:rPr>
                <w:rFonts w:hint="default" w:ascii="Times New Roman" w:hAnsi="Times New Roman" w:eastAsia="宋体" w:cs="Times New Roman"/>
                <w:color w:val="000000"/>
                <w:kern w:val="0"/>
                <w:sz w:val="24"/>
                <w:szCs w:val="20"/>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F</w:t>
            </w:r>
          </w:p>
          <w:p w14:paraId="4C4A07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rPr>
              <w:t>式中：</w:t>
            </w:r>
            <w:r>
              <w:rPr>
                <w:rFonts w:hint="eastAsia" w:ascii="Times New Roman" w:hAnsi="Times New Roman" w:eastAsia="宋体" w:cs="Times New Roman"/>
                <w:color w:val="000000"/>
                <w:kern w:val="0"/>
                <w:sz w:val="24"/>
                <w:szCs w:val="20"/>
                <w:highlight w:val="none"/>
                <w:lang w:val="en-US" w:eastAsia="zh-CN"/>
              </w:rPr>
              <w:t>Q</w:t>
            </w:r>
            <w:r>
              <w:rPr>
                <w:rFonts w:hint="default" w:ascii="Times New Roman" w:hAnsi="Times New Roman" w:eastAsia="宋体" w:cs="Times New Roman"/>
                <w:color w:val="000000"/>
                <w:kern w:val="0"/>
                <w:sz w:val="24"/>
                <w:szCs w:val="20"/>
                <w:highlight w:val="none"/>
              </w:rPr>
              <w:t>—</w:t>
            </w:r>
            <w:r>
              <w:rPr>
                <w:rFonts w:hint="eastAsia" w:ascii="Times New Roman" w:hAnsi="Times New Roman" w:eastAsia="宋体" w:cs="Times New Roman"/>
                <w:color w:val="000000"/>
                <w:kern w:val="0"/>
                <w:sz w:val="24"/>
                <w:szCs w:val="20"/>
                <w:highlight w:val="none"/>
                <w:lang w:val="en-US" w:eastAsia="zh-CN"/>
              </w:rPr>
              <w:t>集气罩排风量</w:t>
            </w:r>
            <w:r>
              <w:rPr>
                <w:rFonts w:hint="default" w:ascii="Times New Roman" w:hAnsi="Times New Roman" w:eastAsia="宋体" w:cs="Times New Roman"/>
                <w:color w:val="000000"/>
                <w:kern w:val="0"/>
                <w:sz w:val="24"/>
                <w:szCs w:val="20"/>
                <w:highlight w:val="none"/>
                <w:lang w:val="en-US" w:eastAsia="zh-CN"/>
              </w:rPr>
              <w:t>，m³/h；</w:t>
            </w:r>
          </w:p>
          <w:p w14:paraId="0FCF02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200" w:firstLineChars="500"/>
              <w:textAlignment w:val="auto"/>
              <w:rPr>
                <w:rFonts w:hint="default"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F</w:t>
            </w:r>
            <w:r>
              <w:rPr>
                <w:rFonts w:hint="default" w:ascii="Times New Roman" w:hAnsi="Times New Roman" w:eastAsia="宋体" w:cs="Times New Roman"/>
                <w:color w:val="000000"/>
                <w:kern w:val="0"/>
                <w:sz w:val="24"/>
                <w:szCs w:val="20"/>
                <w:highlight w:val="none"/>
              </w:rPr>
              <w:t>—</w:t>
            </w:r>
            <w:r>
              <w:rPr>
                <w:rFonts w:hint="eastAsia" w:ascii="Times New Roman" w:hAnsi="Times New Roman" w:eastAsia="宋体" w:cs="Times New Roman"/>
                <w:color w:val="000000"/>
                <w:kern w:val="0"/>
                <w:sz w:val="24"/>
                <w:szCs w:val="20"/>
                <w:highlight w:val="none"/>
                <w:lang w:val="en-US" w:eastAsia="zh-CN"/>
              </w:rPr>
              <w:t>集气罩</w:t>
            </w:r>
            <w:r>
              <w:rPr>
                <w:rFonts w:hint="default" w:ascii="Times New Roman" w:hAnsi="Times New Roman" w:eastAsia="宋体" w:cs="Times New Roman"/>
                <w:color w:val="000000"/>
                <w:kern w:val="0"/>
                <w:sz w:val="24"/>
                <w:szCs w:val="20"/>
                <w:highlight w:val="none"/>
                <w:lang w:val="en-US" w:eastAsia="zh-CN"/>
              </w:rPr>
              <w:t>面积，m</w:t>
            </w:r>
            <w:r>
              <w:rPr>
                <w:rFonts w:hint="eastAsia" w:ascii="Times New Roman" w:hAnsi="Times New Roman" w:eastAsia="宋体" w:cs="Times New Roman"/>
                <w:color w:val="000000"/>
                <w:kern w:val="0"/>
                <w:sz w:val="24"/>
                <w:szCs w:val="20"/>
                <w:highlight w:val="none"/>
                <w:vertAlign w:val="superscript"/>
                <w:lang w:val="en-US" w:eastAsia="zh-CN"/>
              </w:rPr>
              <w:t>2</w:t>
            </w:r>
            <w:r>
              <w:rPr>
                <w:rFonts w:hint="default" w:ascii="Times New Roman" w:hAnsi="Times New Roman" w:eastAsia="宋体" w:cs="Times New Roman"/>
                <w:color w:val="000000"/>
                <w:kern w:val="0"/>
                <w:sz w:val="24"/>
                <w:szCs w:val="20"/>
                <w:highlight w:val="none"/>
                <w:lang w:val="en-US" w:eastAsia="zh-CN"/>
              </w:rPr>
              <w:t>；</w:t>
            </w:r>
          </w:p>
          <w:p w14:paraId="72699E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200" w:firstLineChars="500"/>
              <w:textAlignment w:val="auto"/>
              <w:rPr>
                <w:rFonts w:hint="default" w:ascii="Times New Roman" w:hAnsi="Times New Roman" w:eastAsia="宋体"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lang w:val="en-US" w:eastAsia="zh-CN"/>
              </w:rPr>
              <w:t>V</w:t>
            </w:r>
            <w:r>
              <w:rPr>
                <w:rFonts w:hint="eastAsia" w:ascii="Times New Roman" w:hAnsi="Times New Roman" w:eastAsia="宋体" w:cs="Times New Roman"/>
                <w:color w:val="000000"/>
                <w:kern w:val="0"/>
                <w:sz w:val="24"/>
                <w:szCs w:val="20"/>
                <w:highlight w:val="none"/>
                <w:vertAlign w:val="subscript"/>
                <w:lang w:val="en-US" w:eastAsia="zh-CN"/>
              </w:rPr>
              <w:t>x</w:t>
            </w:r>
            <w:r>
              <w:rPr>
                <w:rFonts w:hint="default" w:ascii="Times New Roman" w:hAnsi="Times New Roman" w:eastAsia="宋体" w:cs="Times New Roman"/>
                <w:color w:val="000000"/>
                <w:kern w:val="0"/>
                <w:sz w:val="24"/>
                <w:szCs w:val="20"/>
                <w:highlight w:val="none"/>
              </w:rPr>
              <w:t>—</w:t>
            </w:r>
            <w:r>
              <w:rPr>
                <w:rFonts w:hint="default" w:ascii="Times New Roman" w:hAnsi="Times New Roman" w:eastAsia="宋体" w:cs="Times New Roman"/>
                <w:color w:val="000000"/>
                <w:kern w:val="0"/>
                <w:sz w:val="24"/>
                <w:szCs w:val="20"/>
                <w:highlight w:val="none"/>
                <w:lang w:val="en-US" w:eastAsia="zh-CN"/>
              </w:rPr>
              <w:t>风速，</w:t>
            </w:r>
            <w:r>
              <w:rPr>
                <w:rFonts w:hint="eastAsia" w:ascii="Times New Roman" w:hAnsi="Times New Roman" w:eastAsia="宋体" w:cs="Times New Roman"/>
                <w:color w:val="000000"/>
                <w:sz w:val="24"/>
                <w:szCs w:val="24"/>
                <w:highlight w:val="none"/>
                <w:lang w:val="en-US" w:eastAsia="zh-CN"/>
              </w:rPr>
              <w:t>m/s，</w:t>
            </w:r>
            <w:r>
              <w:rPr>
                <w:rFonts w:hint="eastAsia" w:ascii="Times New Roman" w:hAnsi="Times New Roman" w:eastAsia="宋体" w:cs="Times New Roman"/>
                <w:color w:val="000000"/>
                <w:kern w:val="0"/>
                <w:sz w:val="24"/>
                <w:szCs w:val="20"/>
                <w:highlight w:val="none"/>
                <w:lang w:val="en-US" w:eastAsia="zh-CN"/>
              </w:rPr>
              <w:t>根据《局部排风设施控制风速检测与评估技术规范》（AQ/T4274-2016），上吸式控制风速为1.2m/s。</w:t>
            </w:r>
          </w:p>
          <w:p w14:paraId="2C7996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auto"/>
                <w:kern w:val="0"/>
                <w:sz w:val="24"/>
                <w:szCs w:val="20"/>
                <w:highlight w:val="none"/>
                <w:lang w:eastAsia="zh-CN"/>
              </w:rPr>
            </w:pPr>
            <w:r>
              <w:rPr>
                <w:rFonts w:hint="eastAsia" w:ascii="Times New Roman" w:hAnsi="Times New Roman" w:eastAsia="宋体" w:cs="Times New Roman"/>
                <w:color w:val="auto"/>
                <w:kern w:val="0"/>
                <w:sz w:val="24"/>
                <w:szCs w:val="20"/>
                <w:highlight w:val="none"/>
                <w:lang w:val="en-US" w:eastAsia="zh-CN"/>
              </w:rPr>
              <w:t>本项目设有2台中频炉</w:t>
            </w:r>
            <w:r>
              <w:rPr>
                <w:rFonts w:hint="eastAsia" w:cs="Times New Roman"/>
                <w:color w:val="auto"/>
                <w:kern w:val="0"/>
                <w:sz w:val="24"/>
                <w:szCs w:val="20"/>
                <w:highlight w:val="none"/>
                <w:lang w:val="en-US" w:eastAsia="zh-CN"/>
              </w:rPr>
              <w:t>（用1备1）</w:t>
            </w:r>
            <w:r>
              <w:rPr>
                <w:rFonts w:hint="eastAsia" w:ascii="Times New Roman" w:hAnsi="Times New Roman" w:eastAsia="宋体" w:cs="Times New Roman"/>
                <w:color w:val="auto"/>
                <w:kern w:val="0"/>
                <w:sz w:val="24"/>
                <w:szCs w:val="20"/>
                <w:highlight w:val="none"/>
                <w:lang w:val="en-US" w:eastAsia="zh-CN"/>
              </w:rPr>
              <w:t>，中频炉集气罩尺寸为1m×1m，</w:t>
            </w:r>
            <w:r>
              <w:rPr>
                <w:rFonts w:hint="eastAsia" w:ascii="Times New Roman" w:hAnsi="Times New Roman" w:cs="Times New Roman"/>
                <w:b w:val="0"/>
                <w:bCs w:val="0"/>
                <w:color w:val="auto"/>
                <w:spacing w:val="0"/>
                <w:sz w:val="24"/>
                <w:szCs w:val="24"/>
                <w:highlight w:val="none"/>
                <w:vertAlign w:val="baseline"/>
                <w:lang w:val="en-US" w:eastAsia="zh-CN"/>
              </w:rPr>
              <w:t>区域</w:t>
            </w:r>
            <w:r>
              <w:rPr>
                <w:rFonts w:hint="eastAsia" w:cs="Times New Roman"/>
                <w:b w:val="0"/>
                <w:bCs w:val="0"/>
                <w:color w:val="auto"/>
                <w:spacing w:val="0"/>
                <w:sz w:val="24"/>
                <w:szCs w:val="24"/>
                <w:highlight w:val="none"/>
                <w:vertAlign w:val="baseline"/>
                <w:lang w:val="en-US" w:eastAsia="zh-CN"/>
              </w:rPr>
              <w:t>做</w:t>
            </w:r>
            <w:r>
              <w:rPr>
                <w:rFonts w:hint="eastAsia" w:ascii="Times New Roman" w:hAnsi="Times New Roman" w:cs="Times New Roman"/>
                <w:b w:val="0"/>
                <w:bCs w:val="0"/>
                <w:color w:val="auto"/>
                <w:spacing w:val="0"/>
                <w:sz w:val="24"/>
                <w:szCs w:val="24"/>
                <w:highlight w:val="none"/>
                <w:vertAlign w:val="baseline"/>
                <w:lang w:val="en-US" w:eastAsia="zh-CN"/>
              </w:rPr>
              <w:t>二次</w:t>
            </w:r>
            <w:r>
              <w:rPr>
                <w:rFonts w:hint="eastAsia" w:cs="Times New Roman"/>
                <w:b w:val="0"/>
                <w:bCs w:val="0"/>
                <w:color w:val="auto"/>
                <w:spacing w:val="0"/>
                <w:sz w:val="24"/>
                <w:szCs w:val="24"/>
                <w:highlight w:val="none"/>
                <w:vertAlign w:val="baseline"/>
                <w:lang w:val="en-US" w:eastAsia="zh-CN"/>
              </w:rPr>
              <w:t>密闭；注砂、落</w:t>
            </w:r>
            <w:r>
              <w:rPr>
                <w:rFonts w:hint="eastAsia" w:cs="Times New Roman"/>
                <w:color w:val="auto"/>
                <w:kern w:val="0"/>
                <w:sz w:val="24"/>
                <w:szCs w:val="20"/>
                <w:highlight w:val="none"/>
                <w:lang w:val="en-US" w:eastAsia="zh-CN"/>
              </w:rPr>
              <w:t>砂在沙箱进行，其</w:t>
            </w:r>
            <w:r>
              <w:rPr>
                <w:rFonts w:hint="eastAsia" w:ascii="Times New Roman" w:hAnsi="Times New Roman" w:eastAsia="宋体" w:cs="Times New Roman"/>
                <w:color w:val="auto"/>
                <w:kern w:val="0"/>
                <w:sz w:val="24"/>
                <w:szCs w:val="20"/>
                <w:highlight w:val="none"/>
                <w:lang w:val="en-US" w:eastAsia="zh-CN"/>
              </w:rPr>
              <w:t>集气罩尺寸为</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m×</w:t>
            </w:r>
            <w:r>
              <w:rPr>
                <w:rFonts w:hint="eastAsia" w:ascii="Times New Roman" w:hAnsi="Times New Roman" w:cs="Times New Roman"/>
                <w:color w:val="auto"/>
                <w:sz w:val="24"/>
                <w:szCs w:val="24"/>
                <w:highlight w:val="none"/>
                <w:lang w:val="en-US" w:eastAsia="zh-CN"/>
              </w:rPr>
              <w:t>1.5</w:t>
            </w:r>
            <w:r>
              <w:rPr>
                <w:rFonts w:hint="default" w:ascii="Times New Roman" w:hAnsi="Times New Roman" w:cs="Times New Roman"/>
                <w:color w:val="auto"/>
                <w:sz w:val="24"/>
                <w:szCs w:val="24"/>
                <w:highlight w:val="none"/>
                <w:lang w:val="en-US" w:eastAsia="zh-CN"/>
              </w:rPr>
              <w:t>m</w:t>
            </w:r>
            <w:r>
              <w:rPr>
                <w:rFonts w:hint="eastAsia"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kern w:val="0"/>
                <w:sz w:val="24"/>
                <w:szCs w:val="20"/>
                <w:highlight w:val="none"/>
              </w:rPr>
              <w:t>经计算</w:t>
            </w:r>
            <w:r>
              <w:rPr>
                <w:rFonts w:hint="eastAsia" w:ascii="Times New Roman" w:hAnsi="Times New Roman" w:eastAsia="宋体" w:cs="Times New Roman"/>
                <w:color w:val="auto"/>
                <w:kern w:val="0"/>
                <w:sz w:val="24"/>
                <w:szCs w:val="20"/>
                <w:highlight w:val="none"/>
                <w:lang w:eastAsia="zh-CN"/>
              </w:rPr>
              <w:t>，</w:t>
            </w:r>
            <w:r>
              <w:rPr>
                <w:rFonts w:hint="eastAsia" w:ascii="Times New Roman" w:hAnsi="Times New Roman" w:eastAsia="宋体" w:cs="Times New Roman"/>
                <w:color w:val="auto"/>
                <w:kern w:val="0"/>
                <w:sz w:val="24"/>
                <w:szCs w:val="20"/>
                <w:highlight w:val="none"/>
                <w:lang w:val="en-US" w:eastAsia="zh-CN"/>
              </w:rPr>
              <w:t>集气罩风量Q</w:t>
            </w:r>
            <w:r>
              <w:rPr>
                <w:rFonts w:hint="default" w:ascii="Times New Roman" w:hAnsi="Times New Roman" w:eastAsia="宋体" w:cs="Times New Roman"/>
                <w:color w:val="auto"/>
                <w:kern w:val="0"/>
                <w:sz w:val="24"/>
                <w:szCs w:val="20"/>
                <w:highlight w:val="none"/>
              </w:rPr>
              <w:t>为</w:t>
            </w:r>
            <w:r>
              <w:rPr>
                <w:rFonts w:hint="eastAsia" w:cs="Times New Roman"/>
                <w:color w:val="auto"/>
                <w:kern w:val="0"/>
                <w:sz w:val="24"/>
                <w:szCs w:val="20"/>
                <w:highlight w:val="none"/>
                <w:lang w:val="en-US" w:eastAsia="zh-CN"/>
              </w:rPr>
              <w:t>17280</w:t>
            </w:r>
            <w:r>
              <w:rPr>
                <w:rFonts w:hint="default" w:ascii="Times New Roman" w:hAnsi="Times New Roman" w:eastAsia="宋体" w:cs="Times New Roman"/>
                <w:color w:val="auto"/>
                <w:kern w:val="0"/>
                <w:sz w:val="24"/>
                <w:szCs w:val="20"/>
                <w:highlight w:val="none"/>
              </w:rPr>
              <w:t>m</w:t>
            </w:r>
            <w:r>
              <w:rPr>
                <w:rFonts w:hint="default" w:ascii="Times New Roman" w:hAnsi="Times New Roman" w:eastAsia="宋体" w:cs="Times New Roman"/>
                <w:color w:val="auto"/>
                <w:kern w:val="0"/>
                <w:sz w:val="24"/>
                <w:szCs w:val="20"/>
                <w:highlight w:val="none"/>
                <w:vertAlign w:val="superscript"/>
              </w:rPr>
              <w:t>3</w:t>
            </w:r>
            <w:r>
              <w:rPr>
                <w:rFonts w:hint="default" w:ascii="Times New Roman" w:hAnsi="Times New Roman" w:eastAsia="宋体" w:cs="Times New Roman"/>
                <w:color w:val="auto"/>
                <w:kern w:val="0"/>
                <w:sz w:val="24"/>
                <w:szCs w:val="20"/>
                <w:highlight w:val="none"/>
              </w:rPr>
              <w:t>/h</w:t>
            </w:r>
            <w:r>
              <w:rPr>
                <w:rFonts w:hint="eastAsia" w:cs="Times New Roman"/>
                <w:color w:val="auto"/>
                <w:kern w:val="0"/>
                <w:sz w:val="24"/>
                <w:szCs w:val="20"/>
                <w:highlight w:val="none"/>
                <w:lang w:eastAsia="zh-CN"/>
              </w:rPr>
              <w:t>，</w:t>
            </w:r>
            <w:r>
              <w:rPr>
                <w:rFonts w:hint="default" w:ascii="Times New Roman" w:hAnsi="Times New Roman" w:eastAsia="宋体" w:cs="Times New Roman"/>
                <w:color w:val="auto"/>
                <w:kern w:val="0"/>
                <w:sz w:val="24"/>
                <w:szCs w:val="20"/>
                <w:highlight w:val="none"/>
                <w:lang w:eastAsia="zh-CN"/>
              </w:rPr>
              <w:t>考虑管道损失，</w:t>
            </w:r>
            <w:r>
              <w:rPr>
                <w:rFonts w:hint="default" w:ascii="Times New Roman" w:hAnsi="Times New Roman" w:eastAsia="宋体" w:cs="Times New Roman"/>
                <w:color w:val="auto"/>
                <w:kern w:val="0"/>
                <w:sz w:val="24"/>
                <w:szCs w:val="20"/>
                <w:highlight w:val="none"/>
              </w:rPr>
              <w:t>设计风量为</w:t>
            </w:r>
            <w:r>
              <w:rPr>
                <w:rFonts w:hint="eastAsia" w:cs="Times New Roman"/>
                <w:color w:val="auto"/>
                <w:kern w:val="0"/>
                <w:sz w:val="24"/>
                <w:szCs w:val="20"/>
                <w:highlight w:val="none"/>
                <w:lang w:val="en-US" w:eastAsia="zh-CN"/>
              </w:rPr>
              <w:t>20000</w:t>
            </w:r>
            <w:r>
              <w:rPr>
                <w:rFonts w:hint="default" w:ascii="Times New Roman" w:hAnsi="Times New Roman" w:eastAsia="宋体" w:cs="Times New Roman"/>
                <w:color w:val="auto"/>
                <w:kern w:val="0"/>
                <w:sz w:val="24"/>
                <w:szCs w:val="20"/>
                <w:highlight w:val="none"/>
              </w:rPr>
              <w:t>m</w:t>
            </w:r>
            <w:r>
              <w:rPr>
                <w:rFonts w:hint="default" w:ascii="Times New Roman" w:hAnsi="Times New Roman" w:eastAsia="宋体" w:cs="Times New Roman"/>
                <w:color w:val="auto"/>
                <w:kern w:val="0"/>
                <w:sz w:val="24"/>
                <w:szCs w:val="20"/>
                <w:highlight w:val="none"/>
                <w:vertAlign w:val="superscript"/>
              </w:rPr>
              <w:t>3</w:t>
            </w:r>
            <w:r>
              <w:rPr>
                <w:rFonts w:hint="default" w:ascii="Times New Roman" w:hAnsi="Times New Roman" w:eastAsia="宋体" w:cs="Times New Roman"/>
                <w:color w:val="auto"/>
                <w:kern w:val="0"/>
                <w:sz w:val="24"/>
                <w:szCs w:val="20"/>
                <w:highlight w:val="none"/>
              </w:rPr>
              <w:t>/h</w:t>
            </w:r>
            <w:r>
              <w:rPr>
                <w:rFonts w:hint="eastAsia" w:cs="Times New Roman"/>
                <w:color w:val="auto"/>
                <w:kern w:val="0"/>
                <w:sz w:val="24"/>
                <w:szCs w:val="20"/>
                <w:highlight w:val="none"/>
                <w:lang w:val="en-US" w:eastAsia="zh-CN"/>
              </w:rPr>
              <w:t>。</w:t>
            </w:r>
          </w:p>
          <w:p w14:paraId="057185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项目电炉熔化、注砂</w:t>
            </w:r>
            <w:r>
              <w:rPr>
                <w:rFonts w:hint="eastAsia" w:cs="Times New Roman"/>
                <w:color w:val="000000"/>
                <w:kern w:val="0"/>
                <w:sz w:val="24"/>
                <w:szCs w:val="20"/>
                <w:highlight w:val="none"/>
                <w:lang w:val="en-US" w:eastAsia="zh-CN"/>
              </w:rPr>
              <w:t>落砂</w:t>
            </w:r>
            <w:r>
              <w:rPr>
                <w:rFonts w:hint="eastAsia" w:ascii="Times New Roman" w:hAnsi="Times New Roman" w:eastAsia="宋体" w:cs="Times New Roman"/>
                <w:color w:val="000000"/>
                <w:kern w:val="0"/>
                <w:sz w:val="24"/>
                <w:szCs w:val="20"/>
                <w:highlight w:val="none"/>
                <w:lang w:val="en-US" w:eastAsia="zh-CN"/>
              </w:rPr>
              <w:t>废气，经收集引至1套“布袋除尘器装置”处理后，通过</w:t>
            </w:r>
            <w:r>
              <w:rPr>
                <w:rFonts w:hint="eastAsia" w:cs="Times New Roman"/>
                <w:color w:val="000000"/>
                <w:kern w:val="0"/>
                <w:sz w:val="24"/>
                <w:szCs w:val="20"/>
                <w:highlight w:val="none"/>
                <w:lang w:val="en-US" w:eastAsia="zh-CN"/>
              </w:rPr>
              <w:t>2</w:t>
            </w:r>
            <w:r>
              <w:rPr>
                <w:rFonts w:hint="default" w:ascii="Times New Roman" w:hAnsi="Times New Roman" w:eastAsia="宋体" w:cs="Times New Roman"/>
                <w:color w:val="000000"/>
                <w:kern w:val="0"/>
                <w:sz w:val="24"/>
                <w:szCs w:val="20"/>
                <w:highlight w:val="none"/>
                <w:lang w:val="en-US" w:eastAsia="zh-CN"/>
              </w:rPr>
              <w:t>5m排气筒</w:t>
            </w:r>
            <w:r>
              <w:rPr>
                <w:rFonts w:hint="eastAsia" w:ascii="Times New Roman" w:hAnsi="Times New Roman" w:eastAsia="宋体" w:cs="Times New Roman"/>
                <w:color w:val="000000"/>
                <w:kern w:val="0"/>
                <w:sz w:val="24"/>
                <w:szCs w:val="20"/>
                <w:highlight w:val="none"/>
                <w:lang w:val="en-US" w:eastAsia="zh-CN"/>
              </w:rPr>
              <w:t>DA001</w:t>
            </w:r>
            <w:r>
              <w:rPr>
                <w:rFonts w:hint="default" w:ascii="Times New Roman" w:hAnsi="Times New Roman" w:eastAsia="宋体" w:cs="Times New Roman"/>
                <w:color w:val="000000"/>
                <w:kern w:val="0"/>
                <w:sz w:val="24"/>
                <w:szCs w:val="20"/>
                <w:highlight w:val="none"/>
                <w:lang w:val="en-US" w:eastAsia="zh-CN"/>
              </w:rPr>
              <w:t>排放</w:t>
            </w:r>
            <w:r>
              <w:rPr>
                <w:rFonts w:hint="eastAsia" w:ascii="Times New Roman" w:hAnsi="Times New Roman" w:eastAsia="宋体" w:cs="Times New Roman"/>
                <w:color w:val="000000"/>
                <w:kern w:val="0"/>
                <w:sz w:val="24"/>
                <w:szCs w:val="20"/>
                <w:highlight w:val="none"/>
                <w:lang w:val="en-US" w:eastAsia="zh-CN"/>
              </w:rPr>
              <w:t>。年工作时间为</w:t>
            </w:r>
            <w:r>
              <w:rPr>
                <w:rFonts w:hint="eastAsia" w:cs="Times New Roman"/>
                <w:color w:val="000000"/>
                <w:kern w:val="0"/>
                <w:sz w:val="24"/>
                <w:szCs w:val="20"/>
                <w:highlight w:val="none"/>
                <w:lang w:val="en-US" w:eastAsia="zh-CN"/>
              </w:rPr>
              <w:t>30</w:t>
            </w:r>
            <w:r>
              <w:rPr>
                <w:rFonts w:hint="eastAsia" w:ascii="Times New Roman" w:hAnsi="Times New Roman" w:eastAsia="宋体" w:cs="Times New Roman"/>
                <w:color w:val="000000"/>
                <w:kern w:val="0"/>
                <w:sz w:val="24"/>
                <w:szCs w:val="20"/>
                <w:highlight w:val="none"/>
                <w:lang w:val="en-US" w:eastAsia="zh-CN"/>
              </w:rPr>
              <w:t>00h，风机风量按2</w:t>
            </w:r>
            <w:r>
              <w:rPr>
                <w:rFonts w:hint="eastAsia" w:cs="Times New Roman"/>
                <w:color w:val="000000"/>
                <w:kern w:val="0"/>
                <w:sz w:val="24"/>
                <w:szCs w:val="20"/>
                <w:highlight w:val="none"/>
                <w:lang w:val="en-US" w:eastAsia="zh-CN"/>
              </w:rPr>
              <w:t>0</w:t>
            </w:r>
            <w:r>
              <w:rPr>
                <w:rFonts w:hint="eastAsia" w:ascii="Times New Roman" w:hAnsi="Times New Roman" w:eastAsia="宋体" w:cs="Times New Roman"/>
                <w:color w:val="000000"/>
                <w:kern w:val="0"/>
                <w:sz w:val="24"/>
                <w:szCs w:val="20"/>
                <w:highlight w:val="none"/>
                <w:lang w:val="en-US" w:eastAsia="zh-CN"/>
              </w:rPr>
              <w:t>000m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/h计，颗粒物</w:t>
            </w:r>
            <w:r>
              <w:rPr>
                <w:rFonts w:hint="eastAsia" w:cs="Times New Roman"/>
                <w:color w:val="000000"/>
                <w:kern w:val="0"/>
                <w:sz w:val="24"/>
                <w:szCs w:val="20"/>
                <w:highlight w:val="none"/>
                <w:lang w:val="en-US" w:eastAsia="zh-CN"/>
              </w:rPr>
              <w:t>收集量为48.943t/a，产生</w:t>
            </w:r>
            <w:r>
              <w:rPr>
                <w:rFonts w:hint="eastAsia" w:ascii="Times New Roman" w:hAnsi="Times New Roman" w:eastAsia="宋体" w:cs="Times New Roman"/>
                <w:color w:val="000000"/>
                <w:kern w:val="0"/>
                <w:sz w:val="24"/>
                <w:szCs w:val="20"/>
                <w:highlight w:val="none"/>
                <w:lang w:val="en-US" w:eastAsia="zh-CN"/>
              </w:rPr>
              <w:t>浓度为</w:t>
            </w:r>
            <w:r>
              <w:rPr>
                <w:rFonts w:hint="eastAsia" w:cs="Times New Roman"/>
                <w:color w:val="000000"/>
                <w:kern w:val="0"/>
                <w:sz w:val="24"/>
                <w:szCs w:val="20"/>
                <w:highlight w:val="none"/>
                <w:lang w:val="en-US" w:eastAsia="zh-CN"/>
              </w:rPr>
              <w:t>815.717</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w:t>
            </w:r>
            <w:r>
              <w:rPr>
                <w:rFonts w:hint="eastAsia" w:cs="Times New Roman"/>
                <w:color w:val="000000"/>
                <w:kern w:val="0"/>
                <w:sz w:val="24"/>
                <w:szCs w:val="20"/>
                <w:highlight w:val="none"/>
                <w:lang w:val="en-US" w:eastAsia="zh-CN"/>
              </w:rPr>
              <w:t>产生</w:t>
            </w:r>
            <w:r>
              <w:rPr>
                <w:rFonts w:hint="eastAsia" w:ascii="Times New Roman" w:hAnsi="Times New Roman" w:eastAsia="宋体" w:cs="Times New Roman"/>
                <w:color w:val="000000"/>
                <w:kern w:val="0"/>
                <w:sz w:val="24"/>
                <w:szCs w:val="20"/>
                <w:highlight w:val="none"/>
                <w:lang w:val="en-US" w:eastAsia="zh-CN"/>
              </w:rPr>
              <w:t>速率为</w:t>
            </w:r>
            <w:r>
              <w:rPr>
                <w:rFonts w:hint="eastAsia" w:cs="Times New Roman"/>
                <w:color w:val="000000"/>
                <w:kern w:val="0"/>
                <w:sz w:val="24"/>
                <w:szCs w:val="20"/>
                <w:highlight w:val="none"/>
                <w:lang w:val="en-US" w:eastAsia="zh-CN"/>
              </w:rPr>
              <w:t>16.314</w:t>
            </w:r>
            <w:r>
              <w:rPr>
                <w:rFonts w:hint="eastAsia" w:ascii="Times New Roman" w:hAnsi="Times New Roman" w:eastAsia="宋体" w:cs="Times New Roman"/>
                <w:color w:val="000000"/>
                <w:kern w:val="0"/>
                <w:sz w:val="24"/>
                <w:szCs w:val="20"/>
                <w:highlight w:val="none"/>
                <w:lang w:val="en-US" w:eastAsia="zh-CN"/>
              </w:rPr>
              <w:t>kg/h，颗粒物排放浓度为</w:t>
            </w:r>
            <w:r>
              <w:rPr>
                <w:rFonts w:hint="eastAsia" w:cs="Times New Roman"/>
                <w:color w:val="000000"/>
                <w:kern w:val="0"/>
                <w:sz w:val="24"/>
                <w:szCs w:val="20"/>
                <w:highlight w:val="none"/>
                <w:lang w:val="en-US" w:eastAsia="zh-CN"/>
              </w:rPr>
              <w:t>8.150</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，排放速率为0.</w:t>
            </w:r>
            <w:r>
              <w:rPr>
                <w:rFonts w:hint="eastAsia" w:cs="Times New Roman"/>
                <w:color w:val="000000"/>
                <w:kern w:val="0"/>
                <w:sz w:val="24"/>
                <w:szCs w:val="20"/>
                <w:highlight w:val="none"/>
                <w:lang w:val="en-US" w:eastAsia="zh-CN"/>
              </w:rPr>
              <w:t>163</w:t>
            </w:r>
            <w:r>
              <w:rPr>
                <w:rFonts w:hint="eastAsia" w:ascii="Times New Roman" w:hAnsi="Times New Roman" w:eastAsia="宋体" w:cs="Times New Roman"/>
                <w:color w:val="000000"/>
                <w:kern w:val="0"/>
                <w:sz w:val="24"/>
                <w:szCs w:val="20"/>
                <w:highlight w:val="none"/>
                <w:lang w:val="en-US" w:eastAsia="zh-CN"/>
              </w:rPr>
              <w:t>kg/h，排放量为</w:t>
            </w:r>
            <w:r>
              <w:rPr>
                <w:rFonts w:hint="eastAsia" w:cs="Times New Roman"/>
                <w:color w:val="000000"/>
                <w:kern w:val="0"/>
                <w:sz w:val="24"/>
                <w:szCs w:val="20"/>
                <w:highlight w:val="none"/>
                <w:lang w:val="en-US" w:eastAsia="zh-CN"/>
              </w:rPr>
              <w:t>0.489</w:t>
            </w:r>
            <w:r>
              <w:rPr>
                <w:rFonts w:hint="eastAsia" w:ascii="Times New Roman" w:hAnsi="Times New Roman" w:eastAsia="宋体" w:cs="Times New Roman"/>
                <w:color w:val="000000"/>
                <w:kern w:val="0"/>
                <w:sz w:val="24"/>
                <w:szCs w:val="20"/>
                <w:highlight w:val="none"/>
                <w:lang w:val="en-US" w:eastAsia="zh-CN"/>
              </w:rPr>
              <w:t>t/a，满足《铸造工业大气污染物排放标准》（GB39726 -2020）表1大气污染物排放限值</w:t>
            </w:r>
            <w:r>
              <w:rPr>
                <w:rFonts w:hint="eastAsia" w:cs="Times New Roman"/>
                <w:color w:val="000000"/>
                <w:kern w:val="0"/>
                <w:sz w:val="24"/>
                <w:szCs w:val="20"/>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同时满足</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中表6-1铸造企业B级标准要求（20mg/m</w:t>
            </w:r>
            <w:r>
              <w:rPr>
                <w:rFonts w:hint="eastAsia" w:ascii="Times New Roman" w:hAnsi="Times New Roman" w:eastAsia="宋体" w:cs="Times New Roman"/>
                <w:sz w:val="24"/>
                <w:szCs w:val="18"/>
                <w:highlight w:val="none"/>
                <w:vertAlign w:val="superscript"/>
                <w:lang w:val="en-US" w:eastAsia="zh-CN"/>
              </w:rPr>
              <w:t>3</w:t>
            </w:r>
            <w:r>
              <w:rPr>
                <w:rFonts w:hint="eastAsia" w:ascii="Times New Roman" w:hAnsi="Times New Roman" w:eastAsia="宋体" w:cs="Times New Roman"/>
                <w:sz w:val="24"/>
                <w:szCs w:val="18"/>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w:t>
            </w:r>
          </w:p>
          <w:p w14:paraId="3A89F6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②制</w:t>
            </w:r>
            <w:r>
              <w:rPr>
                <w:rFonts w:hint="eastAsia" w:cs="Times New Roman"/>
                <w:b w:val="0"/>
                <w:bCs w:val="0"/>
                <w:color w:val="auto"/>
                <w:sz w:val="24"/>
                <w:szCs w:val="24"/>
                <w:highlight w:val="none"/>
                <w:lang w:val="en-US" w:eastAsia="zh-CN"/>
              </w:rPr>
              <w:t>壳、浇注</w:t>
            </w:r>
            <w:r>
              <w:rPr>
                <w:rFonts w:hint="default" w:ascii="Times New Roman" w:hAnsi="Times New Roman" w:eastAsia="宋体" w:cs="Times New Roman"/>
                <w:b w:val="0"/>
                <w:bCs w:val="0"/>
                <w:color w:val="auto"/>
                <w:sz w:val="24"/>
                <w:szCs w:val="24"/>
                <w:highlight w:val="none"/>
                <w:lang w:val="en-US" w:eastAsia="zh-CN"/>
              </w:rPr>
              <w:t>工序</w:t>
            </w:r>
          </w:p>
          <w:p w14:paraId="457F71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auto"/>
                <w:kern w:val="0"/>
                <w:sz w:val="24"/>
                <w:szCs w:val="20"/>
                <w:highlight w:val="none"/>
                <w:lang w:val="en-US" w:eastAsia="zh-CN"/>
              </w:rPr>
            </w:pPr>
            <w:r>
              <w:rPr>
                <w:rFonts w:hint="eastAsia" w:ascii="Times New Roman" w:hAnsi="Times New Roman" w:eastAsia="宋体" w:cs="Times New Roman"/>
                <w:color w:val="auto"/>
                <w:kern w:val="0"/>
                <w:sz w:val="24"/>
                <w:szCs w:val="20"/>
                <w:highlight w:val="none"/>
                <w:lang w:val="en-US" w:eastAsia="zh-CN"/>
              </w:rPr>
              <w:t>本项目制</w:t>
            </w:r>
            <w:r>
              <w:rPr>
                <w:rFonts w:hint="eastAsia" w:cs="Times New Roman"/>
                <w:b w:val="0"/>
                <w:bCs w:val="0"/>
                <w:color w:val="auto"/>
                <w:sz w:val="24"/>
                <w:szCs w:val="24"/>
                <w:highlight w:val="none"/>
                <w:lang w:val="en-US" w:eastAsia="zh-CN"/>
              </w:rPr>
              <w:t>壳</w:t>
            </w:r>
            <w:r>
              <w:rPr>
                <w:rFonts w:hint="eastAsia" w:ascii="Times New Roman" w:hAnsi="Times New Roman" w:eastAsia="宋体" w:cs="Times New Roman"/>
                <w:color w:val="auto"/>
                <w:kern w:val="0"/>
                <w:sz w:val="24"/>
                <w:szCs w:val="20"/>
                <w:highlight w:val="none"/>
                <w:lang w:val="en-US" w:eastAsia="zh-CN"/>
              </w:rPr>
              <w:t>过程中产生的废气，甲醛、酚类</w:t>
            </w:r>
            <w:r>
              <w:rPr>
                <w:rFonts w:hint="eastAsia" w:cs="Times New Roman"/>
                <w:color w:val="auto"/>
                <w:kern w:val="0"/>
                <w:sz w:val="24"/>
                <w:szCs w:val="20"/>
                <w:highlight w:val="none"/>
                <w:lang w:val="en-US" w:eastAsia="zh-CN"/>
              </w:rPr>
              <w:t>按物料衡算法，</w:t>
            </w:r>
            <w:r>
              <w:rPr>
                <w:rFonts w:hint="eastAsia" w:ascii="Times New Roman" w:hAnsi="Times New Roman" w:eastAsia="宋体" w:cs="Times New Roman"/>
                <w:color w:val="auto"/>
                <w:kern w:val="0"/>
                <w:sz w:val="24"/>
                <w:szCs w:val="20"/>
                <w:highlight w:val="none"/>
                <w:lang w:val="en-US" w:eastAsia="zh-CN"/>
              </w:rPr>
              <w:t>参照《铸造用自硬呋喃树脂》（JB/T526-2008）中“表3游离甲醛、表4游离酚”性能指标，本项目使用的</w:t>
            </w:r>
            <w:r>
              <w:rPr>
                <w:rFonts w:hint="eastAsia" w:ascii="Times New Roman" w:hAnsi="Times New Roman" w:eastAsia="宋体" w:cs="Times New Roman"/>
                <w:color w:val="auto"/>
                <w:kern w:val="0"/>
                <w:sz w:val="24"/>
                <w:szCs w:val="24"/>
                <w:highlight w:val="none"/>
                <w:lang w:val="en-US" w:eastAsia="zh-CN"/>
              </w:rPr>
              <w:t>覆膜砂中</w:t>
            </w:r>
            <w:r>
              <w:rPr>
                <w:rFonts w:hint="default" w:ascii="Times New Roman" w:hAnsi="Times New Roman" w:cs="Times New Roman"/>
                <w:b w:val="0"/>
                <w:bCs w:val="0"/>
                <w:color w:val="auto"/>
                <w:sz w:val="24"/>
                <w:szCs w:val="24"/>
                <w:highlight w:val="none"/>
                <w:lang w:val="en-US" w:eastAsia="zh-CN"/>
              </w:rPr>
              <w:t>酚醛树脂占原砂比重1.0～3.0%</w:t>
            </w:r>
            <w:r>
              <w:rPr>
                <w:rFonts w:hint="eastAsia" w:ascii="Times New Roman" w:hAnsi="Times New Roman" w:cs="Times New Roman"/>
                <w:b w:val="0"/>
                <w:bCs w:val="0"/>
                <w:color w:val="auto"/>
                <w:sz w:val="24"/>
                <w:szCs w:val="24"/>
                <w:highlight w:val="none"/>
                <w:lang w:val="en-US" w:eastAsia="zh-CN"/>
              </w:rPr>
              <w:t>，本次按3%计</w:t>
            </w:r>
            <w:r>
              <w:rPr>
                <w:rFonts w:hint="eastAsia" w:ascii="Times New Roman" w:hAnsi="Times New Roman" w:eastAsia="宋体" w:cs="Times New Roman"/>
                <w:color w:val="auto"/>
                <w:kern w:val="0"/>
                <w:sz w:val="24"/>
                <w:szCs w:val="24"/>
                <w:highlight w:val="none"/>
                <w:lang w:val="en-US" w:eastAsia="zh-CN"/>
              </w:rPr>
              <w:t>，即酚醛树脂含量为7.2t/a。非</w:t>
            </w:r>
            <w:r>
              <w:rPr>
                <w:rFonts w:hint="eastAsia" w:ascii="Times New Roman" w:hAnsi="Times New Roman" w:eastAsia="宋体" w:cs="Times New Roman"/>
                <w:color w:val="auto"/>
                <w:kern w:val="0"/>
                <w:sz w:val="24"/>
                <w:szCs w:val="20"/>
                <w:highlight w:val="none"/>
                <w:lang w:val="en-US" w:eastAsia="zh-CN"/>
              </w:rPr>
              <w:t>甲烷总烃、颗粒物参照《排放源统计调查产排污核算方法和系数手册》中-“机械行业系数手册-C33-C37行业核算环节 01铸造核算环节-铸件-制芯(热芯盒：覆膜砂)工艺”中产排污系数进行源强核算。</w:t>
            </w:r>
          </w:p>
          <w:p w14:paraId="34B35D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szCs w:val="20"/>
                <w:highlight w:val="none"/>
                <w:lang w:val="en-US" w:eastAsia="zh-CN"/>
              </w:rPr>
            </w:pPr>
            <w:r>
              <w:rPr>
                <w:rFonts w:hint="eastAsia" w:ascii="Times New Roman" w:hAnsi="Times New Roman" w:eastAsia="宋体" w:cs="Times New Roman"/>
                <w:color w:val="auto"/>
                <w:kern w:val="0"/>
                <w:sz w:val="24"/>
                <w:szCs w:val="20"/>
                <w:highlight w:val="none"/>
                <w:lang w:val="en-US" w:eastAsia="zh-CN"/>
              </w:rPr>
              <w:t>项目浇注过程</w:t>
            </w:r>
            <w:r>
              <w:rPr>
                <w:rFonts w:hint="eastAsia" w:ascii="Times New Roman" w:hAnsi="Times New Roman" w:eastAsia="宋体" w:cs="Times New Roman"/>
                <w:color w:val="000000"/>
                <w:kern w:val="0"/>
                <w:sz w:val="24"/>
                <w:szCs w:val="20"/>
                <w:highlight w:val="none"/>
                <w:lang w:val="en-US" w:eastAsia="zh-CN"/>
              </w:rPr>
              <w:t>中产生的废气，甲醛、酚类参照《铸造用自硬呋喃树脂》（JB/T526-2008）中“表3游离甲醛、表4游离酚”性能指标，本项目使用的</w:t>
            </w:r>
            <w:r>
              <w:rPr>
                <w:rFonts w:hint="eastAsia" w:ascii="Times New Roman" w:hAnsi="Times New Roman" w:eastAsia="宋体" w:cs="Times New Roman"/>
                <w:color w:val="000000"/>
                <w:kern w:val="0"/>
                <w:sz w:val="24"/>
                <w:szCs w:val="24"/>
                <w:highlight w:val="none"/>
                <w:lang w:val="en-US" w:eastAsia="zh-CN"/>
              </w:rPr>
              <w:t>覆膜砂中</w:t>
            </w:r>
            <w:r>
              <w:rPr>
                <w:rFonts w:hint="default" w:ascii="Times New Roman" w:hAnsi="Times New Roman" w:cs="Times New Roman"/>
                <w:b w:val="0"/>
                <w:bCs w:val="0"/>
                <w:color w:val="000000"/>
                <w:sz w:val="24"/>
                <w:szCs w:val="24"/>
                <w:highlight w:val="none"/>
                <w:lang w:val="en-US" w:eastAsia="zh-CN"/>
              </w:rPr>
              <w:t>酚醛树脂占原砂比重1.0～3.0%</w:t>
            </w:r>
            <w:r>
              <w:rPr>
                <w:rFonts w:hint="eastAsia" w:ascii="Times New Roman" w:hAnsi="Times New Roman" w:cs="Times New Roman"/>
                <w:b w:val="0"/>
                <w:bCs w:val="0"/>
                <w:color w:val="000000"/>
                <w:sz w:val="24"/>
                <w:szCs w:val="24"/>
                <w:highlight w:val="none"/>
                <w:lang w:val="en-US" w:eastAsia="zh-CN"/>
              </w:rPr>
              <w:t>，本次按3%计</w:t>
            </w:r>
            <w:r>
              <w:rPr>
                <w:rFonts w:hint="eastAsia" w:ascii="Times New Roman" w:hAnsi="Times New Roman" w:eastAsia="宋体" w:cs="Times New Roman"/>
                <w:color w:val="000000"/>
                <w:kern w:val="0"/>
                <w:sz w:val="24"/>
                <w:szCs w:val="24"/>
                <w:highlight w:val="none"/>
                <w:lang w:val="en-US" w:eastAsia="zh-CN"/>
              </w:rPr>
              <w:t>，即酚醛树脂含量为7.2t/a。非</w:t>
            </w:r>
            <w:r>
              <w:rPr>
                <w:rFonts w:hint="eastAsia" w:ascii="Times New Roman" w:hAnsi="Times New Roman" w:eastAsia="宋体" w:cs="Times New Roman"/>
                <w:color w:val="000000"/>
                <w:kern w:val="0"/>
                <w:sz w:val="24"/>
                <w:szCs w:val="20"/>
                <w:highlight w:val="none"/>
                <w:lang w:val="en-US" w:eastAsia="zh-CN"/>
              </w:rPr>
              <w:t>甲烷总烃、颗粒物参照《排放源统计调查产排污核算方法和系数手册》中-“机械行业系数手册-C33-C37行业核算环节 01铸造核算环节-铸件-造型/浇注(壳型)工艺”中产排污系数进行源强核算。</w:t>
            </w:r>
          </w:p>
          <w:p w14:paraId="3AE53D1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480" w:lineRule="exact"/>
              <w:ind w:left="0" w:right="0" w:firstLine="0" w:firstLineChars="0"/>
              <w:jc w:val="center"/>
              <w:textAlignment w:val="auto"/>
              <w:rPr>
                <w:rFonts w:hint="default" w:ascii="Times New Roman" w:hAnsi="Times New Roman" w:cs="Times New Roman"/>
                <w:b w:val="0"/>
                <w:bCs w:val="0"/>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表4-2    制壳、浇注工序废气源强核算</w:t>
            </w:r>
          </w:p>
          <w:tbl>
            <w:tblPr>
              <w:tblStyle w:val="48"/>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
              <w:gridCol w:w="864"/>
              <w:gridCol w:w="887"/>
              <w:gridCol w:w="622"/>
              <w:gridCol w:w="781"/>
              <w:gridCol w:w="665"/>
              <w:gridCol w:w="905"/>
              <w:gridCol w:w="624"/>
              <w:gridCol w:w="624"/>
              <w:gridCol w:w="781"/>
              <w:gridCol w:w="671"/>
            </w:tblGrid>
            <w:tr w14:paraId="281DD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261" w:type="pct"/>
                  <w:noWrap w:val="0"/>
                  <w:vAlign w:val="center"/>
                </w:tcPr>
                <w:p w14:paraId="7F302E6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工序</w:t>
                  </w:r>
                </w:p>
              </w:tc>
              <w:tc>
                <w:tcPr>
                  <w:tcW w:w="551" w:type="pct"/>
                  <w:noWrap w:val="0"/>
                  <w:vAlign w:val="center"/>
                </w:tcPr>
                <w:p w14:paraId="4817A50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bCs/>
                      <w:color w:val="auto"/>
                      <w:sz w:val="21"/>
                      <w:szCs w:val="21"/>
                      <w:highlight w:val="none"/>
                      <w:vertAlign w:val="baseline"/>
                      <w:lang w:val="en-US" w:eastAsia="zh-CN" w:bidi="ar-SA"/>
                    </w:rPr>
                  </w:pPr>
                  <w:r>
                    <w:rPr>
                      <w:rFonts w:hint="eastAsia" w:ascii="Times New Roman" w:hAnsi="Times New Roman" w:cs="Times New Roman"/>
                      <w:b/>
                      <w:bCs/>
                      <w:color w:val="auto"/>
                      <w:sz w:val="21"/>
                      <w:szCs w:val="21"/>
                      <w:highlight w:val="none"/>
                      <w:vertAlign w:val="baseline"/>
                      <w:lang w:val="en-US" w:eastAsia="zh-CN"/>
                    </w:rPr>
                    <w:t>污染物</w:t>
                  </w:r>
                </w:p>
              </w:tc>
              <w:tc>
                <w:tcPr>
                  <w:tcW w:w="566" w:type="pct"/>
                  <w:noWrap w:val="0"/>
                  <w:vAlign w:val="center"/>
                </w:tcPr>
                <w:p w14:paraId="2B7E3E13">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产污系数</w:t>
                  </w:r>
                </w:p>
              </w:tc>
              <w:tc>
                <w:tcPr>
                  <w:tcW w:w="397" w:type="pct"/>
                  <w:noWrap w:val="0"/>
                  <w:vAlign w:val="center"/>
                </w:tcPr>
                <w:p w14:paraId="0E4C1BC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产能/用量t/a</w:t>
                  </w:r>
                </w:p>
              </w:tc>
              <w:tc>
                <w:tcPr>
                  <w:tcW w:w="498" w:type="pct"/>
                  <w:noWrap w:val="0"/>
                  <w:vAlign w:val="center"/>
                </w:tcPr>
                <w:p w14:paraId="5F61671B">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产生量t/a</w:t>
                  </w:r>
                </w:p>
              </w:tc>
              <w:tc>
                <w:tcPr>
                  <w:tcW w:w="424" w:type="pct"/>
                  <w:noWrap w:val="0"/>
                  <w:vAlign w:val="center"/>
                </w:tcPr>
                <w:p w14:paraId="1C6E84F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收集措施</w:t>
                  </w:r>
                </w:p>
              </w:tc>
              <w:tc>
                <w:tcPr>
                  <w:tcW w:w="577" w:type="pct"/>
                  <w:noWrap w:val="0"/>
                  <w:vAlign w:val="center"/>
                </w:tcPr>
                <w:p w14:paraId="0DC18455">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治理措施</w:t>
                  </w:r>
                </w:p>
              </w:tc>
              <w:tc>
                <w:tcPr>
                  <w:tcW w:w="398" w:type="pct"/>
                  <w:noWrap w:val="0"/>
                  <w:vAlign w:val="center"/>
                </w:tcPr>
                <w:p w14:paraId="46281FE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收集效率%</w:t>
                  </w:r>
                </w:p>
              </w:tc>
              <w:tc>
                <w:tcPr>
                  <w:tcW w:w="398" w:type="pct"/>
                  <w:noWrap w:val="0"/>
                  <w:vAlign w:val="center"/>
                </w:tcPr>
                <w:p w14:paraId="60ED4A2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处理效率%</w:t>
                  </w:r>
                </w:p>
              </w:tc>
              <w:tc>
                <w:tcPr>
                  <w:tcW w:w="498" w:type="pct"/>
                  <w:noWrap w:val="0"/>
                  <w:vAlign w:val="center"/>
                </w:tcPr>
                <w:p w14:paraId="5300344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有组织排放量t/a</w:t>
                  </w:r>
                </w:p>
              </w:tc>
              <w:tc>
                <w:tcPr>
                  <w:tcW w:w="428" w:type="pct"/>
                  <w:noWrap w:val="0"/>
                  <w:vAlign w:val="center"/>
                </w:tcPr>
                <w:p w14:paraId="43DE28B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pacing w:val="-11"/>
                      <w:sz w:val="21"/>
                      <w:szCs w:val="21"/>
                      <w:highlight w:val="none"/>
                      <w:vertAlign w:val="baseline"/>
                      <w:lang w:val="en-US" w:eastAsia="zh-CN"/>
                    </w:rPr>
                  </w:pPr>
                  <w:r>
                    <w:rPr>
                      <w:rFonts w:hint="eastAsia" w:ascii="Times New Roman" w:hAnsi="Times New Roman" w:cs="Times New Roman"/>
                      <w:b/>
                      <w:bCs/>
                      <w:color w:val="auto"/>
                      <w:spacing w:val="-11"/>
                      <w:sz w:val="21"/>
                      <w:szCs w:val="21"/>
                      <w:highlight w:val="none"/>
                      <w:vertAlign w:val="baseline"/>
                      <w:lang w:val="en-US" w:eastAsia="zh-CN"/>
                    </w:rPr>
                    <w:t>无组织排放</w:t>
                  </w:r>
                  <w:r>
                    <w:rPr>
                      <w:rFonts w:hint="eastAsia" w:ascii="Times New Roman" w:hAnsi="Times New Roman" w:cs="Times New Roman"/>
                      <w:b/>
                      <w:bCs/>
                      <w:color w:val="auto"/>
                      <w:sz w:val="21"/>
                      <w:szCs w:val="21"/>
                      <w:highlight w:val="none"/>
                      <w:vertAlign w:val="baseline"/>
                      <w:lang w:val="en-US" w:eastAsia="zh-CN"/>
                    </w:rPr>
                    <w:t>t/a</w:t>
                  </w:r>
                </w:p>
              </w:tc>
            </w:tr>
            <w:tr w14:paraId="730D5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 w:hRule="atLeast"/>
              </w:trPr>
              <w:tc>
                <w:tcPr>
                  <w:tcW w:w="261" w:type="pct"/>
                  <w:vMerge w:val="restart"/>
                  <w:noWrap w:val="0"/>
                  <w:vAlign w:val="center"/>
                </w:tcPr>
                <w:p w14:paraId="21BECB42">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制壳</w:t>
                  </w:r>
                </w:p>
              </w:tc>
              <w:tc>
                <w:tcPr>
                  <w:tcW w:w="551" w:type="pct"/>
                  <w:noWrap w:val="0"/>
                  <w:vAlign w:val="center"/>
                </w:tcPr>
                <w:p w14:paraId="49AA39B7">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颗粒物</w:t>
                  </w:r>
                </w:p>
              </w:tc>
              <w:tc>
                <w:tcPr>
                  <w:tcW w:w="566" w:type="pct"/>
                  <w:noWrap w:val="0"/>
                  <w:vAlign w:val="center"/>
                </w:tcPr>
                <w:p w14:paraId="272C4B9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0.33kg/t-产品</w:t>
                  </w:r>
                </w:p>
              </w:tc>
              <w:tc>
                <w:tcPr>
                  <w:tcW w:w="397" w:type="pct"/>
                  <w:vMerge w:val="restart"/>
                  <w:noWrap w:val="0"/>
                  <w:vAlign w:val="center"/>
                </w:tcPr>
                <w:p w14:paraId="28B7780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3000</w:t>
                  </w:r>
                </w:p>
              </w:tc>
              <w:tc>
                <w:tcPr>
                  <w:tcW w:w="498" w:type="pct"/>
                  <w:noWrap w:val="0"/>
                  <w:vAlign w:val="center"/>
                </w:tcPr>
                <w:p w14:paraId="50616CBD">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0.99</w:t>
                  </w:r>
                </w:p>
              </w:tc>
              <w:tc>
                <w:tcPr>
                  <w:tcW w:w="424" w:type="pct"/>
                  <w:vMerge w:val="restart"/>
                  <w:noWrap w:val="0"/>
                  <w:vAlign w:val="center"/>
                </w:tcPr>
                <w:p w14:paraId="53D2CDF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集气罩</w:t>
                  </w:r>
                </w:p>
              </w:tc>
              <w:tc>
                <w:tcPr>
                  <w:tcW w:w="577" w:type="pct"/>
                  <w:vMerge w:val="restart"/>
                  <w:noWrap w:val="0"/>
                  <w:vAlign w:val="center"/>
                </w:tcPr>
                <w:p w14:paraId="36DD797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袋式除尘器+二级活性炭吸附+25m排气筒DA002</w:t>
                  </w:r>
                </w:p>
              </w:tc>
              <w:tc>
                <w:tcPr>
                  <w:tcW w:w="398" w:type="pct"/>
                  <w:noWrap w:val="0"/>
                  <w:vAlign w:val="center"/>
                </w:tcPr>
                <w:p w14:paraId="54EE5F4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90%</w:t>
                  </w:r>
                </w:p>
              </w:tc>
              <w:tc>
                <w:tcPr>
                  <w:tcW w:w="398" w:type="pct"/>
                  <w:noWrap w:val="0"/>
                  <w:vAlign w:val="center"/>
                </w:tcPr>
                <w:p w14:paraId="0694D86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99%</w:t>
                  </w:r>
                </w:p>
              </w:tc>
              <w:tc>
                <w:tcPr>
                  <w:tcW w:w="498" w:type="pct"/>
                  <w:noWrap w:val="0"/>
                  <w:vAlign w:val="center"/>
                </w:tcPr>
                <w:p w14:paraId="36B26AC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0.009</w:t>
                  </w:r>
                </w:p>
              </w:tc>
              <w:tc>
                <w:tcPr>
                  <w:tcW w:w="428" w:type="pct"/>
                  <w:noWrap w:val="0"/>
                  <w:vAlign w:val="center"/>
                </w:tcPr>
                <w:p w14:paraId="65DB55F9">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0.099</w:t>
                  </w:r>
                </w:p>
              </w:tc>
            </w:tr>
            <w:tr w14:paraId="565E0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trPr>
              <w:tc>
                <w:tcPr>
                  <w:tcW w:w="261" w:type="pct"/>
                  <w:vMerge w:val="continue"/>
                  <w:noWrap w:val="0"/>
                  <w:vAlign w:val="center"/>
                </w:tcPr>
                <w:p w14:paraId="7A590208">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013AF55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以非甲烷总烃计</w:t>
                  </w:r>
                </w:p>
              </w:tc>
              <w:tc>
                <w:tcPr>
                  <w:tcW w:w="566" w:type="pct"/>
                  <w:noWrap w:val="0"/>
                  <w:vAlign w:val="center"/>
                </w:tcPr>
                <w:p w14:paraId="42FD0E6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0.050kg/t-产品</w:t>
                  </w:r>
                </w:p>
              </w:tc>
              <w:tc>
                <w:tcPr>
                  <w:tcW w:w="397" w:type="pct"/>
                  <w:vMerge w:val="continue"/>
                  <w:noWrap w:val="0"/>
                  <w:vAlign w:val="center"/>
                </w:tcPr>
                <w:p w14:paraId="37345FA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498" w:type="pct"/>
                  <w:noWrap w:val="0"/>
                  <w:vAlign w:val="center"/>
                </w:tcPr>
                <w:p w14:paraId="7B7684C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0.15</w:t>
                  </w:r>
                </w:p>
              </w:tc>
              <w:tc>
                <w:tcPr>
                  <w:tcW w:w="424" w:type="pct"/>
                  <w:vMerge w:val="continue"/>
                  <w:noWrap w:val="0"/>
                  <w:vAlign w:val="center"/>
                </w:tcPr>
                <w:p w14:paraId="606DE58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77" w:type="pct"/>
                  <w:vMerge w:val="continue"/>
                  <w:noWrap w:val="0"/>
                  <w:vAlign w:val="center"/>
                </w:tcPr>
                <w:p w14:paraId="31577835">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398" w:type="pct"/>
                  <w:noWrap w:val="0"/>
                  <w:vAlign w:val="center"/>
                </w:tcPr>
                <w:p w14:paraId="7FA2E8B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90%</w:t>
                  </w:r>
                </w:p>
              </w:tc>
              <w:tc>
                <w:tcPr>
                  <w:tcW w:w="398" w:type="pct"/>
                  <w:noWrap w:val="0"/>
                  <w:vAlign w:val="center"/>
                </w:tcPr>
                <w:p w14:paraId="1096BED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80%</w:t>
                  </w:r>
                </w:p>
              </w:tc>
              <w:tc>
                <w:tcPr>
                  <w:tcW w:w="498" w:type="pct"/>
                  <w:noWrap w:val="0"/>
                  <w:vAlign w:val="center"/>
                </w:tcPr>
                <w:p w14:paraId="58564AF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0.027</w:t>
                  </w:r>
                </w:p>
              </w:tc>
              <w:tc>
                <w:tcPr>
                  <w:tcW w:w="428" w:type="pct"/>
                  <w:noWrap w:val="0"/>
                  <w:vAlign w:val="center"/>
                </w:tcPr>
                <w:p w14:paraId="3413E02B">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0.015</w:t>
                  </w:r>
                </w:p>
              </w:tc>
            </w:tr>
            <w:tr w14:paraId="25E5A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1" w:type="pct"/>
                  <w:vMerge w:val="continue"/>
                  <w:noWrap w:val="0"/>
                  <w:vAlign w:val="center"/>
                </w:tcPr>
                <w:p w14:paraId="77152CB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282547C9">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甲醛</w:t>
                  </w:r>
                </w:p>
              </w:tc>
              <w:tc>
                <w:tcPr>
                  <w:tcW w:w="566" w:type="pct"/>
                  <w:noWrap w:val="0"/>
                  <w:vAlign w:val="center"/>
                </w:tcPr>
                <w:p w14:paraId="5DD41FE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bidi="ar-SA"/>
                    </w:rPr>
                    <w:t>0.3%</w:t>
                  </w:r>
                </w:p>
              </w:tc>
              <w:tc>
                <w:tcPr>
                  <w:tcW w:w="397" w:type="pct"/>
                  <w:vMerge w:val="restart"/>
                  <w:noWrap w:val="0"/>
                  <w:vAlign w:val="center"/>
                </w:tcPr>
                <w:p w14:paraId="3397D866">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7.2</w:t>
                  </w:r>
                </w:p>
              </w:tc>
              <w:tc>
                <w:tcPr>
                  <w:tcW w:w="498" w:type="pct"/>
                  <w:noWrap w:val="0"/>
                  <w:vAlign w:val="center"/>
                </w:tcPr>
                <w:p w14:paraId="54FC5E4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0.0216</w:t>
                  </w:r>
                </w:p>
              </w:tc>
              <w:tc>
                <w:tcPr>
                  <w:tcW w:w="424" w:type="pct"/>
                  <w:vMerge w:val="continue"/>
                  <w:noWrap w:val="0"/>
                  <w:vAlign w:val="center"/>
                </w:tcPr>
                <w:p w14:paraId="310276F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77" w:type="pct"/>
                  <w:vMerge w:val="continue"/>
                  <w:noWrap w:val="0"/>
                  <w:vAlign w:val="center"/>
                </w:tcPr>
                <w:p w14:paraId="0B85BB0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398" w:type="pct"/>
                  <w:noWrap w:val="0"/>
                  <w:vAlign w:val="center"/>
                </w:tcPr>
                <w:p w14:paraId="176407E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90%</w:t>
                  </w:r>
                </w:p>
              </w:tc>
              <w:tc>
                <w:tcPr>
                  <w:tcW w:w="398" w:type="pct"/>
                  <w:noWrap w:val="0"/>
                  <w:vAlign w:val="center"/>
                </w:tcPr>
                <w:p w14:paraId="0840F04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80%</w:t>
                  </w:r>
                </w:p>
              </w:tc>
              <w:tc>
                <w:tcPr>
                  <w:tcW w:w="498" w:type="pct"/>
                  <w:noWrap w:val="0"/>
                  <w:vAlign w:val="center"/>
                </w:tcPr>
                <w:p w14:paraId="5FBDD1B4">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0.004</w:t>
                  </w:r>
                </w:p>
              </w:tc>
              <w:tc>
                <w:tcPr>
                  <w:tcW w:w="428" w:type="pct"/>
                  <w:noWrap w:val="0"/>
                  <w:vAlign w:val="center"/>
                </w:tcPr>
                <w:p w14:paraId="49D66B52">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0.0022</w:t>
                  </w:r>
                </w:p>
              </w:tc>
            </w:tr>
            <w:tr w14:paraId="1EC0C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1" w:type="pct"/>
                  <w:vMerge w:val="continue"/>
                  <w:noWrap w:val="0"/>
                  <w:vAlign w:val="center"/>
                </w:tcPr>
                <w:p w14:paraId="4FBF4EE2">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0B07843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酚类</w:t>
                  </w:r>
                </w:p>
              </w:tc>
              <w:tc>
                <w:tcPr>
                  <w:tcW w:w="566" w:type="pct"/>
                  <w:noWrap w:val="0"/>
                  <w:vAlign w:val="center"/>
                </w:tcPr>
                <w:p w14:paraId="3EE4786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bidi="ar-SA"/>
                    </w:rPr>
                    <w:t>0.3%</w:t>
                  </w:r>
                </w:p>
              </w:tc>
              <w:tc>
                <w:tcPr>
                  <w:tcW w:w="397" w:type="pct"/>
                  <w:vMerge w:val="continue"/>
                  <w:noWrap w:val="0"/>
                  <w:vAlign w:val="center"/>
                </w:tcPr>
                <w:p w14:paraId="2946C68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498" w:type="pct"/>
                  <w:noWrap w:val="0"/>
                  <w:vAlign w:val="center"/>
                </w:tcPr>
                <w:p w14:paraId="4390D1B5">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0.0216</w:t>
                  </w:r>
                </w:p>
              </w:tc>
              <w:tc>
                <w:tcPr>
                  <w:tcW w:w="424" w:type="pct"/>
                  <w:vMerge w:val="continue"/>
                  <w:noWrap w:val="0"/>
                  <w:vAlign w:val="center"/>
                </w:tcPr>
                <w:p w14:paraId="22BAAC0E">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577" w:type="pct"/>
                  <w:vMerge w:val="continue"/>
                  <w:noWrap w:val="0"/>
                  <w:vAlign w:val="center"/>
                </w:tcPr>
                <w:p w14:paraId="556608DF">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398" w:type="pct"/>
                  <w:noWrap w:val="0"/>
                  <w:vAlign w:val="center"/>
                </w:tcPr>
                <w:p w14:paraId="26D7E0A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90%</w:t>
                  </w:r>
                </w:p>
              </w:tc>
              <w:tc>
                <w:tcPr>
                  <w:tcW w:w="398" w:type="pct"/>
                  <w:noWrap w:val="0"/>
                  <w:vAlign w:val="center"/>
                </w:tcPr>
                <w:p w14:paraId="2BA8B94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80%</w:t>
                  </w:r>
                </w:p>
              </w:tc>
              <w:tc>
                <w:tcPr>
                  <w:tcW w:w="498" w:type="pct"/>
                  <w:noWrap w:val="0"/>
                  <w:vAlign w:val="center"/>
                </w:tcPr>
                <w:p w14:paraId="468D8A1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0.004</w:t>
                  </w:r>
                </w:p>
              </w:tc>
              <w:tc>
                <w:tcPr>
                  <w:tcW w:w="428" w:type="pct"/>
                  <w:noWrap w:val="0"/>
                  <w:vAlign w:val="center"/>
                </w:tcPr>
                <w:p w14:paraId="0807599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0.0022</w:t>
                  </w:r>
                </w:p>
              </w:tc>
            </w:tr>
            <w:tr w14:paraId="2E9E2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1" w:type="pct"/>
                  <w:vMerge w:val="restart"/>
                  <w:noWrap w:val="0"/>
                  <w:vAlign w:val="center"/>
                </w:tcPr>
                <w:p w14:paraId="4B4209C3">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浇注</w:t>
                  </w:r>
                </w:p>
              </w:tc>
              <w:tc>
                <w:tcPr>
                  <w:tcW w:w="551" w:type="pct"/>
                  <w:noWrap w:val="0"/>
                  <w:vAlign w:val="center"/>
                </w:tcPr>
                <w:p w14:paraId="4E0ECF0E">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颗粒物</w:t>
                  </w:r>
                </w:p>
              </w:tc>
              <w:tc>
                <w:tcPr>
                  <w:tcW w:w="566" w:type="pct"/>
                  <w:noWrap w:val="0"/>
                  <w:vAlign w:val="center"/>
                </w:tcPr>
                <w:p w14:paraId="3D64C40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0.367kg/t-产品</w:t>
                  </w:r>
                </w:p>
              </w:tc>
              <w:tc>
                <w:tcPr>
                  <w:tcW w:w="397" w:type="pct"/>
                  <w:vMerge w:val="restart"/>
                  <w:noWrap w:val="0"/>
                  <w:vAlign w:val="center"/>
                </w:tcPr>
                <w:p w14:paraId="076EC96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3000</w:t>
                  </w:r>
                </w:p>
              </w:tc>
              <w:tc>
                <w:tcPr>
                  <w:tcW w:w="498" w:type="pct"/>
                  <w:noWrap w:val="0"/>
                  <w:vAlign w:val="center"/>
                </w:tcPr>
                <w:p w14:paraId="11DE7A7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1.101</w:t>
                  </w:r>
                </w:p>
              </w:tc>
              <w:tc>
                <w:tcPr>
                  <w:tcW w:w="424" w:type="pct"/>
                  <w:vMerge w:val="restart"/>
                  <w:noWrap w:val="0"/>
                  <w:vAlign w:val="center"/>
                </w:tcPr>
                <w:p w14:paraId="3E2FB25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集气罩</w:t>
                  </w:r>
                </w:p>
              </w:tc>
              <w:tc>
                <w:tcPr>
                  <w:tcW w:w="577" w:type="pct"/>
                  <w:vMerge w:val="continue"/>
                  <w:noWrap w:val="0"/>
                  <w:vAlign w:val="center"/>
                </w:tcPr>
                <w:p w14:paraId="782D87C2">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398" w:type="pct"/>
                  <w:shd w:val="clear" w:color="auto" w:fill="auto"/>
                  <w:noWrap w:val="0"/>
                  <w:vAlign w:val="center"/>
                </w:tcPr>
                <w:p w14:paraId="6E27860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90%</w:t>
                  </w:r>
                </w:p>
              </w:tc>
              <w:tc>
                <w:tcPr>
                  <w:tcW w:w="398" w:type="pct"/>
                  <w:shd w:val="clear" w:color="auto" w:fill="auto"/>
                  <w:noWrap w:val="0"/>
                  <w:vAlign w:val="center"/>
                </w:tcPr>
                <w:p w14:paraId="36E2A85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99%</w:t>
                  </w:r>
                </w:p>
              </w:tc>
              <w:tc>
                <w:tcPr>
                  <w:tcW w:w="498" w:type="pct"/>
                  <w:noWrap w:val="0"/>
                  <w:vAlign w:val="center"/>
                </w:tcPr>
                <w:p w14:paraId="22A5ADE7">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0.010</w:t>
                  </w:r>
                </w:p>
              </w:tc>
              <w:tc>
                <w:tcPr>
                  <w:tcW w:w="428" w:type="pct"/>
                  <w:noWrap w:val="0"/>
                  <w:vAlign w:val="center"/>
                </w:tcPr>
                <w:p w14:paraId="0DF149E4">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0.110</w:t>
                  </w:r>
                </w:p>
              </w:tc>
            </w:tr>
            <w:tr w14:paraId="6AB7D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1" w:type="pct"/>
                  <w:vMerge w:val="continue"/>
                  <w:noWrap w:val="0"/>
                  <w:vAlign w:val="center"/>
                </w:tcPr>
                <w:p w14:paraId="3886BA23">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3ED0FFC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以非甲烷总烃计</w:t>
                  </w:r>
                </w:p>
              </w:tc>
              <w:tc>
                <w:tcPr>
                  <w:tcW w:w="566" w:type="pct"/>
                  <w:noWrap w:val="0"/>
                  <w:vAlign w:val="center"/>
                </w:tcPr>
                <w:p w14:paraId="79767DA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0.250kg/t-产品</w:t>
                  </w:r>
                </w:p>
              </w:tc>
              <w:tc>
                <w:tcPr>
                  <w:tcW w:w="397" w:type="pct"/>
                  <w:vMerge w:val="continue"/>
                  <w:noWrap w:val="0"/>
                  <w:vAlign w:val="center"/>
                </w:tcPr>
                <w:p w14:paraId="15DFA001">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498" w:type="pct"/>
                  <w:noWrap w:val="0"/>
                  <w:vAlign w:val="center"/>
                </w:tcPr>
                <w:p w14:paraId="31454BE7">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0.750</w:t>
                  </w:r>
                </w:p>
              </w:tc>
              <w:tc>
                <w:tcPr>
                  <w:tcW w:w="424" w:type="pct"/>
                  <w:vMerge w:val="continue"/>
                  <w:noWrap w:val="0"/>
                  <w:vAlign w:val="center"/>
                </w:tcPr>
                <w:p w14:paraId="791C2499">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577" w:type="pct"/>
                  <w:vMerge w:val="continue"/>
                  <w:noWrap w:val="0"/>
                  <w:vAlign w:val="center"/>
                </w:tcPr>
                <w:p w14:paraId="6CD70941">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398" w:type="pct"/>
                  <w:shd w:val="clear" w:color="auto" w:fill="auto"/>
                  <w:noWrap w:val="0"/>
                  <w:vAlign w:val="center"/>
                </w:tcPr>
                <w:p w14:paraId="2978E848">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90%</w:t>
                  </w:r>
                </w:p>
              </w:tc>
              <w:tc>
                <w:tcPr>
                  <w:tcW w:w="398" w:type="pct"/>
                  <w:shd w:val="clear" w:color="auto" w:fill="auto"/>
                  <w:noWrap w:val="0"/>
                  <w:vAlign w:val="center"/>
                </w:tcPr>
                <w:p w14:paraId="067BF50A">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80%</w:t>
                  </w:r>
                </w:p>
              </w:tc>
              <w:tc>
                <w:tcPr>
                  <w:tcW w:w="498" w:type="pct"/>
                  <w:noWrap w:val="0"/>
                  <w:vAlign w:val="center"/>
                </w:tcPr>
                <w:p w14:paraId="764C2242">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0.135</w:t>
                  </w:r>
                </w:p>
              </w:tc>
              <w:tc>
                <w:tcPr>
                  <w:tcW w:w="428" w:type="pct"/>
                  <w:noWrap w:val="0"/>
                  <w:vAlign w:val="center"/>
                </w:tcPr>
                <w:p w14:paraId="4CD7279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0.075</w:t>
                  </w:r>
                </w:p>
              </w:tc>
            </w:tr>
            <w:tr w14:paraId="47D01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1" w:type="pct"/>
                  <w:vMerge w:val="continue"/>
                  <w:noWrap w:val="0"/>
                  <w:vAlign w:val="center"/>
                </w:tcPr>
                <w:p w14:paraId="5827876D">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234A7773">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甲醛</w:t>
                  </w:r>
                </w:p>
              </w:tc>
              <w:tc>
                <w:tcPr>
                  <w:tcW w:w="566" w:type="pct"/>
                  <w:noWrap w:val="0"/>
                  <w:vAlign w:val="center"/>
                </w:tcPr>
                <w:p w14:paraId="30D0A2C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bidi="ar-SA"/>
                    </w:rPr>
                    <w:t>0.3%</w:t>
                  </w:r>
                </w:p>
              </w:tc>
              <w:tc>
                <w:tcPr>
                  <w:tcW w:w="397" w:type="pct"/>
                  <w:vMerge w:val="continue"/>
                  <w:noWrap w:val="0"/>
                  <w:vAlign w:val="center"/>
                </w:tcPr>
                <w:p w14:paraId="44DA80B4">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498" w:type="pct"/>
                  <w:noWrap w:val="0"/>
                  <w:vAlign w:val="center"/>
                </w:tcPr>
                <w:p w14:paraId="69101504">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0.0216</w:t>
                  </w:r>
                </w:p>
              </w:tc>
              <w:tc>
                <w:tcPr>
                  <w:tcW w:w="424" w:type="pct"/>
                  <w:vMerge w:val="continue"/>
                  <w:noWrap w:val="0"/>
                  <w:vAlign w:val="center"/>
                </w:tcPr>
                <w:p w14:paraId="49AF52FF">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577" w:type="pct"/>
                  <w:vMerge w:val="continue"/>
                  <w:noWrap w:val="0"/>
                  <w:vAlign w:val="center"/>
                </w:tcPr>
                <w:p w14:paraId="2034C09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398" w:type="pct"/>
                  <w:shd w:val="clear" w:color="auto" w:fill="auto"/>
                  <w:noWrap w:val="0"/>
                  <w:vAlign w:val="center"/>
                </w:tcPr>
                <w:p w14:paraId="42271484">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90%</w:t>
                  </w:r>
                </w:p>
              </w:tc>
              <w:tc>
                <w:tcPr>
                  <w:tcW w:w="398" w:type="pct"/>
                  <w:shd w:val="clear" w:color="auto" w:fill="auto"/>
                  <w:noWrap w:val="0"/>
                  <w:vAlign w:val="center"/>
                </w:tcPr>
                <w:p w14:paraId="571E7671">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80%</w:t>
                  </w:r>
                </w:p>
              </w:tc>
              <w:tc>
                <w:tcPr>
                  <w:tcW w:w="498" w:type="pct"/>
                  <w:shd w:val="clear" w:color="auto" w:fill="auto"/>
                  <w:noWrap w:val="0"/>
                  <w:vAlign w:val="center"/>
                </w:tcPr>
                <w:p w14:paraId="562F0E71">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0.004</w:t>
                  </w:r>
                </w:p>
              </w:tc>
              <w:tc>
                <w:tcPr>
                  <w:tcW w:w="428" w:type="pct"/>
                  <w:shd w:val="clear" w:color="auto" w:fill="auto"/>
                  <w:noWrap w:val="0"/>
                  <w:vAlign w:val="center"/>
                </w:tcPr>
                <w:p w14:paraId="4AA0FC8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0.0022</w:t>
                  </w:r>
                </w:p>
              </w:tc>
            </w:tr>
            <w:tr w14:paraId="1E1C6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1" w:type="pct"/>
                  <w:vMerge w:val="continue"/>
                  <w:noWrap w:val="0"/>
                  <w:vAlign w:val="center"/>
                </w:tcPr>
                <w:p w14:paraId="1E03AF5F">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551" w:type="pct"/>
                  <w:noWrap w:val="0"/>
                  <w:vAlign w:val="center"/>
                </w:tcPr>
                <w:p w14:paraId="1093DB2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酚类</w:t>
                  </w:r>
                </w:p>
              </w:tc>
              <w:tc>
                <w:tcPr>
                  <w:tcW w:w="566" w:type="pct"/>
                  <w:noWrap w:val="0"/>
                  <w:vAlign w:val="center"/>
                </w:tcPr>
                <w:p w14:paraId="68CC272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bidi="ar-SA"/>
                    </w:rPr>
                    <w:t>0.3%</w:t>
                  </w:r>
                </w:p>
              </w:tc>
              <w:tc>
                <w:tcPr>
                  <w:tcW w:w="397" w:type="pct"/>
                  <w:noWrap w:val="0"/>
                  <w:vAlign w:val="center"/>
                </w:tcPr>
                <w:p w14:paraId="27DCE2EC">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7.2</w:t>
                  </w:r>
                </w:p>
              </w:tc>
              <w:tc>
                <w:tcPr>
                  <w:tcW w:w="498" w:type="pct"/>
                  <w:noWrap w:val="0"/>
                  <w:vAlign w:val="center"/>
                </w:tcPr>
                <w:p w14:paraId="460289BE">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cs="Times New Roman"/>
                      <w:b w:val="0"/>
                      <w:bCs w:val="0"/>
                      <w:color w:val="auto"/>
                      <w:spacing w:val="-11"/>
                      <w:sz w:val="21"/>
                      <w:szCs w:val="21"/>
                      <w:highlight w:val="none"/>
                      <w:vertAlign w:val="baseline"/>
                      <w:lang w:val="en-US" w:eastAsia="zh-CN"/>
                    </w:rPr>
                  </w:pPr>
                  <w:r>
                    <w:rPr>
                      <w:rFonts w:hint="eastAsia" w:ascii="Times New Roman" w:hAnsi="Times New Roman" w:cs="Times New Roman"/>
                      <w:b w:val="0"/>
                      <w:bCs w:val="0"/>
                      <w:color w:val="auto"/>
                      <w:spacing w:val="-11"/>
                      <w:sz w:val="21"/>
                      <w:szCs w:val="21"/>
                      <w:highlight w:val="none"/>
                      <w:vertAlign w:val="baseline"/>
                      <w:lang w:val="en-US" w:eastAsia="zh-CN"/>
                    </w:rPr>
                    <w:t>0.0216</w:t>
                  </w:r>
                </w:p>
              </w:tc>
              <w:tc>
                <w:tcPr>
                  <w:tcW w:w="424" w:type="pct"/>
                  <w:vMerge w:val="continue"/>
                  <w:noWrap w:val="0"/>
                  <w:vAlign w:val="center"/>
                </w:tcPr>
                <w:p w14:paraId="63CDD56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577" w:type="pct"/>
                  <w:vMerge w:val="continue"/>
                  <w:noWrap w:val="0"/>
                  <w:vAlign w:val="center"/>
                </w:tcPr>
                <w:p w14:paraId="4F546C93">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p>
              </w:tc>
              <w:tc>
                <w:tcPr>
                  <w:tcW w:w="398" w:type="pct"/>
                  <w:shd w:val="clear" w:color="auto" w:fill="auto"/>
                  <w:noWrap w:val="0"/>
                  <w:vAlign w:val="center"/>
                </w:tcPr>
                <w:p w14:paraId="2613176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90%</w:t>
                  </w:r>
                </w:p>
              </w:tc>
              <w:tc>
                <w:tcPr>
                  <w:tcW w:w="398" w:type="pct"/>
                  <w:shd w:val="clear" w:color="auto" w:fill="auto"/>
                  <w:noWrap w:val="0"/>
                  <w:vAlign w:val="center"/>
                </w:tcPr>
                <w:p w14:paraId="6C47970E">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80%</w:t>
                  </w:r>
                </w:p>
              </w:tc>
              <w:tc>
                <w:tcPr>
                  <w:tcW w:w="498" w:type="pct"/>
                  <w:shd w:val="clear" w:color="auto" w:fill="auto"/>
                  <w:noWrap w:val="0"/>
                  <w:vAlign w:val="center"/>
                </w:tcPr>
                <w:p w14:paraId="044E4CD0">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0.004</w:t>
                  </w:r>
                </w:p>
              </w:tc>
              <w:tc>
                <w:tcPr>
                  <w:tcW w:w="428" w:type="pct"/>
                  <w:shd w:val="clear" w:color="auto" w:fill="auto"/>
                  <w:noWrap w:val="0"/>
                  <w:vAlign w:val="center"/>
                </w:tcPr>
                <w:p w14:paraId="25D07D7A">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pacing w:val="-11"/>
                      <w:sz w:val="21"/>
                      <w:szCs w:val="21"/>
                      <w:highlight w:val="none"/>
                      <w:vertAlign w:val="baseline"/>
                      <w:lang w:val="en-US" w:eastAsia="zh-CN"/>
                    </w:rPr>
                    <w:t>0.0022</w:t>
                  </w:r>
                </w:p>
              </w:tc>
            </w:tr>
          </w:tbl>
          <w:p w14:paraId="08E11550">
            <w:pPr>
              <w:pStyle w:val="23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000000"/>
                <w:kern w:val="0"/>
                <w:sz w:val="24"/>
                <w:szCs w:val="20"/>
                <w:highlight w:val="none"/>
                <w:lang w:eastAsia="zh-CN"/>
              </w:rPr>
            </w:pPr>
            <w:r>
              <w:rPr>
                <w:rFonts w:hint="default" w:ascii="Times New Roman" w:hAnsi="Times New Roman" w:eastAsia="宋体" w:cs="Times New Roman"/>
                <w:color w:val="000000"/>
                <w:sz w:val="24"/>
                <w:szCs w:val="24"/>
                <w:highlight w:val="none"/>
              </w:rPr>
              <w:t>项目</w:t>
            </w:r>
            <w:r>
              <w:rPr>
                <w:rFonts w:hint="eastAsia" w:ascii="Times New Roman" w:hAnsi="Times New Roman" w:eastAsia="宋体" w:cs="Times New Roman"/>
                <w:color w:val="000000"/>
                <w:sz w:val="24"/>
                <w:szCs w:val="24"/>
                <w:highlight w:val="none"/>
                <w:lang w:val="en-US" w:eastAsia="zh-CN"/>
              </w:rPr>
              <w:t>在制</w:t>
            </w:r>
            <w:r>
              <w:rPr>
                <w:rFonts w:hint="eastAsia" w:cs="Times New Roman"/>
                <w:color w:val="000000"/>
                <w:sz w:val="24"/>
                <w:szCs w:val="24"/>
                <w:highlight w:val="none"/>
                <w:lang w:val="en-US" w:eastAsia="zh-CN"/>
              </w:rPr>
              <w:t>壳</w:t>
            </w:r>
            <w:r>
              <w:rPr>
                <w:rFonts w:hint="eastAsia" w:ascii="Times New Roman" w:hAnsi="Times New Roman" w:eastAsia="宋体" w:cs="Times New Roman"/>
                <w:color w:val="000000"/>
                <w:sz w:val="24"/>
                <w:szCs w:val="24"/>
                <w:highlight w:val="none"/>
                <w:lang w:val="en-US" w:eastAsia="zh-CN"/>
              </w:rPr>
              <w:t>工序上方</w:t>
            </w:r>
            <w:r>
              <w:rPr>
                <w:rFonts w:hint="eastAsia" w:ascii="Times New Roman" w:hAnsi="Times New Roman" w:cs="Times New Roman"/>
                <w:color w:val="000000"/>
                <w:sz w:val="24"/>
                <w:szCs w:val="20"/>
                <w:highlight w:val="none"/>
                <w:lang w:val="en-US" w:eastAsia="zh-CN"/>
              </w:rPr>
              <w:t>设置2个</w:t>
            </w:r>
            <w:r>
              <w:rPr>
                <w:rFonts w:hint="eastAsia" w:ascii="Times New Roman" w:hAnsi="Times New Roman" w:eastAsia="宋体" w:cs="Times New Roman"/>
                <w:color w:val="000000"/>
                <w:sz w:val="24"/>
                <w:szCs w:val="24"/>
                <w:highlight w:val="none"/>
                <w:lang w:val="en-US" w:eastAsia="zh-CN"/>
              </w:rPr>
              <w:t>集气罩</w:t>
            </w:r>
            <w:r>
              <w:rPr>
                <w:rFonts w:hint="eastAsia" w:cs="Times New Roman"/>
                <w:color w:val="000000"/>
                <w:sz w:val="24"/>
                <w:szCs w:val="24"/>
                <w:highlight w:val="none"/>
                <w:lang w:val="en-US" w:eastAsia="zh-CN"/>
              </w:rPr>
              <w:t>，</w:t>
            </w:r>
            <w:r>
              <w:rPr>
                <w:rFonts w:hint="eastAsia" w:ascii="Times New Roman" w:hAnsi="Times New Roman" w:eastAsia="宋体" w:cs="Times New Roman"/>
                <w:color w:val="auto"/>
                <w:kern w:val="0"/>
                <w:sz w:val="24"/>
                <w:szCs w:val="20"/>
                <w:highlight w:val="none"/>
                <w:lang w:val="en-US" w:eastAsia="zh-CN"/>
              </w:rPr>
              <w:t>尺寸为</w:t>
            </w:r>
            <w:r>
              <w:rPr>
                <w:rFonts w:hint="eastAsia" w:cs="Times New Roman"/>
                <w:color w:val="auto"/>
                <w:kern w:val="0"/>
                <w:sz w:val="24"/>
                <w:szCs w:val="20"/>
                <w:highlight w:val="none"/>
                <w:lang w:val="en-US" w:eastAsia="zh-CN"/>
              </w:rPr>
              <w:t>0.5</w:t>
            </w:r>
            <w:r>
              <w:rPr>
                <w:rFonts w:hint="eastAsia" w:ascii="Times New Roman" w:hAnsi="Times New Roman" w:eastAsia="宋体" w:cs="Times New Roman"/>
                <w:color w:val="auto"/>
                <w:kern w:val="0"/>
                <w:sz w:val="24"/>
                <w:szCs w:val="20"/>
                <w:highlight w:val="none"/>
                <w:lang w:val="en-US" w:eastAsia="zh-CN"/>
              </w:rPr>
              <w:t>m×</w:t>
            </w:r>
            <w:r>
              <w:rPr>
                <w:rFonts w:hint="eastAsia" w:cs="Times New Roman"/>
                <w:color w:val="auto"/>
                <w:kern w:val="0"/>
                <w:sz w:val="24"/>
                <w:szCs w:val="20"/>
                <w:highlight w:val="none"/>
                <w:lang w:val="en-US" w:eastAsia="zh-CN"/>
              </w:rPr>
              <w:t>1.2</w:t>
            </w:r>
            <w:r>
              <w:rPr>
                <w:rFonts w:hint="eastAsia" w:ascii="Times New Roman" w:hAnsi="Times New Roman" w:eastAsia="宋体" w:cs="Times New Roman"/>
                <w:color w:val="auto"/>
                <w:kern w:val="0"/>
                <w:sz w:val="24"/>
                <w:szCs w:val="20"/>
                <w:highlight w:val="none"/>
                <w:lang w:val="en-US" w:eastAsia="zh-CN"/>
              </w:rPr>
              <w:t>m，</w:t>
            </w:r>
            <w:r>
              <w:rPr>
                <w:rFonts w:hint="eastAsia" w:cs="Times New Roman"/>
                <w:color w:val="auto"/>
                <w:kern w:val="0"/>
                <w:sz w:val="24"/>
                <w:szCs w:val="20"/>
                <w:highlight w:val="none"/>
                <w:lang w:val="en-US" w:eastAsia="zh-CN"/>
              </w:rPr>
              <w:t>总</w:t>
            </w:r>
            <w:r>
              <w:rPr>
                <w:rFonts w:hint="eastAsia" w:ascii="Times New Roman" w:hAnsi="Times New Roman" w:cs="Times New Roman"/>
                <w:color w:val="000000"/>
                <w:sz w:val="24"/>
                <w:szCs w:val="20"/>
                <w:highlight w:val="none"/>
                <w:lang w:val="en-US" w:eastAsia="zh-CN"/>
              </w:rPr>
              <w:t>面积为</w:t>
            </w:r>
            <w:r>
              <w:rPr>
                <w:rFonts w:hint="eastAsia" w:cs="Times New Roman"/>
                <w:color w:val="000000"/>
                <w:sz w:val="24"/>
                <w:szCs w:val="20"/>
                <w:highlight w:val="none"/>
                <w:lang w:val="en-US" w:eastAsia="zh-CN"/>
              </w:rPr>
              <w:t>1.2</w:t>
            </w:r>
            <w:r>
              <w:rPr>
                <w:rFonts w:hint="eastAsia" w:ascii="Times New Roman" w:hAnsi="Times New Roman" w:cs="Times New Roman"/>
                <w:color w:val="000000"/>
                <w:sz w:val="24"/>
                <w:szCs w:val="20"/>
                <w:highlight w:val="none"/>
                <w:lang w:val="en-US" w:eastAsia="zh-CN"/>
              </w:rPr>
              <w:t>m</w:t>
            </w:r>
            <w:r>
              <w:rPr>
                <w:rFonts w:hint="eastAsia" w:ascii="Times New Roman" w:hAnsi="Times New Roman" w:cs="Times New Roman"/>
                <w:color w:val="000000"/>
                <w:sz w:val="24"/>
                <w:szCs w:val="20"/>
                <w:highlight w:val="none"/>
                <w:vertAlign w:val="superscript"/>
                <w:lang w:val="en-US" w:eastAsia="zh-CN"/>
              </w:rPr>
              <w:t>2</w:t>
            </w:r>
            <w:r>
              <w:rPr>
                <w:rFonts w:hint="eastAsia" w:cs="Times New Roman"/>
                <w:color w:val="000000"/>
                <w:sz w:val="24"/>
                <w:szCs w:val="20"/>
                <w:highlight w:val="none"/>
                <w:vertAlign w:val="baseline"/>
                <w:lang w:val="en-US" w:eastAsia="zh-CN"/>
              </w:rPr>
              <w:t>；</w:t>
            </w:r>
            <w:r>
              <w:rPr>
                <w:rFonts w:hint="eastAsia" w:cs="Times New Roman"/>
                <w:color w:val="auto"/>
                <w:kern w:val="0"/>
                <w:sz w:val="24"/>
                <w:szCs w:val="20"/>
                <w:highlight w:val="none"/>
                <w:lang w:val="en-US" w:eastAsia="zh-CN"/>
              </w:rPr>
              <w:t>浇注工位</w:t>
            </w:r>
            <w:r>
              <w:rPr>
                <w:rFonts w:hint="eastAsia" w:ascii="Times New Roman" w:hAnsi="Times New Roman" w:eastAsia="宋体" w:cs="Times New Roman"/>
                <w:color w:val="000000"/>
                <w:sz w:val="24"/>
                <w:szCs w:val="24"/>
                <w:highlight w:val="none"/>
                <w:lang w:val="en-US" w:eastAsia="zh-CN"/>
              </w:rPr>
              <w:t>上方</w:t>
            </w:r>
            <w:r>
              <w:rPr>
                <w:rFonts w:hint="eastAsia" w:ascii="Times New Roman" w:hAnsi="Times New Roman" w:cs="Times New Roman"/>
                <w:color w:val="000000"/>
                <w:sz w:val="24"/>
                <w:szCs w:val="20"/>
                <w:highlight w:val="none"/>
                <w:lang w:val="en-US" w:eastAsia="zh-CN"/>
              </w:rPr>
              <w:t>设置</w:t>
            </w:r>
            <w:r>
              <w:rPr>
                <w:rFonts w:hint="eastAsia" w:cs="Times New Roman"/>
                <w:color w:val="000000"/>
                <w:sz w:val="24"/>
                <w:szCs w:val="20"/>
                <w:highlight w:val="none"/>
                <w:lang w:val="en-US" w:eastAsia="zh-CN"/>
              </w:rPr>
              <w:t>1</w:t>
            </w:r>
            <w:r>
              <w:rPr>
                <w:rFonts w:hint="eastAsia" w:ascii="Times New Roman" w:hAnsi="Times New Roman" w:cs="Times New Roman"/>
                <w:color w:val="000000"/>
                <w:sz w:val="24"/>
                <w:szCs w:val="20"/>
                <w:highlight w:val="none"/>
                <w:lang w:val="en-US" w:eastAsia="zh-CN"/>
              </w:rPr>
              <w:t>个</w:t>
            </w:r>
            <w:r>
              <w:rPr>
                <w:rFonts w:hint="eastAsia" w:ascii="Times New Roman" w:hAnsi="Times New Roman" w:eastAsia="宋体" w:cs="Times New Roman"/>
                <w:color w:val="000000"/>
                <w:sz w:val="24"/>
                <w:szCs w:val="24"/>
                <w:highlight w:val="none"/>
                <w:lang w:val="en-US" w:eastAsia="zh-CN"/>
              </w:rPr>
              <w:t>集气罩</w:t>
            </w:r>
            <w:r>
              <w:rPr>
                <w:rFonts w:hint="eastAsia" w:cs="Times New Roman"/>
                <w:color w:val="000000"/>
                <w:sz w:val="24"/>
                <w:szCs w:val="24"/>
                <w:highlight w:val="none"/>
                <w:lang w:val="en-US" w:eastAsia="zh-CN"/>
              </w:rPr>
              <w:t>，</w:t>
            </w:r>
            <w:r>
              <w:rPr>
                <w:rFonts w:hint="eastAsia" w:ascii="Times New Roman" w:hAnsi="Times New Roman" w:eastAsia="宋体" w:cs="Times New Roman"/>
                <w:color w:val="auto"/>
                <w:kern w:val="0"/>
                <w:sz w:val="24"/>
                <w:szCs w:val="20"/>
                <w:highlight w:val="none"/>
                <w:lang w:val="en-US" w:eastAsia="zh-CN"/>
              </w:rPr>
              <w:t>尺寸</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m×</w:t>
            </w: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lang w:val="en-US" w:eastAsia="zh-CN"/>
              </w:rPr>
              <w:t>m</w:t>
            </w:r>
            <w:r>
              <w:rPr>
                <w:rFonts w:hint="eastAsia" w:cs="Times New Roman"/>
                <w:color w:val="auto"/>
                <w:sz w:val="24"/>
                <w:szCs w:val="24"/>
                <w:highlight w:val="none"/>
                <w:lang w:val="en-US" w:eastAsia="zh-CN"/>
              </w:rPr>
              <w:t>，</w:t>
            </w:r>
            <w:r>
              <w:rPr>
                <w:rFonts w:hint="default" w:ascii="Times New Roman" w:hAnsi="Times New Roman" w:eastAsia="宋体" w:cs="Times New Roman"/>
                <w:color w:val="000000"/>
                <w:kern w:val="0"/>
                <w:sz w:val="24"/>
                <w:szCs w:val="20"/>
                <w:highlight w:val="none"/>
              </w:rPr>
              <w:t>风机风量按以下公式计算</w:t>
            </w:r>
            <w:r>
              <w:rPr>
                <w:rFonts w:hint="eastAsia" w:ascii="Times New Roman" w:hAnsi="Times New Roman" w:eastAsia="宋体" w:cs="Times New Roman"/>
                <w:color w:val="000000"/>
                <w:kern w:val="0"/>
                <w:sz w:val="24"/>
                <w:szCs w:val="20"/>
                <w:highlight w:val="none"/>
                <w:lang w:eastAsia="zh-CN"/>
              </w:rPr>
              <w:t>：</w:t>
            </w:r>
          </w:p>
          <w:p w14:paraId="465B59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Q</w:t>
            </w:r>
            <w:r>
              <w:rPr>
                <w:rFonts w:hint="default" w:ascii="Times New Roman" w:hAnsi="Times New Roman" w:eastAsia="宋体" w:cs="Times New Roman"/>
                <w:color w:val="000000"/>
                <w:kern w:val="0"/>
                <w:sz w:val="24"/>
                <w:szCs w:val="20"/>
                <w:highlight w:val="none"/>
                <w:lang w:val="en-US" w:eastAsia="zh-CN"/>
              </w:rPr>
              <w:t>=3600×V</w:t>
            </w:r>
            <w:r>
              <w:rPr>
                <w:rFonts w:hint="eastAsia" w:ascii="Times New Roman" w:hAnsi="Times New Roman" w:eastAsia="宋体" w:cs="Times New Roman"/>
                <w:color w:val="000000"/>
                <w:kern w:val="0"/>
                <w:sz w:val="24"/>
                <w:szCs w:val="20"/>
                <w:highlight w:val="none"/>
                <w:vertAlign w:val="subscript"/>
                <w:lang w:val="en-US" w:eastAsia="zh-CN"/>
              </w:rPr>
              <w:t>x</w:t>
            </w:r>
            <w:r>
              <w:rPr>
                <w:rFonts w:hint="default" w:ascii="Times New Roman" w:hAnsi="Times New Roman" w:eastAsia="宋体" w:cs="Times New Roman"/>
                <w:color w:val="000000"/>
                <w:kern w:val="0"/>
                <w:sz w:val="24"/>
                <w:szCs w:val="20"/>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F</w:t>
            </w:r>
          </w:p>
          <w:p w14:paraId="5D5A5E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rPr>
              <w:t>式中：</w:t>
            </w:r>
            <w:r>
              <w:rPr>
                <w:rFonts w:hint="eastAsia" w:ascii="Times New Roman" w:hAnsi="Times New Roman" w:eastAsia="宋体" w:cs="Times New Roman"/>
                <w:color w:val="000000"/>
                <w:kern w:val="0"/>
                <w:sz w:val="24"/>
                <w:szCs w:val="20"/>
                <w:highlight w:val="none"/>
                <w:lang w:val="en-US" w:eastAsia="zh-CN"/>
              </w:rPr>
              <w:t>Q</w:t>
            </w:r>
            <w:r>
              <w:rPr>
                <w:rFonts w:hint="default" w:ascii="Times New Roman" w:hAnsi="Times New Roman" w:eastAsia="宋体" w:cs="Times New Roman"/>
                <w:color w:val="000000"/>
                <w:kern w:val="0"/>
                <w:sz w:val="24"/>
                <w:szCs w:val="20"/>
                <w:highlight w:val="none"/>
              </w:rPr>
              <w:t>—</w:t>
            </w:r>
            <w:r>
              <w:rPr>
                <w:rFonts w:hint="eastAsia" w:ascii="Times New Roman" w:hAnsi="Times New Roman" w:eastAsia="宋体" w:cs="Times New Roman"/>
                <w:color w:val="000000"/>
                <w:kern w:val="0"/>
                <w:sz w:val="24"/>
                <w:szCs w:val="20"/>
                <w:highlight w:val="none"/>
                <w:lang w:val="en-US" w:eastAsia="zh-CN"/>
              </w:rPr>
              <w:t>集气罩排风量</w:t>
            </w:r>
            <w:r>
              <w:rPr>
                <w:rFonts w:hint="default" w:ascii="Times New Roman" w:hAnsi="Times New Roman" w:eastAsia="宋体" w:cs="Times New Roman"/>
                <w:color w:val="000000"/>
                <w:kern w:val="0"/>
                <w:sz w:val="24"/>
                <w:szCs w:val="20"/>
                <w:highlight w:val="none"/>
                <w:lang w:val="en-US" w:eastAsia="zh-CN"/>
              </w:rPr>
              <w:t>，m³/h；</w:t>
            </w:r>
          </w:p>
          <w:p w14:paraId="23C440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200" w:firstLineChars="500"/>
              <w:textAlignment w:val="auto"/>
              <w:rPr>
                <w:rFonts w:hint="default"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F</w:t>
            </w:r>
            <w:r>
              <w:rPr>
                <w:rFonts w:hint="default" w:ascii="Times New Roman" w:hAnsi="Times New Roman" w:eastAsia="宋体" w:cs="Times New Roman"/>
                <w:color w:val="000000"/>
                <w:kern w:val="0"/>
                <w:sz w:val="24"/>
                <w:szCs w:val="20"/>
                <w:highlight w:val="none"/>
              </w:rPr>
              <w:t>—</w:t>
            </w:r>
            <w:r>
              <w:rPr>
                <w:rFonts w:hint="eastAsia" w:ascii="Times New Roman" w:hAnsi="Times New Roman" w:eastAsia="宋体" w:cs="Times New Roman"/>
                <w:color w:val="000000"/>
                <w:kern w:val="0"/>
                <w:sz w:val="24"/>
                <w:szCs w:val="20"/>
                <w:highlight w:val="none"/>
                <w:lang w:val="en-US" w:eastAsia="zh-CN"/>
              </w:rPr>
              <w:t>集气罩</w:t>
            </w:r>
            <w:r>
              <w:rPr>
                <w:rFonts w:hint="default" w:ascii="Times New Roman" w:hAnsi="Times New Roman" w:eastAsia="宋体" w:cs="Times New Roman"/>
                <w:color w:val="000000"/>
                <w:kern w:val="0"/>
                <w:sz w:val="24"/>
                <w:szCs w:val="20"/>
                <w:highlight w:val="none"/>
                <w:lang w:val="en-US" w:eastAsia="zh-CN"/>
              </w:rPr>
              <w:t>面积，m</w:t>
            </w:r>
            <w:r>
              <w:rPr>
                <w:rFonts w:hint="eastAsia" w:ascii="Times New Roman" w:hAnsi="Times New Roman" w:eastAsia="宋体" w:cs="Times New Roman"/>
                <w:color w:val="000000"/>
                <w:kern w:val="0"/>
                <w:sz w:val="24"/>
                <w:szCs w:val="20"/>
                <w:highlight w:val="none"/>
                <w:vertAlign w:val="superscript"/>
                <w:lang w:val="en-US" w:eastAsia="zh-CN"/>
              </w:rPr>
              <w:t>2</w:t>
            </w:r>
            <w:r>
              <w:rPr>
                <w:rFonts w:hint="default" w:ascii="Times New Roman" w:hAnsi="Times New Roman" w:eastAsia="宋体" w:cs="Times New Roman"/>
                <w:color w:val="000000"/>
                <w:kern w:val="0"/>
                <w:sz w:val="24"/>
                <w:szCs w:val="20"/>
                <w:highlight w:val="none"/>
                <w:lang w:val="en-US" w:eastAsia="zh-CN"/>
              </w:rPr>
              <w:t>；</w:t>
            </w:r>
          </w:p>
          <w:p w14:paraId="1598EB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200" w:firstLineChars="500"/>
              <w:textAlignment w:val="auto"/>
              <w:rPr>
                <w:rFonts w:hint="default" w:ascii="Times New Roman" w:hAnsi="Times New Roman" w:eastAsia="宋体"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lang w:val="en-US" w:eastAsia="zh-CN"/>
              </w:rPr>
              <w:t>V</w:t>
            </w:r>
            <w:r>
              <w:rPr>
                <w:rFonts w:hint="eastAsia" w:ascii="Times New Roman" w:hAnsi="Times New Roman" w:eastAsia="宋体" w:cs="Times New Roman"/>
                <w:color w:val="000000"/>
                <w:kern w:val="0"/>
                <w:sz w:val="24"/>
                <w:szCs w:val="20"/>
                <w:highlight w:val="none"/>
                <w:vertAlign w:val="subscript"/>
                <w:lang w:val="en-US" w:eastAsia="zh-CN"/>
              </w:rPr>
              <w:t>x</w:t>
            </w:r>
            <w:r>
              <w:rPr>
                <w:rFonts w:hint="default" w:ascii="Times New Roman" w:hAnsi="Times New Roman" w:eastAsia="宋体" w:cs="Times New Roman"/>
                <w:color w:val="000000"/>
                <w:kern w:val="0"/>
                <w:sz w:val="24"/>
                <w:szCs w:val="20"/>
                <w:highlight w:val="none"/>
              </w:rPr>
              <w:t>—</w:t>
            </w:r>
            <w:r>
              <w:rPr>
                <w:rFonts w:hint="eastAsia" w:ascii="Times New Roman" w:hAnsi="Times New Roman" w:eastAsia="宋体" w:cs="Times New Roman"/>
                <w:color w:val="000000"/>
                <w:kern w:val="0"/>
                <w:sz w:val="24"/>
                <w:szCs w:val="20"/>
                <w:highlight w:val="none"/>
                <w:lang w:val="en-US" w:eastAsia="zh-CN"/>
              </w:rPr>
              <w:t>进口</w:t>
            </w:r>
            <w:r>
              <w:rPr>
                <w:rFonts w:hint="default" w:ascii="Times New Roman" w:hAnsi="Times New Roman" w:eastAsia="宋体" w:cs="Times New Roman"/>
                <w:color w:val="000000"/>
                <w:kern w:val="0"/>
                <w:sz w:val="24"/>
                <w:szCs w:val="20"/>
                <w:highlight w:val="none"/>
                <w:lang w:val="en-US" w:eastAsia="zh-CN"/>
              </w:rPr>
              <w:t>风速，</w:t>
            </w:r>
            <w:r>
              <w:rPr>
                <w:rFonts w:hint="eastAsia" w:ascii="Times New Roman" w:hAnsi="Times New Roman" w:eastAsia="宋体" w:cs="Times New Roman"/>
                <w:color w:val="000000"/>
                <w:kern w:val="0"/>
                <w:sz w:val="24"/>
                <w:szCs w:val="20"/>
                <w:highlight w:val="none"/>
                <w:lang w:val="en-US" w:eastAsia="zh-CN"/>
              </w:rPr>
              <w:t>根据《局部排风设施控制风速检测与评估技术规范》（AQ/T4274-2016），上吸式控制风速为1.2m/s。</w:t>
            </w:r>
          </w:p>
          <w:p w14:paraId="7C62D3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rPr>
              <w:t>经计算，</w:t>
            </w:r>
            <w:r>
              <w:rPr>
                <w:rFonts w:hint="eastAsia" w:ascii="Times New Roman" w:hAnsi="Times New Roman" w:eastAsia="宋体" w:cs="Times New Roman"/>
                <w:color w:val="000000"/>
                <w:kern w:val="0"/>
                <w:sz w:val="24"/>
                <w:szCs w:val="20"/>
                <w:highlight w:val="none"/>
                <w:lang w:val="en-US" w:eastAsia="zh-CN"/>
              </w:rPr>
              <w:t>集气罩风量Q</w:t>
            </w:r>
            <w:r>
              <w:rPr>
                <w:rFonts w:hint="default" w:ascii="Times New Roman" w:hAnsi="Times New Roman" w:eastAsia="宋体" w:cs="Times New Roman"/>
                <w:color w:val="000000"/>
                <w:kern w:val="0"/>
                <w:sz w:val="24"/>
                <w:szCs w:val="20"/>
                <w:highlight w:val="none"/>
              </w:rPr>
              <w:t>为</w:t>
            </w:r>
            <w:r>
              <w:rPr>
                <w:rFonts w:hint="eastAsia" w:cs="Times New Roman"/>
                <w:color w:val="000000"/>
                <w:kern w:val="0"/>
                <w:sz w:val="24"/>
                <w:szCs w:val="20"/>
                <w:highlight w:val="none"/>
                <w:lang w:val="en-US" w:eastAsia="zh-CN"/>
              </w:rPr>
              <w:t>13824</w:t>
            </w:r>
            <w:r>
              <w:rPr>
                <w:rFonts w:hint="default" w:ascii="Times New Roman" w:hAnsi="Times New Roman" w:eastAsia="宋体" w:cs="Times New Roman"/>
                <w:color w:val="000000"/>
                <w:kern w:val="0"/>
                <w:sz w:val="24"/>
                <w:szCs w:val="20"/>
                <w:highlight w:val="none"/>
              </w:rPr>
              <w:t>m</w:t>
            </w:r>
            <w:r>
              <w:rPr>
                <w:rFonts w:hint="default" w:ascii="Times New Roman" w:hAnsi="Times New Roman" w:eastAsia="宋体" w:cs="Times New Roman"/>
                <w:color w:val="000000"/>
                <w:kern w:val="0"/>
                <w:sz w:val="24"/>
                <w:szCs w:val="20"/>
                <w:highlight w:val="none"/>
                <w:vertAlign w:val="superscript"/>
              </w:rPr>
              <w:t>3</w:t>
            </w:r>
            <w:r>
              <w:rPr>
                <w:rFonts w:hint="default" w:ascii="Times New Roman" w:hAnsi="Times New Roman" w:eastAsia="宋体" w:cs="Times New Roman"/>
                <w:color w:val="000000"/>
                <w:kern w:val="0"/>
                <w:sz w:val="24"/>
                <w:szCs w:val="20"/>
                <w:highlight w:val="none"/>
              </w:rPr>
              <w:t>/h</w:t>
            </w:r>
            <w:r>
              <w:rPr>
                <w:rFonts w:hint="eastAsia" w:cs="Times New Roman"/>
                <w:color w:val="000000"/>
                <w:kern w:val="0"/>
                <w:sz w:val="24"/>
                <w:szCs w:val="20"/>
                <w:highlight w:val="none"/>
                <w:lang w:eastAsia="zh-CN"/>
              </w:rPr>
              <w:t>，</w:t>
            </w:r>
            <w:r>
              <w:rPr>
                <w:rFonts w:hint="default" w:ascii="Times New Roman" w:hAnsi="Times New Roman" w:eastAsia="宋体" w:cs="Times New Roman"/>
                <w:color w:val="000000"/>
                <w:kern w:val="0"/>
                <w:sz w:val="24"/>
                <w:szCs w:val="20"/>
                <w:highlight w:val="none"/>
                <w:lang w:eastAsia="zh-CN"/>
              </w:rPr>
              <w:t>考虑管道损失，</w:t>
            </w:r>
            <w:r>
              <w:rPr>
                <w:rFonts w:hint="default" w:ascii="Times New Roman" w:hAnsi="Times New Roman" w:eastAsia="宋体" w:cs="Times New Roman"/>
                <w:color w:val="000000"/>
                <w:kern w:val="0"/>
                <w:sz w:val="24"/>
                <w:szCs w:val="20"/>
                <w:highlight w:val="none"/>
              </w:rPr>
              <w:t>设计风量为</w:t>
            </w:r>
            <w:r>
              <w:rPr>
                <w:rFonts w:hint="eastAsia" w:cs="Times New Roman"/>
                <w:color w:val="000000"/>
                <w:kern w:val="0"/>
                <w:sz w:val="24"/>
                <w:szCs w:val="20"/>
                <w:highlight w:val="none"/>
                <w:lang w:val="en-US" w:eastAsia="zh-CN"/>
              </w:rPr>
              <w:t>15000</w:t>
            </w:r>
            <w:r>
              <w:rPr>
                <w:rFonts w:hint="default" w:ascii="Times New Roman" w:hAnsi="Times New Roman" w:eastAsia="宋体" w:cs="Times New Roman"/>
                <w:color w:val="000000"/>
                <w:kern w:val="0"/>
                <w:sz w:val="24"/>
                <w:szCs w:val="20"/>
                <w:highlight w:val="none"/>
              </w:rPr>
              <w:t>m</w:t>
            </w:r>
            <w:r>
              <w:rPr>
                <w:rFonts w:hint="default" w:ascii="Times New Roman" w:hAnsi="Times New Roman" w:eastAsia="宋体" w:cs="Times New Roman"/>
                <w:color w:val="000000"/>
                <w:kern w:val="0"/>
                <w:sz w:val="24"/>
                <w:szCs w:val="20"/>
                <w:highlight w:val="none"/>
                <w:vertAlign w:val="superscript"/>
              </w:rPr>
              <w:t>3</w:t>
            </w:r>
            <w:r>
              <w:rPr>
                <w:rFonts w:hint="default" w:ascii="Times New Roman" w:hAnsi="Times New Roman" w:eastAsia="宋体" w:cs="Times New Roman"/>
                <w:color w:val="000000"/>
                <w:kern w:val="0"/>
                <w:sz w:val="24"/>
                <w:szCs w:val="20"/>
                <w:highlight w:val="none"/>
              </w:rPr>
              <w:t>/h</w:t>
            </w:r>
            <w:r>
              <w:rPr>
                <w:rFonts w:hint="eastAsia" w:cs="Times New Roman"/>
                <w:color w:val="000000"/>
                <w:kern w:val="0"/>
                <w:sz w:val="24"/>
                <w:szCs w:val="20"/>
                <w:highlight w:val="none"/>
                <w:lang w:val="en-US" w:eastAsia="zh-CN"/>
              </w:rPr>
              <w:t>。</w:t>
            </w:r>
          </w:p>
          <w:p w14:paraId="1D93FC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000000"/>
                <w:kern w:val="0"/>
                <w:sz w:val="24"/>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项目</w:t>
            </w:r>
            <w:r>
              <w:rPr>
                <w:rFonts w:hint="eastAsia" w:cs="Times New Roman"/>
                <w:color w:val="000000"/>
                <w:kern w:val="0"/>
                <w:sz w:val="24"/>
                <w:szCs w:val="20"/>
                <w:highlight w:val="none"/>
                <w:lang w:val="en-US" w:eastAsia="zh-CN"/>
              </w:rPr>
              <w:t>制壳、浇注</w:t>
            </w:r>
            <w:r>
              <w:rPr>
                <w:rFonts w:hint="eastAsia" w:ascii="Times New Roman" w:hAnsi="Times New Roman" w:eastAsia="宋体" w:cs="Times New Roman"/>
                <w:color w:val="000000"/>
                <w:kern w:val="0"/>
                <w:sz w:val="24"/>
                <w:szCs w:val="20"/>
                <w:highlight w:val="none"/>
                <w:lang w:val="en-US" w:eastAsia="zh-CN"/>
              </w:rPr>
              <w:t>废气经收集引至1套“布袋除尘器+</w:t>
            </w:r>
            <w:r>
              <w:rPr>
                <w:rFonts w:hint="eastAsia" w:cs="Times New Roman"/>
                <w:color w:val="000000"/>
                <w:kern w:val="0"/>
                <w:sz w:val="24"/>
                <w:szCs w:val="20"/>
                <w:highlight w:val="none"/>
                <w:lang w:val="en-US" w:eastAsia="zh-CN"/>
              </w:rPr>
              <w:t>二级</w:t>
            </w:r>
            <w:r>
              <w:rPr>
                <w:rFonts w:hint="eastAsia" w:ascii="Times New Roman" w:hAnsi="Times New Roman" w:eastAsia="宋体" w:cs="Times New Roman"/>
                <w:color w:val="000000"/>
                <w:kern w:val="0"/>
                <w:sz w:val="24"/>
                <w:szCs w:val="20"/>
                <w:highlight w:val="none"/>
                <w:lang w:val="en-US" w:eastAsia="zh-CN"/>
              </w:rPr>
              <w:t>活性炭吸附装置”处理后，通过</w:t>
            </w:r>
            <w:r>
              <w:rPr>
                <w:rFonts w:hint="eastAsia" w:cs="Times New Roman"/>
                <w:color w:val="000000"/>
                <w:kern w:val="0"/>
                <w:sz w:val="24"/>
                <w:szCs w:val="20"/>
                <w:highlight w:val="none"/>
                <w:lang w:val="en-US" w:eastAsia="zh-CN"/>
              </w:rPr>
              <w:t>25</w:t>
            </w:r>
            <w:r>
              <w:rPr>
                <w:rFonts w:hint="default" w:ascii="Times New Roman" w:hAnsi="Times New Roman" w:eastAsia="宋体" w:cs="Times New Roman"/>
                <w:color w:val="000000"/>
                <w:kern w:val="0"/>
                <w:sz w:val="24"/>
                <w:szCs w:val="20"/>
                <w:highlight w:val="none"/>
                <w:lang w:val="en-US" w:eastAsia="zh-CN"/>
              </w:rPr>
              <w:t>m排气筒</w:t>
            </w:r>
            <w:r>
              <w:rPr>
                <w:rFonts w:hint="eastAsia" w:ascii="Times New Roman" w:hAnsi="Times New Roman" w:eastAsia="宋体" w:cs="Times New Roman"/>
                <w:color w:val="000000"/>
                <w:kern w:val="0"/>
                <w:sz w:val="24"/>
                <w:szCs w:val="20"/>
                <w:highlight w:val="none"/>
                <w:lang w:val="en-US" w:eastAsia="zh-CN"/>
              </w:rPr>
              <w:t>DA002</w:t>
            </w:r>
            <w:r>
              <w:rPr>
                <w:rFonts w:hint="default" w:ascii="Times New Roman" w:hAnsi="Times New Roman" w:eastAsia="宋体" w:cs="Times New Roman"/>
                <w:color w:val="000000"/>
                <w:kern w:val="0"/>
                <w:sz w:val="24"/>
                <w:szCs w:val="20"/>
                <w:highlight w:val="none"/>
                <w:lang w:val="en-US" w:eastAsia="zh-CN"/>
              </w:rPr>
              <w:t>排放</w:t>
            </w:r>
            <w:r>
              <w:rPr>
                <w:rFonts w:hint="eastAsia" w:ascii="Times New Roman" w:hAnsi="Times New Roman" w:eastAsia="宋体" w:cs="Times New Roman"/>
                <w:color w:val="000000"/>
                <w:kern w:val="0"/>
                <w:sz w:val="24"/>
                <w:szCs w:val="20"/>
                <w:highlight w:val="none"/>
                <w:lang w:val="en-US" w:eastAsia="zh-CN"/>
              </w:rPr>
              <w:t>。年工作时间为1200h，风机风量按</w:t>
            </w:r>
            <w:r>
              <w:rPr>
                <w:rFonts w:hint="eastAsia" w:cs="Times New Roman"/>
                <w:color w:val="000000"/>
                <w:kern w:val="0"/>
                <w:sz w:val="24"/>
                <w:szCs w:val="20"/>
                <w:highlight w:val="none"/>
                <w:lang w:val="en-US" w:eastAsia="zh-CN"/>
              </w:rPr>
              <w:t>15000</w:t>
            </w:r>
            <w:r>
              <w:rPr>
                <w:rFonts w:hint="eastAsia" w:ascii="Times New Roman" w:hAnsi="Times New Roman" w:eastAsia="宋体" w:cs="Times New Roman"/>
                <w:color w:val="000000"/>
                <w:kern w:val="0"/>
                <w:sz w:val="24"/>
                <w:szCs w:val="20"/>
                <w:highlight w:val="none"/>
                <w:lang w:val="en-US" w:eastAsia="zh-CN"/>
              </w:rPr>
              <w:t>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/h计，颗粒物</w:t>
            </w:r>
            <w:r>
              <w:rPr>
                <w:rFonts w:hint="eastAsia" w:cs="Times New Roman"/>
                <w:color w:val="000000"/>
                <w:kern w:val="0"/>
                <w:sz w:val="24"/>
                <w:szCs w:val="20"/>
                <w:highlight w:val="none"/>
                <w:lang w:val="en-US" w:eastAsia="zh-CN"/>
              </w:rPr>
              <w:t>收集</w:t>
            </w:r>
            <w:r>
              <w:rPr>
                <w:rFonts w:hint="eastAsia" w:ascii="Times New Roman" w:hAnsi="Times New Roman" w:eastAsia="宋体" w:cs="Times New Roman"/>
                <w:color w:val="000000"/>
                <w:kern w:val="0"/>
                <w:sz w:val="24"/>
                <w:szCs w:val="20"/>
                <w:highlight w:val="none"/>
                <w:lang w:val="en-US" w:eastAsia="zh-CN"/>
              </w:rPr>
              <w:t>量为</w:t>
            </w:r>
            <w:r>
              <w:rPr>
                <w:rFonts w:hint="eastAsia" w:cs="Times New Roman"/>
                <w:color w:val="000000"/>
                <w:kern w:val="0"/>
                <w:sz w:val="24"/>
                <w:szCs w:val="20"/>
                <w:highlight w:val="none"/>
                <w:lang w:val="en-US" w:eastAsia="zh-CN"/>
              </w:rPr>
              <w:t>1.882</w:t>
            </w:r>
            <w:r>
              <w:rPr>
                <w:rFonts w:hint="eastAsia" w:ascii="Times New Roman" w:hAnsi="Times New Roman" w:eastAsia="宋体" w:cs="Times New Roman"/>
                <w:color w:val="000000"/>
                <w:kern w:val="0"/>
                <w:sz w:val="24"/>
                <w:szCs w:val="20"/>
                <w:highlight w:val="none"/>
                <w:lang w:val="en-US" w:eastAsia="zh-CN"/>
              </w:rPr>
              <w:t>t/a，排放浓度为</w:t>
            </w:r>
            <w:r>
              <w:rPr>
                <w:rFonts w:hint="eastAsia" w:cs="Times New Roman"/>
                <w:color w:val="000000"/>
                <w:kern w:val="0"/>
                <w:sz w:val="24"/>
                <w:szCs w:val="20"/>
                <w:highlight w:val="none"/>
                <w:lang w:val="en-US" w:eastAsia="zh-CN"/>
              </w:rPr>
              <w:t>104.556</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w:t>
            </w:r>
            <w:r>
              <w:rPr>
                <w:rFonts w:hint="eastAsia" w:cs="Times New Roman"/>
                <w:color w:val="000000"/>
                <w:kern w:val="0"/>
                <w:sz w:val="24"/>
                <w:szCs w:val="20"/>
                <w:highlight w:val="none"/>
                <w:lang w:val="en-US" w:eastAsia="zh-CN"/>
              </w:rPr>
              <w:t>产生</w:t>
            </w:r>
            <w:r>
              <w:rPr>
                <w:rFonts w:hint="eastAsia" w:ascii="Times New Roman" w:hAnsi="Times New Roman" w:eastAsia="宋体" w:cs="Times New Roman"/>
                <w:color w:val="000000"/>
                <w:kern w:val="0"/>
                <w:sz w:val="24"/>
                <w:szCs w:val="20"/>
                <w:highlight w:val="none"/>
                <w:lang w:val="en-US" w:eastAsia="zh-CN"/>
              </w:rPr>
              <w:t>速率为</w:t>
            </w:r>
            <w:r>
              <w:rPr>
                <w:rFonts w:hint="eastAsia" w:cs="Times New Roman"/>
                <w:color w:val="000000"/>
                <w:kern w:val="0"/>
                <w:sz w:val="24"/>
                <w:szCs w:val="20"/>
                <w:highlight w:val="none"/>
                <w:lang w:val="en-US" w:eastAsia="zh-CN"/>
              </w:rPr>
              <w:t>1.568</w:t>
            </w:r>
            <w:r>
              <w:rPr>
                <w:rFonts w:hint="eastAsia" w:ascii="Times New Roman" w:hAnsi="Times New Roman" w:eastAsia="宋体" w:cs="Times New Roman"/>
                <w:color w:val="000000"/>
                <w:kern w:val="0"/>
                <w:sz w:val="24"/>
                <w:szCs w:val="20"/>
                <w:highlight w:val="none"/>
                <w:lang w:val="en-US" w:eastAsia="zh-CN"/>
              </w:rPr>
              <w:t>kg/h，颗粒物排放浓度为</w:t>
            </w:r>
            <w:r>
              <w:rPr>
                <w:rFonts w:hint="eastAsia" w:cs="Times New Roman"/>
                <w:color w:val="000000"/>
                <w:kern w:val="0"/>
                <w:sz w:val="24"/>
                <w:szCs w:val="20"/>
                <w:highlight w:val="none"/>
                <w:lang w:val="en-US" w:eastAsia="zh-CN"/>
              </w:rPr>
              <w:t>1.056</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，排放速率为0.0</w:t>
            </w:r>
            <w:r>
              <w:rPr>
                <w:rFonts w:hint="eastAsia" w:cs="Times New Roman"/>
                <w:color w:val="000000"/>
                <w:kern w:val="0"/>
                <w:sz w:val="24"/>
                <w:szCs w:val="20"/>
                <w:highlight w:val="none"/>
                <w:lang w:val="en-US" w:eastAsia="zh-CN"/>
              </w:rPr>
              <w:t>16</w:t>
            </w:r>
            <w:r>
              <w:rPr>
                <w:rFonts w:hint="eastAsia" w:ascii="Times New Roman" w:hAnsi="Times New Roman" w:eastAsia="宋体" w:cs="Times New Roman"/>
                <w:color w:val="000000"/>
                <w:kern w:val="0"/>
                <w:sz w:val="24"/>
                <w:szCs w:val="20"/>
                <w:highlight w:val="none"/>
                <w:lang w:val="en-US" w:eastAsia="zh-CN"/>
              </w:rPr>
              <w:t>kg/h，排放量为0.0</w:t>
            </w:r>
            <w:r>
              <w:rPr>
                <w:rFonts w:hint="eastAsia" w:cs="Times New Roman"/>
                <w:color w:val="000000"/>
                <w:kern w:val="0"/>
                <w:sz w:val="24"/>
                <w:szCs w:val="20"/>
                <w:highlight w:val="none"/>
                <w:lang w:val="en-US" w:eastAsia="zh-CN"/>
              </w:rPr>
              <w:t>19</w:t>
            </w:r>
            <w:r>
              <w:rPr>
                <w:rFonts w:hint="eastAsia" w:ascii="Times New Roman" w:hAnsi="Times New Roman" w:eastAsia="宋体" w:cs="Times New Roman"/>
                <w:color w:val="000000"/>
                <w:kern w:val="0"/>
                <w:sz w:val="24"/>
                <w:szCs w:val="20"/>
                <w:highlight w:val="none"/>
                <w:lang w:val="en-US" w:eastAsia="zh-CN"/>
              </w:rPr>
              <w:t>t/a，满足《铸造工业大气污染物排放标准》（GB39726 -2020）表1大气污染物排放限值</w:t>
            </w:r>
            <w:r>
              <w:rPr>
                <w:rFonts w:hint="eastAsia" w:cs="Times New Roman"/>
                <w:color w:val="000000"/>
                <w:kern w:val="0"/>
                <w:sz w:val="24"/>
                <w:szCs w:val="20"/>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同时满足</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中表6-1铸造企业B级标准要求（20mg/m</w:t>
            </w:r>
            <w:r>
              <w:rPr>
                <w:rFonts w:hint="eastAsia" w:ascii="Times New Roman" w:hAnsi="Times New Roman" w:eastAsia="宋体" w:cs="Times New Roman"/>
                <w:sz w:val="24"/>
                <w:szCs w:val="18"/>
                <w:highlight w:val="none"/>
                <w:vertAlign w:val="superscript"/>
                <w:lang w:val="en-US" w:eastAsia="zh-CN"/>
              </w:rPr>
              <w:t>3</w:t>
            </w:r>
            <w:r>
              <w:rPr>
                <w:rFonts w:hint="eastAsia" w:ascii="Times New Roman" w:hAnsi="Times New Roman" w:eastAsia="宋体" w:cs="Times New Roman"/>
                <w:sz w:val="24"/>
                <w:szCs w:val="18"/>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w:t>
            </w:r>
          </w:p>
          <w:p w14:paraId="2700DA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eastAsia" w:ascii="Times New Roman" w:hAnsi="Times New Roman" w:eastAsia="宋体" w:cs="Times New Roman"/>
                <w:b w:val="0"/>
                <w:bCs w:val="0"/>
                <w:color w:val="auto"/>
                <w:sz w:val="24"/>
                <w:szCs w:val="24"/>
                <w:highlight w:val="none"/>
                <w:lang w:val="en-US" w:eastAsia="zh-CN"/>
              </w:rPr>
              <w:t>非甲烷总烃</w:t>
            </w:r>
            <w:r>
              <w:rPr>
                <w:rFonts w:hint="eastAsia" w:cs="Times New Roman"/>
                <w:b w:val="0"/>
                <w:bCs w:val="0"/>
                <w:color w:val="auto"/>
                <w:sz w:val="24"/>
                <w:szCs w:val="24"/>
                <w:highlight w:val="none"/>
                <w:lang w:val="en-US" w:eastAsia="zh-CN"/>
              </w:rPr>
              <w:t>收集</w:t>
            </w:r>
            <w:r>
              <w:rPr>
                <w:rFonts w:hint="eastAsia" w:ascii="Times New Roman" w:hAnsi="Times New Roman" w:eastAsia="宋体" w:cs="Times New Roman"/>
                <w:b w:val="0"/>
                <w:bCs w:val="0"/>
                <w:color w:val="auto"/>
                <w:sz w:val="24"/>
                <w:szCs w:val="24"/>
                <w:highlight w:val="none"/>
                <w:lang w:val="en-US" w:eastAsia="zh-CN"/>
              </w:rPr>
              <w:t>量为</w:t>
            </w:r>
            <w:r>
              <w:rPr>
                <w:rFonts w:hint="eastAsia" w:ascii="Times New Roman" w:hAnsi="Times New Roman" w:cs="Times New Roman"/>
                <w:b w:val="0"/>
                <w:bCs w:val="0"/>
                <w:color w:val="auto"/>
                <w:sz w:val="24"/>
                <w:szCs w:val="24"/>
                <w:highlight w:val="none"/>
                <w:vertAlign w:val="baseline"/>
                <w:lang w:val="en-US" w:eastAsia="zh-CN"/>
              </w:rPr>
              <w:t>0.</w:t>
            </w:r>
            <w:r>
              <w:rPr>
                <w:rFonts w:hint="eastAsia" w:cs="Times New Roman"/>
                <w:b w:val="0"/>
                <w:bCs w:val="0"/>
                <w:color w:val="auto"/>
                <w:sz w:val="24"/>
                <w:szCs w:val="24"/>
                <w:highlight w:val="none"/>
                <w:vertAlign w:val="baseline"/>
                <w:lang w:val="en-US" w:eastAsia="zh-CN"/>
              </w:rPr>
              <w:t>81</w:t>
            </w:r>
            <w:r>
              <w:rPr>
                <w:rFonts w:hint="eastAsia" w:ascii="Times New Roman" w:hAnsi="Times New Roman" w:eastAsia="宋体" w:cs="Times New Roman"/>
                <w:b w:val="0"/>
                <w:bCs w:val="0"/>
                <w:color w:val="auto"/>
                <w:sz w:val="24"/>
                <w:szCs w:val="24"/>
                <w:highlight w:val="none"/>
                <w:lang w:val="en-US" w:eastAsia="zh-CN"/>
              </w:rPr>
              <w:t>t/a，</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浓度为</w:t>
            </w:r>
            <w:r>
              <w:rPr>
                <w:rFonts w:hint="eastAsia" w:cs="Times New Roman"/>
                <w:b w:val="0"/>
                <w:bCs w:val="0"/>
                <w:color w:val="auto"/>
                <w:sz w:val="24"/>
                <w:szCs w:val="24"/>
                <w:highlight w:val="none"/>
                <w:lang w:val="en-US" w:eastAsia="zh-CN"/>
              </w:rPr>
              <w:t>45</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速率为0.</w:t>
            </w:r>
            <w:r>
              <w:rPr>
                <w:rFonts w:hint="eastAsia" w:cs="Times New Roman"/>
                <w:b w:val="0"/>
                <w:bCs w:val="0"/>
                <w:color w:val="auto"/>
                <w:sz w:val="24"/>
                <w:szCs w:val="24"/>
                <w:highlight w:val="none"/>
                <w:lang w:val="en-US" w:eastAsia="zh-CN"/>
              </w:rPr>
              <w:t>675</w:t>
            </w:r>
            <w:r>
              <w:rPr>
                <w:rFonts w:hint="eastAsia" w:ascii="Times New Roman" w:hAnsi="Times New Roman" w:eastAsia="宋体" w:cs="Times New Roman"/>
                <w:b w:val="0"/>
                <w:bCs w:val="0"/>
                <w:color w:val="auto"/>
                <w:sz w:val="24"/>
                <w:szCs w:val="24"/>
                <w:highlight w:val="none"/>
                <w:lang w:val="en-US" w:eastAsia="zh-CN"/>
              </w:rPr>
              <w:t>kg/h，非甲烷总烃排放量为</w:t>
            </w:r>
            <w:r>
              <w:rPr>
                <w:rFonts w:hint="eastAsia" w:cs="Times New Roman"/>
                <w:b w:val="0"/>
                <w:bCs w:val="0"/>
                <w:color w:val="auto"/>
                <w:sz w:val="24"/>
                <w:szCs w:val="24"/>
                <w:highlight w:val="none"/>
                <w:vertAlign w:val="baseline"/>
                <w:lang w:val="en-US" w:eastAsia="zh-CN"/>
              </w:rPr>
              <w:t>0.162</w:t>
            </w:r>
            <w:r>
              <w:rPr>
                <w:rFonts w:hint="eastAsia" w:ascii="Times New Roman" w:hAnsi="Times New Roman" w:eastAsia="宋体" w:cs="Times New Roman"/>
                <w:b w:val="0"/>
                <w:bCs w:val="0"/>
                <w:color w:val="auto"/>
                <w:sz w:val="24"/>
                <w:szCs w:val="24"/>
                <w:highlight w:val="none"/>
                <w:lang w:val="en-US" w:eastAsia="zh-CN"/>
              </w:rPr>
              <w:t>t/a，排放浓度为</w:t>
            </w:r>
            <w:r>
              <w:rPr>
                <w:rFonts w:hint="eastAsia" w:cs="Times New Roman"/>
                <w:b w:val="0"/>
                <w:bCs w:val="0"/>
                <w:color w:val="auto"/>
                <w:sz w:val="24"/>
                <w:szCs w:val="24"/>
                <w:highlight w:val="none"/>
                <w:lang w:val="en-US" w:eastAsia="zh-CN"/>
              </w:rPr>
              <w:t>9</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，排放速率为0.</w:t>
            </w:r>
            <w:r>
              <w:rPr>
                <w:rFonts w:hint="eastAsia" w:cs="Times New Roman"/>
                <w:b w:val="0"/>
                <w:bCs w:val="0"/>
                <w:color w:val="auto"/>
                <w:sz w:val="24"/>
                <w:szCs w:val="24"/>
                <w:highlight w:val="none"/>
                <w:lang w:val="en-US" w:eastAsia="zh-CN"/>
              </w:rPr>
              <w:t>135</w:t>
            </w:r>
            <w:r>
              <w:rPr>
                <w:rFonts w:hint="eastAsia" w:ascii="Times New Roman" w:hAnsi="Times New Roman" w:eastAsia="宋体" w:cs="Times New Roman"/>
                <w:b w:val="0"/>
                <w:bCs w:val="0"/>
                <w:color w:val="auto"/>
                <w:sz w:val="24"/>
                <w:szCs w:val="24"/>
                <w:highlight w:val="none"/>
                <w:lang w:val="en-US" w:eastAsia="zh-CN"/>
              </w:rPr>
              <w:t>kg/h，可满足</w:t>
            </w:r>
            <w:r>
              <w:rPr>
                <w:rFonts w:hint="eastAsia" w:ascii="Times New Roman" w:hAnsi="Times New Roman" w:eastAsia="宋体" w:cs="Times New Roman"/>
                <w:sz w:val="24"/>
                <w:szCs w:val="18"/>
                <w:highlight w:val="none"/>
                <w:lang w:val="en-US" w:eastAsia="zh-CN"/>
              </w:rPr>
              <w:t>《工业企业挥发性有机物排放控制标准》（DB13/2322-20</w:t>
            </w:r>
            <w:r>
              <w:rPr>
                <w:rFonts w:hint="eastAsia" w:cs="Times New Roman"/>
                <w:sz w:val="24"/>
                <w:szCs w:val="18"/>
                <w:highlight w:val="none"/>
                <w:lang w:val="en-US" w:eastAsia="zh-CN"/>
              </w:rPr>
              <w:t>25</w:t>
            </w:r>
            <w:r>
              <w:rPr>
                <w:rFonts w:hint="eastAsia" w:ascii="Times New Roman" w:hAnsi="Times New Roman" w:eastAsia="宋体" w:cs="Times New Roman"/>
                <w:sz w:val="24"/>
                <w:szCs w:val="18"/>
                <w:highlight w:val="none"/>
                <w:lang w:val="en-US" w:eastAsia="zh-CN"/>
              </w:rPr>
              <w:t>）及</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w:t>
            </w:r>
            <w:r>
              <w:rPr>
                <w:rFonts w:hint="default" w:ascii="Times New Roman" w:hAnsi="Times New Roman" w:eastAsia="宋体" w:cs="Times New Roman"/>
                <w:sz w:val="24"/>
                <w:szCs w:val="18"/>
                <w:highlight w:val="none"/>
                <w:lang w:val="en-US" w:eastAsia="zh-CN"/>
              </w:rPr>
              <w:t>浓度≤40mg/m</w:t>
            </w:r>
            <w:r>
              <w:rPr>
                <w:rFonts w:hint="default" w:ascii="Times New Roman" w:hAnsi="Times New Roman" w:eastAsia="宋体" w:cs="Times New Roman"/>
                <w:sz w:val="24"/>
                <w:szCs w:val="18"/>
                <w:highlight w:val="none"/>
                <w:vertAlign w:val="superscript"/>
                <w:lang w:val="en-US" w:eastAsia="zh-CN"/>
              </w:rPr>
              <w:t>3</w:t>
            </w:r>
            <w:r>
              <w:rPr>
                <w:rFonts w:hint="eastAsia" w:ascii="Times New Roman" w:hAnsi="Times New Roman" w:eastAsia="宋体" w:cs="Times New Roman"/>
                <w:sz w:val="24"/>
                <w:szCs w:val="18"/>
                <w:highlight w:val="none"/>
                <w:lang w:val="en-US" w:eastAsia="zh-CN"/>
              </w:rPr>
              <w:t>）。</w:t>
            </w:r>
          </w:p>
          <w:p w14:paraId="276D56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b w:val="0"/>
                <w:bCs w:val="0"/>
                <w:color w:val="FF0000"/>
                <w:sz w:val="24"/>
                <w:szCs w:val="24"/>
                <w:highlight w:val="none"/>
                <w:lang w:val="en-US" w:eastAsia="zh-CN"/>
              </w:rPr>
            </w:pPr>
            <w:r>
              <w:rPr>
                <w:rFonts w:hint="eastAsia" w:ascii="Times New Roman" w:hAnsi="Times New Roman" w:eastAsia="宋体" w:cs="Times New Roman"/>
                <w:b w:val="0"/>
                <w:bCs w:val="0"/>
                <w:color w:val="auto"/>
                <w:sz w:val="24"/>
                <w:szCs w:val="24"/>
                <w:highlight w:val="none"/>
                <w:lang w:val="en-US" w:eastAsia="zh-CN"/>
              </w:rPr>
              <w:t>甲醛</w:t>
            </w:r>
            <w:r>
              <w:rPr>
                <w:rFonts w:hint="eastAsia" w:cs="Times New Roman"/>
                <w:b w:val="0"/>
                <w:bCs w:val="0"/>
                <w:color w:val="auto"/>
                <w:sz w:val="24"/>
                <w:szCs w:val="24"/>
                <w:highlight w:val="none"/>
                <w:lang w:val="en-US" w:eastAsia="zh-CN"/>
              </w:rPr>
              <w:t>收集</w:t>
            </w:r>
            <w:r>
              <w:rPr>
                <w:rFonts w:hint="eastAsia" w:ascii="Times New Roman" w:hAnsi="Times New Roman" w:eastAsia="宋体" w:cs="Times New Roman"/>
                <w:b w:val="0"/>
                <w:bCs w:val="0"/>
                <w:color w:val="auto"/>
                <w:sz w:val="24"/>
                <w:szCs w:val="24"/>
                <w:highlight w:val="none"/>
                <w:lang w:val="en-US" w:eastAsia="zh-CN"/>
              </w:rPr>
              <w:t>量为0.0</w:t>
            </w:r>
            <w:r>
              <w:rPr>
                <w:rFonts w:hint="eastAsia" w:cs="Times New Roman"/>
                <w:b w:val="0"/>
                <w:bCs w:val="0"/>
                <w:color w:val="auto"/>
                <w:sz w:val="24"/>
                <w:szCs w:val="24"/>
                <w:highlight w:val="none"/>
                <w:lang w:val="en-US" w:eastAsia="zh-CN"/>
              </w:rPr>
              <w:t>39</w:t>
            </w:r>
            <w:r>
              <w:rPr>
                <w:rFonts w:hint="eastAsia" w:ascii="Times New Roman" w:hAnsi="Times New Roman" w:eastAsia="宋体" w:cs="Times New Roman"/>
                <w:b w:val="0"/>
                <w:bCs w:val="0"/>
                <w:color w:val="auto"/>
                <w:sz w:val="24"/>
                <w:szCs w:val="24"/>
                <w:highlight w:val="none"/>
                <w:lang w:val="en-US" w:eastAsia="zh-CN"/>
              </w:rPr>
              <w:t>t/a，</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浓度为</w:t>
            </w:r>
            <w:r>
              <w:rPr>
                <w:rFonts w:hint="eastAsia" w:cs="Times New Roman"/>
                <w:b w:val="0"/>
                <w:bCs w:val="0"/>
                <w:color w:val="auto"/>
                <w:sz w:val="24"/>
                <w:szCs w:val="24"/>
                <w:highlight w:val="none"/>
                <w:lang w:val="en-US" w:eastAsia="zh-CN"/>
              </w:rPr>
              <w:t>2.167</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速率为0.0</w:t>
            </w:r>
            <w:r>
              <w:rPr>
                <w:rFonts w:hint="eastAsia" w:cs="Times New Roman"/>
                <w:b w:val="0"/>
                <w:bCs w:val="0"/>
                <w:color w:val="auto"/>
                <w:sz w:val="24"/>
                <w:szCs w:val="24"/>
                <w:highlight w:val="none"/>
                <w:lang w:val="en-US" w:eastAsia="zh-CN"/>
              </w:rPr>
              <w:t>33</w:t>
            </w:r>
            <w:r>
              <w:rPr>
                <w:rFonts w:hint="eastAsia" w:ascii="Times New Roman" w:hAnsi="Times New Roman" w:eastAsia="宋体" w:cs="Times New Roman"/>
                <w:b w:val="0"/>
                <w:bCs w:val="0"/>
                <w:color w:val="auto"/>
                <w:sz w:val="24"/>
                <w:szCs w:val="24"/>
                <w:highlight w:val="none"/>
                <w:lang w:val="en-US" w:eastAsia="zh-CN"/>
              </w:rPr>
              <w:t>kg/h</w:t>
            </w:r>
            <w:r>
              <w:rPr>
                <w:rFonts w:hint="eastAsia" w:cs="Times New Roman"/>
                <w:b w:val="0"/>
                <w:bCs w:val="0"/>
                <w:color w:val="auto"/>
                <w:sz w:val="24"/>
                <w:szCs w:val="24"/>
                <w:highlight w:val="none"/>
                <w:lang w:val="en-US" w:eastAsia="zh-CN"/>
              </w:rPr>
              <w:t>，</w:t>
            </w:r>
            <w:r>
              <w:rPr>
                <w:rFonts w:hint="eastAsia" w:ascii="Times New Roman" w:hAnsi="Times New Roman" w:eastAsia="宋体" w:cs="Times New Roman"/>
                <w:b w:val="0"/>
                <w:bCs w:val="0"/>
                <w:color w:val="auto"/>
                <w:sz w:val="24"/>
                <w:szCs w:val="24"/>
                <w:highlight w:val="none"/>
                <w:lang w:val="en-US" w:eastAsia="zh-CN"/>
              </w:rPr>
              <w:t>甲醛排放量为0.00</w:t>
            </w:r>
            <w:r>
              <w:rPr>
                <w:rFonts w:hint="eastAsia" w:cs="Times New Roman"/>
                <w:b w:val="0"/>
                <w:bCs w:val="0"/>
                <w:color w:val="auto"/>
                <w:sz w:val="24"/>
                <w:szCs w:val="24"/>
                <w:highlight w:val="none"/>
                <w:lang w:val="en-US" w:eastAsia="zh-CN"/>
              </w:rPr>
              <w:t>8</w:t>
            </w:r>
            <w:r>
              <w:rPr>
                <w:rFonts w:hint="eastAsia" w:ascii="Times New Roman" w:hAnsi="Times New Roman" w:eastAsia="宋体" w:cs="Times New Roman"/>
                <w:b w:val="0"/>
                <w:bCs w:val="0"/>
                <w:color w:val="auto"/>
                <w:sz w:val="24"/>
                <w:szCs w:val="24"/>
                <w:highlight w:val="none"/>
                <w:lang w:val="en-US" w:eastAsia="zh-CN"/>
              </w:rPr>
              <w:t>t/a，排放浓度为0.</w:t>
            </w:r>
            <w:r>
              <w:rPr>
                <w:rFonts w:hint="eastAsia" w:cs="Times New Roman"/>
                <w:b w:val="0"/>
                <w:bCs w:val="0"/>
                <w:color w:val="auto"/>
                <w:sz w:val="24"/>
                <w:szCs w:val="24"/>
                <w:highlight w:val="none"/>
                <w:lang w:val="en-US" w:eastAsia="zh-CN"/>
              </w:rPr>
              <w:t>444</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，排放速率为0.00</w:t>
            </w:r>
            <w:r>
              <w:rPr>
                <w:rFonts w:hint="eastAsia" w:cs="Times New Roman"/>
                <w:b w:val="0"/>
                <w:bCs w:val="0"/>
                <w:color w:val="auto"/>
                <w:sz w:val="24"/>
                <w:szCs w:val="24"/>
                <w:highlight w:val="none"/>
                <w:lang w:val="en-US" w:eastAsia="zh-CN"/>
              </w:rPr>
              <w:t>7</w:t>
            </w:r>
            <w:r>
              <w:rPr>
                <w:rFonts w:hint="eastAsia" w:ascii="Times New Roman" w:hAnsi="Times New Roman" w:eastAsia="宋体" w:cs="Times New Roman"/>
                <w:b w:val="0"/>
                <w:bCs w:val="0"/>
                <w:color w:val="auto"/>
                <w:sz w:val="24"/>
                <w:szCs w:val="24"/>
                <w:highlight w:val="none"/>
                <w:lang w:val="en-US" w:eastAsia="zh-CN"/>
              </w:rPr>
              <w:t>kg/h；酚类</w:t>
            </w:r>
            <w:r>
              <w:rPr>
                <w:rFonts w:hint="eastAsia" w:cs="Times New Roman"/>
                <w:b w:val="0"/>
                <w:bCs w:val="0"/>
                <w:color w:val="auto"/>
                <w:sz w:val="24"/>
                <w:szCs w:val="24"/>
                <w:highlight w:val="none"/>
                <w:lang w:val="en-US" w:eastAsia="zh-CN"/>
              </w:rPr>
              <w:t>收集</w:t>
            </w:r>
            <w:r>
              <w:rPr>
                <w:rFonts w:hint="eastAsia" w:ascii="Times New Roman" w:hAnsi="Times New Roman" w:eastAsia="宋体" w:cs="Times New Roman"/>
                <w:b w:val="0"/>
                <w:bCs w:val="0"/>
                <w:color w:val="auto"/>
                <w:sz w:val="24"/>
                <w:szCs w:val="24"/>
                <w:highlight w:val="none"/>
                <w:lang w:val="en-US" w:eastAsia="zh-CN"/>
              </w:rPr>
              <w:t>量为0.0</w:t>
            </w:r>
            <w:r>
              <w:rPr>
                <w:rFonts w:hint="eastAsia" w:cs="Times New Roman"/>
                <w:b w:val="0"/>
                <w:bCs w:val="0"/>
                <w:color w:val="auto"/>
                <w:sz w:val="24"/>
                <w:szCs w:val="24"/>
                <w:highlight w:val="none"/>
                <w:lang w:val="en-US" w:eastAsia="zh-CN"/>
              </w:rPr>
              <w:t>39</w:t>
            </w:r>
            <w:r>
              <w:rPr>
                <w:rFonts w:hint="eastAsia" w:ascii="Times New Roman" w:hAnsi="Times New Roman" w:eastAsia="宋体" w:cs="Times New Roman"/>
                <w:b w:val="0"/>
                <w:bCs w:val="0"/>
                <w:color w:val="auto"/>
                <w:sz w:val="24"/>
                <w:szCs w:val="24"/>
                <w:highlight w:val="none"/>
                <w:lang w:val="en-US" w:eastAsia="zh-CN"/>
              </w:rPr>
              <w:t>t/a，</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浓度为</w:t>
            </w:r>
            <w:r>
              <w:rPr>
                <w:rFonts w:hint="eastAsia" w:cs="Times New Roman"/>
                <w:b w:val="0"/>
                <w:bCs w:val="0"/>
                <w:color w:val="auto"/>
                <w:sz w:val="24"/>
                <w:szCs w:val="24"/>
                <w:highlight w:val="none"/>
                <w:lang w:val="en-US" w:eastAsia="zh-CN"/>
              </w:rPr>
              <w:t>2.167</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w:t>
            </w:r>
            <w:r>
              <w:rPr>
                <w:rFonts w:hint="eastAsia" w:cs="Times New Roman"/>
                <w:b w:val="0"/>
                <w:bCs w:val="0"/>
                <w:color w:val="auto"/>
                <w:sz w:val="24"/>
                <w:szCs w:val="24"/>
                <w:highlight w:val="none"/>
                <w:lang w:val="en-US" w:eastAsia="zh-CN"/>
              </w:rPr>
              <w:t>产生</w:t>
            </w:r>
            <w:r>
              <w:rPr>
                <w:rFonts w:hint="eastAsia" w:ascii="Times New Roman" w:hAnsi="Times New Roman" w:eastAsia="宋体" w:cs="Times New Roman"/>
                <w:b w:val="0"/>
                <w:bCs w:val="0"/>
                <w:color w:val="auto"/>
                <w:sz w:val="24"/>
                <w:szCs w:val="24"/>
                <w:highlight w:val="none"/>
                <w:lang w:val="en-US" w:eastAsia="zh-CN"/>
              </w:rPr>
              <w:t>速率为0.0</w:t>
            </w:r>
            <w:r>
              <w:rPr>
                <w:rFonts w:hint="eastAsia" w:cs="Times New Roman"/>
                <w:b w:val="0"/>
                <w:bCs w:val="0"/>
                <w:color w:val="auto"/>
                <w:sz w:val="24"/>
                <w:szCs w:val="24"/>
                <w:highlight w:val="none"/>
                <w:lang w:val="en-US" w:eastAsia="zh-CN"/>
              </w:rPr>
              <w:t>33</w:t>
            </w:r>
            <w:r>
              <w:rPr>
                <w:rFonts w:hint="eastAsia" w:ascii="Times New Roman" w:hAnsi="Times New Roman" w:eastAsia="宋体" w:cs="Times New Roman"/>
                <w:b w:val="0"/>
                <w:bCs w:val="0"/>
                <w:color w:val="auto"/>
                <w:sz w:val="24"/>
                <w:szCs w:val="24"/>
                <w:highlight w:val="none"/>
                <w:lang w:val="en-US" w:eastAsia="zh-CN"/>
              </w:rPr>
              <w:t>kg/h</w:t>
            </w:r>
            <w:r>
              <w:rPr>
                <w:rFonts w:hint="eastAsia" w:cs="Times New Roman"/>
                <w:b w:val="0"/>
                <w:bCs w:val="0"/>
                <w:color w:val="auto"/>
                <w:sz w:val="24"/>
                <w:szCs w:val="24"/>
                <w:highlight w:val="none"/>
                <w:lang w:val="en-US" w:eastAsia="zh-CN"/>
              </w:rPr>
              <w:t>，</w:t>
            </w:r>
            <w:r>
              <w:rPr>
                <w:rFonts w:hint="eastAsia" w:ascii="Times New Roman" w:hAnsi="Times New Roman" w:eastAsia="宋体" w:cs="Times New Roman"/>
                <w:b w:val="0"/>
                <w:bCs w:val="0"/>
                <w:color w:val="auto"/>
                <w:sz w:val="24"/>
                <w:szCs w:val="24"/>
                <w:highlight w:val="none"/>
                <w:lang w:val="en-US" w:eastAsia="zh-CN"/>
              </w:rPr>
              <w:t>酚类排放量为0.0</w:t>
            </w:r>
            <w:r>
              <w:rPr>
                <w:rFonts w:hint="eastAsia" w:cs="Times New Roman"/>
                <w:b w:val="0"/>
                <w:bCs w:val="0"/>
                <w:color w:val="auto"/>
                <w:sz w:val="24"/>
                <w:szCs w:val="24"/>
                <w:highlight w:val="none"/>
                <w:lang w:val="en-US" w:eastAsia="zh-CN"/>
              </w:rPr>
              <w:t>08</w:t>
            </w:r>
            <w:r>
              <w:rPr>
                <w:rFonts w:hint="eastAsia" w:ascii="Times New Roman" w:hAnsi="Times New Roman" w:eastAsia="宋体" w:cs="Times New Roman"/>
                <w:b w:val="0"/>
                <w:bCs w:val="0"/>
                <w:color w:val="auto"/>
                <w:sz w:val="24"/>
                <w:szCs w:val="24"/>
                <w:highlight w:val="none"/>
                <w:lang w:val="en-US" w:eastAsia="zh-CN"/>
              </w:rPr>
              <w:t>t/a，排放浓度为0.</w:t>
            </w:r>
            <w:r>
              <w:rPr>
                <w:rFonts w:hint="eastAsia" w:cs="Times New Roman"/>
                <w:b w:val="0"/>
                <w:bCs w:val="0"/>
                <w:color w:val="auto"/>
                <w:sz w:val="24"/>
                <w:szCs w:val="24"/>
                <w:highlight w:val="none"/>
                <w:lang w:val="en-US" w:eastAsia="zh-CN"/>
              </w:rPr>
              <w:t>444</w:t>
            </w:r>
            <w:r>
              <w:rPr>
                <w:rFonts w:hint="eastAsia" w:ascii="Times New Roman" w:hAnsi="Times New Roman" w:eastAsia="宋体" w:cs="Times New Roman"/>
                <w:b w:val="0"/>
                <w:bCs w:val="0"/>
                <w:color w:val="auto"/>
                <w:sz w:val="24"/>
                <w:szCs w:val="24"/>
                <w:highlight w:val="none"/>
                <w:lang w:val="en-US" w:eastAsia="zh-CN"/>
              </w:rPr>
              <w:t>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，排放速率为0.00</w:t>
            </w:r>
            <w:r>
              <w:rPr>
                <w:rFonts w:hint="eastAsia" w:cs="Times New Roman"/>
                <w:b w:val="0"/>
                <w:bCs w:val="0"/>
                <w:color w:val="auto"/>
                <w:sz w:val="24"/>
                <w:szCs w:val="24"/>
                <w:highlight w:val="none"/>
                <w:lang w:val="en-US" w:eastAsia="zh-CN"/>
              </w:rPr>
              <w:t>7</w:t>
            </w:r>
            <w:r>
              <w:rPr>
                <w:rFonts w:hint="eastAsia" w:ascii="Times New Roman" w:hAnsi="Times New Roman" w:eastAsia="宋体" w:cs="Times New Roman"/>
                <w:b w:val="0"/>
                <w:bCs w:val="0"/>
                <w:color w:val="auto"/>
                <w:sz w:val="24"/>
                <w:szCs w:val="24"/>
                <w:highlight w:val="none"/>
                <w:lang w:val="en-US" w:eastAsia="zh-CN"/>
              </w:rPr>
              <w:t>kg/h，均满足《大气污染物综合排放标准》（GB16297-1996）表2二级标准（</w:t>
            </w:r>
            <w:r>
              <w:rPr>
                <w:rFonts w:hint="eastAsia" w:cs="Times New Roman"/>
                <w:b w:val="0"/>
                <w:bCs w:val="0"/>
                <w:color w:val="auto"/>
                <w:sz w:val="24"/>
                <w:szCs w:val="24"/>
                <w:highlight w:val="none"/>
                <w:lang w:val="en-US" w:eastAsia="zh-CN"/>
              </w:rPr>
              <w:t>25m高排气筒，</w:t>
            </w:r>
            <w:r>
              <w:rPr>
                <w:rFonts w:hint="eastAsia" w:ascii="Times New Roman" w:hAnsi="Times New Roman" w:eastAsia="宋体" w:cs="Times New Roman"/>
                <w:b w:val="0"/>
                <w:bCs w:val="0"/>
                <w:color w:val="auto"/>
                <w:sz w:val="24"/>
                <w:szCs w:val="24"/>
                <w:highlight w:val="none"/>
                <w:lang w:val="en-US" w:eastAsia="zh-CN"/>
              </w:rPr>
              <w:t>甲醛：排放浓度25mg/m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，排放速率</w:t>
            </w:r>
            <w:r>
              <w:rPr>
                <w:rFonts w:hint="eastAsia" w:cs="Times New Roman"/>
                <w:b w:val="0"/>
                <w:bCs w:val="0"/>
                <w:color w:val="auto"/>
                <w:sz w:val="24"/>
                <w:szCs w:val="24"/>
                <w:highlight w:val="none"/>
                <w:lang w:val="en-US" w:eastAsia="zh-CN"/>
              </w:rPr>
              <w:t>0.915</w:t>
            </w:r>
            <w:r>
              <w:rPr>
                <w:rFonts w:hint="eastAsia" w:ascii="Times New Roman" w:hAnsi="Times New Roman" w:eastAsia="宋体" w:cs="Times New Roman"/>
                <w:b w:val="0"/>
                <w:bCs w:val="0"/>
                <w:color w:val="auto"/>
                <w:sz w:val="24"/>
                <w:szCs w:val="24"/>
                <w:highlight w:val="none"/>
                <w:lang w:val="en-US" w:eastAsia="zh-CN"/>
              </w:rPr>
              <w:t>kg/h；酚类：排放浓度100mg/m</w:t>
            </w:r>
            <w:r>
              <w:rPr>
                <w:rFonts w:hint="eastAsia" w:ascii="Times New Roman" w:hAnsi="Times New Roman" w:eastAsia="宋体" w:cs="Times New Roman"/>
                <w:b w:val="0"/>
                <w:bCs w:val="0"/>
                <w:color w:val="auto"/>
                <w:sz w:val="24"/>
                <w:szCs w:val="24"/>
                <w:highlight w:val="none"/>
                <w:vertAlign w:val="superscript"/>
                <w:lang w:val="en-US" w:eastAsia="zh-CN"/>
              </w:rPr>
              <w:t>3</w:t>
            </w:r>
            <w:r>
              <w:rPr>
                <w:rFonts w:hint="eastAsia" w:ascii="Times New Roman" w:hAnsi="Times New Roman" w:eastAsia="宋体" w:cs="Times New Roman"/>
                <w:b w:val="0"/>
                <w:bCs w:val="0"/>
                <w:color w:val="auto"/>
                <w:sz w:val="24"/>
                <w:szCs w:val="24"/>
                <w:highlight w:val="none"/>
                <w:lang w:val="en-US" w:eastAsia="zh-CN"/>
              </w:rPr>
              <w:t>，排放速率</w:t>
            </w:r>
            <w:r>
              <w:rPr>
                <w:rFonts w:hint="eastAsia" w:cs="Times New Roman"/>
                <w:b w:val="0"/>
                <w:bCs w:val="0"/>
                <w:color w:val="auto"/>
                <w:sz w:val="24"/>
                <w:szCs w:val="24"/>
                <w:highlight w:val="none"/>
                <w:lang w:val="en-US" w:eastAsia="zh-CN"/>
              </w:rPr>
              <w:t>0.375</w:t>
            </w:r>
            <w:r>
              <w:rPr>
                <w:rFonts w:hint="eastAsia" w:ascii="Times New Roman" w:hAnsi="Times New Roman" w:eastAsia="宋体" w:cs="Times New Roman"/>
                <w:b w:val="0"/>
                <w:bCs w:val="0"/>
                <w:color w:val="auto"/>
                <w:sz w:val="24"/>
                <w:szCs w:val="24"/>
                <w:highlight w:val="none"/>
                <w:lang w:val="en-US" w:eastAsia="zh-CN"/>
              </w:rPr>
              <w:t>kg/h）。</w:t>
            </w:r>
          </w:p>
          <w:p w14:paraId="6D1A87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cs="Times New Roman"/>
                <w:sz w:val="24"/>
                <w:szCs w:val="24"/>
                <w:highlight w:val="none"/>
                <w:lang w:val="en-US" w:eastAsia="zh-CN"/>
              </w:rPr>
              <w:t>③打磨</w:t>
            </w:r>
            <w:r>
              <w:rPr>
                <w:rFonts w:hint="default" w:ascii="Times New Roman" w:hAnsi="Times New Roman" w:eastAsia="宋体" w:cs="Times New Roman"/>
                <w:b w:val="0"/>
                <w:bCs w:val="0"/>
                <w:color w:val="auto"/>
                <w:sz w:val="24"/>
                <w:szCs w:val="24"/>
                <w:highlight w:val="none"/>
                <w:lang w:val="en-US" w:eastAsia="zh-CN"/>
              </w:rPr>
              <w:t>工序</w:t>
            </w:r>
          </w:p>
          <w:p w14:paraId="229C2D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Cs w:val="20"/>
                <w:highlight w:val="none"/>
              </w:rPr>
            </w:pPr>
            <w:r>
              <w:rPr>
                <w:rFonts w:hint="eastAsia" w:ascii="Calibri" w:hAnsi="Calibri" w:cs="Calibri"/>
                <w:sz w:val="24"/>
                <w:szCs w:val="22"/>
                <w:highlight w:val="none"/>
                <w:lang w:val="en-US" w:eastAsia="zh-CN"/>
              </w:rPr>
              <w:t>打磨</w:t>
            </w:r>
            <w:r>
              <w:rPr>
                <w:rFonts w:hint="default" w:ascii="Times New Roman" w:hAnsi="Times New Roman" w:eastAsia="宋体" w:cs="Times New Roman"/>
                <w:b w:val="0"/>
                <w:bCs w:val="0"/>
                <w:color w:val="auto"/>
                <w:sz w:val="24"/>
                <w:szCs w:val="24"/>
                <w:highlight w:val="none"/>
                <w:lang w:val="en-US" w:eastAsia="zh-CN"/>
              </w:rPr>
              <w:t>工序</w:t>
            </w:r>
            <w:r>
              <w:rPr>
                <w:rFonts w:hint="eastAsia" w:ascii="宋体" w:hAnsi="宋体" w:eastAsia="宋体" w:cs="宋体"/>
                <w:b w:val="0"/>
                <w:bCs w:val="0"/>
                <w:color w:val="auto"/>
                <w:sz w:val="24"/>
                <w:szCs w:val="24"/>
                <w:highlight w:val="none"/>
                <w:lang w:val="en-US" w:eastAsia="zh-CN"/>
              </w:rPr>
              <w:t>参照</w:t>
            </w:r>
            <w:r>
              <w:rPr>
                <w:rFonts w:hint="eastAsia" w:ascii="Times New Roman" w:hAnsi="Times New Roman" w:cs="Times New Roman"/>
                <w:b w:val="0"/>
                <w:bCs w:val="0"/>
                <w:color w:val="auto"/>
                <w:sz w:val="24"/>
                <w:szCs w:val="24"/>
                <w:highlight w:val="none"/>
                <w:lang w:val="en-US" w:eastAsia="zh-CN"/>
              </w:rPr>
              <w:t>《排放源统计调查产排污核算方法和系数手册》中-“机械行业系数手册- C33-C37行业核算环节 06预处理核算环节-干式预处理件-抛丸、喷砂、打磨工艺”中产排污系数进行源强核算。</w:t>
            </w:r>
          </w:p>
          <w:p w14:paraId="445AD7CB">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480" w:lineRule="exact"/>
              <w:ind w:left="0" w:right="0" w:firstLine="0" w:firstLineChars="0"/>
              <w:jc w:val="center"/>
              <w:textAlignment w:val="auto"/>
              <w:rPr>
                <w:rFonts w:hint="default" w:ascii="Times New Roman" w:hAnsi="Times New Roman" w:cs="Times New Roman"/>
                <w:b w:val="0"/>
                <w:bCs w:val="0"/>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表4-3    打磨工序废气源强核算</w:t>
            </w:r>
          </w:p>
          <w:tbl>
            <w:tblPr>
              <w:tblStyle w:val="48"/>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
              <w:gridCol w:w="767"/>
              <w:gridCol w:w="952"/>
              <w:gridCol w:w="743"/>
              <w:gridCol w:w="685"/>
              <w:gridCol w:w="678"/>
              <w:gridCol w:w="918"/>
              <w:gridCol w:w="637"/>
              <w:gridCol w:w="637"/>
              <w:gridCol w:w="794"/>
              <w:gridCol w:w="598"/>
            </w:tblGrid>
            <w:tr w14:paraId="699B0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271" w:type="pct"/>
                  <w:noWrap w:val="0"/>
                  <w:vAlign w:val="center"/>
                </w:tcPr>
                <w:p w14:paraId="7479F385">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工序</w:t>
                  </w:r>
                </w:p>
              </w:tc>
              <w:tc>
                <w:tcPr>
                  <w:tcW w:w="489" w:type="pct"/>
                  <w:noWrap w:val="0"/>
                  <w:vAlign w:val="center"/>
                </w:tcPr>
                <w:p w14:paraId="1184C5D9">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bCs/>
                      <w:color w:val="auto"/>
                      <w:sz w:val="21"/>
                      <w:szCs w:val="21"/>
                      <w:highlight w:val="none"/>
                      <w:vertAlign w:val="baseline"/>
                      <w:lang w:val="en-US" w:eastAsia="zh-CN" w:bidi="ar-SA"/>
                    </w:rPr>
                  </w:pPr>
                  <w:r>
                    <w:rPr>
                      <w:rFonts w:hint="eastAsia" w:ascii="Times New Roman" w:hAnsi="Times New Roman" w:cs="Times New Roman"/>
                      <w:b/>
                      <w:bCs/>
                      <w:color w:val="auto"/>
                      <w:sz w:val="21"/>
                      <w:szCs w:val="21"/>
                      <w:highlight w:val="none"/>
                      <w:vertAlign w:val="baseline"/>
                      <w:lang w:val="en-US" w:eastAsia="zh-CN"/>
                    </w:rPr>
                    <w:t>污染物</w:t>
                  </w:r>
                </w:p>
              </w:tc>
              <w:tc>
                <w:tcPr>
                  <w:tcW w:w="607" w:type="pct"/>
                  <w:noWrap w:val="0"/>
                  <w:vAlign w:val="center"/>
                </w:tcPr>
                <w:p w14:paraId="264DA4CE">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产污系数</w:t>
                  </w:r>
                </w:p>
              </w:tc>
              <w:tc>
                <w:tcPr>
                  <w:tcW w:w="474" w:type="pct"/>
                  <w:noWrap w:val="0"/>
                  <w:vAlign w:val="center"/>
                </w:tcPr>
                <w:p w14:paraId="44AB41F7">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产能/用量t/a</w:t>
                  </w:r>
                </w:p>
              </w:tc>
              <w:tc>
                <w:tcPr>
                  <w:tcW w:w="437" w:type="pct"/>
                  <w:noWrap w:val="0"/>
                  <w:vAlign w:val="center"/>
                </w:tcPr>
                <w:p w14:paraId="4098566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产生量t/a</w:t>
                  </w:r>
                </w:p>
              </w:tc>
              <w:tc>
                <w:tcPr>
                  <w:tcW w:w="432" w:type="pct"/>
                  <w:noWrap w:val="0"/>
                  <w:vAlign w:val="center"/>
                </w:tcPr>
                <w:p w14:paraId="2F627A1A">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收集措施</w:t>
                  </w:r>
                </w:p>
              </w:tc>
              <w:tc>
                <w:tcPr>
                  <w:tcW w:w="585" w:type="pct"/>
                  <w:noWrap w:val="0"/>
                  <w:vAlign w:val="center"/>
                </w:tcPr>
                <w:p w14:paraId="036AC56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治理措施</w:t>
                  </w:r>
                </w:p>
              </w:tc>
              <w:tc>
                <w:tcPr>
                  <w:tcW w:w="406" w:type="pct"/>
                  <w:noWrap w:val="0"/>
                  <w:vAlign w:val="center"/>
                </w:tcPr>
                <w:p w14:paraId="32FF7D6D">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收集效率%</w:t>
                  </w:r>
                </w:p>
              </w:tc>
              <w:tc>
                <w:tcPr>
                  <w:tcW w:w="406" w:type="pct"/>
                  <w:noWrap w:val="0"/>
                  <w:vAlign w:val="center"/>
                </w:tcPr>
                <w:p w14:paraId="091D0FF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处理效率%</w:t>
                  </w:r>
                </w:p>
              </w:tc>
              <w:tc>
                <w:tcPr>
                  <w:tcW w:w="506" w:type="pct"/>
                  <w:noWrap w:val="0"/>
                  <w:vAlign w:val="center"/>
                </w:tcPr>
                <w:p w14:paraId="3DCC9F97">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bCs/>
                      <w:color w:val="auto"/>
                      <w:sz w:val="21"/>
                      <w:szCs w:val="21"/>
                      <w:highlight w:val="none"/>
                      <w:vertAlign w:val="baseline"/>
                      <w:lang w:val="en-US" w:eastAsia="zh-CN"/>
                    </w:rPr>
                  </w:pPr>
                  <w:r>
                    <w:rPr>
                      <w:rFonts w:hint="eastAsia" w:ascii="Times New Roman" w:hAnsi="Times New Roman" w:cs="Times New Roman"/>
                      <w:b/>
                      <w:bCs/>
                      <w:color w:val="auto"/>
                      <w:sz w:val="21"/>
                      <w:szCs w:val="21"/>
                      <w:highlight w:val="none"/>
                      <w:vertAlign w:val="baseline"/>
                      <w:lang w:val="en-US" w:eastAsia="zh-CN"/>
                    </w:rPr>
                    <w:t>有组织排放量t/a</w:t>
                  </w:r>
                </w:p>
              </w:tc>
              <w:tc>
                <w:tcPr>
                  <w:tcW w:w="381" w:type="pct"/>
                  <w:noWrap w:val="0"/>
                  <w:vAlign w:val="center"/>
                </w:tcPr>
                <w:p w14:paraId="45A6A31B">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pacing w:val="-11"/>
                      <w:sz w:val="21"/>
                      <w:szCs w:val="21"/>
                      <w:highlight w:val="none"/>
                      <w:vertAlign w:val="baseline"/>
                      <w:lang w:val="en-US" w:eastAsia="zh-CN"/>
                    </w:rPr>
                  </w:pPr>
                  <w:r>
                    <w:rPr>
                      <w:rFonts w:hint="eastAsia" w:ascii="Times New Roman" w:hAnsi="Times New Roman" w:cs="Times New Roman"/>
                      <w:b/>
                      <w:bCs/>
                      <w:color w:val="auto"/>
                      <w:spacing w:val="-11"/>
                      <w:sz w:val="21"/>
                      <w:szCs w:val="21"/>
                      <w:highlight w:val="none"/>
                      <w:vertAlign w:val="baseline"/>
                      <w:lang w:val="en-US" w:eastAsia="zh-CN"/>
                    </w:rPr>
                    <w:t>无组织排放</w:t>
                  </w:r>
                  <w:r>
                    <w:rPr>
                      <w:rFonts w:hint="eastAsia" w:ascii="Times New Roman" w:hAnsi="Times New Roman" w:cs="Times New Roman"/>
                      <w:b/>
                      <w:bCs/>
                      <w:color w:val="auto"/>
                      <w:sz w:val="21"/>
                      <w:szCs w:val="21"/>
                      <w:highlight w:val="none"/>
                      <w:vertAlign w:val="baseline"/>
                      <w:lang w:val="en-US" w:eastAsia="zh-CN"/>
                    </w:rPr>
                    <w:t>t/a</w:t>
                  </w:r>
                </w:p>
              </w:tc>
            </w:tr>
            <w:tr w14:paraId="7E6CC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271" w:type="pct"/>
                  <w:noWrap w:val="0"/>
                  <w:vAlign w:val="center"/>
                </w:tcPr>
                <w:p w14:paraId="7AD6A494">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打磨</w:t>
                  </w:r>
                </w:p>
              </w:tc>
              <w:tc>
                <w:tcPr>
                  <w:tcW w:w="489" w:type="pct"/>
                  <w:noWrap w:val="0"/>
                  <w:vAlign w:val="center"/>
                </w:tcPr>
                <w:p w14:paraId="6073691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vertAlign w:val="baseline"/>
                      <w:lang w:val="en-US" w:eastAsia="zh-CN" w:bidi="ar-SA"/>
                    </w:rPr>
                  </w:pPr>
                  <w:r>
                    <w:rPr>
                      <w:rFonts w:hint="eastAsia" w:ascii="Times New Roman" w:hAnsi="Times New Roman" w:cs="Times New Roman"/>
                      <w:b w:val="0"/>
                      <w:bCs w:val="0"/>
                      <w:color w:val="auto"/>
                      <w:sz w:val="21"/>
                      <w:szCs w:val="21"/>
                      <w:highlight w:val="none"/>
                      <w:vertAlign w:val="baseline"/>
                      <w:lang w:val="en-US" w:eastAsia="zh-CN"/>
                    </w:rPr>
                    <w:t>颗粒物</w:t>
                  </w:r>
                </w:p>
              </w:tc>
              <w:tc>
                <w:tcPr>
                  <w:tcW w:w="607" w:type="pct"/>
                  <w:noWrap w:val="0"/>
                  <w:vAlign w:val="center"/>
                </w:tcPr>
                <w:p w14:paraId="40CF3C66">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2.19kg/t-产品</w:t>
                  </w:r>
                </w:p>
              </w:tc>
              <w:tc>
                <w:tcPr>
                  <w:tcW w:w="474" w:type="pct"/>
                  <w:noWrap w:val="0"/>
                  <w:vAlign w:val="center"/>
                </w:tcPr>
                <w:p w14:paraId="3CF1ED7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3000</w:t>
                  </w:r>
                </w:p>
              </w:tc>
              <w:tc>
                <w:tcPr>
                  <w:tcW w:w="437" w:type="pct"/>
                  <w:noWrap w:val="0"/>
                  <w:vAlign w:val="center"/>
                </w:tcPr>
                <w:p w14:paraId="439308C7">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bidi="ar-SA"/>
                    </w:rPr>
                    <w:t>6.57</w:t>
                  </w:r>
                </w:p>
              </w:tc>
              <w:tc>
                <w:tcPr>
                  <w:tcW w:w="432" w:type="pct"/>
                  <w:noWrap w:val="0"/>
                  <w:vAlign w:val="center"/>
                </w:tcPr>
                <w:p w14:paraId="0629DDD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单独封闭间+集气罩</w:t>
                  </w:r>
                </w:p>
              </w:tc>
              <w:tc>
                <w:tcPr>
                  <w:tcW w:w="585" w:type="pct"/>
                  <w:noWrap w:val="0"/>
                  <w:vAlign w:val="center"/>
                </w:tcPr>
                <w:p w14:paraId="3D529ED9">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袋式除尘器+25m排气筒DA003</w:t>
                  </w:r>
                </w:p>
              </w:tc>
              <w:tc>
                <w:tcPr>
                  <w:tcW w:w="406" w:type="pct"/>
                  <w:noWrap w:val="0"/>
                  <w:vAlign w:val="center"/>
                </w:tcPr>
                <w:p w14:paraId="38E294AA">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99%</w:t>
                  </w:r>
                </w:p>
              </w:tc>
              <w:tc>
                <w:tcPr>
                  <w:tcW w:w="406" w:type="pct"/>
                  <w:noWrap w:val="0"/>
                  <w:vAlign w:val="center"/>
                </w:tcPr>
                <w:p w14:paraId="76B71B7F">
                  <w:pPr>
                    <w:pStyle w:val="238"/>
                    <w:keepNext w:val="0"/>
                    <w:keepLines w:val="0"/>
                    <w:pageBreakBefore w:val="0"/>
                    <w:widowControl/>
                    <w:suppressLineNumbers w:val="0"/>
                    <w:kinsoku/>
                    <w:wordWrap/>
                    <w:overflowPunct/>
                    <w:topLinePunct w:val="0"/>
                    <w:autoSpaceDE w:val="0"/>
                    <w:autoSpaceDN w:val="0"/>
                    <w:bidi w:val="0"/>
                    <w:adjustRightInd w:val="0"/>
                    <w:snapToGrid w:val="0"/>
                    <w:spacing w:before="0" w:beforeLines="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99%</w:t>
                  </w:r>
                </w:p>
              </w:tc>
              <w:tc>
                <w:tcPr>
                  <w:tcW w:w="506" w:type="pct"/>
                  <w:noWrap w:val="0"/>
                  <w:vAlign w:val="center"/>
                </w:tcPr>
                <w:p w14:paraId="4115C182">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0.065</w:t>
                  </w:r>
                </w:p>
              </w:tc>
              <w:tc>
                <w:tcPr>
                  <w:tcW w:w="381" w:type="pct"/>
                  <w:noWrap w:val="0"/>
                  <w:vAlign w:val="center"/>
                </w:tcPr>
                <w:p w14:paraId="09DDB7C0">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0.066</w:t>
                  </w:r>
                </w:p>
              </w:tc>
            </w:tr>
          </w:tbl>
          <w:p w14:paraId="553E3774">
            <w:pPr>
              <w:pStyle w:val="33"/>
              <w:keepNext w:val="0"/>
              <w:keepLines w:val="0"/>
              <w:suppressLineNumbers w:val="0"/>
              <w:bidi w:val="0"/>
              <w:spacing w:before="0" w:beforeAutospacing="0" w:after="0" w:afterAutospacing="0"/>
              <w:ind w:left="0" w:right="0"/>
              <w:rPr>
                <w:rFonts w:hint="eastAsia"/>
                <w:szCs w:val="20"/>
                <w:highlight w:val="none"/>
              </w:rPr>
            </w:pPr>
            <w:r>
              <w:rPr>
                <w:rFonts w:hint="eastAsia"/>
                <w:szCs w:val="20"/>
                <w:highlight w:val="none"/>
              </w:rPr>
              <w:t>密闭间风量确定计算公式：</w:t>
            </w:r>
          </w:p>
          <w:p w14:paraId="29DEF172">
            <w:pPr>
              <w:pStyle w:val="33"/>
              <w:keepNext w:val="0"/>
              <w:keepLines w:val="0"/>
              <w:suppressLineNumbers w:val="0"/>
              <w:bidi w:val="0"/>
              <w:spacing w:before="0" w:beforeAutospacing="0" w:after="0" w:afterAutospacing="0"/>
              <w:ind w:left="0" w:right="0"/>
              <w:rPr>
                <w:rFonts w:hint="eastAsia" w:eastAsia="宋体"/>
                <w:szCs w:val="20"/>
                <w:highlight w:val="none"/>
                <w:lang w:eastAsia="zh-CN"/>
              </w:rPr>
            </w:pPr>
            <w:r>
              <w:rPr>
                <w:rFonts w:hint="eastAsia"/>
                <w:szCs w:val="20"/>
                <w:highlight w:val="none"/>
              </w:rPr>
              <w:t>Q</w:t>
            </w:r>
            <w:r>
              <w:rPr>
                <w:rFonts w:hint="eastAsia"/>
                <w:szCs w:val="20"/>
                <w:highlight w:val="none"/>
                <w:lang w:eastAsia="zh-CN"/>
              </w:rPr>
              <w:t>=</w:t>
            </w:r>
            <w:r>
              <w:rPr>
                <w:rFonts w:hint="eastAsia"/>
                <w:szCs w:val="20"/>
                <w:highlight w:val="none"/>
              </w:rPr>
              <w:t>nV</w:t>
            </w:r>
            <w:r>
              <w:rPr>
                <w:rFonts w:hint="eastAsia"/>
                <w:szCs w:val="20"/>
                <w:highlight w:val="none"/>
                <w:lang w:val="en-US" w:eastAsia="zh-CN"/>
              </w:rPr>
              <w:t>r</w:t>
            </w:r>
          </w:p>
          <w:p w14:paraId="71D90B55">
            <w:pPr>
              <w:pStyle w:val="33"/>
              <w:keepNext w:val="0"/>
              <w:keepLines w:val="0"/>
              <w:suppressLineNumbers w:val="0"/>
              <w:bidi w:val="0"/>
              <w:spacing w:before="0" w:beforeAutospacing="0" w:after="0" w:afterAutospacing="0"/>
              <w:ind w:left="0" w:right="0"/>
              <w:rPr>
                <w:rFonts w:hint="eastAsia"/>
                <w:szCs w:val="20"/>
                <w:highlight w:val="none"/>
              </w:rPr>
            </w:pPr>
            <w:r>
              <w:rPr>
                <w:rFonts w:hint="eastAsia"/>
                <w:szCs w:val="20"/>
                <w:highlight w:val="none"/>
              </w:rPr>
              <w:t>式中：Q----密闭间的计算风量，m</w:t>
            </w:r>
            <w:r>
              <w:rPr>
                <w:rFonts w:hint="eastAsia"/>
                <w:szCs w:val="20"/>
                <w:highlight w:val="none"/>
                <w:vertAlign w:val="superscript"/>
              </w:rPr>
              <w:t>3</w:t>
            </w:r>
            <w:r>
              <w:rPr>
                <w:rFonts w:hint="eastAsia"/>
                <w:szCs w:val="20"/>
                <w:highlight w:val="none"/>
              </w:rPr>
              <w:t>/h；</w:t>
            </w:r>
          </w:p>
          <w:p w14:paraId="64A26CFC">
            <w:pPr>
              <w:pStyle w:val="33"/>
              <w:keepNext w:val="0"/>
              <w:keepLines w:val="0"/>
              <w:suppressLineNumbers w:val="0"/>
              <w:bidi w:val="0"/>
              <w:spacing w:before="0" w:beforeAutospacing="0" w:after="0" w:afterAutospacing="0"/>
              <w:ind w:left="0" w:right="0"/>
              <w:rPr>
                <w:rFonts w:hint="default" w:eastAsia="宋体"/>
                <w:szCs w:val="20"/>
                <w:highlight w:val="none"/>
                <w:lang w:val="en-US" w:eastAsia="zh-CN"/>
              </w:rPr>
            </w:pPr>
            <w:r>
              <w:rPr>
                <w:rFonts w:hint="eastAsia"/>
                <w:szCs w:val="20"/>
                <w:highlight w:val="none"/>
              </w:rPr>
              <w:t>Vr----密闭间的体积</w:t>
            </w:r>
            <w:r>
              <w:rPr>
                <w:rFonts w:hint="eastAsia"/>
                <w:szCs w:val="20"/>
                <w:highlight w:val="none"/>
                <w:lang w:eastAsia="zh-CN"/>
              </w:rPr>
              <w:t>，</w:t>
            </w:r>
            <w:r>
              <w:rPr>
                <w:rFonts w:hint="eastAsia"/>
                <w:szCs w:val="20"/>
                <w:highlight w:val="none"/>
                <w:lang w:val="en-US" w:eastAsia="zh-CN"/>
              </w:rPr>
              <w:t>3m×8m×8m，为192m</w:t>
            </w:r>
            <w:r>
              <w:rPr>
                <w:rFonts w:hint="eastAsia"/>
                <w:szCs w:val="20"/>
                <w:highlight w:val="none"/>
                <w:vertAlign w:val="superscript"/>
                <w:lang w:val="en-US" w:eastAsia="zh-CN"/>
              </w:rPr>
              <w:t>3</w:t>
            </w:r>
            <w:r>
              <w:rPr>
                <w:rFonts w:hint="eastAsia"/>
                <w:szCs w:val="20"/>
                <w:highlight w:val="none"/>
                <w:lang w:val="en-US" w:eastAsia="zh-CN"/>
              </w:rPr>
              <w:t>。</w:t>
            </w:r>
          </w:p>
          <w:p w14:paraId="3FF4DC0A">
            <w:pPr>
              <w:pStyle w:val="33"/>
              <w:keepNext w:val="0"/>
              <w:keepLines w:val="0"/>
              <w:suppressLineNumbers w:val="0"/>
              <w:bidi w:val="0"/>
              <w:spacing w:before="0" w:beforeAutospacing="0" w:after="0" w:afterAutospacing="0"/>
              <w:ind w:left="0" w:right="0"/>
              <w:rPr>
                <w:rFonts w:hint="default"/>
                <w:szCs w:val="20"/>
                <w:highlight w:val="none"/>
              </w:rPr>
            </w:pPr>
            <w:r>
              <w:rPr>
                <w:rFonts w:hint="eastAsia"/>
                <w:szCs w:val="20"/>
                <w:highlight w:val="none"/>
              </w:rPr>
              <w:t>n----换气次数；换气次数不宜小于12次/h，本项目取</w:t>
            </w:r>
            <w:r>
              <w:rPr>
                <w:rFonts w:hint="eastAsia"/>
                <w:szCs w:val="20"/>
                <w:highlight w:val="none"/>
                <w:lang w:val="en-US" w:eastAsia="zh-CN"/>
              </w:rPr>
              <w:t>25</w:t>
            </w:r>
            <w:r>
              <w:rPr>
                <w:rFonts w:hint="eastAsia"/>
                <w:szCs w:val="20"/>
                <w:highlight w:val="none"/>
              </w:rPr>
              <w:t>次/h。</w:t>
            </w:r>
          </w:p>
          <w:p w14:paraId="23B4A7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color w:val="000000"/>
                <w:kern w:val="0"/>
                <w:sz w:val="24"/>
                <w:szCs w:val="20"/>
                <w:highlight w:val="none"/>
                <w:lang w:val="en-US" w:eastAsia="zh-CN"/>
              </w:rPr>
            </w:pPr>
            <w:r>
              <w:rPr>
                <w:rFonts w:hint="default" w:ascii="Times New Roman" w:hAnsi="Times New Roman" w:eastAsia="宋体" w:cs="Times New Roman"/>
                <w:color w:val="000000"/>
                <w:kern w:val="0"/>
                <w:sz w:val="24"/>
                <w:szCs w:val="20"/>
                <w:highlight w:val="none"/>
              </w:rPr>
              <w:t>经计算，</w:t>
            </w:r>
            <w:r>
              <w:rPr>
                <w:rFonts w:hint="eastAsia" w:ascii="Times New Roman" w:hAnsi="Times New Roman" w:eastAsia="宋体" w:cs="Times New Roman"/>
                <w:color w:val="000000"/>
                <w:kern w:val="0"/>
                <w:sz w:val="24"/>
                <w:szCs w:val="20"/>
                <w:highlight w:val="none"/>
                <w:lang w:val="en-US" w:eastAsia="zh-CN"/>
              </w:rPr>
              <w:t>风量Q</w:t>
            </w:r>
            <w:r>
              <w:rPr>
                <w:rFonts w:hint="default" w:ascii="Times New Roman" w:hAnsi="Times New Roman" w:eastAsia="宋体" w:cs="Times New Roman"/>
                <w:color w:val="000000"/>
                <w:kern w:val="0"/>
                <w:sz w:val="24"/>
                <w:szCs w:val="20"/>
                <w:highlight w:val="none"/>
              </w:rPr>
              <w:t>为</w:t>
            </w:r>
            <w:r>
              <w:rPr>
                <w:rFonts w:hint="eastAsia" w:cs="Times New Roman"/>
                <w:color w:val="000000"/>
                <w:kern w:val="0"/>
                <w:sz w:val="24"/>
                <w:szCs w:val="20"/>
                <w:highlight w:val="none"/>
                <w:lang w:val="en-US" w:eastAsia="zh-CN"/>
              </w:rPr>
              <w:t>4800</w:t>
            </w:r>
            <w:r>
              <w:rPr>
                <w:rFonts w:hint="default" w:ascii="Times New Roman" w:hAnsi="Times New Roman" w:eastAsia="宋体" w:cs="Times New Roman"/>
                <w:color w:val="000000"/>
                <w:kern w:val="0"/>
                <w:sz w:val="24"/>
                <w:szCs w:val="20"/>
                <w:highlight w:val="none"/>
              </w:rPr>
              <w:t>m</w:t>
            </w:r>
            <w:r>
              <w:rPr>
                <w:rFonts w:hint="default" w:ascii="Times New Roman" w:hAnsi="Times New Roman" w:eastAsia="宋体" w:cs="Times New Roman"/>
                <w:color w:val="000000"/>
                <w:kern w:val="0"/>
                <w:sz w:val="24"/>
                <w:szCs w:val="20"/>
                <w:highlight w:val="none"/>
                <w:vertAlign w:val="superscript"/>
              </w:rPr>
              <w:t>3</w:t>
            </w:r>
            <w:r>
              <w:rPr>
                <w:rFonts w:hint="default" w:ascii="Times New Roman" w:hAnsi="Times New Roman" w:eastAsia="宋体" w:cs="Times New Roman"/>
                <w:color w:val="000000"/>
                <w:kern w:val="0"/>
                <w:sz w:val="24"/>
                <w:szCs w:val="20"/>
                <w:highlight w:val="none"/>
              </w:rPr>
              <w:t>/h</w:t>
            </w:r>
            <w:r>
              <w:rPr>
                <w:rFonts w:hint="eastAsia" w:cs="Times New Roman"/>
                <w:color w:val="000000"/>
                <w:kern w:val="0"/>
                <w:sz w:val="24"/>
                <w:szCs w:val="20"/>
                <w:highlight w:val="none"/>
                <w:lang w:eastAsia="zh-CN"/>
              </w:rPr>
              <w:t>，</w:t>
            </w:r>
            <w:r>
              <w:rPr>
                <w:rFonts w:hint="default" w:ascii="Times New Roman" w:hAnsi="Times New Roman" w:eastAsia="宋体" w:cs="Times New Roman"/>
                <w:color w:val="000000"/>
                <w:kern w:val="0"/>
                <w:sz w:val="24"/>
                <w:szCs w:val="20"/>
                <w:highlight w:val="none"/>
                <w:lang w:eastAsia="zh-CN"/>
              </w:rPr>
              <w:t>考虑管道损失，</w:t>
            </w:r>
            <w:r>
              <w:rPr>
                <w:rFonts w:hint="default" w:ascii="Times New Roman" w:hAnsi="Times New Roman" w:eastAsia="宋体" w:cs="Times New Roman"/>
                <w:color w:val="000000"/>
                <w:kern w:val="0"/>
                <w:sz w:val="24"/>
                <w:szCs w:val="20"/>
                <w:highlight w:val="none"/>
              </w:rPr>
              <w:t>设计风量为</w:t>
            </w:r>
            <w:r>
              <w:rPr>
                <w:rFonts w:hint="eastAsia" w:cs="Times New Roman"/>
                <w:color w:val="000000"/>
                <w:kern w:val="0"/>
                <w:sz w:val="24"/>
                <w:szCs w:val="20"/>
                <w:highlight w:val="none"/>
                <w:lang w:val="en-US" w:eastAsia="zh-CN"/>
              </w:rPr>
              <w:t>5000</w:t>
            </w:r>
            <w:r>
              <w:rPr>
                <w:rFonts w:hint="default" w:ascii="Times New Roman" w:hAnsi="Times New Roman" w:eastAsia="宋体" w:cs="Times New Roman"/>
                <w:color w:val="000000"/>
                <w:kern w:val="0"/>
                <w:sz w:val="24"/>
                <w:szCs w:val="20"/>
                <w:highlight w:val="none"/>
              </w:rPr>
              <w:t>m</w:t>
            </w:r>
            <w:r>
              <w:rPr>
                <w:rFonts w:hint="default" w:ascii="Times New Roman" w:hAnsi="Times New Roman" w:eastAsia="宋体" w:cs="Times New Roman"/>
                <w:color w:val="000000"/>
                <w:kern w:val="0"/>
                <w:sz w:val="24"/>
                <w:szCs w:val="20"/>
                <w:highlight w:val="none"/>
                <w:vertAlign w:val="superscript"/>
              </w:rPr>
              <w:t>3</w:t>
            </w:r>
            <w:r>
              <w:rPr>
                <w:rFonts w:hint="default" w:ascii="Times New Roman" w:hAnsi="Times New Roman" w:eastAsia="宋体" w:cs="Times New Roman"/>
                <w:color w:val="000000"/>
                <w:kern w:val="0"/>
                <w:sz w:val="24"/>
                <w:szCs w:val="20"/>
                <w:highlight w:val="none"/>
              </w:rPr>
              <w:t>/h</w:t>
            </w:r>
            <w:r>
              <w:rPr>
                <w:rFonts w:hint="eastAsia" w:cs="Times New Roman"/>
                <w:color w:val="000000"/>
                <w:kern w:val="0"/>
                <w:sz w:val="24"/>
                <w:szCs w:val="20"/>
                <w:highlight w:val="none"/>
                <w:lang w:val="en-US" w:eastAsia="zh-CN"/>
              </w:rPr>
              <w:t>。</w:t>
            </w:r>
          </w:p>
          <w:p w14:paraId="136B5D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szCs w:val="20"/>
                <w:highlight w:val="none"/>
                <w:lang w:val="en-US" w:eastAsia="zh-CN"/>
              </w:rPr>
            </w:pPr>
            <w:r>
              <w:rPr>
                <w:rFonts w:hint="eastAsia" w:ascii="Times New Roman" w:hAnsi="Times New Roman" w:eastAsia="宋体" w:cs="Times New Roman"/>
                <w:color w:val="000000"/>
                <w:kern w:val="0"/>
                <w:sz w:val="24"/>
                <w:szCs w:val="20"/>
                <w:highlight w:val="none"/>
                <w:lang w:val="en-US" w:eastAsia="zh-CN"/>
              </w:rPr>
              <w:t>项目打磨废气经收集引至1套“布袋除尘器”处理后，通过</w:t>
            </w:r>
            <w:r>
              <w:rPr>
                <w:rFonts w:hint="eastAsia" w:cs="Times New Roman"/>
                <w:color w:val="000000"/>
                <w:kern w:val="0"/>
                <w:sz w:val="24"/>
                <w:szCs w:val="20"/>
                <w:highlight w:val="none"/>
                <w:lang w:val="en-US" w:eastAsia="zh-CN"/>
              </w:rPr>
              <w:t>25</w:t>
            </w:r>
            <w:r>
              <w:rPr>
                <w:rFonts w:hint="default" w:ascii="Times New Roman" w:hAnsi="Times New Roman" w:eastAsia="宋体" w:cs="Times New Roman"/>
                <w:color w:val="000000"/>
                <w:kern w:val="0"/>
                <w:sz w:val="24"/>
                <w:szCs w:val="20"/>
                <w:highlight w:val="none"/>
                <w:lang w:val="en-US" w:eastAsia="zh-CN"/>
              </w:rPr>
              <w:t>m排气筒</w:t>
            </w:r>
            <w:r>
              <w:rPr>
                <w:rFonts w:hint="eastAsia" w:ascii="Times New Roman" w:hAnsi="Times New Roman" w:eastAsia="宋体" w:cs="Times New Roman"/>
                <w:color w:val="000000"/>
                <w:kern w:val="0"/>
                <w:sz w:val="24"/>
                <w:szCs w:val="20"/>
                <w:highlight w:val="none"/>
                <w:lang w:val="en-US" w:eastAsia="zh-CN"/>
              </w:rPr>
              <w:t>DA003</w:t>
            </w:r>
            <w:r>
              <w:rPr>
                <w:rFonts w:hint="default" w:ascii="Times New Roman" w:hAnsi="Times New Roman" w:eastAsia="宋体" w:cs="Times New Roman"/>
                <w:color w:val="000000"/>
                <w:kern w:val="0"/>
                <w:sz w:val="24"/>
                <w:szCs w:val="20"/>
                <w:highlight w:val="none"/>
                <w:lang w:val="en-US" w:eastAsia="zh-CN"/>
              </w:rPr>
              <w:t>排放</w:t>
            </w:r>
            <w:r>
              <w:rPr>
                <w:rFonts w:hint="eastAsia" w:ascii="Times New Roman" w:hAnsi="Times New Roman" w:eastAsia="宋体" w:cs="Times New Roman"/>
                <w:color w:val="000000"/>
                <w:kern w:val="0"/>
                <w:sz w:val="24"/>
                <w:szCs w:val="20"/>
                <w:highlight w:val="none"/>
                <w:lang w:val="en-US" w:eastAsia="zh-CN"/>
              </w:rPr>
              <w:t>。年工作时间为</w:t>
            </w:r>
            <w:r>
              <w:rPr>
                <w:rFonts w:hint="eastAsia" w:cs="Times New Roman"/>
                <w:color w:val="000000"/>
                <w:kern w:val="0"/>
                <w:sz w:val="24"/>
                <w:szCs w:val="20"/>
                <w:highlight w:val="none"/>
                <w:lang w:val="en-US" w:eastAsia="zh-CN"/>
              </w:rPr>
              <w:t>30</w:t>
            </w:r>
            <w:r>
              <w:rPr>
                <w:rFonts w:hint="eastAsia" w:ascii="Times New Roman" w:hAnsi="Times New Roman" w:eastAsia="宋体" w:cs="Times New Roman"/>
                <w:color w:val="000000"/>
                <w:kern w:val="0"/>
                <w:sz w:val="24"/>
                <w:szCs w:val="20"/>
                <w:highlight w:val="none"/>
                <w:lang w:val="en-US" w:eastAsia="zh-CN"/>
              </w:rPr>
              <w:t>00h，风机风量按5000m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/h计，颗粒物</w:t>
            </w:r>
            <w:r>
              <w:rPr>
                <w:rFonts w:hint="eastAsia" w:cs="Times New Roman"/>
                <w:color w:val="000000"/>
                <w:kern w:val="0"/>
                <w:sz w:val="24"/>
                <w:szCs w:val="20"/>
                <w:highlight w:val="none"/>
                <w:lang w:val="en-US" w:eastAsia="zh-CN"/>
              </w:rPr>
              <w:t>收集</w:t>
            </w:r>
            <w:r>
              <w:rPr>
                <w:rFonts w:hint="eastAsia" w:ascii="Times New Roman" w:hAnsi="Times New Roman" w:eastAsia="宋体" w:cs="Times New Roman"/>
                <w:color w:val="000000"/>
                <w:kern w:val="0"/>
                <w:sz w:val="24"/>
                <w:szCs w:val="20"/>
                <w:highlight w:val="none"/>
                <w:lang w:val="en-US" w:eastAsia="zh-CN"/>
              </w:rPr>
              <w:t>量为</w:t>
            </w:r>
            <w:r>
              <w:rPr>
                <w:rFonts w:hint="eastAsia" w:cs="Times New Roman"/>
                <w:color w:val="000000"/>
                <w:kern w:val="0"/>
                <w:sz w:val="24"/>
                <w:szCs w:val="20"/>
                <w:highlight w:val="none"/>
                <w:lang w:val="en-US" w:eastAsia="zh-CN"/>
              </w:rPr>
              <w:t>6.5</w:t>
            </w:r>
            <w:r>
              <w:rPr>
                <w:rFonts w:hint="eastAsia" w:ascii="Times New Roman" w:hAnsi="Times New Roman" w:eastAsia="宋体" w:cs="Times New Roman"/>
                <w:color w:val="000000"/>
                <w:kern w:val="0"/>
                <w:sz w:val="24"/>
                <w:szCs w:val="20"/>
                <w:highlight w:val="none"/>
                <w:lang w:val="en-US" w:eastAsia="zh-CN"/>
              </w:rPr>
              <w:t>t/a</w:t>
            </w:r>
            <w:r>
              <w:rPr>
                <w:rFonts w:hint="eastAsia" w:cs="Times New Roman"/>
                <w:color w:val="000000"/>
                <w:kern w:val="0"/>
                <w:sz w:val="24"/>
                <w:szCs w:val="20"/>
                <w:highlight w:val="none"/>
                <w:lang w:val="en-US" w:eastAsia="zh-CN"/>
              </w:rPr>
              <w:t>，产生</w:t>
            </w:r>
            <w:r>
              <w:rPr>
                <w:rFonts w:hint="eastAsia" w:ascii="Times New Roman" w:hAnsi="Times New Roman" w:eastAsia="宋体" w:cs="Times New Roman"/>
                <w:color w:val="000000"/>
                <w:kern w:val="0"/>
                <w:sz w:val="24"/>
                <w:szCs w:val="20"/>
                <w:highlight w:val="none"/>
                <w:lang w:val="en-US" w:eastAsia="zh-CN"/>
              </w:rPr>
              <w:t>浓度为</w:t>
            </w:r>
            <w:r>
              <w:rPr>
                <w:rFonts w:hint="eastAsia" w:cs="Times New Roman"/>
                <w:color w:val="000000"/>
                <w:kern w:val="0"/>
                <w:sz w:val="24"/>
                <w:szCs w:val="20"/>
                <w:highlight w:val="none"/>
                <w:lang w:val="en-US" w:eastAsia="zh-CN"/>
              </w:rPr>
              <w:t>433.33</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w:t>
            </w:r>
            <w:r>
              <w:rPr>
                <w:rFonts w:hint="eastAsia" w:cs="Times New Roman"/>
                <w:color w:val="000000"/>
                <w:kern w:val="0"/>
                <w:sz w:val="24"/>
                <w:szCs w:val="20"/>
                <w:highlight w:val="none"/>
                <w:lang w:val="en-US" w:eastAsia="zh-CN"/>
              </w:rPr>
              <w:t>产生</w:t>
            </w:r>
            <w:r>
              <w:rPr>
                <w:rFonts w:hint="eastAsia" w:ascii="Times New Roman" w:hAnsi="Times New Roman" w:eastAsia="宋体" w:cs="Times New Roman"/>
                <w:color w:val="000000"/>
                <w:kern w:val="0"/>
                <w:sz w:val="24"/>
                <w:szCs w:val="20"/>
                <w:highlight w:val="none"/>
                <w:lang w:val="en-US" w:eastAsia="zh-CN"/>
              </w:rPr>
              <w:t>速率为</w:t>
            </w:r>
            <w:r>
              <w:rPr>
                <w:rFonts w:hint="eastAsia" w:cs="Times New Roman"/>
                <w:color w:val="000000"/>
                <w:kern w:val="0"/>
                <w:sz w:val="24"/>
                <w:szCs w:val="20"/>
                <w:highlight w:val="none"/>
                <w:lang w:val="en-US" w:eastAsia="zh-CN"/>
              </w:rPr>
              <w:t>2.167</w:t>
            </w:r>
            <w:r>
              <w:rPr>
                <w:rFonts w:hint="eastAsia" w:ascii="Times New Roman" w:hAnsi="Times New Roman" w:eastAsia="宋体" w:cs="Times New Roman"/>
                <w:color w:val="000000"/>
                <w:kern w:val="0"/>
                <w:sz w:val="24"/>
                <w:szCs w:val="20"/>
                <w:highlight w:val="none"/>
                <w:lang w:val="en-US" w:eastAsia="zh-CN"/>
              </w:rPr>
              <w:t>kg/h，颗粒物排放浓度为</w:t>
            </w:r>
            <w:r>
              <w:rPr>
                <w:rFonts w:hint="eastAsia" w:cs="Times New Roman"/>
                <w:color w:val="000000"/>
                <w:kern w:val="0"/>
                <w:sz w:val="24"/>
                <w:szCs w:val="20"/>
                <w:highlight w:val="none"/>
                <w:lang w:val="en-US" w:eastAsia="zh-CN"/>
              </w:rPr>
              <w:t>4.333</w:t>
            </w:r>
            <w:r>
              <w:rPr>
                <w:rFonts w:hint="eastAsia" w:ascii="Times New Roman" w:hAnsi="Times New Roman" w:eastAsia="宋体" w:cs="Times New Roman"/>
                <w:color w:val="000000"/>
                <w:kern w:val="0"/>
                <w:sz w:val="24"/>
                <w:szCs w:val="20"/>
                <w:highlight w:val="none"/>
                <w:lang w:val="en-US" w:eastAsia="zh-CN"/>
              </w:rPr>
              <w:t>mg/m</w:t>
            </w:r>
            <w:r>
              <w:rPr>
                <w:rFonts w:hint="eastAsia" w:ascii="Times New Roman" w:hAnsi="Times New Roman" w:eastAsia="宋体" w:cs="Times New Roman"/>
                <w:color w:val="000000"/>
                <w:kern w:val="0"/>
                <w:sz w:val="24"/>
                <w:szCs w:val="20"/>
                <w:highlight w:val="none"/>
                <w:vertAlign w:val="superscript"/>
                <w:lang w:val="en-US" w:eastAsia="zh-CN"/>
              </w:rPr>
              <w:t>3</w:t>
            </w:r>
            <w:r>
              <w:rPr>
                <w:rFonts w:hint="eastAsia" w:ascii="Times New Roman" w:hAnsi="Times New Roman" w:eastAsia="宋体" w:cs="Times New Roman"/>
                <w:color w:val="000000"/>
                <w:kern w:val="0"/>
                <w:sz w:val="24"/>
                <w:szCs w:val="20"/>
                <w:highlight w:val="none"/>
                <w:lang w:val="en-US" w:eastAsia="zh-CN"/>
              </w:rPr>
              <w:t>，排放速率为0.</w:t>
            </w:r>
            <w:r>
              <w:rPr>
                <w:rFonts w:hint="eastAsia" w:cs="Times New Roman"/>
                <w:color w:val="000000"/>
                <w:kern w:val="0"/>
                <w:sz w:val="24"/>
                <w:szCs w:val="20"/>
                <w:highlight w:val="none"/>
                <w:lang w:val="en-US" w:eastAsia="zh-CN"/>
              </w:rPr>
              <w:t>022</w:t>
            </w:r>
            <w:r>
              <w:rPr>
                <w:rFonts w:hint="eastAsia" w:ascii="Times New Roman" w:hAnsi="Times New Roman" w:eastAsia="宋体" w:cs="Times New Roman"/>
                <w:color w:val="000000"/>
                <w:kern w:val="0"/>
                <w:sz w:val="24"/>
                <w:szCs w:val="20"/>
                <w:highlight w:val="none"/>
                <w:lang w:val="en-US" w:eastAsia="zh-CN"/>
              </w:rPr>
              <w:t>kg/h，排放量为0.</w:t>
            </w:r>
            <w:r>
              <w:rPr>
                <w:rFonts w:hint="eastAsia" w:cs="Times New Roman"/>
                <w:color w:val="000000"/>
                <w:kern w:val="0"/>
                <w:sz w:val="24"/>
                <w:szCs w:val="20"/>
                <w:highlight w:val="none"/>
                <w:lang w:val="en-US" w:eastAsia="zh-CN"/>
              </w:rPr>
              <w:t>065</w:t>
            </w:r>
            <w:r>
              <w:rPr>
                <w:rFonts w:hint="eastAsia" w:ascii="Times New Roman" w:hAnsi="Times New Roman" w:eastAsia="宋体" w:cs="Times New Roman"/>
                <w:color w:val="000000"/>
                <w:kern w:val="0"/>
                <w:sz w:val="24"/>
                <w:szCs w:val="20"/>
                <w:highlight w:val="none"/>
                <w:lang w:val="en-US" w:eastAsia="zh-CN"/>
              </w:rPr>
              <w:t>t/a，满足《铸造工业大气污染物排放标准》（GB39726 -2020）表1大气污染物排放限值同时满足</w:t>
            </w:r>
            <w:r>
              <w:rPr>
                <w:rFonts w:hint="eastAsia" w:ascii="Times New Roman" w:hAnsi="Times New Roman" w:eastAsia="宋体" w:cs="Times New Roman"/>
                <w:sz w:val="24"/>
                <w:szCs w:val="18"/>
                <w:highlight w:val="none"/>
                <w:lang w:val="en-US" w:eastAsia="zh-CN"/>
              </w:rPr>
              <w:t>《铸造工业大气污染物排放标准》（GB39726-2020）</w:t>
            </w:r>
            <w:r>
              <w:rPr>
                <w:rFonts w:hint="eastAsia" w:ascii="Times New Roman" w:hAnsi="Times New Roman" w:eastAsia="宋体" w:cs="Times New Roman"/>
                <w:color w:val="000000"/>
                <w:kern w:val="0"/>
                <w:sz w:val="24"/>
                <w:szCs w:val="20"/>
                <w:highlight w:val="none"/>
                <w:lang w:val="en-US" w:eastAsia="zh-CN"/>
              </w:rPr>
              <w:t>及</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中表6-1铸造企业B级标准要求（20mg/m</w:t>
            </w:r>
            <w:r>
              <w:rPr>
                <w:rFonts w:hint="eastAsia" w:ascii="Times New Roman" w:hAnsi="Times New Roman" w:eastAsia="宋体" w:cs="Times New Roman"/>
                <w:sz w:val="24"/>
                <w:szCs w:val="18"/>
                <w:highlight w:val="none"/>
                <w:vertAlign w:val="superscript"/>
                <w:lang w:val="en-US" w:eastAsia="zh-CN"/>
              </w:rPr>
              <w:t>3</w:t>
            </w:r>
            <w:r>
              <w:rPr>
                <w:rFonts w:hint="eastAsia" w:ascii="Times New Roman" w:hAnsi="Times New Roman" w:eastAsia="宋体" w:cs="Times New Roman"/>
                <w:sz w:val="24"/>
                <w:szCs w:val="18"/>
                <w:highlight w:val="none"/>
                <w:lang w:val="en-US" w:eastAsia="zh-CN"/>
              </w:rPr>
              <w:t>）</w:t>
            </w:r>
            <w:r>
              <w:rPr>
                <w:rFonts w:hint="eastAsia" w:ascii="Times New Roman" w:hAnsi="Times New Roman" w:eastAsia="宋体" w:cs="Times New Roman"/>
                <w:color w:val="000000"/>
                <w:kern w:val="0"/>
                <w:sz w:val="24"/>
                <w:szCs w:val="20"/>
                <w:highlight w:val="none"/>
                <w:lang w:val="en-US" w:eastAsia="zh-CN"/>
              </w:rPr>
              <w:t>。</w:t>
            </w:r>
          </w:p>
          <w:p w14:paraId="1410AF50">
            <w:pPr>
              <w:pStyle w:val="238"/>
              <w:keepNext w:val="0"/>
              <w:keepLines w:val="0"/>
              <w:pageBreakBefore w:val="0"/>
              <w:widowControl/>
              <w:suppressLineNumbers w:val="0"/>
              <w:kinsoku/>
              <w:wordWrap/>
              <w:overflowPunct/>
              <w:topLinePunct w:val="0"/>
              <w:bidi w:val="0"/>
              <w:adjustRightInd w:val="0"/>
              <w:snapToGrid w:val="0"/>
              <w:spacing w:before="0" w:beforeLines="0" w:beforeAutospacing="0" w:after="0" w:afterAutospacing="0" w:line="480" w:lineRule="exact"/>
              <w:ind w:left="0" w:right="0" w:firstLine="422"/>
              <w:textAlignment w:val="auto"/>
              <w:rPr>
                <w:rFonts w:hint="eastAsia" w:ascii="Times New Roman" w:hAnsi="Times New Roman" w:cs="Times New Roman"/>
                <w:b w:val="0"/>
                <w:bCs w:val="0"/>
                <w:color w:val="auto"/>
                <w:sz w:val="24"/>
                <w:szCs w:val="24"/>
                <w:highlight w:val="none"/>
                <w:lang w:val="en-US" w:eastAsia="zh-CN"/>
              </w:rPr>
            </w:pPr>
            <w:r>
              <w:rPr>
                <w:rFonts w:hint="eastAsia" w:ascii="Times New Roman" w:hAnsi="Times New Roman" w:cs="Times New Roman"/>
                <w:b w:val="0"/>
                <w:bCs w:val="0"/>
                <w:color w:val="auto"/>
                <w:sz w:val="24"/>
                <w:szCs w:val="24"/>
                <w:highlight w:val="none"/>
                <w:lang w:val="en-US" w:eastAsia="zh-CN"/>
              </w:rPr>
              <w:t>（2）无组织废气</w:t>
            </w:r>
          </w:p>
          <w:p w14:paraId="43AF027A">
            <w:pPr>
              <w:keepNext w:val="0"/>
              <w:keepLines w:val="0"/>
              <w:suppressLineNumbers w:val="0"/>
              <w:spacing w:before="0" w:beforeAutospacing="0" w:after="0" w:afterAutospacing="0" w:line="46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color w:val="000000"/>
                <w:sz w:val="24"/>
                <w:szCs w:val="20"/>
                <w:highlight w:val="none"/>
              </w:rPr>
              <w:t>①</w:t>
            </w:r>
            <w:r>
              <w:rPr>
                <w:rFonts w:hint="default" w:ascii="Times New Roman" w:hAnsi="Times New Roman" w:cs="Times New Roman"/>
                <w:sz w:val="24"/>
                <w:szCs w:val="20"/>
                <w:highlight w:val="none"/>
              </w:rPr>
              <w:t>未有效收集</w:t>
            </w:r>
          </w:p>
          <w:p w14:paraId="11960D2A">
            <w:pPr>
              <w:keepNext w:val="0"/>
              <w:keepLines w:val="0"/>
              <w:suppressLineNumbers w:val="0"/>
              <w:spacing w:before="0" w:beforeAutospacing="0" w:after="0" w:afterAutospacing="0" w:line="480" w:lineRule="exact"/>
              <w:ind w:left="0" w:right="0" w:firstLine="480" w:firstLineChars="200"/>
              <w:rPr>
                <w:rFonts w:hint="default" w:ascii="Times New Roman" w:hAnsi="Times New Roman" w:cs="Times New Roman"/>
                <w:sz w:val="24"/>
                <w:szCs w:val="20"/>
                <w:highlight w:val="none"/>
              </w:rPr>
            </w:pPr>
            <w:r>
              <w:rPr>
                <w:rFonts w:hint="default" w:ascii="Times New Roman" w:hAnsi="Times New Roman" w:cs="Times New Roman"/>
                <w:sz w:val="24"/>
                <w:szCs w:val="20"/>
                <w:highlight w:val="none"/>
              </w:rPr>
              <w:t>未有效收集的颗粒物量为</w:t>
            </w:r>
            <w:r>
              <w:rPr>
                <w:rFonts w:hint="eastAsia" w:cs="Times New Roman"/>
                <w:sz w:val="24"/>
                <w:szCs w:val="20"/>
                <w:highlight w:val="none"/>
                <w:lang w:val="en-US" w:eastAsia="zh-CN"/>
              </w:rPr>
              <w:t>0.769t</w:t>
            </w:r>
            <w:r>
              <w:rPr>
                <w:rFonts w:hint="default" w:ascii="Times New Roman" w:hAnsi="Times New Roman" w:cs="Times New Roman"/>
                <w:sz w:val="24"/>
                <w:szCs w:val="20"/>
                <w:highlight w:val="none"/>
              </w:rPr>
              <w:t>/a</w:t>
            </w:r>
            <w:r>
              <w:rPr>
                <w:rFonts w:hint="eastAsia" w:ascii="Times New Roman" w:hAnsi="Times New Roman" w:cs="Times New Roman"/>
                <w:sz w:val="24"/>
                <w:szCs w:val="20"/>
                <w:highlight w:val="none"/>
                <w:lang w:eastAsia="zh-CN"/>
              </w:rPr>
              <w:t>；</w:t>
            </w:r>
            <w:r>
              <w:rPr>
                <w:rFonts w:hint="default" w:ascii="Times New Roman" w:hAnsi="Times New Roman" w:cs="Times New Roman"/>
                <w:sz w:val="24"/>
                <w:szCs w:val="20"/>
                <w:highlight w:val="none"/>
              </w:rPr>
              <w:t>未有效收集的</w:t>
            </w:r>
            <w:r>
              <w:rPr>
                <w:rFonts w:hint="eastAsia" w:ascii="Times New Roman" w:hAnsi="Times New Roman" w:cs="Times New Roman"/>
                <w:b w:val="0"/>
                <w:bCs w:val="0"/>
                <w:color w:val="auto"/>
                <w:sz w:val="24"/>
                <w:szCs w:val="24"/>
                <w:highlight w:val="none"/>
                <w:vertAlign w:val="baseline"/>
                <w:lang w:val="en-US" w:eastAsia="zh-CN"/>
              </w:rPr>
              <w:t>非甲烷总烃</w:t>
            </w:r>
            <w:r>
              <w:rPr>
                <w:rFonts w:hint="default" w:ascii="Times New Roman" w:hAnsi="Times New Roman" w:cs="Times New Roman"/>
                <w:sz w:val="24"/>
                <w:szCs w:val="20"/>
                <w:highlight w:val="none"/>
              </w:rPr>
              <w:t>量为</w:t>
            </w:r>
            <w:r>
              <w:rPr>
                <w:rFonts w:hint="eastAsia" w:ascii="Times New Roman" w:hAnsi="Times New Roman" w:cs="Times New Roman"/>
                <w:sz w:val="24"/>
                <w:szCs w:val="20"/>
                <w:highlight w:val="none"/>
                <w:lang w:val="en-US" w:eastAsia="zh-CN"/>
              </w:rPr>
              <w:t>0.0</w:t>
            </w:r>
            <w:r>
              <w:rPr>
                <w:rFonts w:hint="eastAsia" w:cs="Times New Roman"/>
                <w:sz w:val="24"/>
                <w:szCs w:val="20"/>
                <w:highlight w:val="none"/>
                <w:lang w:val="en-US" w:eastAsia="zh-CN"/>
              </w:rPr>
              <w:t>9</w:t>
            </w:r>
            <w:r>
              <w:rPr>
                <w:rFonts w:hint="default" w:ascii="Times New Roman" w:hAnsi="Times New Roman" w:cs="Times New Roman"/>
                <w:sz w:val="24"/>
                <w:szCs w:val="20"/>
                <w:highlight w:val="none"/>
              </w:rPr>
              <w:t>t/a</w:t>
            </w:r>
            <w:r>
              <w:rPr>
                <w:rFonts w:hint="eastAsia" w:ascii="Times New Roman" w:hAnsi="Times New Roman" w:cs="Times New Roman"/>
                <w:sz w:val="24"/>
                <w:szCs w:val="20"/>
                <w:highlight w:val="none"/>
                <w:lang w:eastAsia="zh-CN"/>
              </w:rPr>
              <w:t>；</w:t>
            </w:r>
            <w:r>
              <w:rPr>
                <w:rFonts w:hint="default" w:ascii="Times New Roman" w:hAnsi="Times New Roman" w:cs="Times New Roman"/>
                <w:sz w:val="24"/>
                <w:szCs w:val="20"/>
                <w:highlight w:val="none"/>
              </w:rPr>
              <w:t>未有效收集的</w:t>
            </w:r>
            <w:r>
              <w:rPr>
                <w:rFonts w:hint="eastAsia" w:ascii="Times New Roman" w:hAnsi="Times New Roman" w:cs="Times New Roman"/>
                <w:b w:val="0"/>
                <w:bCs w:val="0"/>
                <w:color w:val="auto"/>
                <w:sz w:val="24"/>
                <w:szCs w:val="24"/>
                <w:highlight w:val="none"/>
                <w:vertAlign w:val="baseline"/>
                <w:lang w:val="en-US" w:eastAsia="zh-CN"/>
              </w:rPr>
              <w:t>甲醛</w:t>
            </w:r>
            <w:r>
              <w:rPr>
                <w:rFonts w:hint="default" w:ascii="Times New Roman" w:hAnsi="Times New Roman" w:cs="Times New Roman"/>
                <w:sz w:val="24"/>
                <w:szCs w:val="20"/>
                <w:highlight w:val="none"/>
              </w:rPr>
              <w:t>量为</w:t>
            </w:r>
            <w:r>
              <w:rPr>
                <w:rFonts w:hint="eastAsia" w:ascii="Times New Roman" w:hAnsi="Times New Roman" w:cs="Times New Roman"/>
                <w:sz w:val="24"/>
                <w:szCs w:val="20"/>
                <w:highlight w:val="none"/>
                <w:lang w:val="en-US" w:eastAsia="zh-CN"/>
              </w:rPr>
              <w:t>0.0044</w:t>
            </w:r>
            <w:r>
              <w:rPr>
                <w:rFonts w:hint="default" w:ascii="Times New Roman" w:hAnsi="Times New Roman" w:cs="Times New Roman"/>
                <w:sz w:val="24"/>
                <w:szCs w:val="20"/>
                <w:highlight w:val="none"/>
              </w:rPr>
              <w:t>t/a</w:t>
            </w:r>
            <w:r>
              <w:rPr>
                <w:rFonts w:hint="eastAsia" w:ascii="Times New Roman" w:hAnsi="Times New Roman" w:cs="Times New Roman"/>
                <w:sz w:val="24"/>
                <w:szCs w:val="20"/>
                <w:highlight w:val="none"/>
                <w:lang w:eastAsia="zh-CN"/>
              </w:rPr>
              <w:t>；</w:t>
            </w:r>
            <w:r>
              <w:rPr>
                <w:rFonts w:hint="default" w:ascii="Times New Roman" w:hAnsi="Times New Roman" w:cs="Times New Roman"/>
                <w:sz w:val="24"/>
                <w:szCs w:val="20"/>
                <w:highlight w:val="none"/>
              </w:rPr>
              <w:t>未有效收集的</w:t>
            </w:r>
            <w:r>
              <w:rPr>
                <w:rFonts w:hint="eastAsia" w:ascii="Times New Roman" w:hAnsi="Times New Roman" w:cs="Times New Roman"/>
                <w:b w:val="0"/>
                <w:bCs w:val="0"/>
                <w:color w:val="auto"/>
                <w:sz w:val="24"/>
                <w:szCs w:val="24"/>
                <w:highlight w:val="none"/>
                <w:vertAlign w:val="baseline"/>
                <w:lang w:val="en-US" w:eastAsia="zh-CN"/>
              </w:rPr>
              <w:t>酚类</w:t>
            </w:r>
            <w:r>
              <w:rPr>
                <w:rFonts w:hint="default" w:ascii="Times New Roman" w:hAnsi="Times New Roman" w:cs="Times New Roman"/>
                <w:sz w:val="24"/>
                <w:szCs w:val="20"/>
                <w:highlight w:val="none"/>
              </w:rPr>
              <w:t>量为</w:t>
            </w:r>
            <w:r>
              <w:rPr>
                <w:rFonts w:hint="eastAsia" w:ascii="Times New Roman" w:hAnsi="Times New Roman" w:cs="Times New Roman"/>
                <w:sz w:val="24"/>
                <w:szCs w:val="20"/>
                <w:highlight w:val="none"/>
                <w:lang w:val="en-US" w:eastAsia="zh-CN"/>
              </w:rPr>
              <w:t>0.0044</w:t>
            </w:r>
            <w:r>
              <w:rPr>
                <w:rFonts w:hint="default" w:ascii="Times New Roman" w:hAnsi="Times New Roman" w:cs="Times New Roman"/>
                <w:sz w:val="24"/>
                <w:szCs w:val="20"/>
                <w:highlight w:val="none"/>
              </w:rPr>
              <w:t>t/a。</w:t>
            </w:r>
          </w:p>
          <w:p w14:paraId="0924B3D8">
            <w:pPr>
              <w:keepNext w:val="0"/>
              <w:keepLines w:val="0"/>
              <w:suppressLineNumbers w:val="0"/>
              <w:spacing w:before="0" w:beforeAutospacing="0" w:after="0" w:afterAutospacing="0" w:line="480" w:lineRule="exact"/>
              <w:ind w:left="0" w:right="0" w:firstLine="480" w:firstLineChars="200"/>
              <w:rPr>
                <w:rFonts w:hint="default" w:ascii="Times New Roman" w:hAnsi="Times New Roman" w:eastAsia="宋体" w:cs="Times New Roman"/>
                <w:sz w:val="24"/>
                <w:szCs w:val="20"/>
                <w:highlight w:val="none"/>
                <w:lang w:val="en-US" w:eastAsia="zh-CN"/>
              </w:rPr>
            </w:pPr>
            <w:r>
              <w:rPr>
                <w:rFonts w:hint="default" w:ascii="Times New Roman" w:hAnsi="Times New Roman" w:cs="Times New Roman"/>
                <w:color w:val="000000"/>
                <w:sz w:val="24"/>
                <w:szCs w:val="20"/>
                <w:highlight w:val="none"/>
              </w:rPr>
              <w:t>②</w:t>
            </w:r>
            <w:r>
              <w:rPr>
                <w:rFonts w:hint="default" w:ascii="Times New Roman" w:hAnsi="Times New Roman" w:cs="Times New Roman"/>
                <w:sz w:val="24"/>
                <w:szCs w:val="20"/>
                <w:highlight w:val="none"/>
              </w:rPr>
              <w:t>无组织排放</w:t>
            </w:r>
            <w:r>
              <w:rPr>
                <w:rFonts w:hint="eastAsia" w:ascii="Times New Roman" w:hAnsi="Times New Roman" w:cs="Times New Roman"/>
                <w:sz w:val="24"/>
                <w:szCs w:val="20"/>
                <w:highlight w:val="none"/>
                <w:lang w:val="en-US" w:eastAsia="zh-CN"/>
              </w:rPr>
              <w:t>措施及效果</w:t>
            </w:r>
          </w:p>
          <w:p w14:paraId="0D8284C3">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企业采取密闭车间，加强集气等措施，加强对无组织排放的控制和管理。</w:t>
            </w:r>
          </w:p>
          <w:p w14:paraId="2E1433D5">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val="en-US" w:eastAsia="zh-CN"/>
              </w:rPr>
              <w:t>本次评价要求企业根据《排污许可证申请与核发技术规范 金属铸造工业》（HJ 1115-2020）、</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w:t>
            </w:r>
            <w:r>
              <w:rPr>
                <w:rFonts w:hint="eastAsia"/>
                <w:color w:val="auto"/>
                <w:sz w:val="24"/>
                <w:szCs w:val="24"/>
                <w:highlight w:val="none"/>
                <w:lang w:val="en-US" w:eastAsia="zh-CN"/>
              </w:rPr>
              <w:t>中无组织排放运行管理要求，进行控制和管理：</w:t>
            </w:r>
          </w:p>
          <w:p w14:paraId="5B858843">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default" w:ascii="宋体" w:hAnsi="宋体" w:eastAsia="宋体" w:cs="宋体"/>
                <w:color w:val="auto"/>
                <w:sz w:val="24"/>
                <w:szCs w:val="24"/>
                <w:highlight w:val="none"/>
                <w:lang w:val="en-US" w:eastAsia="zh-CN"/>
              </w:rPr>
              <w:t>①</w:t>
            </w:r>
            <w:r>
              <w:rPr>
                <w:rFonts w:hint="eastAsia" w:ascii="宋体" w:hAnsi="宋体" w:cs="宋体"/>
                <w:color w:val="auto"/>
                <w:sz w:val="24"/>
                <w:szCs w:val="24"/>
                <w:highlight w:val="none"/>
                <w:lang w:val="en-US" w:eastAsia="zh-CN"/>
              </w:rPr>
              <w:t>米铁、废钢和铁合金等粒状、块状散装物料储存于车间原料区，原料区建</w:t>
            </w:r>
            <w:r>
              <w:rPr>
                <w:rFonts w:hint="default" w:ascii="宋体" w:hAnsi="宋体" w:cs="宋体"/>
                <w:color w:val="auto"/>
                <w:sz w:val="24"/>
                <w:szCs w:val="24"/>
                <w:highlight w:val="none"/>
                <w:lang w:val="en-US" w:eastAsia="zh-CN"/>
              </w:rPr>
              <w:t>半封闭储库；</w:t>
            </w:r>
            <w:r>
              <w:rPr>
                <w:rFonts w:hint="eastAsia"/>
                <w:color w:val="auto"/>
                <w:sz w:val="24"/>
                <w:szCs w:val="24"/>
                <w:highlight w:val="none"/>
                <w:lang w:val="en-US" w:eastAsia="zh-CN"/>
              </w:rPr>
              <w:t>设置雾炮进行喷淋。</w:t>
            </w:r>
          </w:p>
          <w:p w14:paraId="46C99B4E">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w:t>
            </w:r>
            <w:r>
              <w:rPr>
                <w:rFonts w:hint="eastAsia"/>
                <w:color w:val="auto"/>
                <w:sz w:val="24"/>
                <w:szCs w:val="24"/>
                <w:highlight w:val="none"/>
                <w:lang w:val="en-US" w:eastAsia="zh-CN"/>
              </w:rPr>
              <w:t>粉状、粒状等易散发粉尘的物料厂内转移、输送应采取密闭或覆盖等抑尘措施。</w:t>
            </w:r>
          </w:p>
          <w:p w14:paraId="01D64AF5">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szCs w:val="20"/>
                <w:highlight w:val="none"/>
                <w:lang w:val="en-US" w:eastAsia="zh-CN"/>
              </w:rPr>
            </w:pPr>
            <w:r>
              <w:rPr>
                <w:rFonts w:hint="eastAsia" w:ascii="宋体" w:hAnsi="宋体" w:eastAsia="宋体" w:cs="宋体"/>
                <w:color w:val="auto"/>
                <w:sz w:val="24"/>
                <w:szCs w:val="24"/>
                <w:highlight w:val="none"/>
                <w:lang w:val="en-US" w:eastAsia="zh-CN"/>
              </w:rPr>
              <w:t>③</w:t>
            </w:r>
            <w:r>
              <w:rPr>
                <w:rFonts w:hint="eastAsia"/>
                <w:color w:val="auto"/>
                <w:sz w:val="24"/>
                <w:szCs w:val="24"/>
                <w:highlight w:val="none"/>
                <w:lang w:val="en-US" w:eastAsia="zh-CN"/>
              </w:rPr>
              <w:t>落砂、打磨工序应设置固定工位，并采取抑尘措施或配备集气、除尘装置设施；</w:t>
            </w:r>
            <w:r>
              <w:rPr>
                <w:rFonts w:hint="default"/>
                <w:color w:val="auto"/>
                <w:sz w:val="24"/>
                <w:szCs w:val="24"/>
                <w:highlight w:val="none"/>
                <w:lang w:val="en-US" w:eastAsia="zh-CN"/>
              </w:rPr>
              <w:t>浇注工序设置浇注区，用外部罩的罩口应尽可能接近污染源</w:t>
            </w:r>
            <w:r>
              <w:rPr>
                <w:rFonts w:hint="eastAsia"/>
                <w:color w:val="auto"/>
                <w:sz w:val="24"/>
                <w:szCs w:val="24"/>
                <w:highlight w:val="none"/>
                <w:lang w:val="en-US" w:eastAsia="zh-CN"/>
              </w:rPr>
              <w:t>。</w:t>
            </w:r>
          </w:p>
          <w:p w14:paraId="194A21A1">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④</w:t>
            </w:r>
            <w:r>
              <w:rPr>
                <w:rFonts w:hint="eastAsia"/>
                <w:color w:val="auto"/>
                <w:sz w:val="24"/>
                <w:szCs w:val="24"/>
                <w:highlight w:val="none"/>
                <w:lang w:val="en-US" w:eastAsia="zh-CN"/>
              </w:rPr>
              <w:t>除尘器灰仓卸灰不应直接卸落到地面，卸灰口应采取密闭。除尘灰采取密闭措施收集、存放和运输。</w:t>
            </w:r>
          </w:p>
          <w:p w14:paraId="0813A35A">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⑤</w:t>
            </w:r>
            <w:r>
              <w:rPr>
                <w:rFonts w:hint="eastAsia"/>
                <w:color w:val="auto"/>
                <w:sz w:val="24"/>
                <w:szCs w:val="24"/>
                <w:highlight w:val="none"/>
                <w:lang w:val="en-US" w:eastAsia="zh-CN"/>
              </w:rPr>
              <w:t>厂区道路应硬化，并采取清扫、洒水等措施，保持清洁。</w:t>
            </w:r>
          </w:p>
          <w:p w14:paraId="060F598B">
            <w:pPr>
              <w:keepNext w:val="0"/>
              <w:keepLines w:val="0"/>
              <w:pageBreakBefore w:val="0"/>
              <w:widowControl w:val="0"/>
              <w:suppressLineNumbers w:val="0"/>
              <w:shd w:val="clear" w:color="auto" w:fill="auto"/>
              <w:kinsoku/>
              <w:wordWrap/>
              <w:overflowPunct/>
              <w:topLinePunct w:val="0"/>
              <w:bidi w:val="0"/>
              <w:adjustRightInd/>
              <w:snapToGrid/>
              <w:spacing w:before="0" w:beforeAutospacing="0" w:after="0" w:afterAutospacing="0" w:line="480" w:lineRule="exact"/>
              <w:ind w:left="0" w:right="0" w:firstLine="480" w:firstLineChars="200"/>
              <w:textAlignment w:val="auto"/>
              <w:rPr>
                <w:rFonts w:hint="eastAsia"/>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⑥</w:t>
            </w:r>
            <w:r>
              <w:rPr>
                <w:rFonts w:hint="eastAsia"/>
                <w:color w:val="auto"/>
                <w:sz w:val="24"/>
                <w:szCs w:val="24"/>
                <w:highlight w:val="none"/>
                <w:lang w:val="en-US" w:eastAsia="zh-CN"/>
              </w:rPr>
              <w:t>环保设备故障时，对应产污工序应及时停产，熔化设备在当炉熔化完成后停产。</w:t>
            </w:r>
          </w:p>
          <w:p w14:paraId="2D068E50">
            <w:pPr>
              <w:keepNext w:val="0"/>
              <w:keepLines w:val="0"/>
              <w:suppressLineNumbers w:val="0"/>
              <w:spacing w:before="0" w:beforeAutospacing="0" w:after="0" w:afterAutospacing="0" w:line="480" w:lineRule="exact"/>
              <w:ind w:left="0" w:right="0" w:firstLine="480" w:firstLineChars="200"/>
              <w:rPr>
                <w:rFonts w:hint="eastAsia"/>
                <w:szCs w:val="20"/>
                <w:highlight w:val="none"/>
                <w:lang w:eastAsia="zh-CN"/>
              </w:rPr>
            </w:pPr>
            <w:r>
              <w:rPr>
                <w:rFonts w:hint="eastAsia" w:ascii="Times New Roman" w:hAnsi="Times New Roman" w:cs="Times New Roman"/>
                <w:sz w:val="24"/>
                <w:szCs w:val="20"/>
                <w:highlight w:val="none"/>
                <w:lang w:val="en-US" w:eastAsia="zh-CN"/>
              </w:rPr>
              <w:t>同时</w:t>
            </w:r>
            <w:r>
              <w:rPr>
                <w:rFonts w:hint="default" w:ascii="Times New Roman" w:hAnsi="Times New Roman" w:cs="Times New Roman"/>
                <w:sz w:val="24"/>
                <w:szCs w:val="20"/>
                <w:highlight w:val="none"/>
              </w:rPr>
              <w:t>项目生产时拟紧闭门窗，</w:t>
            </w:r>
            <w:r>
              <w:rPr>
                <w:rFonts w:hint="eastAsia" w:ascii="Times New Roman" w:hAnsi="Times New Roman" w:cs="Times New Roman"/>
                <w:sz w:val="24"/>
                <w:szCs w:val="20"/>
                <w:highlight w:val="none"/>
                <w:lang w:val="en-US" w:eastAsia="zh-CN"/>
              </w:rPr>
              <w:t>车间</w:t>
            </w:r>
            <w:r>
              <w:rPr>
                <w:rFonts w:hint="default" w:ascii="Times New Roman" w:hAnsi="Times New Roman" w:cs="Times New Roman"/>
                <w:sz w:val="24"/>
                <w:szCs w:val="20"/>
                <w:highlight w:val="none"/>
              </w:rPr>
              <w:t>通过雾炮抑尘（</w:t>
            </w:r>
            <w:r>
              <w:rPr>
                <w:rFonts w:hint="eastAsia" w:ascii="Times New Roman" w:hAnsi="Times New Roman" w:cs="Times New Roman"/>
                <w:sz w:val="24"/>
                <w:szCs w:val="20"/>
                <w:highlight w:val="none"/>
                <w:lang w:val="en-US" w:eastAsia="zh-CN"/>
              </w:rPr>
              <w:t>5</w:t>
            </w:r>
            <w:r>
              <w:rPr>
                <w:rFonts w:hint="default" w:ascii="Times New Roman" w:hAnsi="Times New Roman" w:cs="Times New Roman"/>
                <w:sz w:val="24"/>
                <w:szCs w:val="20"/>
                <w:highlight w:val="none"/>
              </w:rPr>
              <w:t>0</w:t>
            </w:r>
            <w:r>
              <w:rPr>
                <w:rFonts w:hint="default" w:ascii="Times New Roman" w:hAnsi="Times New Roman" w:eastAsia="TimesNewRomanPSMT" w:cs="Times New Roman"/>
                <w:sz w:val="24"/>
                <w:szCs w:val="20"/>
                <w:highlight w:val="none"/>
              </w:rPr>
              <w:t>%</w:t>
            </w:r>
            <w:r>
              <w:rPr>
                <w:rFonts w:hint="default" w:ascii="Times New Roman" w:hAnsi="Times New Roman" w:cs="Times New Roman"/>
                <w:sz w:val="24"/>
                <w:szCs w:val="20"/>
                <w:highlight w:val="none"/>
              </w:rPr>
              <w:t>），厂房墙体能有效阻隔粉尘的扩散（</w:t>
            </w:r>
            <w:r>
              <w:rPr>
                <w:rFonts w:hint="eastAsia" w:ascii="Times New Roman" w:hAnsi="Times New Roman" w:cs="Times New Roman"/>
                <w:sz w:val="24"/>
                <w:szCs w:val="20"/>
                <w:highlight w:val="none"/>
                <w:lang w:val="en-US" w:eastAsia="zh-CN"/>
              </w:rPr>
              <w:t>2</w:t>
            </w:r>
            <w:r>
              <w:rPr>
                <w:rFonts w:hint="default" w:ascii="Times New Roman" w:hAnsi="Times New Roman" w:cs="Times New Roman"/>
                <w:sz w:val="24"/>
                <w:szCs w:val="20"/>
                <w:highlight w:val="none"/>
              </w:rPr>
              <w:t>0</w:t>
            </w:r>
            <w:r>
              <w:rPr>
                <w:rFonts w:hint="default" w:ascii="Times New Roman" w:hAnsi="Times New Roman" w:eastAsia="TimesNewRomanPSMT" w:cs="Times New Roman"/>
                <w:sz w:val="24"/>
                <w:szCs w:val="20"/>
                <w:highlight w:val="none"/>
              </w:rPr>
              <w:t>%</w:t>
            </w:r>
            <w:r>
              <w:rPr>
                <w:rFonts w:hint="default" w:ascii="Times New Roman" w:hAnsi="Times New Roman" w:cs="Times New Roman"/>
                <w:sz w:val="24"/>
                <w:szCs w:val="20"/>
                <w:highlight w:val="none"/>
              </w:rPr>
              <w:t>），根据年有效工作时间</w:t>
            </w:r>
            <w:r>
              <w:rPr>
                <w:rFonts w:hint="eastAsia" w:eastAsia="TimesNewRomanPSMT" w:cs="Times New Roman"/>
                <w:sz w:val="24"/>
                <w:szCs w:val="20"/>
                <w:highlight w:val="none"/>
                <w:lang w:val="en-US" w:eastAsia="zh-CN"/>
              </w:rPr>
              <w:t>30</w:t>
            </w:r>
            <w:r>
              <w:rPr>
                <w:rFonts w:hint="default" w:ascii="Times New Roman" w:hAnsi="Times New Roman" w:eastAsia="TimesNewRomanPSMT" w:cs="Times New Roman"/>
                <w:sz w:val="24"/>
                <w:szCs w:val="20"/>
                <w:highlight w:val="none"/>
              </w:rPr>
              <w:t>00h</w:t>
            </w:r>
            <w:r>
              <w:rPr>
                <w:rFonts w:hint="default" w:ascii="Times New Roman" w:hAnsi="Times New Roman" w:cs="Times New Roman"/>
                <w:sz w:val="24"/>
                <w:szCs w:val="20"/>
                <w:highlight w:val="none"/>
              </w:rPr>
              <w:t>计算，</w:t>
            </w:r>
            <w:r>
              <w:rPr>
                <w:rFonts w:hint="eastAsia" w:ascii="Times New Roman" w:hAnsi="Times New Roman" w:cs="Times New Roman"/>
                <w:sz w:val="24"/>
                <w:szCs w:val="20"/>
                <w:highlight w:val="none"/>
                <w:lang w:val="en-US" w:eastAsia="zh-CN"/>
              </w:rPr>
              <w:t>无组织排放</w:t>
            </w:r>
            <w:r>
              <w:rPr>
                <w:rFonts w:hint="default" w:ascii="Times New Roman" w:hAnsi="Times New Roman" w:cs="Times New Roman"/>
                <w:sz w:val="24"/>
                <w:szCs w:val="20"/>
                <w:highlight w:val="none"/>
              </w:rPr>
              <w:t>颗粒物排放量为</w:t>
            </w:r>
            <w:r>
              <w:rPr>
                <w:rFonts w:hint="eastAsia" w:ascii="Times New Roman" w:hAnsi="Times New Roman" w:cs="Times New Roman"/>
                <w:sz w:val="24"/>
                <w:szCs w:val="20"/>
                <w:highlight w:val="none"/>
                <w:lang w:val="en-US" w:eastAsia="zh-CN"/>
              </w:rPr>
              <w:t>0.3</w:t>
            </w:r>
            <w:r>
              <w:rPr>
                <w:rFonts w:hint="eastAsia" w:cs="Times New Roman"/>
                <w:sz w:val="24"/>
                <w:szCs w:val="20"/>
                <w:highlight w:val="none"/>
                <w:lang w:val="en-US" w:eastAsia="zh-CN"/>
              </w:rPr>
              <w:t>08</w:t>
            </w:r>
            <w:r>
              <w:rPr>
                <w:rFonts w:hint="default" w:ascii="Times New Roman" w:hAnsi="Times New Roman" w:eastAsia="TimesNewRomanPSMT" w:cs="Times New Roman"/>
                <w:sz w:val="24"/>
                <w:szCs w:val="20"/>
                <w:highlight w:val="none"/>
              </w:rPr>
              <w:t>t/a</w:t>
            </w:r>
            <w:r>
              <w:rPr>
                <w:rFonts w:hint="default" w:ascii="Times New Roman" w:hAnsi="Times New Roman" w:cs="Times New Roman"/>
                <w:sz w:val="24"/>
                <w:szCs w:val="20"/>
                <w:highlight w:val="none"/>
              </w:rPr>
              <w:t>，排放速率为0</w:t>
            </w:r>
            <w:r>
              <w:rPr>
                <w:rFonts w:hint="eastAsia" w:ascii="Times New Roman" w:hAnsi="Times New Roman" w:cs="Times New Roman"/>
                <w:sz w:val="24"/>
                <w:szCs w:val="20"/>
                <w:highlight w:val="none"/>
                <w:lang w:val="en-US" w:eastAsia="zh-CN"/>
              </w:rPr>
              <w:t>.1</w:t>
            </w:r>
            <w:r>
              <w:rPr>
                <w:rFonts w:hint="eastAsia" w:cs="Times New Roman"/>
                <w:sz w:val="24"/>
                <w:szCs w:val="20"/>
                <w:highlight w:val="none"/>
                <w:lang w:val="en-US" w:eastAsia="zh-CN"/>
              </w:rPr>
              <w:t>03</w:t>
            </w:r>
            <w:r>
              <w:rPr>
                <w:rFonts w:hint="default" w:ascii="Times New Roman" w:hAnsi="Times New Roman" w:eastAsia="TimesNewRomanPSMT" w:cs="Times New Roman"/>
                <w:sz w:val="24"/>
                <w:szCs w:val="20"/>
                <w:highlight w:val="none"/>
              </w:rPr>
              <w:t>kg/h</w:t>
            </w:r>
            <w:r>
              <w:rPr>
                <w:rFonts w:hint="eastAsia" w:ascii="Times New Roman" w:hAnsi="Times New Roman" w:cs="Times New Roman"/>
                <w:sz w:val="24"/>
                <w:szCs w:val="20"/>
                <w:highlight w:val="none"/>
                <w:lang w:eastAsia="zh-CN"/>
              </w:rPr>
              <w:t>；</w:t>
            </w:r>
            <w:r>
              <w:rPr>
                <w:rFonts w:hint="eastAsia" w:ascii="Times New Roman" w:hAnsi="Times New Roman" w:cs="Times New Roman"/>
                <w:sz w:val="24"/>
                <w:szCs w:val="20"/>
                <w:highlight w:val="none"/>
                <w:lang w:val="en-US" w:eastAsia="zh-CN"/>
              </w:rPr>
              <w:t>无组织排放</w:t>
            </w:r>
            <w:r>
              <w:rPr>
                <w:rFonts w:hint="eastAsia" w:ascii="Times New Roman" w:hAnsi="Times New Roman" w:cs="Times New Roman"/>
                <w:b w:val="0"/>
                <w:bCs w:val="0"/>
                <w:color w:val="auto"/>
                <w:sz w:val="24"/>
                <w:szCs w:val="24"/>
                <w:highlight w:val="none"/>
                <w:vertAlign w:val="baseline"/>
                <w:lang w:val="en-US" w:eastAsia="zh-CN"/>
              </w:rPr>
              <w:t>非甲烷总烃</w:t>
            </w:r>
            <w:r>
              <w:rPr>
                <w:rFonts w:hint="eastAsia" w:ascii="Times New Roman" w:hAnsi="Times New Roman" w:cs="Times New Roman"/>
                <w:sz w:val="24"/>
                <w:szCs w:val="20"/>
                <w:highlight w:val="none"/>
                <w:lang w:val="en-US" w:eastAsia="zh-CN"/>
              </w:rPr>
              <w:t>0.0</w:t>
            </w:r>
            <w:r>
              <w:rPr>
                <w:rFonts w:hint="eastAsia" w:cs="Times New Roman"/>
                <w:sz w:val="24"/>
                <w:szCs w:val="20"/>
                <w:highlight w:val="none"/>
                <w:lang w:val="en-US" w:eastAsia="zh-CN"/>
              </w:rPr>
              <w:t>9</w:t>
            </w:r>
            <w:r>
              <w:rPr>
                <w:rFonts w:hint="default" w:ascii="Times New Roman" w:hAnsi="Times New Roman" w:cs="Times New Roman"/>
                <w:sz w:val="24"/>
                <w:szCs w:val="20"/>
                <w:highlight w:val="none"/>
              </w:rPr>
              <w:t>t/</w:t>
            </w:r>
            <w:r>
              <w:rPr>
                <w:rFonts w:hint="eastAsia" w:ascii="Times New Roman" w:hAnsi="Times New Roman" w:cs="Times New Roman"/>
                <w:sz w:val="24"/>
                <w:szCs w:val="20"/>
                <w:highlight w:val="none"/>
                <w:lang w:val="en-US" w:eastAsia="zh-CN"/>
              </w:rPr>
              <w:t>a，排放速率为0.0</w:t>
            </w:r>
            <w:r>
              <w:rPr>
                <w:rFonts w:hint="eastAsia" w:cs="Times New Roman"/>
                <w:sz w:val="24"/>
                <w:szCs w:val="20"/>
                <w:highlight w:val="none"/>
                <w:lang w:val="en-US" w:eastAsia="zh-CN"/>
              </w:rPr>
              <w:t>3</w:t>
            </w:r>
            <w:r>
              <w:rPr>
                <w:rFonts w:hint="eastAsia" w:ascii="Times New Roman" w:hAnsi="Times New Roman" w:cs="Times New Roman"/>
                <w:sz w:val="24"/>
                <w:szCs w:val="20"/>
                <w:highlight w:val="none"/>
                <w:lang w:val="en-US" w:eastAsia="zh-CN"/>
              </w:rPr>
              <w:t>kg/h</w:t>
            </w:r>
            <w:r>
              <w:rPr>
                <w:rFonts w:hint="eastAsia" w:ascii="Times New Roman" w:hAnsi="Times New Roman" w:cs="Times New Roman"/>
                <w:sz w:val="24"/>
                <w:szCs w:val="20"/>
                <w:highlight w:val="none"/>
                <w:lang w:eastAsia="zh-CN"/>
              </w:rPr>
              <w:t>；</w:t>
            </w:r>
            <w:r>
              <w:rPr>
                <w:rFonts w:hint="eastAsia" w:ascii="Times New Roman" w:hAnsi="Times New Roman" w:cs="Times New Roman"/>
                <w:sz w:val="24"/>
                <w:szCs w:val="20"/>
                <w:highlight w:val="none"/>
                <w:lang w:val="en-US" w:eastAsia="zh-CN"/>
              </w:rPr>
              <w:t>无组织排放</w:t>
            </w:r>
            <w:r>
              <w:rPr>
                <w:rFonts w:hint="eastAsia" w:ascii="Times New Roman" w:hAnsi="Times New Roman" w:cs="Times New Roman"/>
                <w:b w:val="0"/>
                <w:bCs w:val="0"/>
                <w:color w:val="auto"/>
                <w:sz w:val="24"/>
                <w:szCs w:val="24"/>
                <w:highlight w:val="none"/>
                <w:vertAlign w:val="baseline"/>
                <w:lang w:val="en-US" w:eastAsia="zh-CN"/>
              </w:rPr>
              <w:t>甲醛</w:t>
            </w:r>
            <w:r>
              <w:rPr>
                <w:rFonts w:hint="eastAsia" w:ascii="Times New Roman" w:hAnsi="Times New Roman" w:cs="Times New Roman"/>
                <w:sz w:val="24"/>
                <w:szCs w:val="20"/>
                <w:highlight w:val="none"/>
                <w:lang w:val="en-US" w:eastAsia="zh-CN"/>
              </w:rPr>
              <w:t>0.0044</w:t>
            </w:r>
            <w:r>
              <w:rPr>
                <w:rFonts w:hint="default" w:ascii="Times New Roman" w:hAnsi="Times New Roman" w:cs="Times New Roman"/>
                <w:sz w:val="24"/>
                <w:szCs w:val="20"/>
                <w:highlight w:val="none"/>
              </w:rPr>
              <w:t>t/</w:t>
            </w:r>
            <w:r>
              <w:rPr>
                <w:rFonts w:hint="eastAsia" w:ascii="Times New Roman" w:hAnsi="Times New Roman" w:cs="Times New Roman"/>
                <w:sz w:val="24"/>
                <w:szCs w:val="20"/>
                <w:highlight w:val="none"/>
                <w:lang w:val="en-US" w:eastAsia="zh-CN"/>
              </w:rPr>
              <w:t>a，排放速率为0.00</w:t>
            </w:r>
            <w:r>
              <w:rPr>
                <w:rFonts w:hint="eastAsia" w:cs="Times New Roman"/>
                <w:sz w:val="24"/>
                <w:szCs w:val="20"/>
                <w:highlight w:val="none"/>
                <w:lang w:val="en-US" w:eastAsia="zh-CN"/>
              </w:rPr>
              <w:t>1</w:t>
            </w:r>
            <w:r>
              <w:rPr>
                <w:rFonts w:hint="eastAsia" w:ascii="Times New Roman" w:hAnsi="Times New Roman" w:cs="Times New Roman"/>
                <w:sz w:val="24"/>
                <w:szCs w:val="20"/>
                <w:highlight w:val="none"/>
                <w:lang w:val="en-US" w:eastAsia="zh-CN"/>
              </w:rPr>
              <w:t>kg/h</w:t>
            </w:r>
            <w:r>
              <w:rPr>
                <w:rFonts w:hint="eastAsia" w:ascii="Times New Roman" w:hAnsi="Times New Roman" w:cs="Times New Roman"/>
                <w:sz w:val="24"/>
                <w:szCs w:val="20"/>
                <w:highlight w:val="none"/>
                <w:lang w:eastAsia="zh-CN"/>
              </w:rPr>
              <w:t>；</w:t>
            </w:r>
            <w:r>
              <w:rPr>
                <w:rFonts w:hint="eastAsia" w:ascii="Times New Roman" w:hAnsi="Times New Roman" w:cs="Times New Roman"/>
                <w:sz w:val="24"/>
                <w:szCs w:val="20"/>
                <w:highlight w:val="none"/>
                <w:lang w:val="en-US" w:eastAsia="zh-CN"/>
              </w:rPr>
              <w:t>无组织排放</w:t>
            </w:r>
            <w:r>
              <w:rPr>
                <w:rFonts w:hint="eastAsia" w:ascii="Times New Roman" w:hAnsi="Times New Roman" w:cs="Times New Roman"/>
                <w:b w:val="0"/>
                <w:bCs w:val="0"/>
                <w:color w:val="auto"/>
                <w:sz w:val="24"/>
                <w:szCs w:val="24"/>
                <w:highlight w:val="none"/>
                <w:vertAlign w:val="baseline"/>
                <w:lang w:val="en-US" w:eastAsia="zh-CN"/>
              </w:rPr>
              <w:t>酚类</w:t>
            </w:r>
            <w:r>
              <w:rPr>
                <w:rFonts w:hint="eastAsia" w:ascii="Times New Roman" w:hAnsi="Times New Roman" w:cs="Times New Roman"/>
                <w:sz w:val="24"/>
                <w:szCs w:val="20"/>
                <w:highlight w:val="none"/>
                <w:lang w:val="en-US" w:eastAsia="zh-CN"/>
              </w:rPr>
              <w:t>0.0044</w:t>
            </w:r>
            <w:r>
              <w:rPr>
                <w:rFonts w:hint="default" w:ascii="Times New Roman" w:hAnsi="Times New Roman" w:cs="Times New Roman"/>
                <w:sz w:val="24"/>
                <w:szCs w:val="20"/>
                <w:highlight w:val="none"/>
              </w:rPr>
              <w:t>t/</w:t>
            </w:r>
            <w:r>
              <w:rPr>
                <w:rFonts w:hint="eastAsia" w:ascii="Times New Roman" w:hAnsi="Times New Roman" w:cs="Times New Roman"/>
                <w:sz w:val="24"/>
                <w:szCs w:val="20"/>
                <w:highlight w:val="none"/>
                <w:lang w:val="en-US" w:eastAsia="zh-CN"/>
              </w:rPr>
              <w:t>a，排放速率为0.00</w:t>
            </w:r>
            <w:r>
              <w:rPr>
                <w:rFonts w:hint="eastAsia" w:cs="Times New Roman"/>
                <w:sz w:val="24"/>
                <w:szCs w:val="20"/>
                <w:highlight w:val="none"/>
                <w:lang w:val="en-US" w:eastAsia="zh-CN"/>
              </w:rPr>
              <w:t>1</w:t>
            </w:r>
            <w:r>
              <w:rPr>
                <w:rFonts w:hint="eastAsia" w:ascii="Times New Roman" w:hAnsi="Times New Roman" w:cs="Times New Roman"/>
                <w:sz w:val="24"/>
                <w:szCs w:val="20"/>
                <w:highlight w:val="none"/>
                <w:lang w:val="en-US" w:eastAsia="zh-CN"/>
              </w:rPr>
              <w:t>kg/h。</w:t>
            </w:r>
          </w:p>
          <w:p w14:paraId="6D9BB258">
            <w:pPr>
              <w:keepNext w:val="0"/>
              <w:keepLines w:val="0"/>
              <w:suppressLineNumbers w:val="0"/>
              <w:spacing w:before="0" w:beforeAutospacing="0" w:after="0" w:afterAutospacing="0" w:line="460" w:lineRule="exact"/>
              <w:ind w:left="0" w:right="0" w:firstLine="480" w:firstLineChars="200"/>
              <w:rPr>
                <w:rFonts w:hint="eastAsia" w:ascii="Times New Roman" w:hAnsi="Times New Roman" w:cs="Times New Roman"/>
                <w:color w:val="0000FF"/>
                <w:sz w:val="24"/>
                <w:szCs w:val="20"/>
                <w:highlight w:val="none"/>
                <w:lang w:val="en-US" w:eastAsia="zh-CN"/>
              </w:rPr>
            </w:pPr>
            <w:r>
              <w:rPr>
                <w:rFonts w:hint="default" w:ascii="Times New Roman" w:hAnsi="Times New Roman" w:cs="Times New Roman"/>
                <w:sz w:val="24"/>
                <w:szCs w:val="24"/>
                <w:highlight w:val="none"/>
              </w:rPr>
              <w:t>依据《环境影响评价技术导则-大气环境》</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rPr>
              <w:t>HJ2.2-2018</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rPr>
              <w:t>附录A推荐模型中的AERSCREEN估算模型计算项目污染源的最大环境影响，本项目厂界颗粒物的最大贡献浓度为</w:t>
            </w:r>
            <w:r>
              <w:rPr>
                <w:rFonts w:hint="eastAsia" w:ascii="Times New Roman" w:hAnsi="Times New Roman" w:eastAsia="宋体" w:cs="Times New Roman"/>
                <w:b w:val="0"/>
                <w:sz w:val="24"/>
                <w:szCs w:val="24"/>
                <w:highlight w:val="none"/>
                <w:lang w:val="en-US" w:eastAsia="zh-CN"/>
              </w:rPr>
              <w:t>55.352</w:t>
            </w:r>
            <w:r>
              <w:rPr>
                <w:rFonts w:hint="default" w:ascii="Times New Roman" w:hAnsi="Times New Roman" w:cs="Times New Roman"/>
                <w:sz w:val="24"/>
                <w:szCs w:val="24"/>
                <w:highlight w:val="none"/>
              </w:rPr>
              <w:t>μg/m</w:t>
            </w:r>
            <w:r>
              <w:rPr>
                <w:rFonts w:hint="default" w:ascii="Times New Roman" w:hAnsi="Times New Roman" w:cs="Times New Roman"/>
                <w:sz w:val="24"/>
                <w:szCs w:val="24"/>
                <w:highlight w:val="none"/>
                <w:vertAlign w:val="superscript"/>
              </w:rPr>
              <w:t>3</w:t>
            </w:r>
            <w:r>
              <w:rPr>
                <w:rFonts w:hint="default" w:ascii="Times New Roman" w:hAnsi="Times New Roman" w:cs="Times New Roman"/>
                <w:sz w:val="24"/>
                <w:szCs w:val="24"/>
                <w:highlight w:val="none"/>
              </w:rPr>
              <w:t>，满足《大气污染物综合排放标准》（</w:t>
            </w:r>
            <w:r>
              <w:rPr>
                <w:rFonts w:hint="default" w:ascii="Times New Roman" w:hAnsi="Times New Roman" w:eastAsia="TimesNewRomanPSMT" w:cs="Times New Roman"/>
                <w:sz w:val="24"/>
                <w:szCs w:val="24"/>
                <w:highlight w:val="none"/>
              </w:rPr>
              <w:t>GB16297-1996</w:t>
            </w:r>
            <w:r>
              <w:rPr>
                <w:rFonts w:hint="default" w:ascii="Times New Roman" w:hAnsi="Times New Roman" w:cs="Times New Roman"/>
                <w:sz w:val="24"/>
                <w:szCs w:val="24"/>
                <w:highlight w:val="none"/>
              </w:rPr>
              <w:t>）表</w:t>
            </w:r>
            <w:r>
              <w:rPr>
                <w:rFonts w:hint="default" w:ascii="Times New Roman" w:hAnsi="Times New Roman" w:eastAsia="TimesNewRomanPSMT" w:cs="Times New Roman"/>
                <w:sz w:val="24"/>
                <w:szCs w:val="24"/>
                <w:highlight w:val="none"/>
              </w:rPr>
              <w:t>2</w:t>
            </w:r>
            <w:r>
              <w:rPr>
                <w:rFonts w:hint="default" w:ascii="Times New Roman" w:hAnsi="Times New Roman" w:cs="Times New Roman"/>
                <w:sz w:val="24"/>
                <w:szCs w:val="24"/>
                <w:highlight w:val="none"/>
              </w:rPr>
              <w:t>无组织排放监控浓度限值要求</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lang w:val="en-US" w:eastAsia="zh-CN"/>
              </w:rPr>
              <w:t>酚类、甲醛</w:t>
            </w:r>
            <w:r>
              <w:rPr>
                <w:rFonts w:hint="default" w:ascii="Times New Roman" w:hAnsi="Times New Roman" w:cs="Times New Roman"/>
                <w:sz w:val="24"/>
                <w:szCs w:val="24"/>
                <w:highlight w:val="none"/>
              </w:rPr>
              <w:t>厂界最大贡献浓度为</w:t>
            </w:r>
            <w:r>
              <w:rPr>
                <w:rFonts w:hint="eastAsia" w:ascii="Times New Roman" w:hAnsi="Times New Roman" w:cs="Times New Roman"/>
                <w:sz w:val="24"/>
                <w:szCs w:val="24"/>
                <w:highlight w:val="none"/>
                <w:lang w:val="en-US" w:eastAsia="zh-CN"/>
              </w:rPr>
              <w:t>0.537</w:t>
            </w:r>
            <w:r>
              <w:rPr>
                <w:rFonts w:hint="default" w:ascii="Times New Roman" w:hAnsi="Times New Roman" w:cs="Times New Roman"/>
                <w:sz w:val="24"/>
                <w:szCs w:val="24"/>
                <w:highlight w:val="none"/>
              </w:rPr>
              <w:t>μg/m</w:t>
            </w:r>
            <w:r>
              <w:rPr>
                <w:rFonts w:hint="default" w:ascii="Times New Roman" w:hAnsi="Times New Roman" w:cs="Times New Roman"/>
                <w:sz w:val="24"/>
                <w:szCs w:val="24"/>
                <w:highlight w:val="none"/>
                <w:vertAlign w:val="superscript"/>
              </w:rPr>
              <w:t>3</w:t>
            </w:r>
            <w:r>
              <w:rPr>
                <w:rFonts w:hint="default" w:ascii="Times New Roman" w:hAnsi="Times New Roman" w:cs="Times New Roman"/>
                <w:sz w:val="24"/>
                <w:szCs w:val="24"/>
                <w:highlight w:val="none"/>
                <w:vertAlign w:val="baseline"/>
                <w:lang w:val="en-US" w:eastAsia="zh-CN"/>
              </w:rPr>
              <w:t>，可满足《工业企业挥发性有机物排放控制标准》（DB13/2322-2025）中企业边界污染物排放浓度要求；非甲烷总烃车间界最大贡献浓度为</w:t>
            </w:r>
            <w:r>
              <w:rPr>
                <w:rFonts w:hint="default" w:ascii="Times New Roman" w:hAnsi="Times New Roman" w:eastAsia="宋体" w:cs="Times New Roman"/>
                <w:b w:val="0"/>
                <w:sz w:val="24"/>
                <w:szCs w:val="24"/>
                <w:highlight w:val="none"/>
              </w:rPr>
              <w:t>1</w:t>
            </w:r>
            <w:r>
              <w:rPr>
                <w:rFonts w:hint="eastAsia" w:ascii="Times New Roman" w:hAnsi="Times New Roman" w:eastAsia="宋体" w:cs="Times New Roman"/>
                <w:b w:val="0"/>
                <w:sz w:val="24"/>
                <w:szCs w:val="24"/>
                <w:highlight w:val="none"/>
                <w:lang w:val="en-US" w:eastAsia="zh-CN"/>
              </w:rPr>
              <w:t>6.172</w:t>
            </w:r>
            <w:r>
              <w:rPr>
                <w:rFonts w:hint="default" w:ascii="Times New Roman" w:hAnsi="Times New Roman" w:cs="Times New Roman"/>
                <w:sz w:val="24"/>
                <w:szCs w:val="24"/>
                <w:highlight w:val="none"/>
              </w:rPr>
              <w:t>μg/m</w:t>
            </w:r>
            <w:r>
              <w:rPr>
                <w:rFonts w:hint="default" w:ascii="Times New Roman" w:hAnsi="Times New Roman" w:cs="Times New Roman"/>
                <w:sz w:val="24"/>
                <w:szCs w:val="24"/>
                <w:highlight w:val="none"/>
                <w:vertAlign w:val="superscript"/>
              </w:rPr>
              <w:t>3</w:t>
            </w:r>
            <w:r>
              <w:rPr>
                <w:rFonts w:hint="default" w:ascii="Times New Roman" w:hAnsi="Times New Roman" w:eastAsia="宋体" w:cs="Times New Roman"/>
                <w:b w:val="0"/>
                <w:sz w:val="24"/>
                <w:szCs w:val="24"/>
                <w:highlight w:val="none"/>
                <w:lang w:eastAsia="zh-CN"/>
              </w:rPr>
              <w:t>，</w:t>
            </w:r>
            <w:r>
              <w:rPr>
                <w:rFonts w:hint="default" w:ascii="Times New Roman" w:hAnsi="Times New Roman" w:eastAsia="宋体" w:cs="Times New Roman"/>
                <w:b w:val="0"/>
                <w:sz w:val="24"/>
                <w:szCs w:val="24"/>
                <w:highlight w:val="none"/>
                <w:lang w:val="en-US" w:eastAsia="zh-CN"/>
              </w:rPr>
              <w:t>可满足</w:t>
            </w:r>
            <w:r>
              <w:rPr>
                <w:rFonts w:hint="default" w:ascii="Times New Roman" w:hAnsi="Times New Roman" w:eastAsia="宋体" w:cs="Times New Roman"/>
                <w:sz w:val="24"/>
                <w:szCs w:val="24"/>
                <w:highlight w:val="none"/>
                <w:lang w:val="en-US" w:eastAsia="zh-CN"/>
              </w:rPr>
              <w:t>《工业企业挥发性有机物排放控制标准》（DB13/2322-20</w:t>
            </w:r>
            <w:r>
              <w:rPr>
                <w:rFonts w:hint="default" w:ascii="Times New Roman" w:hAnsi="Times New Roman" w:cs="Times New Roman"/>
                <w:sz w:val="24"/>
                <w:szCs w:val="24"/>
                <w:highlight w:val="none"/>
                <w:lang w:val="en-US" w:eastAsia="zh-CN"/>
              </w:rPr>
              <w:t>25</w:t>
            </w:r>
            <w:r>
              <w:rPr>
                <w:rFonts w:hint="default" w:ascii="Times New Roman" w:hAnsi="Times New Roman" w:eastAsia="宋体" w:cs="Times New Roman"/>
                <w:sz w:val="24"/>
                <w:szCs w:val="24"/>
                <w:highlight w:val="none"/>
                <w:lang w:val="en-US" w:eastAsia="zh-CN"/>
              </w:rPr>
              <w:t>）中</w:t>
            </w:r>
            <w:r>
              <w:rPr>
                <w:rFonts w:hint="default" w:ascii="Times New Roman" w:hAnsi="Times New Roman" w:cs="Times New Roman"/>
                <w:sz w:val="24"/>
                <w:szCs w:val="24"/>
                <w:highlight w:val="none"/>
                <w:lang w:val="en-US" w:eastAsia="zh-CN"/>
              </w:rPr>
              <w:t>表2厂区内挥发性有机物无组织排放限值</w:t>
            </w:r>
            <w:r>
              <w:rPr>
                <w:rFonts w:hint="default" w:ascii="Times New Roman" w:hAnsi="Times New Roman" w:eastAsia="宋体" w:cs="Times New Roman"/>
                <w:sz w:val="24"/>
                <w:szCs w:val="24"/>
                <w:highlight w:val="none"/>
                <w:lang w:val="en-US" w:eastAsia="zh-CN"/>
              </w:rPr>
              <w:t>要求</w:t>
            </w:r>
            <w:r>
              <w:rPr>
                <w:rFonts w:hint="eastAsia" w:ascii="Times New Roman" w:hAnsi="Times New Roman" w:cs="Times New Roman"/>
                <w:color w:val="auto"/>
                <w:sz w:val="24"/>
                <w:szCs w:val="20"/>
                <w:highlight w:val="none"/>
                <w:lang w:val="en-US" w:eastAsia="zh-CN"/>
              </w:rPr>
              <w:t>，</w:t>
            </w:r>
            <w:r>
              <w:rPr>
                <w:rFonts w:hint="default" w:ascii="Times New Roman" w:hAnsi="Times New Roman" w:cs="Times New Roman"/>
                <w:color w:val="auto"/>
                <w:sz w:val="24"/>
                <w:szCs w:val="24"/>
                <w:highlight w:val="none"/>
                <w:vertAlign w:val="baseline"/>
                <w:lang w:val="en-US" w:eastAsia="zh-CN"/>
              </w:rPr>
              <w:t>非甲烷总烃</w:t>
            </w:r>
            <w:r>
              <w:rPr>
                <w:rFonts w:hint="eastAsia" w:cs="Times New Roman"/>
                <w:color w:val="auto"/>
                <w:sz w:val="24"/>
                <w:szCs w:val="24"/>
                <w:highlight w:val="none"/>
                <w:vertAlign w:val="baseline"/>
                <w:lang w:val="en-US" w:eastAsia="zh-CN"/>
              </w:rPr>
              <w:t>厂界</w:t>
            </w:r>
            <w:r>
              <w:rPr>
                <w:rFonts w:hint="default" w:ascii="Times New Roman" w:hAnsi="Times New Roman" w:cs="Times New Roman"/>
                <w:color w:val="auto"/>
                <w:sz w:val="24"/>
                <w:szCs w:val="24"/>
                <w:highlight w:val="none"/>
                <w:vertAlign w:val="baseline"/>
                <w:lang w:val="en-US" w:eastAsia="zh-CN"/>
              </w:rPr>
              <w:t>最大贡献浓度为</w:t>
            </w:r>
            <w:r>
              <w:rPr>
                <w:rFonts w:hint="default" w:ascii="Times New Roman" w:hAnsi="Times New Roman" w:eastAsia="宋体" w:cs="Times New Roman"/>
                <w:b w:val="0"/>
                <w:sz w:val="24"/>
                <w:szCs w:val="24"/>
                <w:highlight w:val="none"/>
              </w:rPr>
              <w:t>16.122</w:t>
            </w:r>
            <w:r>
              <w:rPr>
                <w:rFonts w:hint="default" w:ascii="Times New Roman" w:hAnsi="Times New Roman" w:cs="Times New Roman"/>
                <w:color w:val="auto"/>
                <w:sz w:val="24"/>
                <w:szCs w:val="24"/>
                <w:highlight w:val="none"/>
              </w:rPr>
              <w:t>μg/m</w:t>
            </w:r>
            <w:r>
              <w:rPr>
                <w:rFonts w:hint="default" w:ascii="Times New Roman" w:hAnsi="Times New Roman" w:cs="Times New Roman"/>
                <w:color w:val="auto"/>
                <w:sz w:val="24"/>
                <w:szCs w:val="24"/>
                <w:highlight w:val="none"/>
                <w:vertAlign w:val="superscript"/>
              </w:rPr>
              <w:t>3</w:t>
            </w:r>
            <w:r>
              <w:rPr>
                <w:rFonts w:hint="default" w:ascii="Times New Roman" w:hAnsi="Times New Roman" w:eastAsia="宋体" w:cs="Times New Roman"/>
                <w:b w:val="0"/>
                <w:color w:val="auto"/>
                <w:sz w:val="24"/>
                <w:szCs w:val="24"/>
                <w:highlight w:val="none"/>
                <w:lang w:eastAsia="zh-CN"/>
              </w:rPr>
              <w:t>，</w:t>
            </w:r>
            <w:r>
              <w:rPr>
                <w:rFonts w:hint="default" w:ascii="Times New Roman" w:hAnsi="Times New Roman" w:eastAsia="宋体" w:cs="Times New Roman"/>
                <w:b w:val="0"/>
                <w:color w:val="auto"/>
                <w:sz w:val="24"/>
                <w:szCs w:val="24"/>
                <w:highlight w:val="none"/>
                <w:lang w:val="en-US" w:eastAsia="zh-CN"/>
              </w:rPr>
              <w:t>可</w:t>
            </w:r>
            <w:r>
              <w:rPr>
                <w:rFonts w:hint="default" w:ascii="Times New Roman" w:hAnsi="Times New Roman" w:cs="Times New Roman"/>
                <w:color w:val="auto"/>
                <w:sz w:val="24"/>
                <w:szCs w:val="24"/>
                <w:highlight w:val="none"/>
              </w:rPr>
              <w:t>满足《大气污染物综合排放标准》（</w:t>
            </w:r>
            <w:r>
              <w:rPr>
                <w:rFonts w:hint="default" w:ascii="Times New Roman" w:hAnsi="Times New Roman" w:eastAsia="TimesNewRomanPSMT" w:cs="Times New Roman"/>
                <w:color w:val="auto"/>
                <w:sz w:val="24"/>
                <w:szCs w:val="24"/>
                <w:highlight w:val="none"/>
              </w:rPr>
              <w:t>GB16297-1996</w:t>
            </w:r>
            <w:r>
              <w:rPr>
                <w:rFonts w:hint="default" w:ascii="Times New Roman" w:hAnsi="Times New Roman" w:cs="Times New Roman"/>
                <w:color w:val="auto"/>
                <w:sz w:val="24"/>
                <w:szCs w:val="24"/>
                <w:highlight w:val="none"/>
              </w:rPr>
              <w:t>）表</w:t>
            </w:r>
            <w:r>
              <w:rPr>
                <w:rFonts w:hint="default" w:ascii="Times New Roman" w:hAnsi="Times New Roman" w:eastAsia="TimesNewRomanPSMT" w:cs="Times New Roman"/>
                <w:color w:val="auto"/>
                <w:sz w:val="24"/>
                <w:szCs w:val="24"/>
                <w:highlight w:val="none"/>
              </w:rPr>
              <w:t>2</w:t>
            </w:r>
            <w:r>
              <w:rPr>
                <w:rFonts w:hint="default" w:ascii="Times New Roman" w:hAnsi="Times New Roman" w:cs="Times New Roman"/>
                <w:color w:val="auto"/>
                <w:sz w:val="24"/>
                <w:szCs w:val="24"/>
                <w:highlight w:val="none"/>
              </w:rPr>
              <w:t>无组织排放监控浓度限值要求</w:t>
            </w:r>
            <w:r>
              <w:rPr>
                <w:rFonts w:hint="default" w:ascii="Times New Roman" w:hAnsi="Times New Roman" w:cs="Times New Roman"/>
                <w:color w:val="auto"/>
                <w:sz w:val="24"/>
                <w:szCs w:val="24"/>
                <w:highlight w:val="none"/>
                <w:lang w:val="en-US" w:eastAsia="zh-CN"/>
              </w:rPr>
              <w:t>。</w:t>
            </w:r>
          </w:p>
          <w:p w14:paraId="41C4116F">
            <w:pPr>
              <w:keepNext w:val="0"/>
              <w:keepLines w:val="0"/>
              <w:numPr>
                <w:ilvl w:val="0"/>
                <w:numId w:val="0"/>
              </w:numPr>
              <w:suppressLineNumbers w:val="0"/>
              <w:spacing w:before="0" w:beforeAutospacing="0" w:after="0" w:afterAutospacing="0" w:line="460" w:lineRule="exact"/>
              <w:ind w:left="0" w:leftChars="0" w:right="0" w:firstLine="480" w:firstLineChars="200"/>
              <w:rPr>
                <w:rFonts w:hint="eastAsia" w:ascii="Times New Roman" w:hAnsi="Times New Roman" w:cs="Times New Roman"/>
                <w:color w:val="auto"/>
                <w:sz w:val="24"/>
                <w:szCs w:val="20"/>
                <w:highlight w:val="none"/>
                <w:lang w:val="en-US" w:eastAsia="zh-CN"/>
              </w:rPr>
            </w:pPr>
            <w:r>
              <w:rPr>
                <w:rFonts w:hint="eastAsia" w:ascii="Times New Roman" w:hAnsi="Times New Roman" w:cs="Times New Roman"/>
                <w:color w:val="auto"/>
                <w:sz w:val="24"/>
                <w:szCs w:val="20"/>
                <w:highlight w:val="none"/>
                <w:lang w:val="en-US" w:eastAsia="zh-CN"/>
              </w:rPr>
              <w:t>2、排气筒设置情况</w:t>
            </w:r>
          </w:p>
          <w:p w14:paraId="43EFD0C5">
            <w:pPr>
              <w:keepNext w:val="0"/>
              <w:keepLines w:val="0"/>
              <w:suppressLineNumbers w:val="0"/>
              <w:spacing w:before="0" w:beforeAutospacing="0" w:after="0" w:afterAutospacing="0" w:line="460" w:lineRule="exact"/>
              <w:ind w:left="0" w:right="0"/>
              <w:jc w:val="center"/>
              <w:rPr>
                <w:rFonts w:hint="default"/>
                <w:b/>
                <w:sz w:val="24"/>
                <w:szCs w:val="20"/>
                <w:highlight w:val="none"/>
              </w:rPr>
            </w:pPr>
            <w:r>
              <w:rPr>
                <w:rFonts w:hint="eastAsia" w:ascii="Times New Roman" w:hAnsi="Times New Roman" w:cs="Times New Roman"/>
                <w:b/>
                <w:bCs/>
                <w:color w:val="auto"/>
                <w:sz w:val="24"/>
                <w:szCs w:val="20"/>
                <w:highlight w:val="none"/>
                <w:lang w:val="en-US" w:eastAsia="zh-CN"/>
              </w:rPr>
              <w:t xml:space="preserve">表4-4    </w:t>
            </w:r>
            <w:r>
              <w:rPr>
                <w:rFonts w:hint="default"/>
                <w:b/>
                <w:sz w:val="24"/>
                <w:szCs w:val="20"/>
                <w:highlight w:val="none"/>
              </w:rPr>
              <w:t>项目废气污染物产排</w:t>
            </w:r>
            <w:r>
              <w:rPr>
                <w:rFonts w:hint="eastAsia"/>
                <w:b/>
                <w:sz w:val="24"/>
                <w:szCs w:val="20"/>
                <w:highlight w:val="none"/>
              </w:rPr>
              <w:t>污</w:t>
            </w:r>
            <w:r>
              <w:rPr>
                <w:rFonts w:hint="default"/>
                <w:b/>
                <w:sz w:val="24"/>
                <w:szCs w:val="20"/>
                <w:highlight w:val="none"/>
              </w:rPr>
              <w:t>及治理情况一览表</w:t>
            </w:r>
          </w:p>
          <w:tbl>
            <w:tblPr>
              <w:tblStyle w:val="47"/>
              <w:tblW w:w="4998"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92"/>
              <w:gridCol w:w="704"/>
              <w:gridCol w:w="1091"/>
              <w:gridCol w:w="491"/>
              <w:gridCol w:w="538"/>
              <w:gridCol w:w="540"/>
              <w:gridCol w:w="474"/>
              <w:gridCol w:w="1154"/>
              <w:gridCol w:w="763"/>
              <w:gridCol w:w="609"/>
              <w:gridCol w:w="613"/>
              <w:gridCol w:w="680"/>
            </w:tblGrid>
            <w:tr w14:paraId="6D3892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78" w:hRule="atLeast"/>
              </w:trPr>
              <w:tc>
                <w:tcPr>
                  <w:tcW w:w="570" w:type="pct"/>
                  <w:gridSpan w:val="2"/>
                  <w:vMerge w:val="restart"/>
                  <w:noWrap w:val="0"/>
                  <w:vAlign w:val="center"/>
                </w:tcPr>
                <w:p w14:paraId="771E62F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
                      <w:bCs w:val="0"/>
                      <w:spacing w:val="-11"/>
                      <w:sz w:val="21"/>
                      <w:szCs w:val="21"/>
                      <w:highlight w:val="none"/>
                    </w:rPr>
                  </w:pPr>
                  <w:r>
                    <w:rPr>
                      <w:rFonts w:hint="default" w:ascii="Times New Roman" w:hAnsi="Times New Roman" w:cs="Times New Roman"/>
                      <w:b/>
                      <w:bCs w:val="0"/>
                      <w:spacing w:val="-11"/>
                      <w:sz w:val="21"/>
                      <w:szCs w:val="21"/>
                      <w:highlight w:val="none"/>
                    </w:rPr>
                    <w:t>产排污环节名称</w:t>
                  </w:r>
                </w:p>
              </w:tc>
              <w:tc>
                <w:tcPr>
                  <w:tcW w:w="2731" w:type="pct"/>
                  <w:gridSpan w:val="6"/>
                  <w:noWrap w:val="0"/>
                  <w:vAlign w:val="center"/>
                </w:tcPr>
                <w:p w14:paraId="602EC90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
                      <w:bCs w:val="0"/>
                      <w:spacing w:val="-11"/>
                      <w:sz w:val="21"/>
                      <w:szCs w:val="21"/>
                      <w:highlight w:val="none"/>
                      <w:lang w:val="en-US" w:eastAsia="zh-CN"/>
                    </w:rPr>
                  </w:pPr>
                  <w:r>
                    <w:rPr>
                      <w:rFonts w:hint="default" w:ascii="Times New Roman" w:hAnsi="Times New Roman" w:cs="Times New Roman"/>
                      <w:b/>
                      <w:bCs w:val="0"/>
                      <w:spacing w:val="-11"/>
                      <w:sz w:val="21"/>
                      <w:szCs w:val="21"/>
                      <w:highlight w:val="none"/>
                      <w:lang w:val="en-US" w:eastAsia="zh-CN"/>
                    </w:rPr>
                    <w:t>有组织排放</w:t>
                  </w:r>
                </w:p>
              </w:tc>
              <w:tc>
                <w:tcPr>
                  <w:tcW w:w="1697" w:type="pct"/>
                  <w:gridSpan w:val="4"/>
                  <w:vMerge w:val="restart"/>
                  <w:noWrap w:val="0"/>
                  <w:vAlign w:val="center"/>
                </w:tcPr>
                <w:p w14:paraId="427D15C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
                      <w:bCs w:val="0"/>
                      <w:spacing w:val="-11"/>
                      <w:sz w:val="21"/>
                      <w:szCs w:val="21"/>
                      <w:highlight w:val="none"/>
                      <w:lang w:val="en-US" w:eastAsia="zh-CN"/>
                    </w:rPr>
                  </w:pPr>
                  <w:r>
                    <w:rPr>
                      <w:rFonts w:hint="default" w:ascii="Times New Roman" w:hAnsi="Times New Roman" w:cs="Times New Roman"/>
                      <w:b/>
                      <w:bCs w:val="0"/>
                      <w:spacing w:val="-11"/>
                      <w:sz w:val="21"/>
                      <w:szCs w:val="21"/>
                      <w:highlight w:val="none"/>
                      <w:lang w:val="en-US" w:eastAsia="zh-CN"/>
                    </w:rPr>
                    <w:t>无组织排放</w:t>
                  </w:r>
                </w:p>
              </w:tc>
            </w:tr>
            <w:tr w14:paraId="00830B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56" w:hRule="atLeast"/>
              </w:trPr>
              <w:tc>
                <w:tcPr>
                  <w:tcW w:w="570" w:type="pct"/>
                  <w:gridSpan w:val="2"/>
                  <w:vMerge w:val="continue"/>
                  <w:noWrap w:val="0"/>
                  <w:vAlign w:val="center"/>
                </w:tcPr>
                <w:p w14:paraId="64BCB25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694" w:type="pct"/>
                  <w:noWrap w:val="0"/>
                  <w:vAlign w:val="center"/>
                </w:tcPr>
                <w:p w14:paraId="68A38ED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
                      <w:bCs w:val="0"/>
                      <w:spacing w:val="-11"/>
                      <w:sz w:val="21"/>
                      <w:szCs w:val="21"/>
                      <w:highlight w:val="none"/>
                      <w:lang w:val="en-US" w:eastAsia="zh-CN"/>
                    </w:rPr>
                  </w:pPr>
                  <w:r>
                    <w:rPr>
                      <w:rFonts w:hint="default" w:ascii="Times New Roman" w:hAnsi="Times New Roman" w:cs="Times New Roman"/>
                      <w:b/>
                      <w:bCs w:val="0"/>
                      <w:spacing w:val="-11"/>
                      <w:sz w:val="21"/>
                      <w:szCs w:val="21"/>
                      <w:highlight w:val="none"/>
                      <w:lang w:val="en-US" w:eastAsia="zh-CN"/>
                    </w:rPr>
                    <w:t>DA001</w:t>
                  </w:r>
                </w:p>
              </w:tc>
              <w:tc>
                <w:tcPr>
                  <w:tcW w:w="1301" w:type="pct"/>
                  <w:gridSpan w:val="4"/>
                  <w:noWrap w:val="0"/>
                  <w:vAlign w:val="center"/>
                </w:tcPr>
                <w:p w14:paraId="704BDD2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
                      <w:bCs w:val="0"/>
                      <w:spacing w:val="-11"/>
                      <w:sz w:val="21"/>
                      <w:szCs w:val="21"/>
                      <w:highlight w:val="none"/>
                    </w:rPr>
                  </w:pPr>
                  <w:r>
                    <w:rPr>
                      <w:rFonts w:hint="default" w:ascii="Times New Roman" w:hAnsi="Times New Roman" w:cs="Times New Roman"/>
                      <w:b/>
                      <w:bCs w:val="0"/>
                      <w:spacing w:val="-11"/>
                      <w:sz w:val="21"/>
                      <w:szCs w:val="21"/>
                      <w:highlight w:val="none"/>
                      <w:lang w:val="en-US" w:eastAsia="zh-CN"/>
                    </w:rPr>
                    <w:t>DA002</w:t>
                  </w:r>
                </w:p>
              </w:tc>
              <w:tc>
                <w:tcPr>
                  <w:tcW w:w="735" w:type="pct"/>
                  <w:shd w:val="clear" w:color="auto" w:fill="auto"/>
                  <w:noWrap w:val="0"/>
                  <w:vAlign w:val="center"/>
                </w:tcPr>
                <w:p w14:paraId="7ACC2E9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
                      <w:bCs w:val="0"/>
                      <w:spacing w:val="-11"/>
                      <w:kern w:val="2"/>
                      <w:sz w:val="21"/>
                      <w:szCs w:val="21"/>
                      <w:highlight w:val="none"/>
                      <w:lang w:val="en-US" w:eastAsia="zh-CN" w:bidi="ar-SA"/>
                    </w:rPr>
                  </w:pPr>
                  <w:r>
                    <w:rPr>
                      <w:rFonts w:hint="default" w:ascii="Times New Roman" w:hAnsi="Times New Roman" w:cs="Times New Roman"/>
                      <w:b/>
                      <w:bCs w:val="0"/>
                      <w:spacing w:val="-11"/>
                      <w:sz w:val="21"/>
                      <w:szCs w:val="21"/>
                      <w:highlight w:val="none"/>
                      <w:lang w:val="en-US" w:eastAsia="zh-CN"/>
                    </w:rPr>
                    <w:t>DA003</w:t>
                  </w:r>
                </w:p>
              </w:tc>
              <w:tc>
                <w:tcPr>
                  <w:tcW w:w="1697" w:type="pct"/>
                  <w:gridSpan w:val="4"/>
                  <w:vMerge w:val="continue"/>
                  <w:noWrap w:val="0"/>
                  <w:vAlign w:val="center"/>
                </w:tcPr>
                <w:p w14:paraId="4B42543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p>
              </w:tc>
            </w:tr>
            <w:tr w14:paraId="328E88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70" w:type="pct"/>
                  <w:gridSpan w:val="2"/>
                  <w:noWrap w:val="0"/>
                  <w:vAlign w:val="center"/>
                </w:tcPr>
                <w:p w14:paraId="649B491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污染物种类</w:t>
                  </w:r>
                </w:p>
              </w:tc>
              <w:tc>
                <w:tcPr>
                  <w:tcW w:w="694" w:type="pct"/>
                  <w:noWrap w:val="0"/>
                  <w:vAlign w:val="center"/>
                </w:tcPr>
                <w:p w14:paraId="2C9D307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颗粒物</w:t>
                  </w:r>
                </w:p>
              </w:tc>
              <w:tc>
                <w:tcPr>
                  <w:tcW w:w="312" w:type="pct"/>
                  <w:noWrap w:val="0"/>
                  <w:vAlign w:val="center"/>
                </w:tcPr>
                <w:p w14:paraId="42D0146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颗粒物</w:t>
                  </w:r>
                </w:p>
              </w:tc>
              <w:tc>
                <w:tcPr>
                  <w:tcW w:w="342" w:type="pct"/>
                  <w:shd w:val="clear" w:color="auto" w:fill="auto"/>
                  <w:noWrap w:val="0"/>
                  <w:vAlign w:val="center"/>
                </w:tcPr>
                <w:p w14:paraId="57AC79D9">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cs="Times New Roman"/>
                      <w:b w:val="0"/>
                      <w:bCs w:val="0"/>
                      <w:color w:val="auto"/>
                      <w:spacing w:val="-11"/>
                      <w:sz w:val="21"/>
                      <w:szCs w:val="21"/>
                      <w:highlight w:val="none"/>
                      <w:vertAlign w:val="baseline"/>
                      <w:lang w:val="en-US" w:eastAsia="zh-CN"/>
                    </w:rPr>
                    <w:t>非甲烷总烃计</w:t>
                  </w:r>
                </w:p>
              </w:tc>
              <w:tc>
                <w:tcPr>
                  <w:tcW w:w="343" w:type="pct"/>
                  <w:shd w:val="clear" w:color="auto" w:fill="auto"/>
                  <w:noWrap w:val="0"/>
                  <w:vAlign w:val="center"/>
                </w:tcPr>
                <w:p w14:paraId="4DE6EB3C">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cs="Times New Roman"/>
                      <w:b w:val="0"/>
                      <w:bCs w:val="0"/>
                      <w:color w:val="auto"/>
                      <w:spacing w:val="-11"/>
                      <w:sz w:val="21"/>
                      <w:szCs w:val="21"/>
                      <w:highlight w:val="none"/>
                      <w:vertAlign w:val="baseline"/>
                      <w:lang w:val="en-US" w:eastAsia="zh-CN"/>
                    </w:rPr>
                    <w:t>甲醛</w:t>
                  </w:r>
                </w:p>
              </w:tc>
              <w:tc>
                <w:tcPr>
                  <w:tcW w:w="301" w:type="pct"/>
                  <w:shd w:val="clear" w:color="auto" w:fill="auto"/>
                  <w:noWrap w:val="0"/>
                  <w:vAlign w:val="center"/>
                </w:tcPr>
                <w:p w14:paraId="5C807AC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cs="Times New Roman"/>
                      <w:b w:val="0"/>
                      <w:bCs w:val="0"/>
                      <w:color w:val="auto"/>
                      <w:spacing w:val="-11"/>
                      <w:sz w:val="21"/>
                      <w:szCs w:val="21"/>
                      <w:highlight w:val="none"/>
                      <w:vertAlign w:val="baseline"/>
                      <w:lang w:val="en-US" w:eastAsia="zh-CN"/>
                    </w:rPr>
                    <w:t>酚类</w:t>
                  </w:r>
                </w:p>
              </w:tc>
              <w:tc>
                <w:tcPr>
                  <w:tcW w:w="735" w:type="pct"/>
                  <w:shd w:val="clear" w:color="auto" w:fill="auto"/>
                  <w:noWrap w:val="0"/>
                  <w:vAlign w:val="center"/>
                </w:tcPr>
                <w:p w14:paraId="184A385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颗粒物</w:t>
                  </w:r>
                </w:p>
              </w:tc>
              <w:tc>
                <w:tcPr>
                  <w:tcW w:w="486" w:type="pct"/>
                  <w:noWrap w:val="0"/>
                  <w:vAlign w:val="center"/>
                </w:tcPr>
                <w:p w14:paraId="0CDE5D6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颗粒物</w:t>
                  </w:r>
                </w:p>
              </w:tc>
              <w:tc>
                <w:tcPr>
                  <w:tcW w:w="387" w:type="pct"/>
                  <w:noWrap w:val="0"/>
                  <w:vAlign w:val="center"/>
                </w:tcPr>
                <w:p w14:paraId="511B157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Cs/>
                      <w:spacing w:val="-11"/>
                      <w:sz w:val="21"/>
                      <w:szCs w:val="21"/>
                      <w:highlight w:val="none"/>
                    </w:rPr>
                  </w:pPr>
                  <w:r>
                    <w:rPr>
                      <w:rFonts w:hint="default" w:ascii="Times New Roman" w:hAnsi="Times New Roman" w:cs="Times New Roman"/>
                      <w:b w:val="0"/>
                      <w:bCs w:val="0"/>
                      <w:color w:val="auto"/>
                      <w:spacing w:val="-11"/>
                      <w:sz w:val="21"/>
                      <w:szCs w:val="21"/>
                      <w:highlight w:val="none"/>
                      <w:vertAlign w:val="baseline"/>
                      <w:lang w:val="en-US" w:eastAsia="zh-CN"/>
                    </w:rPr>
                    <w:t>非甲烷总烃计</w:t>
                  </w:r>
                </w:p>
              </w:tc>
              <w:tc>
                <w:tcPr>
                  <w:tcW w:w="390" w:type="pct"/>
                  <w:noWrap w:val="0"/>
                  <w:vAlign w:val="center"/>
                </w:tcPr>
                <w:p w14:paraId="34FD825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Cs/>
                      <w:spacing w:val="-11"/>
                      <w:sz w:val="21"/>
                      <w:szCs w:val="21"/>
                      <w:highlight w:val="none"/>
                    </w:rPr>
                  </w:pPr>
                  <w:r>
                    <w:rPr>
                      <w:rFonts w:hint="default" w:ascii="Times New Roman" w:hAnsi="Times New Roman" w:cs="Times New Roman"/>
                      <w:b w:val="0"/>
                      <w:bCs w:val="0"/>
                      <w:color w:val="auto"/>
                      <w:spacing w:val="-11"/>
                      <w:sz w:val="21"/>
                      <w:szCs w:val="21"/>
                      <w:highlight w:val="none"/>
                      <w:vertAlign w:val="baseline"/>
                      <w:lang w:val="en-US" w:eastAsia="zh-CN"/>
                    </w:rPr>
                    <w:t>甲醛</w:t>
                  </w:r>
                </w:p>
              </w:tc>
              <w:tc>
                <w:tcPr>
                  <w:tcW w:w="433" w:type="pct"/>
                  <w:noWrap w:val="0"/>
                  <w:vAlign w:val="center"/>
                </w:tcPr>
                <w:p w14:paraId="5B38496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bCs/>
                      <w:spacing w:val="-11"/>
                      <w:sz w:val="21"/>
                      <w:szCs w:val="21"/>
                      <w:highlight w:val="none"/>
                    </w:rPr>
                  </w:pPr>
                  <w:r>
                    <w:rPr>
                      <w:rFonts w:hint="default" w:ascii="Times New Roman" w:hAnsi="Times New Roman" w:cs="Times New Roman"/>
                      <w:b w:val="0"/>
                      <w:bCs w:val="0"/>
                      <w:color w:val="auto"/>
                      <w:spacing w:val="-11"/>
                      <w:sz w:val="21"/>
                      <w:szCs w:val="21"/>
                      <w:highlight w:val="none"/>
                      <w:vertAlign w:val="baseline"/>
                      <w:lang w:val="en-US" w:eastAsia="zh-CN"/>
                    </w:rPr>
                    <w:t>酚类</w:t>
                  </w:r>
                </w:p>
              </w:tc>
            </w:tr>
            <w:tr w14:paraId="0BF676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46" w:hRule="atLeast"/>
              </w:trPr>
              <w:tc>
                <w:tcPr>
                  <w:tcW w:w="122" w:type="pct"/>
                  <w:vMerge w:val="restart"/>
                  <w:noWrap w:val="0"/>
                  <w:vAlign w:val="center"/>
                </w:tcPr>
                <w:p w14:paraId="470267A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污染物产生情况</w:t>
                  </w:r>
                </w:p>
              </w:tc>
              <w:tc>
                <w:tcPr>
                  <w:tcW w:w="448" w:type="pct"/>
                  <w:noWrap w:val="0"/>
                  <w:vAlign w:val="center"/>
                </w:tcPr>
                <w:p w14:paraId="1BA382F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污染物产生量(t/a)</w:t>
                  </w:r>
                </w:p>
              </w:tc>
              <w:tc>
                <w:tcPr>
                  <w:tcW w:w="694" w:type="pct"/>
                  <w:noWrap w:val="0"/>
                  <w:vAlign w:val="center"/>
                </w:tcPr>
                <w:p w14:paraId="640FA3A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color w:val="000000"/>
                      <w:spacing w:val="-11"/>
                      <w:kern w:val="0"/>
                      <w:sz w:val="21"/>
                      <w:szCs w:val="21"/>
                      <w:highlight w:val="none"/>
                      <w:lang w:val="en-US" w:eastAsia="zh-CN"/>
                    </w:rPr>
                    <w:t>48.943</w:t>
                  </w:r>
                </w:p>
              </w:tc>
              <w:tc>
                <w:tcPr>
                  <w:tcW w:w="312" w:type="pct"/>
                  <w:shd w:val="clear" w:color="auto" w:fill="auto"/>
                  <w:noWrap w:val="0"/>
                  <w:vAlign w:val="center"/>
                </w:tcPr>
                <w:p w14:paraId="625FAA7F">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eastAsia="宋体" w:cs="Times New Roman"/>
                      <w:b w:val="0"/>
                      <w:bCs w:val="0"/>
                      <w:color w:val="auto"/>
                      <w:spacing w:val="-11"/>
                      <w:sz w:val="21"/>
                      <w:szCs w:val="21"/>
                      <w:highlight w:val="none"/>
                      <w:vertAlign w:val="baseline"/>
                      <w:lang w:val="en-US" w:eastAsia="zh-CN" w:bidi="ar-SA"/>
                    </w:rPr>
                    <w:t>1.882</w:t>
                  </w:r>
                </w:p>
              </w:tc>
              <w:tc>
                <w:tcPr>
                  <w:tcW w:w="342" w:type="pct"/>
                  <w:shd w:val="clear" w:color="auto" w:fill="auto"/>
                  <w:noWrap w:val="0"/>
                  <w:vAlign w:val="center"/>
                </w:tcPr>
                <w:p w14:paraId="28C669C8">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eastAsia="宋体" w:cs="Times New Roman"/>
                      <w:b w:val="0"/>
                      <w:bCs w:val="0"/>
                      <w:color w:val="auto"/>
                      <w:spacing w:val="-11"/>
                      <w:sz w:val="21"/>
                      <w:szCs w:val="21"/>
                      <w:highlight w:val="none"/>
                      <w:vertAlign w:val="baseline"/>
                      <w:lang w:val="en-US" w:eastAsia="zh-CN" w:bidi="ar-SA"/>
                    </w:rPr>
                    <w:t>0.81</w:t>
                  </w:r>
                </w:p>
              </w:tc>
              <w:tc>
                <w:tcPr>
                  <w:tcW w:w="343" w:type="pct"/>
                  <w:noWrap w:val="0"/>
                  <w:vAlign w:val="center"/>
                </w:tcPr>
                <w:p w14:paraId="5D72501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0.039</w:t>
                  </w:r>
                </w:p>
              </w:tc>
              <w:tc>
                <w:tcPr>
                  <w:tcW w:w="301" w:type="pct"/>
                  <w:shd w:val="clear" w:color="auto" w:fill="auto"/>
                  <w:noWrap w:val="0"/>
                  <w:vAlign w:val="center"/>
                </w:tcPr>
                <w:p w14:paraId="46F36BC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0.039</w:t>
                  </w:r>
                </w:p>
              </w:tc>
              <w:tc>
                <w:tcPr>
                  <w:tcW w:w="735" w:type="pct"/>
                  <w:noWrap w:val="0"/>
                  <w:vAlign w:val="center"/>
                </w:tcPr>
                <w:p w14:paraId="2CBC6D6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6.5</w:t>
                  </w:r>
                </w:p>
              </w:tc>
              <w:tc>
                <w:tcPr>
                  <w:tcW w:w="486" w:type="pct"/>
                  <w:noWrap w:val="0"/>
                  <w:vAlign w:val="center"/>
                </w:tcPr>
                <w:p w14:paraId="2EA93A0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0.769</w:t>
                  </w:r>
                </w:p>
              </w:tc>
              <w:tc>
                <w:tcPr>
                  <w:tcW w:w="387" w:type="pct"/>
                  <w:noWrap w:val="0"/>
                  <w:vAlign w:val="center"/>
                </w:tcPr>
                <w:p w14:paraId="0B70B46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0.09</w:t>
                  </w:r>
                </w:p>
              </w:tc>
              <w:tc>
                <w:tcPr>
                  <w:tcW w:w="390" w:type="pct"/>
                  <w:noWrap w:val="0"/>
                  <w:vAlign w:val="center"/>
                </w:tcPr>
                <w:p w14:paraId="409A95D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0.0044</w:t>
                  </w:r>
                </w:p>
              </w:tc>
              <w:tc>
                <w:tcPr>
                  <w:tcW w:w="433" w:type="pct"/>
                  <w:noWrap w:val="0"/>
                  <w:vAlign w:val="center"/>
                </w:tcPr>
                <w:p w14:paraId="7807138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0.0044</w:t>
                  </w:r>
                </w:p>
              </w:tc>
            </w:tr>
            <w:tr w14:paraId="530076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66" w:hRule="atLeast"/>
              </w:trPr>
              <w:tc>
                <w:tcPr>
                  <w:tcW w:w="122" w:type="pct"/>
                  <w:vMerge w:val="continue"/>
                  <w:noWrap w:val="0"/>
                  <w:vAlign w:val="center"/>
                </w:tcPr>
                <w:p w14:paraId="00448E82">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54829010">
                  <w:pPr>
                    <w:keepNext w:val="0"/>
                    <w:keepLines w:val="0"/>
                    <w:suppressLineNumbers w:val="0"/>
                    <w:spacing w:before="0" w:beforeAutospacing="0" w:after="0" w:afterAutospacing="0" w:line="280" w:lineRule="exact"/>
                    <w:ind w:left="0" w:right="0"/>
                    <w:jc w:val="center"/>
                    <w:rPr>
                      <w:rFonts w:hint="default" w:ascii="Times New Roman" w:hAnsi="Times New Roman" w:cs="Times New Roman"/>
                      <w:spacing w:val="-11"/>
                      <w:sz w:val="21"/>
                      <w:szCs w:val="21"/>
                      <w:highlight w:val="none"/>
                    </w:rPr>
                  </w:pPr>
                  <w:r>
                    <w:rPr>
                      <w:rFonts w:hint="default" w:ascii="Times New Roman" w:hAnsi="Times New Roman" w:cs="Times New Roman"/>
                      <w:spacing w:val="-11"/>
                      <w:sz w:val="21"/>
                      <w:szCs w:val="21"/>
                      <w:highlight w:val="none"/>
                    </w:rPr>
                    <w:t>产生浓度</w:t>
                  </w:r>
                  <w:r>
                    <w:rPr>
                      <w:rFonts w:hint="default" w:ascii="Times New Roman" w:hAnsi="Times New Roman" w:cs="Times New Roman"/>
                      <w:bCs/>
                      <w:spacing w:val="-11"/>
                      <w:sz w:val="21"/>
                      <w:szCs w:val="21"/>
                      <w:highlight w:val="none"/>
                    </w:rPr>
                    <w:t>(mg/m</w:t>
                  </w:r>
                  <w:r>
                    <w:rPr>
                      <w:rFonts w:hint="default" w:ascii="Times New Roman" w:hAnsi="Times New Roman" w:cs="Times New Roman"/>
                      <w:bCs/>
                      <w:spacing w:val="-11"/>
                      <w:sz w:val="21"/>
                      <w:szCs w:val="21"/>
                      <w:highlight w:val="none"/>
                      <w:vertAlign w:val="superscript"/>
                    </w:rPr>
                    <w:t>3</w:t>
                  </w:r>
                  <w:r>
                    <w:rPr>
                      <w:rFonts w:hint="default" w:ascii="Times New Roman" w:hAnsi="Times New Roman" w:cs="Times New Roman"/>
                      <w:bCs/>
                      <w:spacing w:val="-11"/>
                      <w:sz w:val="21"/>
                      <w:szCs w:val="21"/>
                      <w:highlight w:val="none"/>
                    </w:rPr>
                    <w:t>)</w:t>
                  </w:r>
                </w:p>
              </w:tc>
              <w:tc>
                <w:tcPr>
                  <w:tcW w:w="694" w:type="pct"/>
                  <w:noWrap w:val="0"/>
                  <w:vAlign w:val="center"/>
                </w:tcPr>
                <w:p w14:paraId="1C81FB6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color w:val="000000"/>
                      <w:spacing w:val="-11"/>
                      <w:kern w:val="0"/>
                      <w:sz w:val="21"/>
                      <w:szCs w:val="21"/>
                      <w:highlight w:val="none"/>
                      <w:lang w:val="en-US" w:eastAsia="zh-CN"/>
                    </w:rPr>
                    <w:t>815.717</w:t>
                  </w:r>
                </w:p>
              </w:tc>
              <w:tc>
                <w:tcPr>
                  <w:tcW w:w="312" w:type="pct"/>
                  <w:shd w:val="clear" w:color="auto" w:fill="auto"/>
                  <w:noWrap w:val="0"/>
                  <w:vAlign w:val="center"/>
                </w:tcPr>
                <w:p w14:paraId="19436B91">
                  <w:pPr>
                    <w:pStyle w:val="237"/>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pacing w:val="-11"/>
                      <w:sz w:val="21"/>
                      <w:szCs w:val="21"/>
                      <w:highlight w:val="none"/>
                      <w:vertAlign w:val="baseline"/>
                      <w:lang w:val="en-US" w:eastAsia="zh-CN" w:bidi="ar-SA"/>
                    </w:rPr>
                  </w:pPr>
                  <w:r>
                    <w:rPr>
                      <w:rFonts w:hint="default" w:ascii="Times New Roman" w:hAnsi="Times New Roman" w:eastAsia="宋体" w:cs="Times New Roman"/>
                      <w:b w:val="0"/>
                      <w:bCs w:val="0"/>
                      <w:color w:val="auto"/>
                      <w:spacing w:val="-11"/>
                      <w:sz w:val="21"/>
                      <w:szCs w:val="21"/>
                      <w:highlight w:val="none"/>
                      <w:vertAlign w:val="baseline"/>
                      <w:lang w:val="en-US" w:eastAsia="zh-CN" w:bidi="ar-SA"/>
                    </w:rPr>
                    <w:t>104.556</w:t>
                  </w:r>
                </w:p>
              </w:tc>
              <w:tc>
                <w:tcPr>
                  <w:tcW w:w="342" w:type="pct"/>
                  <w:noWrap w:val="0"/>
                  <w:vAlign w:val="center"/>
                </w:tcPr>
                <w:p w14:paraId="220A125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45</w:t>
                  </w:r>
                </w:p>
              </w:tc>
              <w:tc>
                <w:tcPr>
                  <w:tcW w:w="343" w:type="pct"/>
                  <w:noWrap w:val="0"/>
                  <w:vAlign w:val="center"/>
                </w:tcPr>
                <w:p w14:paraId="11E65F5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2.167</w:t>
                  </w:r>
                </w:p>
              </w:tc>
              <w:tc>
                <w:tcPr>
                  <w:tcW w:w="301" w:type="pct"/>
                  <w:shd w:val="clear" w:color="auto" w:fill="auto"/>
                  <w:noWrap w:val="0"/>
                  <w:vAlign w:val="center"/>
                </w:tcPr>
                <w:p w14:paraId="252E835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2.167</w:t>
                  </w:r>
                </w:p>
              </w:tc>
              <w:tc>
                <w:tcPr>
                  <w:tcW w:w="735" w:type="pct"/>
                  <w:noWrap w:val="0"/>
                  <w:vAlign w:val="center"/>
                </w:tcPr>
                <w:p w14:paraId="38FDE59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433.33</w:t>
                  </w:r>
                </w:p>
              </w:tc>
              <w:tc>
                <w:tcPr>
                  <w:tcW w:w="486" w:type="pct"/>
                  <w:noWrap w:val="0"/>
                  <w:vAlign w:val="center"/>
                </w:tcPr>
                <w:p w14:paraId="5092478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372F639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662D3FD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7E11784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5A98E1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98" w:hRule="atLeast"/>
              </w:trPr>
              <w:tc>
                <w:tcPr>
                  <w:tcW w:w="570" w:type="pct"/>
                  <w:gridSpan w:val="2"/>
                  <w:noWrap w:val="0"/>
                  <w:vAlign w:val="center"/>
                </w:tcPr>
                <w:p w14:paraId="4EEFB05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排放形式</w:t>
                  </w:r>
                </w:p>
              </w:tc>
              <w:tc>
                <w:tcPr>
                  <w:tcW w:w="694" w:type="pct"/>
                  <w:noWrap w:val="0"/>
                  <w:vAlign w:val="center"/>
                </w:tcPr>
                <w:p w14:paraId="3965424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有组织排放</w:t>
                  </w:r>
                </w:p>
              </w:tc>
              <w:tc>
                <w:tcPr>
                  <w:tcW w:w="1301" w:type="pct"/>
                  <w:gridSpan w:val="4"/>
                  <w:noWrap w:val="0"/>
                  <w:vAlign w:val="center"/>
                </w:tcPr>
                <w:p w14:paraId="5DC960E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有组织排放</w:t>
                  </w:r>
                </w:p>
              </w:tc>
              <w:tc>
                <w:tcPr>
                  <w:tcW w:w="735" w:type="pct"/>
                  <w:shd w:val="clear" w:color="auto" w:fill="auto"/>
                  <w:noWrap w:val="0"/>
                  <w:vAlign w:val="center"/>
                </w:tcPr>
                <w:p w14:paraId="45A23A2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有组织排放</w:t>
                  </w:r>
                </w:p>
              </w:tc>
              <w:tc>
                <w:tcPr>
                  <w:tcW w:w="1697" w:type="pct"/>
                  <w:gridSpan w:val="4"/>
                  <w:noWrap w:val="0"/>
                  <w:vAlign w:val="center"/>
                </w:tcPr>
                <w:p w14:paraId="1C8B6E6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无组织排放</w:t>
                  </w:r>
                </w:p>
              </w:tc>
            </w:tr>
            <w:tr w14:paraId="5A9755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7" w:hRule="atLeast"/>
              </w:trPr>
              <w:tc>
                <w:tcPr>
                  <w:tcW w:w="122" w:type="pct"/>
                  <w:vMerge w:val="restart"/>
                  <w:noWrap w:val="0"/>
                  <w:vAlign w:val="center"/>
                </w:tcPr>
                <w:p w14:paraId="094B574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治理</w:t>
                  </w:r>
                </w:p>
                <w:p w14:paraId="00EF810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设施</w:t>
                  </w:r>
                </w:p>
              </w:tc>
              <w:tc>
                <w:tcPr>
                  <w:tcW w:w="448" w:type="pct"/>
                  <w:noWrap w:val="0"/>
                  <w:vAlign w:val="center"/>
                </w:tcPr>
                <w:p w14:paraId="5B8A1F1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治理工艺</w:t>
                  </w:r>
                </w:p>
              </w:tc>
              <w:tc>
                <w:tcPr>
                  <w:tcW w:w="694" w:type="pct"/>
                  <w:noWrap w:val="0"/>
                  <w:vAlign w:val="center"/>
                </w:tcPr>
                <w:p w14:paraId="7A3A180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布袋除尘器</w:t>
                  </w:r>
                </w:p>
              </w:tc>
              <w:tc>
                <w:tcPr>
                  <w:tcW w:w="1301" w:type="pct"/>
                  <w:gridSpan w:val="4"/>
                  <w:noWrap w:val="0"/>
                  <w:vAlign w:val="center"/>
                </w:tcPr>
                <w:p w14:paraId="37E4EC0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color w:val="auto"/>
                      <w:spacing w:val="-11"/>
                      <w:sz w:val="21"/>
                      <w:szCs w:val="21"/>
                      <w:highlight w:val="none"/>
                      <w:lang w:val="en-US" w:eastAsia="zh-CN"/>
                    </w:rPr>
                    <w:t>布袋除尘器+二级活性炭吸附装置</w:t>
                  </w:r>
                </w:p>
              </w:tc>
              <w:tc>
                <w:tcPr>
                  <w:tcW w:w="735" w:type="pct"/>
                  <w:noWrap w:val="0"/>
                  <w:vAlign w:val="center"/>
                </w:tcPr>
                <w:p w14:paraId="60BA6FC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color w:val="auto"/>
                      <w:spacing w:val="-11"/>
                      <w:sz w:val="21"/>
                      <w:szCs w:val="21"/>
                      <w:highlight w:val="none"/>
                      <w:lang w:val="en-US" w:eastAsia="zh-CN"/>
                    </w:rPr>
                    <w:t>布袋除尘器</w:t>
                  </w:r>
                </w:p>
              </w:tc>
              <w:tc>
                <w:tcPr>
                  <w:tcW w:w="1697" w:type="pct"/>
                  <w:gridSpan w:val="4"/>
                  <w:noWrap w:val="0"/>
                  <w:vAlign w:val="center"/>
                </w:tcPr>
                <w:p w14:paraId="05991AB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雾炮抑尘、厂房阻隔等</w:t>
                  </w:r>
                </w:p>
              </w:tc>
            </w:tr>
            <w:tr w14:paraId="1209D4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22" w:type="pct"/>
                  <w:vMerge w:val="continue"/>
                  <w:noWrap w:val="0"/>
                  <w:vAlign w:val="center"/>
                </w:tcPr>
                <w:p w14:paraId="25FF38E6">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50E8E5B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处理能力(m</w:t>
                  </w:r>
                  <w:r>
                    <w:rPr>
                      <w:rFonts w:hint="default" w:ascii="Times New Roman" w:hAnsi="Times New Roman" w:cs="Times New Roman"/>
                      <w:bCs/>
                      <w:spacing w:val="-11"/>
                      <w:sz w:val="21"/>
                      <w:szCs w:val="21"/>
                      <w:highlight w:val="none"/>
                      <w:vertAlign w:val="superscript"/>
                    </w:rPr>
                    <w:t>3</w:t>
                  </w:r>
                  <w:r>
                    <w:rPr>
                      <w:rFonts w:hint="default" w:ascii="Times New Roman" w:hAnsi="Times New Roman" w:cs="Times New Roman"/>
                      <w:bCs/>
                      <w:spacing w:val="-11"/>
                      <w:sz w:val="21"/>
                      <w:szCs w:val="21"/>
                      <w:highlight w:val="none"/>
                    </w:rPr>
                    <w:t>/h)</w:t>
                  </w:r>
                </w:p>
              </w:tc>
              <w:tc>
                <w:tcPr>
                  <w:tcW w:w="694" w:type="pct"/>
                  <w:noWrap w:val="0"/>
                  <w:vAlign w:val="center"/>
                </w:tcPr>
                <w:p w14:paraId="45BD774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20000</w:t>
                  </w:r>
                </w:p>
              </w:tc>
              <w:tc>
                <w:tcPr>
                  <w:tcW w:w="1301" w:type="pct"/>
                  <w:gridSpan w:val="4"/>
                  <w:noWrap w:val="0"/>
                  <w:vAlign w:val="center"/>
                </w:tcPr>
                <w:p w14:paraId="33794F5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15</w:t>
                  </w:r>
                  <w:r>
                    <w:rPr>
                      <w:rFonts w:hint="default" w:ascii="Times New Roman" w:hAnsi="Times New Roman" w:cs="Times New Roman"/>
                      <w:bCs/>
                      <w:spacing w:val="-11"/>
                      <w:sz w:val="21"/>
                      <w:szCs w:val="21"/>
                      <w:highlight w:val="none"/>
                    </w:rPr>
                    <w:t>000</w:t>
                  </w:r>
                </w:p>
              </w:tc>
              <w:tc>
                <w:tcPr>
                  <w:tcW w:w="735" w:type="pct"/>
                  <w:noWrap w:val="0"/>
                  <w:vAlign w:val="center"/>
                </w:tcPr>
                <w:p w14:paraId="49ECE79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5000</w:t>
                  </w:r>
                </w:p>
              </w:tc>
              <w:tc>
                <w:tcPr>
                  <w:tcW w:w="486" w:type="pct"/>
                  <w:noWrap w:val="0"/>
                  <w:vAlign w:val="center"/>
                </w:tcPr>
                <w:p w14:paraId="7BDE810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1795174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66F65CC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642C070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212427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50" w:hRule="atLeast"/>
              </w:trPr>
              <w:tc>
                <w:tcPr>
                  <w:tcW w:w="122" w:type="pct"/>
                  <w:vMerge w:val="continue"/>
                  <w:noWrap w:val="0"/>
                  <w:vAlign w:val="center"/>
                </w:tcPr>
                <w:p w14:paraId="410524D7">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0AFC8FC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收集效率(%)</w:t>
                  </w:r>
                </w:p>
              </w:tc>
              <w:tc>
                <w:tcPr>
                  <w:tcW w:w="694" w:type="pct"/>
                  <w:noWrap w:val="0"/>
                  <w:vAlign w:val="center"/>
                </w:tcPr>
                <w:p w14:paraId="7749757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99</w:t>
                  </w:r>
                </w:p>
              </w:tc>
              <w:tc>
                <w:tcPr>
                  <w:tcW w:w="312" w:type="pct"/>
                  <w:noWrap w:val="0"/>
                  <w:vAlign w:val="center"/>
                </w:tcPr>
                <w:p w14:paraId="5F2B239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90</w:t>
                  </w:r>
                </w:p>
              </w:tc>
              <w:tc>
                <w:tcPr>
                  <w:tcW w:w="342" w:type="pct"/>
                  <w:noWrap w:val="0"/>
                  <w:vAlign w:val="center"/>
                </w:tcPr>
                <w:p w14:paraId="07DCAE3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90</w:t>
                  </w:r>
                </w:p>
              </w:tc>
              <w:tc>
                <w:tcPr>
                  <w:tcW w:w="343" w:type="pct"/>
                  <w:noWrap w:val="0"/>
                  <w:vAlign w:val="center"/>
                </w:tcPr>
                <w:p w14:paraId="12E290C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90</w:t>
                  </w:r>
                </w:p>
              </w:tc>
              <w:tc>
                <w:tcPr>
                  <w:tcW w:w="301" w:type="pct"/>
                  <w:noWrap w:val="0"/>
                  <w:vAlign w:val="center"/>
                </w:tcPr>
                <w:p w14:paraId="0D71E2D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90</w:t>
                  </w:r>
                </w:p>
              </w:tc>
              <w:tc>
                <w:tcPr>
                  <w:tcW w:w="735" w:type="pct"/>
                  <w:noWrap w:val="0"/>
                  <w:vAlign w:val="center"/>
                </w:tcPr>
                <w:p w14:paraId="5C61B8F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99</w:t>
                  </w:r>
                </w:p>
              </w:tc>
              <w:tc>
                <w:tcPr>
                  <w:tcW w:w="486" w:type="pct"/>
                  <w:noWrap w:val="0"/>
                  <w:vAlign w:val="center"/>
                </w:tcPr>
                <w:p w14:paraId="28CE5C6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04855D6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0C2A7F0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17E6CD3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21C061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50" w:hRule="atLeast"/>
              </w:trPr>
              <w:tc>
                <w:tcPr>
                  <w:tcW w:w="122" w:type="pct"/>
                  <w:vMerge w:val="continue"/>
                  <w:noWrap w:val="0"/>
                  <w:vAlign w:val="center"/>
                </w:tcPr>
                <w:p w14:paraId="2B7CE365">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307ABCD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去除率(%)</w:t>
                  </w:r>
                </w:p>
              </w:tc>
              <w:tc>
                <w:tcPr>
                  <w:tcW w:w="694" w:type="pct"/>
                  <w:noWrap w:val="0"/>
                  <w:vAlign w:val="center"/>
                </w:tcPr>
                <w:p w14:paraId="05C7C9B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99</w:t>
                  </w:r>
                </w:p>
              </w:tc>
              <w:tc>
                <w:tcPr>
                  <w:tcW w:w="312" w:type="pct"/>
                  <w:noWrap w:val="0"/>
                  <w:vAlign w:val="center"/>
                </w:tcPr>
                <w:p w14:paraId="7E63457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99</w:t>
                  </w:r>
                </w:p>
              </w:tc>
              <w:tc>
                <w:tcPr>
                  <w:tcW w:w="342" w:type="pct"/>
                  <w:noWrap w:val="0"/>
                  <w:vAlign w:val="center"/>
                </w:tcPr>
                <w:p w14:paraId="293AC93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80</w:t>
                  </w:r>
                </w:p>
              </w:tc>
              <w:tc>
                <w:tcPr>
                  <w:tcW w:w="343" w:type="pct"/>
                  <w:noWrap w:val="0"/>
                  <w:vAlign w:val="center"/>
                </w:tcPr>
                <w:p w14:paraId="3E228AB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80</w:t>
                  </w:r>
                </w:p>
              </w:tc>
              <w:tc>
                <w:tcPr>
                  <w:tcW w:w="301" w:type="pct"/>
                  <w:noWrap w:val="0"/>
                  <w:vAlign w:val="center"/>
                </w:tcPr>
                <w:p w14:paraId="5C516CA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80</w:t>
                  </w:r>
                </w:p>
              </w:tc>
              <w:tc>
                <w:tcPr>
                  <w:tcW w:w="735" w:type="pct"/>
                  <w:noWrap w:val="0"/>
                  <w:vAlign w:val="center"/>
                </w:tcPr>
                <w:p w14:paraId="078332A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99</w:t>
                  </w:r>
                </w:p>
              </w:tc>
              <w:tc>
                <w:tcPr>
                  <w:tcW w:w="486" w:type="pct"/>
                  <w:noWrap w:val="0"/>
                  <w:vAlign w:val="center"/>
                </w:tcPr>
                <w:p w14:paraId="783FDB9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雾炮抑尘（</w:t>
                  </w:r>
                  <w:r>
                    <w:rPr>
                      <w:rFonts w:hint="default" w:ascii="Times New Roman" w:hAnsi="Times New Roman" w:cs="Times New Roman"/>
                      <w:bCs/>
                      <w:spacing w:val="-11"/>
                      <w:sz w:val="21"/>
                      <w:szCs w:val="21"/>
                      <w:highlight w:val="none"/>
                      <w:lang w:val="en-US" w:eastAsia="zh-CN"/>
                    </w:rPr>
                    <w:t>5</w:t>
                  </w:r>
                  <w:r>
                    <w:rPr>
                      <w:rFonts w:hint="default" w:ascii="Times New Roman" w:hAnsi="Times New Roman" w:cs="Times New Roman"/>
                      <w:bCs/>
                      <w:spacing w:val="-11"/>
                      <w:sz w:val="21"/>
                      <w:szCs w:val="21"/>
                      <w:highlight w:val="none"/>
                    </w:rPr>
                    <w:t>0）、厂房阻隔（</w:t>
                  </w:r>
                  <w:r>
                    <w:rPr>
                      <w:rFonts w:hint="default" w:ascii="Times New Roman" w:hAnsi="Times New Roman" w:cs="Times New Roman"/>
                      <w:bCs/>
                      <w:spacing w:val="-11"/>
                      <w:sz w:val="21"/>
                      <w:szCs w:val="21"/>
                      <w:highlight w:val="none"/>
                      <w:lang w:val="en-US" w:eastAsia="zh-CN"/>
                    </w:rPr>
                    <w:t>2</w:t>
                  </w:r>
                  <w:r>
                    <w:rPr>
                      <w:rFonts w:hint="default" w:ascii="Times New Roman" w:hAnsi="Times New Roman" w:cs="Times New Roman"/>
                      <w:bCs/>
                      <w:spacing w:val="-11"/>
                      <w:sz w:val="21"/>
                      <w:szCs w:val="21"/>
                      <w:highlight w:val="none"/>
                    </w:rPr>
                    <w:t>0）</w:t>
                  </w:r>
                </w:p>
              </w:tc>
              <w:tc>
                <w:tcPr>
                  <w:tcW w:w="387" w:type="pct"/>
                  <w:noWrap w:val="0"/>
                  <w:vAlign w:val="center"/>
                </w:tcPr>
                <w:p w14:paraId="7AE1796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27EE813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5804A4C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492C52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50" w:hRule="atLeast"/>
              </w:trPr>
              <w:tc>
                <w:tcPr>
                  <w:tcW w:w="122" w:type="pct"/>
                  <w:vMerge w:val="continue"/>
                  <w:noWrap w:val="0"/>
                  <w:vAlign w:val="center"/>
                </w:tcPr>
                <w:p w14:paraId="2644008C">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1CBB62D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是否可行技术</w:t>
                  </w:r>
                </w:p>
              </w:tc>
              <w:tc>
                <w:tcPr>
                  <w:tcW w:w="694" w:type="pct"/>
                  <w:noWrap w:val="0"/>
                  <w:vAlign w:val="center"/>
                </w:tcPr>
                <w:p w14:paraId="4DF9CC0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rPr>
                    <w:t>是</w:t>
                  </w:r>
                </w:p>
              </w:tc>
              <w:tc>
                <w:tcPr>
                  <w:tcW w:w="1301" w:type="pct"/>
                  <w:gridSpan w:val="4"/>
                  <w:noWrap w:val="0"/>
                  <w:vAlign w:val="center"/>
                </w:tcPr>
                <w:p w14:paraId="1BBC788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是</w:t>
                  </w:r>
                </w:p>
              </w:tc>
              <w:tc>
                <w:tcPr>
                  <w:tcW w:w="735" w:type="pct"/>
                  <w:noWrap w:val="0"/>
                  <w:vAlign w:val="center"/>
                </w:tcPr>
                <w:p w14:paraId="06B1511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是</w:t>
                  </w:r>
                </w:p>
              </w:tc>
              <w:tc>
                <w:tcPr>
                  <w:tcW w:w="486" w:type="pct"/>
                  <w:noWrap w:val="0"/>
                  <w:vAlign w:val="center"/>
                </w:tcPr>
                <w:p w14:paraId="2FF781B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是</w:t>
                  </w:r>
                </w:p>
              </w:tc>
              <w:tc>
                <w:tcPr>
                  <w:tcW w:w="387" w:type="pct"/>
                  <w:noWrap w:val="0"/>
                  <w:vAlign w:val="center"/>
                </w:tcPr>
                <w:p w14:paraId="7CB1372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7A9B3B2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31B065C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530ABE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restart"/>
                  <w:noWrap w:val="0"/>
                  <w:vAlign w:val="center"/>
                </w:tcPr>
                <w:p w14:paraId="08D1594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污染物排放情况</w:t>
                  </w:r>
                </w:p>
              </w:tc>
              <w:tc>
                <w:tcPr>
                  <w:tcW w:w="448" w:type="pct"/>
                  <w:noWrap w:val="0"/>
                  <w:vAlign w:val="center"/>
                </w:tcPr>
                <w:p w14:paraId="4E22A3A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排放浓度(mg/m</w:t>
                  </w:r>
                  <w:r>
                    <w:rPr>
                      <w:rFonts w:hint="default" w:ascii="Times New Roman" w:hAnsi="Times New Roman" w:cs="Times New Roman"/>
                      <w:bCs/>
                      <w:spacing w:val="-11"/>
                      <w:sz w:val="21"/>
                      <w:szCs w:val="21"/>
                      <w:highlight w:val="none"/>
                      <w:vertAlign w:val="superscript"/>
                    </w:rPr>
                    <w:t>3</w:t>
                  </w:r>
                  <w:r>
                    <w:rPr>
                      <w:rFonts w:hint="default" w:ascii="Times New Roman" w:hAnsi="Times New Roman" w:cs="Times New Roman"/>
                      <w:bCs/>
                      <w:spacing w:val="-11"/>
                      <w:sz w:val="21"/>
                      <w:szCs w:val="21"/>
                      <w:highlight w:val="none"/>
                    </w:rPr>
                    <w:t>)</w:t>
                  </w:r>
                </w:p>
              </w:tc>
              <w:tc>
                <w:tcPr>
                  <w:tcW w:w="694" w:type="pct"/>
                  <w:noWrap w:val="0"/>
                  <w:vAlign w:val="center"/>
                </w:tcPr>
                <w:p w14:paraId="41D4F0E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eastAsia="宋体" w:cs="Times New Roman"/>
                      <w:bCs/>
                      <w:spacing w:val="-11"/>
                      <w:kern w:val="2"/>
                      <w:sz w:val="21"/>
                      <w:szCs w:val="21"/>
                      <w:highlight w:val="none"/>
                      <w:lang w:val="en-US" w:eastAsia="zh-CN" w:bidi="ar-SA"/>
                    </w:rPr>
                    <w:t>8.15</w:t>
                  </w:r>
                </w:p>
              </w:tc>
              <w:tc>
                <w:tcPr>
                  <w:tcW w:w="312" w:type="pct"/>
                  <w:noWrap w:val="0"/>
                  <w:vAlign w:val="center"/>
                </w:tcPr>
                <w:p w14:paraId="450CAD5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1.056</w:t>
                  </w:r>
                </w:p>
              </w:tc>
              <w:tc>
                <w:tcPr>
                  <w:tcW w:w="342" w:type="pct"/>
                  <w:noWrap w:val="0"/>
                  <w:vAlign w:val="center"/>
                </w:tcPr>
                <w:p w14:paraId="677ED94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9</w:t>
                  </w:r>
                </w:p>
              </w:tc>
              <w:tc>
                <w:tcPr>
                  <w:tcW w:w="343" w:type="pct"/>
                  <w:noWrap w:val="0"/>
                  <w:vAlign w:val="center"/>
                </w:tcPr>
                <w:p w14:paraId="2CA8456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0.444</w:t>
                  </w:r>
                </w:p>
              </w:tc>
              <w:tc>
                <w:tcPr>
                  <w:tcW w:w="301" w:type="pct"/>
                  <w:shd w:val="clear" w:color="auto" w:fill="auto"/>
                  <w:noWrap w:val="0"/>
                  <w:vAlign w:val="center"/>
                </w:tcPr>
                <w:p w14:paraId="1531931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0.444</w:t>
                  </w:r>
                </w:p>
              </w:tc>
              <w:tc>
                <w:tcPr>
                  <w:tcW w:w="735" w:type="pct"/>
                  <w:noWrap w:val="0"/>
                  <w:vAlign w:val="center"/>
                </w:tcPr>
                <w:p w14:paraId="7E624E8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4.333</w:t>
                  </w:r>
                </w:p>
              </w:tc>
              <w:tc>
                <w:tcPr>
                  <w:tcW w:w="486" w:type="pct"/>
                  <w:noWrap w:val="0"/>
                  <w:vAlign w:val="center"/>
                </w:tcPr>
                <w:p w14:paraId="5E6F701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1EDDE50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4AD6379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28696F6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5C0E38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621EC055">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56F8841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排放速率(kg/h)</w:t>
                  </w:r>
                </w:p>
              </w:tc>
              <w:tc>
                <w:tcPr>
                  <w:tcW w:w="694" w:type="pct"/>
                  <w:noWrap w:val="0"/>
                  <w:vAlign w:val="center"/>
                </w:tcPr>
                <w:p w14:paraId="76041E4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eastAsia="宋体" w:cs="Times New Roman"/>
                      <w:bCs/>
                      <w:spacing w:val="-11"/>
                      <w:kern w:val="2"/>
                      <w:sz w:val="21"/>
                      <w:szCs w:val="21"/>
                      <w:highlight w:val="none"/>
                      <w:lang w:val="en-US" w:eastAsia="zh-CN" w:bidi="ar-SA"/>
                    </w:rPr>
                    <w:t>0.163</w:t>
                  </w:r>
                </w:p>
              </w:tc>
              <w:tc>
                <w:tcPr>
                  <w:tcW w:w="312" w:type="pct"/>
                  <w:noWrap w:val="0"/>
                  <w:vAlign w:val="center"/>
                </w:tcPr>
                <w:p w14:paraId="76C0DF8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0.06</w:t>
                  </w:r>
                </w:p>
              </w:tc>
              <w:tc>
                <w:tcPr>
                  <w:tcW w:w="342" w:type="pct"/>
                  <w:noWrap w:val="0"/>
                  <w:vAlign w:val="center"/>
                </w:tcPr>
                <w:p w14:paraId="71B212C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0.135</w:t>
                  </w:r>
                </w:p>
              </w:tc>
              <w:tc>
                <w:tcPr>
                  <w:tcW w:w="343" w:type="pct"/>
                  <w:noWrap w:val="0"/>
                  <w:vAlign w:val="center"/>
                </w:tcPr>
                <w:p w14:paraId="635EFEC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0.007</w:t>
                  </w:r>
                </w:p>
              </w:tc>
              <w:tc>
                <w:tcPr>
                  <w:tcW w:w="301" w:type="pct"/>
                  <w:shd w:val="clear" w:color="auto" w:fill="auto"/>
                  <w:noWrap w:val="0"/>
                  <w:vAlign w:val="center"/>
                </w:tcPr>
                <w:p w14:paraId="620E2F7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0.007</w:t>
                  </w:r>
                </w:p>
              </w:tc>
              <w:tc>
                <w:tcPr>
                  <w:tcW w:w="735" w:type="pct"/>
                  <w:noWrap w:val="0"/>
                  <w:vAlign w:val="center"/>
                </w:tcPr>
                <w:p w14:paraId="6D75F9A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0.022</w:t>
                  </w:r>
                </w:p>
              </w:tc>
              <w:tc>
                <w:tcPr>
                  <w:tcW w:w="486" w:type="pct"/>
                  <w:noWrap w:val="0"/>
                  <w:vAlign w:val="center"/>
                </w:tcPr>
                <w:p w14:paraId="5CE1DDF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eastAsia="宋体" w:cs="Times New Roman"/>
                      <w:bCs/>
                      <w:spacing w:val="-11"/>
                      <w:sz w:val="21"/>
                      <w:szCs w:val="21"/>
                      <w:highlight w:val="none"/>
                      <w:lang w:val="en-US" w:eastAsia="zh-CN"/>
                    </w:rPr>
                    <w:t>0.103</w:t>
                  </w:r>
                </w:p>
              </w:tc>
              <w:tc>
                <w:tcPr>
                  <w:tcW w:w="387" w:type="pct"/>
                  <w:noWrap w:val="0"/>
                  <w:vAlign w:val="center"/>
                </w:tcPr>
                <w:p w14:paraId="3DF502C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spacing w:val="-11"/>
                      <w:sz w:val="21"/>
                      <w:szCs w:val="21"/>
                      <w:highlight w:val="none"/>
                      <w:lang w:val="en-US" w:eastAsia="zh-CN"/>
                    </w:rPr>
                  </w:pPr>
                  <w:r>
                    <w:rPr>
                      <w:rFonts w:hint="default" w:ascii="Times New Roman" w:hAnsi="Times New Roman" w:cs="Times New Roman"/>
                      <w:spacing w:val="-11"/>
                      <w:sz w:val="21"/>
                      <w:szCs w:val="21"/>
                      <w:highlight w:val="none"/>
                      <w:lang w:val="en-US" w:eastAsia="zh-CN"/>
                    </w:rPr>
                    <w:t>0.03</w:t>
                  </w:r>
                </w:p>
              </w:tc>
              <w:tc>
                <w:tcPr>
                  <w:tcW w:w="390" w:type="pct"/>
                  <w:noWrap w:val="0"/>
                  <w:vAlign w:val="center"/>
                </w:tcPr>
                <w:p w14:paraId="16DA8D4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spacing w:val="-11"/>
                      <w:sz w:val="21"/>
                      <w:szCs w:val="21"/>
                      <w:highlight w:val="none"/>
                      <w:lang w:val="en-US" w:eastAsia="zh-CN"/>
                    </w:rPr>
                  </w:pPr>
                  <w:r>
                    <w:rPr>
                      <w:rFonts w:hint="default" w:ascii="Times New Roman" w:hAnsi="Times New Roman" w:cs="Times New Roman"/>
                      <w:spacing w:val="-11"/>
                      <w:sz w:val="21"/>
                      <w:szCs w:val="21"/>
                      <w:highlight w:val="none"/>
                      <w:lang w:val="en-US" w:eastAsia="zh-CN"/>
                    </w:rPr>
                    <w:t>0.001</w:t>
                  </w:r>
                </w:p>
              </w:tc>
              <w:tc>
                <w:tcPr>
                  <w:tcW w:w="433" w:type="pct"/>
                  <w:shd w:val="clear" w:color="auto" w:fill="auto"/>
                  <w:noWrap w:val="0"/>
                  <w:vAlign w:val="center"/>
                </w:tcPr>
                <w:p w14:paraId="092500A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spacing w:val="-11"/>
                      <w:kern w:val="2"/>
                      <w:sz w:val="21"/>
                      <w:szCs w:val="21"/>
                      <w:highlight w:val="none"/>
                      <w:lang w:val="en-US" w:eastAsia="zh-CN" w:bidi="ar-SA"/>
                    </w:rPr>
                  </w:pPr>
                  <w:r>
                    <w:rPr>
                      <w:rFonts w:hint="default" w:ascii="Times New Roman" w:hAnsi="Times New Roman" w:cs="Times New Roman"/>
                      <w:spacing w:val="-11"/>
                      <w:sz w:val="21"/>
                      <w:szCs w:val="21"/>
                      <w:highlight w:val="none"/>
                      <w:lang w:val="en-US" w:eastAsia="zh-CN"/>
                    </w:rPr>
                    <w:t>0.001</w:t>
                  </w:r>
                </w:p>
              </w:tc>
            </w:tr>
            <w:tr w14:paraId="0097BB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8" w:hRule="atLeast"/>
              </w:trPr>
              <w:tc>
                <w:tcPr>
                  <w:tcW w:w="122" w:type="pct"/>
                  <w:vMerge w:val="continue"/>
                  <w:noWrap w:val="0"/>
                  <w:vAlign w:val="center"/>
                </w:tcPr>
                <w:p w14:paraId="2C85C881">
                  <w:pPr>
                    <w:keepNext w:val="0"/>
                    <w:keepLines w:val="0"/>
                    <w:widowControl/>
                    <w:suppressLineNumbers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2EACB59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排放量(t/a)</w:t>
                  </w:r>
                </w:p>
              </w:tc>
              <w:tc>
                <w:tcPr>
                  <w:tcW w:w="694" w:type="pct"/>
                  <w:noWrap w:val="0"/>
                  <w:vAlign w:val="center"/>
                </w:tcPr>
                <w:p w14:paraId="5EAAA6E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eastAsia="宋体" w:cs="Times New Roman"/>
                      <w:bCs/>
                      <w:spacing w:val="-11"/>
                      <w:kern w:val="2"/>
                      <w:sz w:val="21"/>
                      <w:szCs w:val="21"/>
                      <w:highlight w:val="none"/>
                      <w:lang w:val="en-US" w:eastAsia="zh-CN" w:bidi="ar-SA"/>
                    </w:rPr>
                    <w:t>0.489</w:t>
                  </w:r>
                </w:p>
              </w:tc>
              <w:tc>
                <w:tcPr>
                  <w:tcW w:w="312" w:type="pct"/>
                  <w:noWrap w:val="0"/>
                  <w:vAlign w:val="center"/>
                </w:tcPr>
                <w:p w14:paraId="057CD305">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0.019</w:t>
                  </w:r>
                </w:p>
              </w:tc>
              <w:tc>
                <w:tcPr>
                  <w:tcW w:w="342" w:type="pct"/>
                  <w:noWrap w:val="0"/>
                  <w:vAlign w:val="center"/>
                </w:tcPr>
                <w:p w14:paraId="6759B25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0.162</w:t>
                  </w:r>
                </w:p>
              </w:tc>
              <w:tc>
                <w:tcPr>
                  <w:tcW w:w="343" w:type="pct"/>
                  <w:noWrap w:val="0"/>
                  <w:vAlign w:val="center"/>
                </w:tcPr>
                <w:p w14:paraId="0BEF48B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0.008</w:t>
                  </w:r>
                </w:p>
              </w:tc>
              <w:tc>
                <w:tcPr>
                  <w:tcW w:w="301" w:type="pct"/>
                  <w:shd w:val="clear" w:color="auto" w:fill="auto"/>
                  <w:noWrap w:val="0"/>
                  <w:vAlign w:val="center"/>
                </w:tcPr>
                <w:p w14:paraId="0ADB166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0.008</w:t>
                  </w:r>
                </w:p>
              </w:tc>
              <w:tc>
                <w:tcPr>
                  <w:tcW w:w="735" w:type="pct"/>
                  <w:noWrap w:val="0"/>
                  <w:vAlign w:val="center"/>
                </w:tcPr>
                <w:p w14:paraId="5E560C5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0.065</w:t>
                  </w:r>
                </w:p>
              </w:tc>
              <w:tc>
                <w:tcPr>
                  <w:tcW w:w="486" w:type="pct"/>
                  <w:shd w:val="clear" w:color="auto" w:fill="auto"/>
                  <w:noWrap w:val="0"/>
                  <w:vAlign w:val="center"/>
                </w:tcPr>
                <w:p w14:paraId="14015A8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eastAsia="宋体" w:cs="Times New Roman"/>
                      <w:bCs/>
                      <w:spacing w:val="-11"/>
                      <w:sz w:val="21"/>
                      <w:szCs w:val="21"/>
                      <w:highlight w:val="none"/>
                      <w:lang w:val="en-US" w:eastAsia="zh-CN"/>
                    </w:rPr>
                    <w:t>0.308</w:t>
                  </w:r>
                </w:p>
              </w:tc>
              <w:tc>
                <w:tcPr>
                  <w:tcW w:w="387" w:type="pct"/>
                  <w:noWrap w:val="0"/>
                  <w:vAlign w:val="center"/>
                </w:tcPr>
                <w:p w14:paraId="4BFF385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spacing w:val="-11"/>
                      <w:sz w:val="21"/>
                      <w:szCs w:val="21"/>
                      <w:highlight w:val="none"/>
                      <w:lang w:val="en-US" w:eastAsia="zh-CN"/>
                    </w:rPr>
                  </w:pPr>
                  <w:r>
                    <w:rPr>
                      <w:rFonts w:hint="default" w:ascii="Times New Roman" w:hAnsi="Times New Roman" w:cs="Times New Roman"/>
                      <w:spacing w:val="-11"/>
                      <w:sz w:val="21"/>
                      <w:szCs w:val="21"/>
                      <w:highlight w:val="none"/>
                      <w:lang w:val="en-US" w:eastAsia="zh-CN"/>
                    </w:rPr>
                    <w:t>0.09</w:t>
                  </w:r>
                </w:p>
              </w:tc>
              <w:tc>
                <w:tcPr>
                  <w:tcW w:w="390" w:type="pct"/>
                  <w:noWrap w:val="0"/>
                  <w:vAlign w:val="center"/>
                </w:tcPr>
                <w:p w14:paraId="7885A51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0.0044</w:t>
                  </w:r>
                </w:p>
              </w:tc>
              <w:tc>
                <w:tcPr>
                  <w:tcW w:w="433" w:type="pct"/>
                  <w:noWrap w:val="0"/>
                  <w:vAlign w:val="center"/>
                </w:tcPr>
                <w:p w14:paraId="7EB65D2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0.0044</w:t>
                  </w:r>
                </w:p>
              </w:tc>
            </w:tr>
            <w:tr w14:paraId="6C70B8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restart"/>
                  <w:noWrap w:val="0"/>
                  <w:vAlign w:val="center"/>
                </w:tcPr>
                <w:p w14:paraId="11E01342">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排放口基本情况</w:t>
                  </w:r>
                </w:p>
              </w:tc>
              <w:tc>
                <w:tcPr>
                  <w:tcW w:w="448" w:type="pct"/>
                  <w:noWrap w:val="0"/>
                  <w:vAlign w:val="center"/>
                </w:tcPr>
                <w:p w14:paraId="1981E30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排气筒高度(m)</w:t>
                  </w:r>
                </w:p>
              </w:tc>
              <w:tc>
                <w:tcPr>
                  <w:tcW w:w="694" w:type="pct"/>
                  <w:noWrap w:val="0"/>
                  <w:vAlign w:val="center"/>
                </w:tcPr>
                <w:p w14:paraId="03FCF5E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cs="Times New Roman"/>
                      <w:bCs/>
                      <w:spacing w:val="-11"/>
                      <w:kern w:val="2"/>
                      <w:sz w:val="21"/>
                      <w:szCs w:val="21"/>
                      <w:highlight w:val="none"/>
                      <w:lang w:val="en-US" w:eastAsia="zh-CN" w:bidi="ar-SA"/>
                    </w:rPr>
                    <w:t>20</w:t>
                  </w:r>
                </w:p>
              </w:tc>
              <w:tc>
                <w:tcPr>
                  <w:tcW w:w="1301" w:type="pct"/>
                  <w:gridSpan w:val="4"/>
                  <w:noWrap w:val="0"/>
                  <w:vAlign w:val="center"/>
                </w:tcPr>
                <w:p w14:paraId="6E1204A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kern w:val="2"/>
                      <w:sz w:val="21"/>
                      <w:szCs w:val="21"/>
                      <w:highlight w:val="none"/>
                      <w:lang w:val="en-US" w:eastAsia="zh-CN" w:bidi="ar-SA"/>
                    </w:rPr>
                    <w:t>20</w:t>
                  </w:r>
                </w:p>
              </w:tc>
              <w:tc>
                <w:tcPr>
                  <w:tcW w:w="735" w:type="pct"/>
                  <w:noWrap w:val="0"/>
                  <w:vAlign w:val="center"/>
                </w:tcPr>
                <w:p w14:paraId="796E26F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kern w:val="2"/>
                      <w:sz w:val="21"/>
                      <w:szCs w:val="21"/>
                      <w:highlight w:val="none"/>
                      <w:lang w:val="en-US" w:eastAsia="zh-CN" w:bidi="ar-SA"/>
                    </w:rPr>
                    <w:t>20</w:t>
                  </w:r>
                </w:p>
              </w:tc>
              <w:tc>
                <w:tcPr>
                  <w:tcW w:w="486" w:type="pct"/>
                  <w:noWrap w:val="0"/>
                  <w:vAlign w:val="center"/>
                </w:tcPr>
                <w:p w14:paraId="2519910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6887F12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7BE9CE9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7358637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4F2ADE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51F4FE23">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0657E09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排气筒内径(m)</w:t>
                  </w:r>
                </w:p>
              </w:tc>
              <w:tc>
                <w:tcPr>
                  <w:tcW w:w="694" w:type="pct"/>
                  <w:noWrap w:val="0"/>
                  <w:vAlign w:val="center"/>
                </w:tcPr>
                <w:p w14:paraId="45D69252">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color w:val="auto"/>
                      <w:spacing w:val="-11"/>
                      <w:sz w:val="21"/>
                      <w:szCs w:val="21"/>
                      <w:highlight w:val="none"/>
                      <w:lang w:val="en-US" w:eastAsia="zh-CN"/>
                    </w:rPr>
                    <w:t>0.8</w:t>
                  </w:r>
                </w:p>
              </w:tc>
              <w:tc>
                <w:tcPr>
                  <w:tcW w:w="1301" w:type="pct"/>
                  <w:gridSpan w:val="4"/>
                  <w:noWrap w:val="0"/>
                  <w:vAlign w:val="center"/>
                </w:tcPr>
                <w:p w14:paraId="7BCC0938">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color w:val="auto"/>
                      <w:spacing w:val="-11"/>
                      <w:sz w:val="21"/>
                      <w:szCs w:val="21"/>
                      <w:highlight w:val="none"/>
                      <w:lang w:val="en-US" w:eastAsia="zh-CN"/>
                    </w:rPr>
                    <w:t>0.6</w:t>
                  </w:r>
                </w:p>
              </w:tc>
              <w:tc>
                <w:tcPr>
                  <w:tcW w:w="735" w:type="pct"/>
                  <w:noWrap w:val="0"/>
                  <w:vAlign w:val="center"/>
                </w:tcPr>
                <w:p w14:paraId="26E779EB">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color w:val="auto"/>
                      <w:spacing w:val="-11"/>
                      <w:sz w:val="21"/>
                      <w:szCs w:val="21"/>
                      <w:highlight w:val="none"/>
                      <w:lang w:val="en-US" w:eastAsia="zh-CN"/>
                    </w:rPr>
                    <w:t>0.4</w:t>
                  </w:r>
                </w:p>
              </w:tc>
              <w:tc>
                <w:tcPr>
                  <w:tcW w:w="486" w:type="pct"/>
                  <w:noWrap w:val="0"/>
                  <w:vAlign w:val="center"/>
                </w:tcPr>
                <w:p w14:paraId="6DA9351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67CED99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1B843F6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7A379D5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13FAA4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3AC1D4A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413E89D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温度(℃)</w:t>
                  </w:r>
                </w:p>
              </w:tc>
              <w:tc>
                <w:tcPr>
                  <w:tcW w:w="694" w:type="pct"/>
                  <w:noWrap w:val="0"/>
                  <w:vAlign w:val="center"/>
                </w:tcPr>
                <w:p w14:paraId="43EC3749">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color w:val="auto"/>
                      <w:spacing w:val="-11"/>
                      <w:kern w:val="2"/>
                      <w:sz w:val="21"/>
                      <w:szCs w:val="21"/>
                      <w:highlight w:val="none"/>
                      <w:lang w:val="en-US" w:eastAsia="zh-CN" w:bidi="ar-SA"/>
                    </w:rPr>
                    <w:t>60</w:t>
                  </w:r>
                </w:p>
              </w:tc>
              <w:tc>
                <w:tcPr>
                  <w:tcW w:w="1301" w:type="pct"/>
                  <w:gridSpan w:val="4"/>
                  <w:noWrap w:val="0"/>
                  <w:vAlign w:val="center"/>
                </w:tcPr>
                <w:p w14:paraId="34AF5428">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eastAsia="宋体" w:cs="Times New Roman"/>
                      <w:bCs/>
                      <w:spacing w:val="-11"/>
                      <w:sz w:val="21"/>
                      <w:szCs w:val="21"/>
                      <w:highlight w:val="none"/>
                      <w:lang w:val="en-US" w:eastAsia="zh-CN"/>
                    </w:rPr>
                  </w:pPr>
                  <w:r>
                    <w:rPr>
                      <w:rFonts w:hint="default" w:ascii="Times New Roman" w:hAnsi="Times New Roman" w:cs="Times New Roman"/>
                      <w:bCs/>
                      <w:color w:val="auto"/>
                      <w:spacing w:val="-11"/>
                      <w:kern w:val="2"/>
                      <w:sz w:val="21"/>
                      <w:szCs w:val="21"/>
                      <w:highlight w:val="none"/>
                      <w:lang w:val="en-US" w:eastAsia="zh-CN" w:bidi="ar-SA"/>
                    </w:rPr>
                    <w:t>40</w:t>
                  </w:r>
                </w:p>
              </w:tc>
              <w:tc>
                <w:tcPr>
                  <w:tcW w:w="735" w:type="pct"/>
                  <w:noWrap w:val="0"/>
                  <w:vAlign w:val="center"/>
                </w:tcPr>
                <w:p w14:paraId="5B87E379">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sz w:val="21"/>
                      <w:szCs w:val="21"/>
                      <w:highlight w:val="none"/>
                    </w:rPr>
                  </w:pPr>
                  <w:r>
                    <w:rPr>
                      <w:rFonts w:hint="default" w:ascii="Times New Roman" w:hAnsi="Times New Roman" w:cs="Times New Roman"/>
                      <w:bCs/>
                      <w:color w:val="auto"/>
                      <w:spacing w:val="-11"/>
                      <w:kern w:val="2"/>
                      <w:sz w:val="21"/>
                      <w:szCs w:val="21"/>
                      <w:highlight w:val="none"/>
                      <w:lang w:val="en-US" w:eastAsia="zh-CN" w:bidi="ar-SA"/>
                    </w:rPr>
                    <w:t>常温</w:t>
                  </w:r>
                </w:p>
              </w:tc>
              <w:tc>
                <w:tcPr>
                  <w:tcW w:w="486" w:type="pct"/>
                  <w:noWrap w:val="0"/>
                  <w:vAlign w:val="center"/>
                </w:tcPr>
                <w:p w14:paraId="1DB3F35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6504A7BD">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3E414A9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69ED1A0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6757B1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4DBE2A2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5984C38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编号及名称</w:t>
                  </w:r>
                </w:p>
              </w:tc>
              <w:tc>
                <w:tcPr>
                  <w:tcW w:w="694" w:type="pct"/>
                  <w:noWrap w:val="0"/>
                  <w:vAlign w:val="center"/>
                </w:tcPr>
                <w:p w14:paraId="04F74E3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eastAsia="宋体" w:cs="Times New Roman"/>
                      <w:bCs/>
                      <w:spacing w:val="-11"/>
                      <w:kern w:val="2"/>
                      <w:sz w:val="21"/>
                      <w:szCs w:val="21"/>
                      <w:highlight w:val="none"/>
                      <w:lang w:val="en-US" w:eastAsia="zh-CN" w:bidi="ar-SA"/>
                    </w:rPr>
                  </w:pPr>
                  <w:r>
                    <w:rPr>
                      <w:rFonts w:hint="default" w:ascii="Times New Roman" w:hAnsi="Times New Roman" w:cs="Times New Roman"/>
                      <w:bCs/>
                      <w:spacing w:val="-11"/>
                      <w:sz w:val="21"/>
                      <w:szCs w:val="21"/>
                      <w:highlight w:val="none"/>
                      <w:lang w:val="en-US" w:eastAsia="zh-CN"/>
                    </w:rPr>
                    <w:t>DA001</w:t>
                  </w:r>
                </w:p>
              </w:tc>
              <w:tc>
                <w:tcPr>
                  <w:tcW w:w="1301" w:type="pct"/>
                  <w:gridSpan w:val="4"/>
                  <w:noWrap w:val="0"/>
                  <w:vAlign w:val="center"/>
                </w:tcPr>
                <w:p w14:paraId="7DEFE94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DA002</w:t>
                  </w:r>
                </w:p>
              </w:tc>
              <w:tc>
                <w:tcPr>
                  <w:tcW w:w="735" w:type="pct"/>
                  <w:noWrap w:val="0"/>
                  <w:vAlign w:val="center"/>
                </w:tcPr>
                <w:p w14:paraId="1B154A0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lang w:val="en-US" w:eastAsia="zh-CN"/>
                    </w:rPr>
                  </w:pPr>
                  <w:r>
                    <w:rPr>
                      <w:rFonts w:hint="default" w:ascii="Times New Roman" w:hAnsi="Times New Roman" w:cs="Times New Roman"/>
                      <w:bCs/>
                      <w:spacing w:val="-11"/>
                      <w:sz w:val="21"/>
                      <w:szCs w:val="21"/>
                      <w:highlight w:val="none"/>
                      <w:lang w:val="en-US" w:eastAsia="zh-CN"/>
                    </w:rPr>
                    <w:t>DA003</w:t>
                  </w:r>
                </w:p>
              </w:tc>
              <w:tc>
                <w:tcPr>
                  <w:tcW w:w="486" w:type="pct"/>
                  <w:noWrap w:val="0"/>
                  <w:vAlign w:val="center"/>
                </w:tcPr>
                <w:p w14:paraId="7FEB439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1C22346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733DE6E1">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3B34EB8C">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658B15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6A5411DA">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567148A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类型</w:t>
                  </w:r>
                </w:p>
              </w:tc>
              <w:tc>
                <w:tcPr>
                  <w:tcW w:w="2731" w:type="pct"/>
                  <w:gridSpan w:val="6"/>
                  <w:noWrap w:val="0"/>
                  <w:vAlign w:val="center"/>
                </w:tcPr>
                <w:p w14:paraId="0DA47DD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一般排放口</w:t>
                  </w:r>
                </w:p>
              </w:tc>
              <w:tc>
                <w:tcPr>
                  <w:tcW w:w="486" w:type="pct"/>
                  <w:noWrap w:val="0"/>
                  <w:vAlign w:val="center"/>
                </w:tcPr>
                <w:p w14:paraId="3C7B02A4">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6FE45E26">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4018C2CB">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5DF7E08F">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r w14:paraId="42B0B9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c>
                <w:tcPr>
                  <w:tcW w:w="122" w:type="pct"/>
                  <w:vMerge w:val="continue"/>
                  <w:noWrap w:val="0"/>
                  <w:vAlign w:val="center"/>
                </w:tcPr>
                <w:p w14:paraId="6C69752E">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p>
              </w:tc>
              <w:tc>
                <w:tcPr>
                  <w:tcW w:w="448" w:type="pct"/>
                  <w:noWrap w:val="0"/>
                  <w:vAlign w:val="center"/>
                </w:tcPr>
                <w:p w14:paraId="2C8000B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地理坐标</w:t>
                  </w:r>
                </w:p>
              </w:tc>
              <w:tc>
                <w:tcPr>
                  <w:tcW w:w="694" w:type="pct"/>
                  <w:noWrap w:val="0"/>
                  <w:vAlign w:val="center"/>
                </w:tcPr>
                <w:p w14:paraId="2B02D30A">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kern w:val="2"/>
                      <w:sz w:val="21"/>
                      <w:szCs w:val="21"/>
                      <w:highlight w:val="none"/>
                      <w:lang w:val="en-US" w:eastAsia="zh-CN" w:bidi="ar-SA"/>
                    </w:rPr>
                  </w:pPr>
                  <w:r>
                    <w:rPr>
                      <w:rFonts w:hint="default" w:ascii="Times New Roman" w:hAnsi="Times New Roman" w:eastAsia="宋体" w:cs="Times New Roman"/>
                      <w:b w:val="0"/>
                      <w:color w:val="auto"/>
                      <w:spacing w:val="-11"/>
                      <w:sz w:val="21"/>
                      <w:szCs w:val="21"/>
                      <w:highlight w:val="none"/>
                    </w:rPr>
                    <w:t>114.043455</w:t>
                  </w:r>
                  <w:r>
                    <w:rPr>
                      <w:rFonts w:hint="default" w:ascii="Times New Roman" w:hAnsi="Times New Roman" w:cs="Times New Roman"/>
                      <w:bCs/>
                      <w:color w:val="auto"/>
                      <w:spacing w:val="-11"/>
                      <w:sz w:val="21"/>
                      <w:szCs w:val="21"/>
                      <w:highlight w:val="none"/>
                      <w:lang w:val="en-US" w:eastAsia="zh-CN"/>
                    </w:rPr>
                    <w:t>°</w:t>
                  </w:r>
                  <w:r>
                    <w:rPr>
                      <w:rFonts w:hint="default" w:ascii="Times New Roman" w:hAnsi="Times New Roman" w:cs="Times New Roman"/>
                      <w:bCs/>
                      <w:color w:val="auto"/>
                      <w:spacing w:val="-11"/>
                      <w:sz w:val="21"/>
                      <w:szCs w:val="21"/>
                      <w:highlight w:val="none"/>
                      <w:lang w:eastAsia="zh-CN"/>
                    </w:rPr>
                    <w:t>，</w:t>
                  </w:r>
                  <w:r>
                    <w:rPr>
                      <w:rFonts w:hint="default" w:ascii="Times New Roman" w:hAnsi="Times New Roman" w:eastAsia="宋体" w:cs="Times New Roman"/>
                      <w:b w:val="0"/>
                      <w:color w:val="auto"/>
                      <w:spacing w:val="-11"/>
                      <w:sz w:val="21"/>
                      <w:szCs w:val="21"/>
                      <w:highlight w:val="none"/>
                    </w:rPr>
                    <w:t>38.107446</w:t>
                  </w:r>
                  <w:r>
                    <w:rPr>
                      <w:rFonts w:hint="default" w:ascii="Times New Roman" w:hAnsi="Times New Roman" w:cs="Times New Roman"/>
                      <w:bCs/>
                      <w:color w:val="auto"/>
                      <w:spacing w:val="-11"/>
                      <w:sz w:val="21"/>
                      <w:szCs w:val="21"/>
                      <w:highlight w:val="none"/>
                      <w:lang w:val="en-US" w:eastAsia="zh-CN"/>
                    </w:rPr>
                    <w:t>°</w:t>
                  </w:r>
                </w:p>
              </w:tc>
              <w:tc>
                <w:tcPr>
                  <w:tcW w:w="1301" w:type="pct"/>
                  <w:gridSpan w:val="4"/>
                  <w:noWrap w:val="0"/>
                  <w:vAlign w:val="center"/>
                </w:tcPr>
                <w:p w14:paraId="586B34A6">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color w:val="auto"/>
                      <w:spacing w:val="-11"/>
                      <w:sz w:val="21"/>
                      <w:szCs w:val="21"/>
                      <w:highlight w:val="none"/>
                      <w:lang w:eastAsia="zh-CN"/>
                    </w:rPr>
                  </w:pPr>
                  <w:r>
                    <w:rPr>
                      <w:rFonts w:hint="default" w:ascii="Times New Roman" w:hAnsi="Times New Roman" w:eastAsia="宋体" w:cs="Times New Roman"/>
                      <w:b w:val="0"/>
                      <w:color w:val="auto"/>
                      <w:spacing w:val="-11"/>
                      <w:sz w:val="21"/>
                      <w:szCs w:val="21"/>
                      <w:highlight w:val="none"/>
                    </w:rPr>
                    <w:t>114.04294</w:t>
                  </w:r>
                  <w:r>
                    <w:rPr>
                      <w:rFonts w:hint="default" w:ascii="Times New Roman" w:hAnsi="Times New Roman" w:cs="Times New Roman"/>
                      <w:bCs/>
                      <w:color w:val="auto"/>
                      <w:spacing w:val="-11"/>
                      <w:sz w:val="21"/>
                      <w:szCs w:val="21"/>
                      <w:highlight w:val="none"/>
                      <w:lang w:val="en-US" w:eastAsia="zh-CN"/>
                    </w:rPr>
                    <w:t>°</w:t>
                  </w:r>
                  <w:r>
                    <w:rPr>
                      <w:rFonts w:hint="default" w:ascii="Times New Roman" w:hAnsi="Times New Roman" w:cs="Times New Roman"/>
                      <w:bCs/>
                      <w:color w:val="auto"/>
                      <w:spacing w:val="-11"/>
                      <w:sz w:val="21"/>
                      <w:szCs w:val="21"/>
                      <w:highlight w:val="none"/>
                      <w:lang w:eastAsia="zh-CN"/>
                    </w:rPr>
                    <w:t>，</w:t>
                  </w:r>
                </w:p>
                <w:p w14:paraId="25DA4942">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sz w:val="21"/>
                      <w:szCs w:val="21"/>
                      <w:highlight w:val="none"/>
                    </w:rPr>
                  </w:pPr>
                  <w:r>
                    <w:rPr>
                      <w:rFonts w:hint="default" w:ascii="Times New Roman" w:hAnsi="Times New Roman" w:eastAsia="宋体" w:cs="Times New Roman"/>
                      <w:b w:val="0"/>
                      <w:color w:val="auto"/>
                      <w:spacing w:val="-11"/>
                      <w:sz w:val="21"/>
                      <w:szCs w:val="21"/>
                      <w:highlight w:val="none"/>
                    </w:rPr>
                    <w:t>38.107442</w:t>
                  </w:r>
                  <w:r>
                    <w:rPr>
                      <w:rFonts w:hint="default" w:ascii="Times New Roman" w:hAnsi="Times New Roman" w:cs="Times New Roman"/>
                      <w:bCs/>
                      <w:color w:val="auto"/>
                      <w:spacing w:val="-11"/>
                      <w:sz w:val="21"/>
                      <w:szCs w:val="21"/>
                      <w:highlight w:val="none"/>
                      <w:lang w:val="en-US" w:eastAsia="zh-CN"/>
                    </w:rPr>
                    <w:t>°</w:t>
                  </w:r>
                </w:p>
              </w:tc>
              <w:tc>
                <w:tcPr>
                  <w:tcW w:w="735" w:type="pct"/>
                  <w:noWrap w:val="0"/>
                  <w:vAlign w:val="center"/>
                </w:tcPr>
                <w:p w14:paraId="34694015">
                  <w:pPr>
                    <w:keepNext w:val="0"/>
                    <w:keepLines w:val="0"/>
                    <w:suppressLineNumbers w:val="0"/>
                    <w:adjustRightInd w:val="0"/>
                    <w:spacing w:before="0" w:beforeAutospacing="0" w:after="0" w:afterAutospacing="0" w:line="280" w:lineRule="exact"/>
                    <w:ind w:left="0" w:leftChars="0" w:right="0" w:rightChars="0"/>
                    <w:jc w:val="center"/>
                    <w:rPr>
                      <w:rFonts w:hint="default" w:ascii="Times New Roman" w:hAnsi="Times New Roman" w:cs="Times New Roman"/>
                      <w:bCs/>
                      <w:spacing w:val="-11"/>
                      <w:sz w:val="21"/>
                      <w:szCs w:val="21"/>
                      <w:highlight w:val="none"/>
                    </w:rPr>
                  </w:pPr>
                  <w:r>
                    <w:rPr>
                      <w:rFonts w:hint="default" w:ascii="Times New Roman" w:hAnsi="Times New Roman" w:eastAsia="宋体" w:cs="Times New Roman"/>
                      <w:b w:val="0"/>
                      <w:color w:val="auto"/>
                      <w:spacing w:val="-11"/>
                      <w:sz w:val="21"/>
                      <w:szCs w:val="21"/>
                      <w:highlight w:val="none"/>
                    </w:rPr>
                    <w:t>114.043331</w:t>
                  </w:r>
                  <w:r>
                    <w:rPr>
                      <w:rFonts w:hint="default" w:ascii="Times New Roman" w:hAnsi="Times New Roman" w:cs="Times New Roman"/>
                      <w:bCs/>
                      <w:color w:val="auto"/>
                      <w:spacing w:val="-11"/>
                      <w:sz w:val="21"/>
                      <w:szCs w:val="21"/>
                      <w:highlight w:val="none"/>
                      <w:lang w:val="en-US" w:eastAsia="zh-CN"/>
                    </w:rPr>
                    <w:t>°</w:t>
                  </w:r>
                  <w:r>
                    <w:rPr>
                      <w:rFonts w:hint="default" w:ascii="Times New Roman" w:hAnsi="Times New Roman" w:cs="Times New Roman"/>
                      <w:bCs/>
                      <w:color w:val="auto"/>
                      <w:spacing w:val="-11"/>
                      <w:sz w:val="21"/>
                      <w:szCs w:val="21"/>
                      <w:highlight w:val="none"/>
                      <w:lang w:eastAsia="zh-CN"/>
                    </w:rPr>
                    <w:t>，</w:t>
                  </w:r>
                  <w:r>
                    <w:rPr>
                      <w:rFonts w:hint="default" w:ascii="Times New Roman" w:hAnsi="Times New Roman" w:eastAsia="宋体" w:cs="Times New Roman"/>
                      <w:b w:val="0"/>
                      <w:color w:val="auto"/>
                      <w:spacing w:val="-11"/>
                      <w:sz w:val="21"/>
                      <w:szCs w:val="21"/>
                      <w:highlight w:val="none"/>
                    </w:rPr>
                    <w:t>38.107801</w:t>
                  </w:r>
                  <w:r>
                    <w:rPr>
                      <w:rFonts w:hint="default" w:ascii="Times New Roman" w:hAnsi="Times New Roman" w:cs="Times New Roman"/>
                      <w:bCs/>
                      <w:color w:val="auto"/>
                      <w:spacing w:val="-11"/>
                      <w:sz w:val="21"/>
                      <w:szCs w:val="21"/>
                      <w:highlight w:val="none"/>
                      <w:lang w:val="en-US" w:eastAsia="zh-CN"/>
                    </w:rPr>
                    <w:t>°</w:t>
                  </w:r>
                </w:p>
              </w:tc>
              <w:tc>
                <w:tcPr>
                  <w:tcW w:w="486" w:type="pct"/>
                  <w:noWrap w:val="0"/>
                  <w:vAlign w:val="center"/>
                </w:tcPr>
                <w:p w14:paraId="6F73E3E0">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87" w:type="pct"/>
                  <w:noWrap w:val="0"/>
                  <w:vAlign w:val="center"/>
                </w:tcPr>
                <w:p w14:paraId="56292479">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390" w:type="pct"/>
                  <w:noWrap w:val="0"/>
                  <w:vAlign w:val="center"/>
                </w:tcPr>
                <w:p w14:paraId="4287FC48">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c>
                <w:tcPr>
                  <w:tcW w:w="433" w:type="pct"/>
                  <w:noWrap w:val="0"/>
                  <w:vAlign w:val="center"/>
                </w:tcPr>
                <w:p w14:paraId="556CDF47">
                  <w:pPr>
                    <w:keepNext w:val="0"/>
                    <w:keepLines w:val="0"/>
                    <w:suppressLineNumbers w:val="0"/>
                    <w:adjustRightInd w:val="0"/>
                    <w:spacing w:before="0" w:beforeAutospacing="0" w:after="0" w:afterAutospacing="0" w:line="280" w:lineRule="exact"/>
                    <w:ind w:left="0" w:right="0"/>
                    <w:jc w:val="center"/>
                    <w:rPr>
                      <w:rFonts w:hint="default" w:ascii="Times New Roman" w:hAnsi="Times New Roman" w:cs="Times New Roman"/>
                      <w:bCs/>
                      <w:spacing w:val="-11"/>
                      <w:sz w:val="21"/>
                      <w:szCs w:val="21"/>
                      <w:highlight w:val="none"/>
                    </w:rPr>
                  </w:pPr>
                  <w:r>
                    <w:rPr>
                      <w:rFonts w:hint="default" w:ascii="Times New Roman" w:hAnsi="Times New Roman" w:cs="Times New Roman"/>
                      <w:bCs/>
                      <w:spacing w:val="-11"/>
                      <w:sz w:val="21"/>
                      <w:szCs w:val="21"/>
                      <w:highlight w:val="none"/>
                    </w:rPr>
                    <w:t>/</w:t>
                  </w:r>
                </w:p>
              </w:tc>
            </w:tr>
          </w:tbl>
          <w:p w14:paraId="56E31360">
            <w:pPr>
              <w:keepNext w:val="0"/>
              <w:keepLines w:val="0"/>
              <w:suppressLineNumbers w:val="0"/>
              <w:spacing w:before="0" w:beforeAutospacing="0" w:after="0" w:afterAutospacing="0" w:line="480" w:lineRule="exact"/>
              <w:ind w:left="0" w:right="0" w:firstLine="480" w:firstLineChars="200"/>
              <w:rPr>
                <w:rFonts w:hint="default"/>
                <w:b w:val="0"/>
                <w:bCs w:val="0"/>
                <w:sz w:val="24"/>
                <w:szCs w:val="20"/>
                <w:highlight w:val="none"/>
              </w:rPr>
            </w:pPr>
            <w:r>
              <w:rPr>
                <w:rFonts w:hint="eastAsia"/>
                <w:b w:val="0"/>
                <w:bCs w:val="0"/>
                <w:sz w:val="24"/>
                <w:szCs w:val="20"/>
                <w:highlight w:val="none"/>
                <w:lang w:val="en-US" w:eastAsia="zh-CN"/>
              </w:rPr>
              <w:t>3、</w:t>
            </w:r>
            <w:r>
              <w:rPr>
                <w:rFonts w:hint="default"/>
                <w:b w:val="0"/>
                <w:bCs w:val="0"/>
                <w:sz w:val="24"/>
                <w:szCs w:val="20"/>
                <w:highlight w:val="none"/>
              </w:rPr>
              <w:t>非正常工况</w:t>
            </w:r>
          </w:p>
          <w:p w14:paraId="5E56AD1D">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非正常工况主要包括环保设施无法正常运行、设备开停车检修、工艺设备故障等。</w:t>
            </w:r>
          </w:p>
          <w:p w14:paraId="26E10925">
            <w:pPr>
              <w:keepNext w:val="0"/>
              <w:keepLines w:val="0"/>
              <w:numPr>
                <w:ilvl w:val="0"/>
                <w:numId w:val="8"/>
              </w:numPr>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环保设施故障</w:t>
            </w:r>
          </w:p>
          <w:p w14:paraId="69434D52">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本项目</w:t>
            </w:r>
            <w:r>
              <w:rPr>
                <w:rFonts w:hint="eastAsia"/>
                <w:kern w:val="0"/>
                <w:sz w:val="24"/>
                <w:szCs w:val="20"/>
                <w:highlight w:val="none"/>
              </w:rPr>
              <w:t>废气</w:t>
            </w:r>
            <w:r>
              <w:rPr>
                <w:rFonts w:hint="default"/>
                <w:kern w:val="0"/>
                <w:sz w:val="24"/>
                <w:szCs w:val="20"/>
                <w:highlight w:val="none"/>
              </w:rPr>
              <w:t>污染物环保设施主要为</w:t>
            </w:r>
            <w:r>
              <w:rPr>
                <w:rFonts w:hint="eastAsia"/>
                <w:kern w:val="0"/>
                <w:sz w:val="24"/>
                <w:szCs w:val="20"/>
                <w:highlight w:val="none"/>
              </w:rPr>
              <w:t>脉冲</w:t>
            </w:r>
            <w:r>
              <w:rPr>
                <w:rFonts w:hint="default"/>
                <w:kern w:val="0"/>
                <w:sz w:val="24"/>
                <w:szCs w:val="20"/>
                <w:highlight w:val="none"/>
                <w:lang w:bidi="ar"/>
              </w:rPr>
              <w:t>布袋除尘器</w:t>
            </w:r>
            <w:r>
              <w:rPr>
                <w:rFonts w:hint="default"/>
                <w:kern w:val="0"/>
                <w:sz w:val="24"/>
                <w:szCs w:val="20"/>
                <w:highlight w:val="none"/>
              </w:rPr>
              <w:t>，考虑最不利的情况</w:t>
            </w:r>
            <w:r>
              <w:rPr>
                <w:rFonts w:hint="eastAsia"/>
                <w:kern w:val="0"/>
                <w:sz w:val="24"/>
                <w:szCs w:val="20"/>
                <w:highlight w:val="none"/>
              </w:rPr>
              <w:t>为脉冲</w:t>
            </w:r>
            <w:r>
              <w:rPr>
                <w:rFonts w:hint="default"/>
                <w:kern w:val="0"/>
                <w:sz w:val="24"/>
                <w:szCs w:val="20"/>
                <w:highlight w:val="none"/>
              </w:rPr>
              <w:t>布袋除尘器处理效率下降</w:t>
            </w:r>
            <w:r>
              <w:rPr>
                <w:rFonts w:hint="eastAsia"/>
                <w:kern w:val="0"/>
                <w:sz w:val="24"/>
                <w:szCs w:val="20"/>
                <w:highlight w:val="none"/>
              </w:rPr>
              <w:t>，</w:t>
            </w:r>
            <w:r>
              <w:rPr>
                <w:rFonts w:hint="default"/>
                <w:kern w:val="0"/>
                <w:sz w:val="24"/>
                <w:szCs w:val="20"/>
                <w:highlight w:val="none"/>
              </w:rPr>
              <w:t>达不到应有的去除效率</w:t>
            </w:r>
            <w:r>
              <w:rPr>
                <w:rFonts w:hint="eastAsia"/>
                <w:kern w:val="0"/>
                <w:sz w:val="24"/>
                <w:szCs w:val="20"/>
                <w:highlight w:val="none"/>
              </w:rPr>
              <w:t>或者直接排放</w:t>
            </w:r>
            <w:r>
              <w:rPr>
                <w:rFonts w:hint="default"/>
                <w:kern w:val="0"/>
                <w:sz w:val="24"/>
                <w:szCs w:val="20"/>
                <w:highlight w:val="none"/>
                <w:lang w:bidi="ar"/>
              </w:rPr>
              <w:t>。</w:t>
            </w:r>
          </w:p>
          <w:p w14:paraId="2C5B5DB7">
            <w:pPr>
              <w:keepNext w:val="0"/>
              <w:keepLines w:val="0"/>
              <w:numPr>
                <w:ilvl w:val="0"/>
                <w:numId w:val="8"/>
              </w:numPr>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设备开停车检修</w:t>
            </w:r>
          </w:p>
          <w:p w14:paraId="7EADB471">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设备维检过程中，先停工艺设备，全部工艺停止运行、不再进行生产后，再将废气处理设备停止运行，不存在由于</w:t>
            </w:r>
            <w:r>
              <w:rPr>
                <w:rFonts w:hint="eastAsia"/>
                <w:kern w:val="0"/>
                <w:sz w:val="24"/>
                <w:szCs w:val="20"/>
                <w:highlight w:val="none"/>
              </w:rPr>
              <w:t>生产</w:t>
            </w:r>
            <w:r>
              <w:rPr>
                <w:rFonts w:hint="default"/>
                <w:kern w:val="0"/>
                <w:sz w:val="24"/>
                <w:szCs w:val="20"/>
                <w:highlight w:val="none"/>
              </w:rPr>
              <w:t>过程造成的污染排放。</w:t>
            </w:r>
          </w:p>
          <w:p w14:paraId="76CB12B9">
            <w:pPr>
              <w:keepNext w:val="0"/>
              <w:keepLines w:val="0"/>
              <w:numPr>
                <w:ilvl w:val="0"/>
                <w:numId w:val="8"/>
              </w:numPr>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工艺设备故障</w:t>
            </w:r>
          </w:p>
          <w:p w14:paraId="2AF07516">
            <w:pPr>
              <w:keepNext w:val="0"/>
              <w:keepLines w:val="0"/>
              <w:suppressLineNumbers w:val="0"/>
              <w:spacing w:before="0" w:beforeAutospacing="0" w:after="0" w:afterAutospacing="0" w:line="480" w:lineRule="exact"/>
              <w:ind w:left="0" w:right="0" w:firstLine="480" w:firstLineChars="200"/>
              <w:rPr>
                <w:rFonts w:hint="eastAsia"/>
                <w:kern w:val="0"/>
                <w:sz w:val="24"/>
                <w:szCs w:val="20"/>
                <w:highlight w:val="none"/>
              </w:rPr>
            </w:pPr>
            <w:r>
              <w:rPr>
                <w:rFonts w:hint="default"/>
                <w:kern w:val="0"/>
                <w:sz w:val="24"/>
                <w:szCs w:val="20"/>
                <w:highlight w:val="none"/>
              </w:rPr>
              <w:t>本项目各运行单元联系紧密，为保证生产的正常进行，本项目输送采用</w:t>
            </w:r>
            <w:r>
              <w:rPr>
                <w:rFonts w:hint="eastAsia"/>
                <w:kern w:val="0"/>
                <w:sz w:val="24"/>
                <w:szCs w:val="20"/>
                <w:highlight w:val="none"/>
              </w:rPr>
              <w:t>皮带</w:t>
            </w:r>
            <w:r>
              <w:rPr>
                <w:rFonts w:hint="default"/>
                <w:kern w:val="0"/>
                <w:sz w:val="24"/>
                <w:szCs w:val="20"/>
                <w:highlight w:val="none"/>
              </w:rPr>
              <w:t>、</w:t>
            </w:r>
            <w:r>
              <w:rPr>
                <w:rFonts w:hint="eastAsia"/>
                <w:kern w:val="0"/>
                <w:sz w:val="24"/>
                <w:szCs w:val="20"/>
                <w:highlight w:val="none"/>
              </w:rPr>
              <w:t>管道</w:t>
            </w:r>
            <w:r>
              <w:rPr>
                <w:rFonts w:hint="default"/>
                <w:kern w:val="0"/>
                <w:sz w:val="24"/>
                <w:szCs w:val="20"/>
                <w:highlight w:val="none"/>
              </w:rPr>
              <w:t>控制相互连通，某一设备故障时，立即</w:t>
            </w:r>
            <w:r>
              <w:rPr>
                <w:rFonts w:hint="eastAsia"/>
                <w:kern w:val="0"/>
                <w:sz w:val="24"/>
                <w:szCs w:val="20"/>
                <w:highlight w:val="none"/>
              </w:rPr>
              <w:t>停止</w:t>
            </w:r>
            <w:r>
              <w:rPr>
                <w:rFonts w:hint="default"/>
                <w:kern w:val="0"/>
                <w:sz w:val="24"/>
                <w:szCs w:val="20"/>
                <w:highlight w:val="none"/>
              </w:rPr>
              <w:t>物料连接管线，并组织人员进行故障设备的维修和更换。</w:t>
            </w:r>
            <w:r>
              <w:rPr>
                <w:rFonts w:hint="eastAsia"/>
                <w:kern w:val="0"/>
                <w:sz w:val="24"/>
                <w:szCs w:val="20"/>
                <w:highlight w:val="none"/>
              </w:rPr>
              <w:t>因此</w:t>
            </w:r>
            <w:r>
              <w:rPr>
                <w:rFonts w:hint="default"/>
                <w:kern w:val="0"/>
                <w:sz w:val="24"/>
                <w:szCs w:val="20"/>
                <w:highlight w:val="none"/>
              </w:rPr>
              <w:t>不存在由于</w:t>
            </w:r>
            <w:r>
              <w:rPr>
                <w:rFonts w:hint="eastAsia"/>
                <w:kern w:val="0"/>
                <w:sz w:val="24"/>
                <w:szCs w:val="20"/>
                <w:highlight w:val="none"/>
              </w:rPr>
              <w:t>设备故障</w:t>
            </w:r>
            <w:r>
              <w:rPr>
                <w:rFonts w:hint="default"/>
                <w:kern w:val="0"/>
                <w:sz w:val="24"/>
                <w:szCs w:val="20"/>
                <w:highlight w:val="none"/>
              </w:rPr>
              <w:t>造成的污染排放</w:t>
            </w:r>
            <w:r>
              <w:rPr>
                <w:rFonts w:hint="eastAsia"/>
                <w:kern w:val="0"/>
                <w:sz w:val="24"/>
                <w:szCs w:val="20"/>
                <w:highlight w:val="none"/>
              </w:rPr>
              <w:t>。</w:t>
            </w:r>
          </w:p>
          <w:p w14:paraId="201CFEFF">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根据本项目生产和排污环节的分析，考虑本项目非正常排放情况主要是布袋除尘器发生故障，导致废气未经处理直接排放或达不到应有的去除效率</w:t>
            </w:r>
            <w:r>
              <w:rPr>
                <w:rFonts w:hint="eastAsia"/>
                <w:kern w:val="0"/>
                <w:sz w:val="24"/>
                <w:szCs w:val="20"/>
                <w:highlight w:val="none"/>
              </w:rPr>
              <w:t>，</w:t>
            </w:r>
            <w:r>
              <w:rPr>
                <w:rFonts w:hint="default"/>
                <w:kern w:val="0"/>
                <w:sz w:val="24"/>
                <w:szCs w:val="20"/>
                <w:highlight w:val="none"/>
              </w:rPr>
              <w:t>此工况通常持续时间一般为1小时，事故频率为每年1次事故</w:t>
            </w:r>
            <w:r>
              <w:rPr>
                <w:rFonts w:hint="eastAsia"/>
                <w:kern w:val="0"/>
                <w:sz w:val="24"/>
                <w:szCs w:val="20"/>
                <w:highlight w:val="none"/>
              </w:rPr>
              <w:t>，考虑最不利情况为完全失效的情况</w:t>
            </w:r>
            <w:r>
              <w:rPr>
                <w:rFonts w:hint="default"/>
                <w:kern w:val="0"/>
                <w:sz w:val="24"/>
                <w:szCs w:val="20"/>
                <w:highlight w:val="none"/>
              </w:rPr>
              <w:t>。各环保设施出现故障时主要污染物非正常工况污染源强见下表。</w:t>
            </w:r>
          </w:p>
          <w:p w14:paraId="0F08CCCF">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p>
          <w:p w14:paraId="30A08328">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p>
          <w:p w14:paraId="4BD3C551">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p>
          <w:p w14:paraId="1C614044">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p>
          <w:p w14:paraId="743C2B40">
            <w:pPr>
              <w:keepNext w:val="0"/>
              <w:keepLines w:val="0"/>
              <w:suppressLineNumbers w:val="0"/>
              <w:spacing w:before="0" w:beforeAutospacing="0" w:after="0" w:afterAutospacing="0" w:line="480" w:lineRule="exact"/>
              <w:ind w:left="0" w:right="0" w:firstLine="482"/>
              <w:jc w:val="center"/>
              <w:rPr>
                <w:rFonts w:hint="eastAsia"/>
                <w:b/>
                <w:sz w:val="24"/>
                <w:szCs w:val="20"/>
                <w:highlight w:val="none"/>
              </w:rPr>
            </w:pPr>
            <w:r>
              <w:rPr>
                <w:rFonts w:hint="eastAsia"/>
                <w:b/>
                <w:sz w:val="24"/>
                <w:szCs w:val="20"/>
                <w:highlight w:val="none"/>
              </w:rPr>
              <w:t>表4-</w:t>
            </w:r>
            <w:r>
              <w:rPr>
                <w:rFonts w:hint="eastAsia"/>
                <w:b/>
                <w:sz w:val="24"/>
                <w:szCs w:val="20"/>
                <w:highlight w:val="none"/>
                <w:lang w:val="en-US" w:eastAsia="zh-CN"/>
              </w:rPr>
              <w:t>5</w:t>
            </w:r>
            <w:r>
              <w:rPr>
                <w:rFonts w:hint="eastAsia"/>
                <w:b/>
                <w:sz w:val="24"/>
                <w:szCs w:val="20"/>
                <w:highlight w:val="none"/>
              </w:rPr>
              <w:t xml:space="preserve">   污染源非正常排放一览表</w:t>
            </w:r>
          </w:p>
          <w:tbl>
            <w:tblPr>
              <w:tblStyle w:val="47"/>
              <w:tblW w:w="4994"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634"/>
              <w:gridCol w:w="1330"/>
              <w:gridCol w:w="680"/>
              <w:gridCol w:w="1251"/>
              <w:gridCol w:w="1019"/>
              <w:gridCol w:w="648"/>
              <w:gridCol w:w="612"/>
              <w:gridCol w:w="1669"/>
            </w:tblGrid>
            <w:tr w14:paraId="33B94E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04" w:type="pct"/>
                  <w:noWrap w:val="0"/>
                  <w:vAlign w:val="center"/>
                </w:tcPr>
                <w:p w14:paraId="6A8F552A">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污染源名称</w:t>
                  </w:r>
                </w:p>
              </w:tc>
              <w:tc>
                <w:tcPr>
                  <w:tcW w:w="847" w:type="pct"/>
                  <w:noWrap w:val="0"/>
                  <w:vAlign w:val="center"/>
                </w:tcPr>
                <w:p w14:paraId="33894B84">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非正常排放原因</w:t>
                  </w:r>
                </w:p>
              </w:tc>
              <w:tc>
                <w:tcPr>
                  <w:tcW w:w="433" w:type="pct"/>
                  <w:noWrap w:val="0"/>
                  <w:vAlign w:val="center"/>
                </w:tcPr>
                <w:p w14:paraId="3481071F">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污染物</w:t>
                  </w:r>
                </w:p>
              </w:tc>
              <w:tc>
                <w:tcPr>
                  <w:tcW w:w="797" w:type="pct"/>
                  <w:noWrap w:val="0"/>
                  <w:vAlign w:val="center"/>
                </w:tcPr>
                <w:p w14:paraId="4E9D2E16">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非正常排放浓度</w:t>
                  </w:r>
                </w:p>
              </w:tc>
              <w:tc>
                <w:tcPr>
                  <w:tcW w:w="649" w:type="pct"/>
                  <w:noWrap w:val="0"/>
                  <w:vAlign w:val="center"/>
                </w:tcPr>
                <w:p w14:paraId="2DF2B64B">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非正常排放速率</w:t>
                  </w:r>
                </w:p>
              </w:tc>
              <w:tc>
                <w:tcPr>
                  <w:tcW w:w="413" w:type="pct"/>
                  <w:noWrap w:val="0"/>
                  <w:vAlign w:val="center"/>
                </w:tcPr>
                <w:p w14:paraId="6575AEE4">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持续时间</w:t>
                  </w:r>
                </w:p>
              </w:tc>
              <w:tc>
                <w:tcPr>
                  <w:tcW w:w="390" w:type="pct"/>
                  <w:noWrap w:val="0"/>
                  <w:vAlign w:val="center"/>
                </w:tcPr>
                <w:p w14:paraId="04D40781">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发生频次</w:t>
                  </w:r>
                </w:p>
              </w:tc>
              <w:tc>
                <w:tcPr>
                  <w:tcW w:w="1063" w:type="pct"/>
                  <w:noWrap w:val="0"/>
                  <w:vAlign w:val="center"/>
                </w:tcPr>
                <w:p w14:paraId="3292AC30">
                  <w:pPr>
                    <w:keepNext w:val="0"/>
                    <w:keepLines w:val="0"/>
                    <w:suppressLineNumbers w:val="0"/>
                    <w:spacing w:before="0" w:beforeAutospacing="0" w:after="0" w:afterAutospacing="0" w:line="276" w:lineRule="auto"/>
                    <w:ind w:left="0" w:right="0"/>
                    <w:jc w:val="center"/>
                    <w:rPr>
                      <w:rFonts w:hint="default"/>
                      <w:b/>
                      <w:bCs/>
                      <w:kern w:val="0"/>
                      <w:szCs w:val="21"/>
                      <w:highlight w:val="none"/>
                    </w:rPr>
                  </w:pPr>
                  <w:r>
                    <w:rPr>
                      <w:rFonts w:hint="default"/>
                      <w:b/>
                      <w:bCs/>
                      <w:kern w:val="0"/>
                      <w:szCs w:val="21"/>
                      <w:highlight w:val="none"/>
                    </w:rPr>
                    <w:t>处置措施</w:t>
                  </w:r>
                </w:p>
              </w:tc>
            </w:tr>
            <w:tr w14:paraId="513031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877" w:hRule="atLeast"/>
                <w:jc w:val="center"/>
              </w:trPr>
              <w:tc>
                <w:tcPr>
                  <w:tcW w:w="404" w:type="pct"/>
                  <w:noWrap w:val="0"/>
                  <w:vAlign w:val="center"/>
                </w:tcPr>
                <w:p w14:paraId="6B2C655B">
                  <w:pPr>
                    <w:keepNext w:val="0"/>
                    <w:keepLines w:val="0"/>
                    <w:suppressLineNumbers w:val="0"/>
                    <w:spacing w:before="0" w:beforeAutospacing="0" w:after="0" w:afterAutospacing="0" w:line="276" w:lineRule="auto"/>
                    <w:ind w:left="0" w:right="0"/>
                    <w:jc w:val="center"/>
                    <w:rPr>
                      <w:rFonts w:hint="default"/>
                      <w:kern w:val="0"/>
                      <w:szCs w:val="21"/>
                      <w:highlight w:val="none"/>
                      <w:lang w:val="en-US"/>
                    </w:rPr>
                  </w:pPr>
                  <w:r>
                    <w:rPr>
                      <w:rFonts w:hint="default"/>
                      <w:kern w:val="0"/>
                      <w:szCs w:val="21"/>
                      <w:highlight w:val="none"/>
                    </w:rPr>
                    <w:t>排气筒</w:t>
                  </w:r>
                  <w:r>
                    <w:rPr>
                      <w:rFonts w:hint="eastAsia"/>
                      <w:kern w:val="0"/>
                      <w:szCs w:val="21"/>
                      <w:highlight w:val="none"/>
                      <w:lang w:val="en-US" w:eastAsia="zh-CN"/>
                    </w:rPr>
                    <w:t>DA001</w:t>
                  </w:r>
                </w:p>
              </w:tc>
              <w:tc>
                <w:tcPr>
                  <w:tcW w:w="847" w:type="pct"/>
                  <w:noWrap w:val="0"/>
                  <w:vAlign w:val="center"/>
                </w:tcPr>
                <w:p w14:paraId="0BE8FD37">
                  <w:pPr>
                    <w:keepNext w:val="0"/>
                    <w:keepLines w:val="0"/>
                    <w:suppressLineNumbers w:val="0"/>
                    <w:spacing w:before="0" w:beforeAutospacing="0" w:after="0" w:afterAutospacing="0" w:line="276" w:lineRule="auto"/>
                    <w:ind w:left="0" w:right="0"/>
                    <w:jc w:val="center"/>
                    <w:rPr>
                      <w:rFonts w:hint="default"/>
                      <w:kern w:val="0"/>
                      <w:szCs w:val="21"/>
                      <w:highlight w:val="none"/>
                    </w:rPr>
                  </w:pPr>
                  <w:r>
                    <w:rPr>
                      <w:rFonts w:hint="default"/>
                      <w:szCs w:val="21"/>
                      <w:highlight w:val="none"/>
                    </w:rPr>
                    <w:t>废气治理设施</w:t>
                  </w:r>
                  <w:r>
                    <w:rPr>
                      <w:rFonts w:hint="eastAsia"/>
                      <w:szCs w:val="21"/>
                      <w:highlight w:val="none"/>
                    </w:rPr>
                    <w:t>完全失效</w:t>
                  </w:r>
                  <w:r>
                    <w:rPr>
                      <w:rFonts w:hint="default"/>
                      <w:szCs w:val="21"/>
                      <w:highlight w:val="none"/>
                    </w:rPr>
                    <w:t>，导致废气未经处理直接排放</w:t>
                  </w:r>
                </w:p>
              </w:tc>
              <w:tc>
                <w:tcPr>
                  <w:tcW w:w="433" w:type="pct"/>
                  <w:noWrap w:val="0"/>
                  <w:vAlign w:val="center"/>
                </w:tcPr>
                <w:p w14:paraId="74E81E13">
                  <w:pPr>
                    <w:keepNext w:val="0"/>
                    <w:keepLines w:val="0"/>
                    <w:suppressLineNumbers w:val="0"/>
                    <w:spacing w:before="0" w:beforeAutospacing="0" w:after="0" w:afterAutospacing="0" w:line="276" w:lineRule="auto"/>
                    <w:ind w:left="0" w:right="0"/>
                    <w:jc w:val="center"/>
                    <w:rPr>
                      <w:rFonts w:hint="eastAsia"/>
                      <w:kern w:val="0"/>
                      <w:szCs w:val="21"/>
                      <w:highlight w:val="none"/>
                    </w:rPr>
                  </w:pPr>
                  <w:r>
                    <w:rPr>
                      <w:rFonts w:hint="eastAsia"/>
                      <w:bCs/>
                      <w:kern w:val="0"/>
                      <w:szCs w:val="21"/>
                      <w:highlight w:val="none"/>
                    </w:rPr>
                    <w:t>颗粒物</w:t>
                  </w:r>
                </w:p>
              </w:tc>
              <w:tc>
                <w:tcPr>
                  <w:tcW w:w="797" w:type="pct"/>
                  <w:noWrap w:val="0"/>
                  <w:vAlign w:val="center"/>
                </w:tcPr>
                <w:p w14:paraId="07A40CB3">
                  <w:pPr>
                    <w:keepNext w:val="0"/>
                    <w:keepLines w:val="0"/>
                    <w:suppressLineNumbers w:val="0"/>
                    <w:spacing w:before="0" w:beforeAutospacing="0" w:after="0" w:afterAutospacing="0" w:line="276" w:lineRule="auto"/>
                    <w:ind w:left="0" w:right="0"/>
                    <w:jc w:val="center"/>
                    <w:rPr>
                      <w:rFonts w:hint="default"/>
                      <w:kern w:val="0"/>
                      <w:szCs w:val="21"/>
                      <w:highlight w:val="none"/>
                    </w:rPr>
                  </w:pPr>
                  <w:r>
                    <w:rPr>
                      <w:rFonts w:hint="eastAsia" w:cs="Times New Roman"/>
                      <w:color w:val="000000"/>
                      <w:kern w:val="0"/>
                      <w:sz w:val="21"/>
                      <w:szCs w:val="16"/>
                      <w:highlight w:val="none"/>
                      <w:lang w:val="en-US" w:eastAsia="zh-CN"/>
                    </w:rPr>
                    <w:t>815.717</w:t>
                  </w:r>
                  <w:r>
                    <w:rPr>
                      <w:rFonts w:hint="default"/>
                      <w:kern w:val="0"/>
                      <w:szCs w:val="21"/>
                      <w:highlight w:val="none"/>
                    </w:rPr>
                    <w:t>mg/m</w:t>
                  </w:r>
                  <w:r>
                    <w:rPr>
                      <w:rFonts w:hint="default"/>
                      <w:kern w:val="0"/>
                      <w:szCs w:val="21"/>
                      <w:highlight w:val="none"/>
                      <w:vertAlign w:val="superscript"/>
                    </w:rPr>
                    <w:t>3</w:t>
                  </w:r>
                </w:p>
              </w:tc>
              <w:tc>
                <w:tcPr>
                  <w:tcW w:w="649" w:type="pct"/>
                  <w:noWrap w:val="0"/>
                  <w:vAlign w:val="center"/>
                </w:tcPr>
                <w:p w14:paraId="4818BA61">
                  <w:pPr>
                    <w:keepNext w:val="0"/>
                    <w:keepLines w:val="0"/>
                    <w:suppressLineNumbers w:val="0"/>
                    <w:spacing w:before="0" w:beforeAutospacing="0" w:after="0" w:afterAutospacing="0" w:line="276" w:lineRule="auto"/>
                    <w:ind w:left="0" w:right="0"/>
                    <w:jc w:val="center"/>
                    <w:rPr>
                      <w:rFonts w:hint="default"/>
                      <w:kern w:val="0"/>
                      <w:szCs w:val="21"/>
                      <w:highlight w:val="none"/>
                    </w:rPr>
                  </w:pPr>
                  <w:r>
                    <w:rPr>
                      <w:rFonts w:hint="eastAsia"/>
                      <w:kern w:val="0"/>
                      <w:szCs w:val="21"/>
                      <w:highlight w:val="none"/>
                      <w:lang w:val="en-US" w:eastAsia="zh-CN"/>
                    </w:rPr>
                    <w:t>16.314</w:t>
                  </w:r>
                  <w:r>
                    <w:rPr>
                      <w:rFonts w:hint="default"/>
                      <w:kern w:val="0"/>
                      <w:szCs w:val="21"/>
                      <w:highlight w:val="none"/>
                    </w:rPr>
                    <w:t>kg/h</w:t>
                  </w:r>
                </w:p>
              </w:tc>
              <w:tc>
                <w:tcPr>
                  <w:tcW w:w="413" w:type="pct"/>
                  <w:noWrap w:val="0"/>
                  <w:vAlign w:val="center"/>
                </w:tcPr>
                <w:p w14:paraId="54C0B97F">
                  <w:pPr>
                    <w:keepNext w:val="0"/>
                    <w:keepLines w:val="0"/>
                    <w:suppressLineNumbers w:val="0"/>
                    <w:spacing w:before="0" w:beforeAutospacing="0" w:after="0" w:afterAutospacing="0" w:line="276" w:lineRule="auto"/>
                    <w:ind w:left="0" w:right="0"/>
                    <w:jc w:val="center"/>
                    <w:rPr>
                      <w:rFonts w:hint="eastAsia"/>
                      <w:kern w:val="0"/>
                      <w:szCs w:val="21"/>
                      <w:highlight w:val="none"/>
                    </w:rPr>
                  </w:pPr>
                  <w:r>
                    <w:rPr>
                      <w:rFonts w:hint="eastAsia"/>
                      <w:kern w:val="0"/>
                      <w:szCs w:val="21"/>
                      <w:highlight w:val="none"/>
                    </w:rPr>
                    <w:t>1小时</w:t>
                  </w:r>
                </w:p>
              </w:tc>
              <w:tc>
                <w:tcPr>
                  <w:tcW w:w="390" w:type="pct"/>
                  <w:noWrap w:val="0"/>
                  <w:vAlign w:val="center"/>
                </w:tcPr>
                <w:p w14:paraId="68C71F19">
                  <w:pPr>
                    <w:keepNext w:val="0"/>
                    <w:keepLines w:val="0"/>
                    <w:suppressLineNumbers w:val="0"/>
                    <w:spacing w:before="0" w:beforeAutospacing="0" w:after="0" w:afterAutospacing="0" w:line="276" w:lineRule="auto"/>
                    <w:ind w:left="0" w:right="0"/>
                    <w:jc w:val="center"/>
                    <w:rPr>
                      <w:rFonts w:hint="default"/>
                      <w:kern w:val="0"/>
                      <w:szCs w:val="21"/>
                      <w:highlight w:val="none"/>
                    </w:rPr>
                  </w:pPr>
                  <w:r>
                    <w:rPr>
                      <w:rFonts w:hint="default"/>
                      <w:kern w:val="0"/>
                      <w:szCs w:val="21"/>
                      <w:highlight w:val="none"/>
                    </w:rPr>
                    <w:t>1次/a</w:t>
                  </w:r>
                </w:p>
              </w:tc>
              <w:tc>
                <w:tcPr>
                  <w:tcW w:w="1063" w:type="pct"/>
                  <w:vMerge w:val="restart"/>
                  <w:noWrap w:val="0"/>
                  <w:vAlign w:val="center"/>
                </w:tcPr>
                <w:p w14:paraId="216C6A28">
                  <w:pPr>
                    <w:keepNext w:val="0"/>
                    <w:keepLines w:val="0"/>
                    <w:suppressLineNumbers w:val="0"/>
                    <w:spacing w:before="0" w:beforeAutospacing="0" w:after="0" w:afterAutospacing="0" w:line="276" w:lineRule="auto"/>
                    <w:ind w:left="0" w:right="0"/>
                    <w:jc w:val="center"/>
                    <w:rPr>
                      <w:rFonts w:hint="eastAsia"/>
                      <w:kern w:val="0"/>
                      <w:szCs w:val="21"/>
                      <w:highlight w:val="none"/>
                    </w:rPr>
                  </w:pPr>
                  <w:r>
                    <w:rPr>
                      <w:rFonts w:hint="default"/>
                      <w:szCs w:val="21"/>
                      <w:highlight w:val="none"/>
                    </w:rPr>
                    <w:t>正常生产时加强日常巡检，发生故障时，及时停止生产设备，设置应急停车装置，发现非正常情况后，立即启动应急停车装置停止</w:t>
                  </w:r>
                  <w:r>
                    <w:rPr>
                      <w:rFonts w:hint="eastAsia"/>
                      <w:szCs w:val="21"/>
                      <w:highlight w:val="none"/>
                    </w:rPr>
                    <w:t>生产。同时</w:t>
                  </w:r>
                  <w:r>
                    <w:rPr>
                      <w:rFonts w:hint="default"/>
                      <w:szCs w:val="21"/>
                      <w:highlight w:val="none"/>
                    </w:rPr>
                    <w:t>检修废气处理措施</w:t>
                  </w:r>
                  <w:r>
                    <w:rPr>
                      <w:rFonts w:hint="eastAsia"/>
                      <w:szCs w:val="21"/>
                      <w:highlight w:val="none"/>
                    </w:rPr>
                    <w:t>。</w:t>
                  </w:r>
                </w:p>
              </w:tc>
            </w:tr>
            <w:tr w14:paraId="366035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787" w:hRule="atLeast"/>
                <w:jc w:val="center"/>
              </w:trPr>
              <w:tc>
                <w:tcPr>
                  <w:tcW w:w="404" w:type="pct"/>
                  <w:noWrap w:val="0"/>
                  <w:vAlign w:val="center"/>
                </w:tcPr>
                <w:p w14:paraId="428400C5">
                  <w:pPr>
                    <w:keepNext w:val="0"/>
                    <w:keepLines w:val="0"/>
                    <w:suppressLineNumbers w:val="0"/>
                    <w:spacing w:before="0" w:beforeAutospacing="0" w:after="0" w:afterAutospacing="0" w:line="276" w:lineRule="auto"/>
                    <w:ind w:left="0" w:right="0"/>
                    <w:jc w:val="center"/>
                    <w:rPr>
                      <w:rFonts w:hint="default"/>
                      <w:kern w:val="0"/>
                      <w:sz w:val="21"/>
                      <w:szCs w:val="21"/>
                      <w:highlight w:val="none"/>
                      <w:lang w:val="en-US" w:eastAsia="zh-CN" w:bidi="ar-SA"/>
                    </w:rPr>
                  </w:pPr>
                  <w:r>
                    <w:rPr>
                      <w:rFonts w:hint="default"/>
                      <w:kern w:val="0"/>
                      <w:szCs w:val="21"/>
                      <w:highlight w:val="none"/>
                    </w:rPr>
                    <w:t>排气筒</w:t>
                  </w:r>
                  <w:r>
                    <w:rPr>
                      <w:rFonts w:hint="eastAsia"/>
                      <w:kern w:val="0"/>
                      <w:szCs w:val="21"/>
                      <w:highlight w:val="none"/>
                      <w:lang w:val="en-US" w:eastAsia="zh-CN"/>
                    </w:rPr>
                    <w:t>DA002</w:t>
                  </w:r>
                </w:p>
              </w:tc>
              <w:tc>
                <w:tcPr>
                  <w:tcW w:w="847" w:type="pct"/>
                  <w:noWrap w:val="0"/>
                  <w:vAlign w:val="center"/>
                </w:tcPr>
                <w:p w14:paraId="622055B3">
                  <w:pPr>
                    <w:keepNext w:val="0"/>
                    <w:keepLines w:val="0"/>
                    <w:suppressLineNumbers w:val="0"/>
                    <w:spacing w:before="0" w:beforeAutospacing="0" w:after="0" w:afterAutospacing="0" w:line="276" w:lineRule="auto"/>
                    <w:ind w:left="0" w:right="0"/>
                    <w:jc w:val="center"/>
                    <w:rPr>
                      <w:rFonts w:hint="default"/>
                      <w:kern w:val="0"/>
                      <w:sz w:val="21"/>
                      <w:szCs w:val="21"/>
                      <w:highlight w:val="none"/>
                      <w:lang w:val="en-US" w:eastAsia="zh-CN" w:bidi="ar-SA"/>
                    </w:rPr>
                  </w:pPr>
                  <w:r>
                    <w:rPr>
                      <w:rFonts w:hint="default"/>
                      <w:szCs w:val="21"/>
                      <w:highlight w:val="none"/>
                    </w:rPr>
                    <w:t>废气治理设施</w:t>
                  </w:r>
                  <w:r>
                    <w:rPr>
                      <w:rFonts w:hint="eastAsia"/>
                      <w:szCs w:val="21"/>
                      <w:highlight w:val="none"/>
                    </w:rPr>
                    <w:t>完全失效</w:t>
                  </w:r>
                  <w:r>
                    <w:rPr>
                      <w:rFonts w:hint="default"/>
                      <w:szCs w:val="21"/>
                      <w:highlight w:val="none"/>
                    </w:rPr>
                    <w:t>，导致废气未经处理直接排放</w:t>
                  </w:r>
                </w:p>
              </w:tc>
              <w:tc>
                <w:tcPr>
                  <w:tcW w:w="433" w:type="pct"/>
                  <w:noWrap w:val="0"/>
                  <w:vAlign w:val="center"/>
                </w:tcPr>
                <w:p w14:paraId="3CF734A9">
                  <w:pPr>
                    <w:keepNext w:val="0"/>
                    <w:keepLines w:val="0"/>
                    <w:suppressLineNumbers w:val="0"/>
                    <w:spacing w:before="0" w:beforeAutospacing="0" w:after="0" w:afterAutospacing="0" w:line="276" w:lineRule="auto"/>
                    <w:ind w:left="0" w:right="0"/>
                    <w:jc w:val="center"/>
                    <w:rPr>
                      <w:rFonts w:hint="eastAsia"/>
                      <w:kern w:val="0"/>
                      <w:sz w:val="21"/>
                      <w:szCs w:val="21"/>
                      <w:highlight w:val="none"/>
                      <w:lang w:val="en-US" w:eastAsia="zh-CN" w:bidi="ar-SA"/>
                    </w:rPr>
                  </w:pPr>
                  <w:r>
                    <w:rPr>
                      <w:rFonts w:hint="eastAsia"/>
                      <w:bCs/>
                      <w:kern w:val="0"/>
                      <w:szCs w:val="21"/>
                      <w:highlight w:val="none"/>
                    </w:rPr>
                    <w:t>颗粒物</w:t>
                  </w:r>
                </w:p>
              </w:tc>
              <w:tc>
                <w:tcPr>
                  <w:tcW w:w="797" w:type="pct"/>
                  <w:noWrap w:val="0"/>
                  <w:vAlign w:val="center"/>
                </w:tcPr>
                <w:p w14:paraId="32EF2317">
                  <w:pPr>
                    <w:keepNext w:val="0"/>
                    <w:keepLines w:val="0"/>
                    <w:suppressLineNumbers w:val="0"/>
                    <w:spacing w:before="0" w:beforeAutospacing="0" w:after="0" w:afterAutospacing="0" w:line="276" w:lineRule="auto"/>
                    <w:ind w:left="0" w:right="0"/>
                    <w:jc w:val="center"/>
                    <w:rPr>
                      <w:rFonts w:hint="eastAsia"/>
                      <w:kern w:val="0"/>
                      <w:sz w:val="21"/>
                      <w:szCs w:val="21"/>
                      <w:highlight w:val="none"/>
                      <w:lang w:val="en-US" w:eastAsia="zh-CN" w:bidi="ar-SA"/>
                    </w:rPr>
                  </w:pPr>
                  <w:r>
                    <w:rPr>
                      <w:rFonts w:hint="eastAsia"/>
                      <w:bCs/>
                      <w:spacing w:val="-6"/>
                      <w:szCs w:val="21"/>
                      <w:highlight w:val="none"/>
                      <w:lang w:val="en-US" w:eastAsia="zh-CN"/>
                    </w:rPr>
                    <w:t>104.556</w:t>
                  </w:r>
                  <w:r>
                    <w:rPr>
                      <w:rFonts w:hint="default"/>
                      <w:kern w:val="0"/>
                      <w:szCs w:val="21"/>
                      <w:highlight w:val="none"/>
                    </w:rPr>
                    <w:t>mg/m</w:t>
                  </w:r>
                  <w:r>
                    <w:rPr>
                      <w:rFonts w:hint="default"/>
                      <w:kern w:val="0"/>
                      <w:szCs w:val="21"/>
                      <w:highlight w:val="none"/>
                      <w:vertAlign w:val="superscript"/>
                    </w:rPr>
                    <w:t>3</w:t>
                  </w:r>
                </w:p>
              </w:tc>
              <w:tc>
                <w:tcPr>
                  <w:tcW w:w="649" w:type="pct"/>
                  <w:noWrap w:val="0"/>
                  <w:vAlign w:val="center"/>
                </w:tcPr>
                <w:p w14:paraId="2D30873A">
                  <w:pPr>
                    <w:keepNext w:val="0"/>
                    <w:keepLines w:val="0"/>
                    <w:suppressLineNumbers w:val="0"/>
                    <w:spacing w:before="0" w:beforeAutospacing="0" w:after="0" w:afterAutospacing="0" w:line="276" w:lineRule="auto"/>
                    <w:ind w:left="0" w:right="0"/>
                    <w:jc w:val="center"/>
                    <w:rPr>
                      <w:rFonts w:hint="eastAsia"/>
                      <w:kern w:val="0"/>
                      <w:sz w:val="21"/>
                      <w:szCs w:val="21"/>
                      <w:highlight w:val="none"/>
                      <w:lang w:val="en-US" w:eastAsia="zh-CN" w:bidi="ar-SA"/>
                    </w:rPr>
                  </w:pPr>
                  <w:r>
                    <w:rPr>
                      <w:rFonts w:hint="eastAsia"/>
                      <w:kern w:val="0"/>
                      <w:szCs w:val="21"/>
                      <w:highlight w:val="none"/>
                      <w:lang w:val="en-US" w:eastAsia="zh-CN"/>
                    </w:rPr>
                    <w:t>1.568</w:t>
                  </w:r>
                  <w:r>
                    <w:rPr>
                      <w:rFonts w:hint="default"/>
                      <w:kern w:val="0"/>
                      <w:szCs w:val="21"/>
                      <w:highlight w:val="none"/>
                    </w:rPr>
                    <w:t>kg/h</w:t>
                  </w:r>
                </w:p>
              </w:tc>
              <w:tc>
                <w:tcPr>
                  <w:tcW w:w="413" w:type="pct"/>
                  <w:noWrap w:val="0"/>
                  <w:vAlign w:val="center"/>
                </w:tcPr>
                <w:p w14:paraId="78F9B633">
                  <w:pPr>
                    <w:keepNext w:val="0"/>
                    <w:keepLines w:val="0"/>
                    <w:suppressLineNumbers w:val="0"/>
                    <w:spacing w:before="0" w:beforeAutospacing="0" w:after="0" w:afterAutospacing="0" w:line="276" w:lineRule="auto"/>
                    <w:ind w:left="0" w:right="0"/>
                    <w:jc w:val="center"/>
                    <w:rPr>
                      <w:rFonts w:hint="eastAsia"/>
                      <w:kern w:val="0"/>
                      <w:sz w:val="21"/>
                      <w:szCs w:val="21"/>
                      <w:highlight w:val="none"/>
                      <w:lang w:val="en-US" w:eastAsia="zh-CN" w:bidi="ar-SA"/>
                    </w:rPr>
                  </w:pPr>
                  <w:r>
                    <w:rPr>
                      <w:rFonts w:hint="eastAsia"/>
                      <w:kern w:val="0"/>
                      <w:szCs w:val="21"/>
                      <w:highlight w:val="none"/>
                    </w:rPr>
                    <w:t>1小时</w:t>
                  </w:r>
                </w:p>
              </w:tc>
              <w:tc>
                <w:tcPr>
                  <w:tcW w:w="390" w:type="pct"/>
                  <w:noWrap w:val="0"/>
                  <w:vAlign w:val="center"/>
                </w:tcPr>
                <w:p w14:paraId="4C171108">
                  <w:pPr>
                    <w:keepNext w:val="0"/>
                    <w:keepLines w:val="0"/>
                    <w:suppressLineNumbers w:val="0"/>
                    <w:spacing w:before="0" w:beforeAutospacing="0" w:after="0" w:afterAutospacing="0" w:line="276" w:lineRule="auto"/>
                    <w:ind w:left="0" w:right="0"/>
                    <w:jc w:val="center"/>
                    <w:rPr>
                      <w:rFonts w:hint="default"/>
                      <w:kern w:val="0"/>
                      <w:sz w:val="21"/>
                      <w:szCs w:val="21"/>
                      <w:highlight w:val="none"/>
                      <w:lang w:val="en-US" w:eastAsia="zh-CN" w:bidi="ar-SA"/>
                    </w:rPr>
                  </w:pPr>
                  <w:r>
                    <w:rPr>
                      <w:rFonts w:hint="default"/>
                      <w:kern w:val="0"/>
                      <w:szCs w:val="21"/>
                      <w:highlight w:val="none"/>
                    </w:rPr>
                    <w:t>1次/a</w:t>
                  </w:r>
                </w:p>
              </w:tc>
              <w:tc>
                <w:tcPr>
                  <w:tcW w:w="1063" w:type="pct"/>
                  <w:vMerge w:val="continue"/>
                  <w:noWrap w:val="0"/>
                  <w:vAlign w:val="center"/>
                </w:tcPr>
                <w:p w14:paraId="353615F3">
                  <w:pPr>
                    <w:keepNext w:val="0"/>
                    <w:keepLines w:val="0"/>
                    <w:suppressLineNumbers w:val="0"/>
                    <w:spacing w:before="0" w:beforeAutospacing="0" w:after="0" w:afterAutospacing="0" w:line="276" w:lineRule="auto"/>
                    <w:ind w:left="0" w:right="0"/>
                    <w:jc w:val="center"/>
                    <w:rPr>
                      <w:rFonts w:hint="default"/>
                      <w:szCs w:val="21"/>
                      <w:highlight w:val="none"/>
                    </w:rPr>
                  </w:pPr>
                </w:p>
              </w:tc>
            </w:tr>
            <w:tr w14:paraId="428025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797" w:hRule="atLeast"/>
                <w:jc w:val="center"/>
              </w:trPr>
              <w:tc>
                <w:tcPr>
                  <w:tcW w:w="404" w:type="pct"/>
                  <w:shd w:val="clear" w:color="auto" w:fill="auto"/>
                  <w:noWrap w:val="0"/>
                  <w:vAlign w:val="center"/>
                </w:tcPr>
                <w:p w14:paraId="25C0D773">
                  <w:pPr>
                    <w:keepNext w:val="0"/>
                    <w:keepLines w:val="0"/>
                    <w:suppressLineNumbers w:val="0"/>
                    <w:spacing w:before="0" w:beforeAutospacing="0" w:after="0" w:afterAutospacing="0" w:line="276" w:lineRule="auto"/>
                    <w:ind w:left="0" w:right="0"/>
                    <w:jc w:val="center"/>
                    <w:rPr>
                      <w:rFonts w:hint="default" w:ascii="Times New Roman" w:hAnsi="Times New Roman" w:eastAsia="宋体" w:cs="Times New Roman"/>
                      <w:kern w:val="0"/>
                      <w:sz w:val="21"/>
                      <w:szCs w:val="21"/>
                      <w:highlight w:val="none"/>
                      <w:lang w:val="en-US" w:eastAsia="zh-CN" w:bidi="ar-SA"/>
                    </w:rPr>
                  </w:pPr>
                  <w:r>
                    <w:rPr>
                      <w:rFonts w:hint="default"/>
                      <w:kern w:val="0"/>
                      <w:szCs w:val="21"/>
                      <w:highlight w:val="none"/>
                    </w:rPr>
                    <w:t>排气筒</w:t>
                  </w:r>
                  <w:r>
                    <w:rPr>
                      <w:rFonts w:hint="eastAsia"/>
                      <w:kern w:val="0"/>
                      <w:szCs w:val="21"/>
                      <w:highlight w:val="none"/>
                      <w:lang w:val="en-US" w:eastAsia="zh-CN"/>
                    </w:rPr>
                    <w:t>DA003</w:t>
                  </w:r>
                </w:p>
              </w:tc>
              <w:tc>
                <w:tcPr>
                  <w:tcW w:w="847" w:type="pct"/>
                  <w:shd w:val="clear" w:color="auto" w:fill="auto"/>
                  <w:noWrap w:val="0"/>
                  <w:vAlign w:val="center"/>
                </w:tcPr>
                <w:p w14:paraId="4391B8EB">
                  <w:pPr>
                    <w:keepNext w:val="0"/>
                    <w:keepLines w:val="0"/>
                    <w:suppressLineNumbers w:val="0"/>
                    <w:spacing w:before="0" w:beforeAutospacing="0" w:after="0" w:afterAutospacing="0" w:line="276" w:lineRule="auto"/>
                    <w:ind w:left="0" w:right="0"/>
                    <w:jc w:val="center"/>
                    <w:rPr>
                      <w:rFonts w:hint="default" w:ascii="Times New Roman" w:hAnsi="Times New Roman" w:eastAsia="宋体" w:cs="Times New Roman"/>
                      <w:kern w:val="0"/>
                      <w:sz w:val="21"/>
                      <w:szCs w:val="21"/>
                      <w:highlight w:val="none"/>
                      <w:lang w:val="en-US" w:eastAsia="zh-CN" w:bidi="ar-SA"/>
                    </w:rPr>
                  </w:pPr>
                  <w:r>
                    <w:rPr>
                      <w:rFonts w:hint="default"/>
                      <w:szCs w:val="21"/>
                      <w:highlight w:val="none"/>
                    </w:rPr>
                    <w:t>废气治理设施</w:t>
                  </w:r>
                  <w:r>
                    <w:rPr>
                      <w:rFonts w:hint="eastAsia"/>
                      <w:szCs w:val="21"/>
                      <w:highlight w:val="none"/>
                    </w:rPr>
                    <w:t>完全失效</w:t>
                  </w:r>
                  <w:r>
                    <w:rPr>
                      <w:rFonts w:hint="default"/>
                      <w:szCs w:val="21"/>
                      <w:highlight w:val="none"/>
                    </w:rPr>
                    <w:t>，导致废气未经处理直接排放</w:t>
                  </w:r>
                </w:p>
              </w:tc>
              <w:tc>
                <w:tcPr>
                  <w:tcW w:w="433" w:type="pct"/>
                  <w:shd w:val="clear" w:color="auto" w:fill="auto"/>
                  <w:noWrap w:val="0"/>
                  <w:vAlign w:val="center"/>
                </w:tcPr>
                <w:p w14:paraId="52E804E1">
                  <w:pPr>
                    <w:keepNext w:val="0"/>
                    <w:keepLines w:val="0"/>
                    <w:suppressLineNumbers w:val="0"/>
                    <w:spacing w:before="0" w:beforeAutospacing="0" w:after="0" w:afterAutospacing="0" w:line="276" w:lineRule="auto"/>
                    <w:ind w:left="0" w:right="0"/>
                    <w:jc w:val="center"/>
                    <w:rPr>
                      <w:rFonts w:hint="eastAsia" w:ascii="Times New Roman" w:hAnsi="Times New Roman" w:eastAsia="宋体" w:cs="Times New Roman"/>
                      <w:kern w:val="0"/>
                      <w:sz w:val="21"/>
                      <w:szCs w:val="21"/>
                      <w:highlight w:val="none"/>
                      <w:lang w:val="en-US" w:eastAsia="zh-CN" w:bidi="ar-SA"/>
                    </w:rPr>
                  </w:pPr>
                  <w:r>
                    <w:rPr>
                      <w:rFonts w:hint="eastAsia"/>
                      <w:bCs/>
                      <w:kern w:val="0"/>
                      <w:szCs w:val="21"/>
                      <w:highlight w:val="none"/>
                    </w:rPr>
                    <w:t>颗粒物</w:t>
                  </w:r>
                </w:p>
              </w:tc>
              <w:tc>
                <w:tcPr>
                  <w:tcW w:w="797" w:type="pct"/>
                  <w:shd w:val="clear" w:color="auto" w:fill="auto"/>
                  <w:noWrap w:val="0"/>
                  <w:vAlign w:val="center"/>
                </w:tcPr>
                <w:p w14:paraId="2F5B835A">
                  <w:pPr>
                    <w:keepNext w:val="0"/>
                    <w:keepLines w:val="0"/>
                    <w:suppressLineNumbers w:val="0"/>
                    <w:spacing w:before="0" w:beforeAutospacing="0" w:after="0" w:afterAutospacing="0" w:line="276" w:lineRule="auto"/>
                    <w:ind w:left="0" w:right="0"/>
                    <w:jc w:val="center"/>
                    <w:rPr>
                      <w:rFonts w:hint="eastAsia" w:ascii="Times New Roman" w:hAnsi="Times New Roman" w:eastAsia="宋体" w:cs="Times New Roman"/>
                      <w:kern w:val="0"/>
                      <w:sz w:val="21"/>
                      <w:szCs w:val="21"/>
                      <w:highlight w:val="none"/>
                      <w:lang w:val="en-US" w:eastAsia="zh-CN" w:bidi="ar-SA"/>
                    </w:rPr>
                  </w:pPr>
                  <w:r>
                    <w:rPr>
                      <w:rFonts w:hint="eastAsia"/>
                      <w:bCs/>
                      <w:spacing w:val="-6"/>
                      <w:szCs w:val="21"/>
                      <w:highlight w:val="none"/>
                      <w:lang w:val="en-US" w:eastAsia="zh-CN"/>
                    </w:rPr>
                    <w:t>433.33</w:t>
                  </w:r>
                  <w:r>
                    <w:rPr>
                      <w:rFonts w:hint="default"/>
                      <w:kern w:val="0"/>
                      <w:szCs w:val="21"/>
                      <w:highlight w:val="none"/>
                    </w:rPr>
                    <w:t>mg/m</w:t>
                  </w:r>
                  <w:r>
                    <w:rPr>
                      <w:rFonts w:hint="default"/>
                      <w:kern w:val="0"/>
                      <w:szCs w:val="21"/>
                      <w:highlight w:val="none"/>
                      <w:vertAlign w:val="superscript"/>
                    </w:rPr>
                    <w:t>3</w:t>
                  </w:r>
                </w:p>
              </w:tc>
              <w:tc>
                <w:tcPr>
                  <w:tcW w:w="649" w:type="pct"/>
                  <w:shd w:val="clear" w:color="auto" w:fill="auto"/>
                  <w:noWrap w:val="0"/>
                  <w:vAlign w:val="center"/>
                </w:tcPr>
                <w:p w14:paraId="32E70D75">
                  <w:pPr>
                    <w:keepNext w:val="0"/>
                    <w:keepLines w:val="0"/>
                    <w:suppressLineNumbers w:val="0"/>
                    <w:spacing w:before="0" w:beforeAutospacing="0" w:after="0" w:afterAutospacing="0" w:line="276" w:lineRule="auto"/>
                    <w:ind w:left="0" w:right="0"/>
                    <w:jc w:val="center"/>
                    <w:rPr>
                      <w:rFonts w:hint="eastAsia" w:ascii="Times New Roman" w:hAnsi="Times New Roman" w:eastAsia="宋体" w:cs="Times New Roman"/>
                      <w:kern w:val="0"/>
                      <w:sz w:val="21"/>
                      <w:szCs w:val="21"/>
                      <w:highlight w:val="none"/>
                      <w:lang w:val="en-US" w:eastAsia="zh-CN" w:bidi="ar-SA"/>
                    </w:rPr>
                  </w:pPr>
                  <w:r>
                    <w:rPr>
                      <w:rFonts w:hint="eastAsia"/>
                      <w:kern w:val="0"/>
                      <w:szCs w:val="21"/>
                      <w:highlight w:val="none"/>
                      <w:lang w:val="en-US" w:eastAsia="zh-CN"/>
                    </w:rPr>
                    <w:t>2.167</w:t>
                  </w:r>
                  <w:r>
                    <w:rPr>
                      <w:rFonts w:hint="default"/>
                      <w:kern w:val="0"/>
                      <w:szCs w:val="21"/>
                      <w:highlight w:val="none"/>
                    </w:rPr>
                    <w:t>kg/h</w:t>
                  </w:r>
                </w:p>
              </w:tc>
              <w:tc>
                <w:tcPr>
                  <w:tcW w:w="413" w:type="pct"/>
                  <w:shd w:val="clear" w:color="auto" w:fill="auto"/>
                  <w:noWrap w:val="0"/>
                  <w:vAlign w:val="center"/>
                </w:tcPr>
                <w:p w14:paraId="3566E532">
                  <w:pPr>
                    <w:keepNext w:val="0"/>
                    <w:keepLines w:val="0"/>
                    <w:suppressLineNumbers w:val="0"/>
                    <w:spacing w:before="0" w:beforeAutospacing="0" w:after="0" w:afterAutospacing="0" w:line="276" w:lineRule="auto"/>
                    <w:ind w:left="0" w:right="0"/>
                    <w:jc w:val="center"/>
                    <w:rPr>
                      <w:rFonts w:hint="eastAsia" w:ascii="Times New Roman" w:hAnsi="Times New Roman" w:eastAsia="宋体" w:cs="Times New Roman"/>
                      <w:kern w:val="0"/>
                      <w:sz w:val="21"/>
                      <w:szCs w:val="21"/>
                      <w:highlight w:val="none"/>
                      <w:lang w:val="en-US" w:eastAsia="zh-CN" w:bidi="ar-SA"/>
                    </w:rPr>
                  </w:pPr>
                  <w:r>
                    <w:rPr>
                      <w:rFonts w:hint="eastAsia"/>
                      <w:kern w:val="0"/>
                      <w:szCs w:val="21"/>
                      <w:highlight w:val="none"/>
                    </w:rPr>
                    <w:t>1小时</w:t>
                  </w:r>
                </w:p>
              </w:tc>
              <w:tc>
                <w:tcPr>
                  <w:tcW w:w="390" w:type="pct"/>
                  <w:shd w:val="clear" w:color="auto" w:fill="auto"/>
                  <w:noWrap w:val="0"/>
                  <w:vAlign w:val="center"/>
                </w:tcPr>
                <w:p w14:paraId="335E4CBB">
                  <w:pPr>
                    <w:keepNext w:val="0"/>
                    <w:keepLines w:val="0"/>
                    <w:suppressLineNumbers w:val="0"/>
                    <w:spacing w:before="0" w:beforeAutospacing="0" w:after="0" w:afterAutospacing="0" w:line="276" w:lineRule="auto"/>
                    <w:ind w:left="0" w:right="0"/>
                    <w:jc w:val="center"/>
                    <w:rPr>
                      <w:rFonts w:hint="default" w:ascii="Times New Roman" w:hAnsi="Times New Roman" w:eastAsia="宋体" w:cs="Times New Roman"/>
                      <w:kern w:val="0"/>
                      <w:sz w:val="21"/>
                      <w:szCs w:val="21"/>
                      <w:highlight w:val="none"/>
                      <w:lang w:val="en-US" w:eastAsia="zh-CN" w:bidi="ar-SA"/>
                    </w:rPr>
                  </w:pPr>
                  <w:r>
                    <w:rPr>
                      <w:rFonts w:hint="default"/>
                      <w:kern w:val="0"/>
                      <w:szCs w:val="21"/>
                      <w:highlight w:val="none"/>
                    </w:rPr>
                    <w:t>1次/a</w:t>
                  </w:r>
                </w:p>
              </w:tc>
              <w:tc>
                <w:tcPr>
                  <w:tcW w:w="1063" w:type="pct"/>
                  <w:vMerge w:val="continue"/>
                  <w:noWrap w:val="0"/>
                  <w:vAlign w:val="center"/>
                </w:tcPr>
                <w:p w14:paraId="019EBEF6">
                  <w:pPr>
                    <w:keepNext w:val="0"/>
                    <w:keepLines w:val="0"/>
                    <w:suppressLineNumbers w:val="0"/>
                    <w:spacing w:before="0" w:beforeAutospacing="0" w:after="0" w:afterAutospacing="0" w:line="276" w:lineRule="auto"/>
                    <w:ind w:left="0" w:right="0"/>
                    <w:jc w:val="center"/>
                    <w:rPr>
                      <w:rFonts w:hint="default"/>
                      <w:szCs w:val="21"/>
                      <w:highlight w:val="none"/>
                    </w:rPr>
                  </w:pPr>
                </w:p>
              </w:tc>
            </w:tr>
          </w:tbl>
          <w:p w14:paraId="731ACE9B">
            <w:pPr>
              <w:keepNext w:val="0"/>
              <w:keepLines w:val="0"/>
              <w:suppressLineNumbers w:val="0"/>
              <w:adjustRightInd w:val="0"/>
              <w:snapToGrid w:val="0"/>
              <w:spacing w:before="0" w:beforeAutospacing="0" w:after="0" w:afterAutospacing="0" w:line="480" w:lineRule="exact"/>
              <w:ind w:left="0" w:right="0" w:firstLine="480" w:firstLineChars="200"/>
              <w:rPr>
                <w:rFonts w:hint="eastAsia"/>
                <w:kern w:val="0"/>
                <w:sz w:val="24"/>
                <w:szCs w:val="20"/>
                <w:highlight w:val="none"/>
              </w:rPr>
            </w:pPr>
            <w:r>
              <w:rPr>
                <w:rFonts w:hint="default"/>
                <w:kern w:val="0"/>
                <w:sz w:val="24"/>
                <w:szCs w:val="20"/>
                <w:highlight w:val="none"/>
              </w:rPr>
              <w:t>综上可知，建议企业设置应急停车装置，发现非正常情况后，立即启动应急停车装置，正常</w:t>
            </w:r>
            <w:r>
              <w:rPr>
                <w:rFonts w:hint="eastAsia"/>
                <w:kern w:val="0"/>
                <w:sz w:val="24"/>
                <w:szCs w:val="20"/>
                <w:highlight w:val="none"/>
                <w:lang w:val="en-US" w:eastAsia="zh-CN"/>
              </w:rPr>
              <w:t>在</w:t>
            </w:r>
            <w:r>
              <w:rPr>
                <w:rFonts w:hint="eastAsia"/>
                <w:kern w:val="0"/>
                <w:sz w:val="24"/>
                <w:szCs w:val="20"/>
                <w:highlight w:val="none"/>
              </w:rPr>
              <w:t>1h</w:t>
            </w:r>
            <w:r>
              <w:rPr>
                <w:rFonts w:hint="default"/>
                <w:kern w:val="0"/>
                <w:sz w:val="24"/>
                <w:szCs w:val="20"/>
                <w:highlight w:val="none"/>
              </w:rPr>
              <w:t>内实现生产装置停产，正常生产时加强日常巡检，发现故障及</w:t>
            </w:r>
            <w:r>
              <w:rPr>
                <w:rFonts w:hint="eastAsia"/>
                <w:kern w:val="0"/>
                <w:sz w:val="24"/>
                <w:szCs w:val="20"/>
                <w:highlight w:val="none"/>
              </w:rPr>
              <w:t>时停运生产设备，检修废气处理措施，减少非正常污染物的排放，因此，非正常工况下不会对周围大气环境产生明显污染影响。</w:t>
            </w:r>
          </w:p>
          <w:p w14:paraId="511BC6E9">
            <w:pPr>
              <w:keepNext w:val="0"/>
              <w:keepLines w:val="0"/>
              <w:suppressLineNumbers w:val="0"/>
              <w:adjustRightInd w:val="0"/>
              <w:snapToGrid w:val="0"/>
              <w:spacing w:before="0" w:beforeAutospacing="0" w:after="0" w:afterAutospacing="0" w:line="480" w:lineRule="exact"/>
              <w:ind w:left="0" w:right="0" w:firstLine="480" w:firstLineChars="200"/>
              <w:jc w:val="left"/>
              <w:rPr>
                <w:rFonts w:hint="eastAsia"/>
                <w:b/>
                <w:bCs/>
                <w:sz w:val="24"/>
                <w:szCs w:val="20"/>
                <w:highlight w:val="none"/>
              </w:rPr>
            </w:pPr>
            <w:r>
              <w:rPr>
                <w:rFonts w:hint="eastAsia"/>
                <w:b/>
                <w:bCs/>
                <w:sz w:val="24"/>
                <w:szCs w:val="20"/>
                <w:highlight w:val="none"/>
                <w:lang w:val="en-US" w:eastAsia="zh-CN"/>
              </w:rPr>
              <w:t>4、</w:t>
            </w:r>
            <w:r>
              <w:rPr>
                <w:rFonts w:hint="eastAsia"/>
                <w:b/>
                <w:bCs/>
                <w:sz w:val="24"/>
                <w:szCs w:val="20"/>
                <w:highlight w:val="none"/>
              </w:rPr>
              <w:t>废气监测方案</w:t>
            </w:r>
          </w:p>
          <w:p w14:paraId="2B4CF6B8">
            <w:pPr>
              <w:keepNext w:val="0"/>
              <w:keepLines w:val="0"/>
              <w:suppressLineNumbers w:val="0"/>
              <w:spacing w:before="0" w:beforeAutospacing="0" w:after="0" w:afterAutospacing="0" w:line="480" w:lineRule="exact"/>
              <w:ind w:left="0" w:right="0" w:firstLine="480" w:firstLineChars="200"/>
              <w:rPr>
                <w:rFonts w:hint="eastAsia"/>
                <w:spacing w:val="-6"/>
                <w:sz w:val="24"/>
                <w:szCs w:val="20"/>
                <w:highlight w:val="none"/>
              </w:rPr>
            </w:pPr>
            <w:r>
              <w:rPr>
                <w:rFonts w:hint="default" w:ascii="Times New Roman" w:hAnsi="Times New Roman" w:eastAsia="宋体" w:cs="Times New Roman"/>
                <w:color w:val="auto"/>
                <w:sz w:val="24"/>
                <w:szCs w:val="20"/>
                <w:highlight w:val="none"/>
              </w:rPr>
              <w:t>根据《排污单位自行监测技术指南 总则》（HJ 819-2017）</w:t>
            </w:r>
            <w:r>
              <w:rPr>
                <w:rFonts w:hint="default" w:ascii="Times New Roman" w:hAnsi="Times New Roman" w:cs="Times New Roman"/>
                <w:color w:val="auto"/>
                <w:sz w:val="24"/>
                <w:szCs w:val="20"/>
                <w:highlight w:val="none"/>
                <w:lang w:eastAsia="zh-CN"/>
              </w:rPr>
              <w:t>、</w:t>
            </w:r>
            <w:r>
              <w:rPr>
                <w:rFonts w:hint="default" w:ascii="Times New Roman" w:hAnsi="Times New Roman" w:eastAsia="宋体" w:cs="Times New Roman"/>
                <w:color w:val="auto"/>
                <w:sz w:val="24"/>
                <w:szCs w:val="20"/>
                <w:highlight w:val="none"/>
                <w:lang w:val="en-US" w:eastAsia="zh-CN"/>
              </w:rPr>
              <w:t xml:space="preserve">《排污单位自行监测技术指南 </w:t>
            </w:r>
            <w:r>
              <w:rPr>
                <w:rFonts w:hint="eastAsia" w:ascii="Times New Roman" w:hAnsi="Times New Roman" w:cs="Times New Roman"/>
                <w:color w:val="auto"/>
                <w:sz w:val="24"/>
                <w:szCs w:val="20"/>
                <w:highlight w:val="none"/>
                <w:lang w:val="en-US" w:eastAsia="zh-CN"/>
              </w:rPr>
              <w:t>金属铸造工业</w:t>
            </w:r>
            <w:r>
              <w:rPr>
                <w:rFonts w:hint="default" w:ascii="Times New Roman" w:hAnsi="Times New Roman" w:eastAsia="宋体" w:cs="Times New Roman"/>
                <w:color w:val="auto"/>
                <w:sz w:val="24"/>
                <w:szCs w:val="20"/>
                <w:highlight w:val="none"/>
                <w:lang w:val="en-US" w:eastAsia="zh-CN"/>
              </w:rPr>
              <w:t>》（HJ1251—2022）</w:t>
            </w:r>
            <w:r>
              <w:rPr>
                <w:rFonts w:hint="default" w:ascii="Times New Roman" w:hAnsi="Times New Roman" w:eastAsia="宋体" w:cs="Times New Roman"/>
                <w:color w:val="auto"/>
                <w:sz w:val="24"/>
                <w:szCs w:val="20"/>
                <w:highlight w:val="none"/>
              </w:rPr>
              <w:t>制定本项目废气监测计划</w:t>
            </w:r>
            <w:r>
              <w:rPr>
                <w:rFonts w:hint="eastAsia"/>
                <w:spacing w:val="-6"/>
                <w:sz w:val="24"/>
                <w:szCs w:val="20"/>
                <w:highlight w:val="none"/>
              </w:rPr>
              <w:t>。</w:t>
            </w:r>
          </w:p>
          <w:p w14:paraId="32706446">
            <w:pPr>
              <w:keepNext w:val="0"/>
              <w:keepLines w:val="0"/>
              <w:suppressLineNumbers w:val="0"/>
              <w:spacing w:before="0" w:beforeAutospacing="0" w:after="0" w:afterAutospacing="0" w:line="480" w:lineRule="exact"/>
              <w:ind w:left="0" w:right="0" w:firstLine="482"/>
              <w:jc w:val="center"/>
              <w:rPr>
                <w:rFonts w:hint="default"/>
                <w:bCs/>
                <w:sz w:val="24"/>
                <w:szCs w:val="20"/>
                <w:highlight w:val="none"/>
              </w:rPr>
            </w:pPr>
            <w:r>
              <w:rPr>
                <w:rFonts w:hint="default"/>
                <w:b/>
                <w:sz w:val="24"/>
                <w:szCs w:val="20"/>
                <w:highlight w:val="none"/>
              </w:rPr>
              <w:t>表</w:t>
            </w:r>
            <w:r>
              <w:rPr>
                <w:rFonts w:hint="eastAsia"/>
                <w:b/>
                <w:sz w:val="24"/>
                <w:szCs w:val="20"/>
                <w:highlight w:val="none"/>
              </w:rPr>
              <w:t>4-</w:t>
            </w:r>
            <w:r>
              <w:rPr>
                <w:rFonts w:hint="eastAsia"/>
                <w:b/>
                <w:sz w:val="24"/>
                <w:szCs w:val="20"/>
                <w:highlight w:val="none"/>
                <w:lang w:val="en-US" w:eastAsia="zh-CN"/>
              </w:rPr>
              <w:t>6</w:t>
            </w:r>
            <w:r>
              <w:rPr>
                <w:rFonts w:hint="eastAsia"/>
                <w:b/>
                <w:sz w:val="24"/>
                <w:szCs w:val="20"/>
                <w:highlight w:val="none"/>
              </w:rPr>
              <w:t xml:space="preserve">    </w:t>
            </w:r>
            <w:r>
              <w:rPr>
                <w:rFonts w:hint="default"/>
                <w:b/>
                <w:sz w:val="24"/>
                <w:szCs w:val="20"/>
                <w:highlight w:val="none"/>
              </w:rPr>
              <w:t xml:space="preserve"> </w:t>
            </w:r>
            <w:r>
              <w:rPr>
                <w:rFonts w:hint="eastAsia"/>
                <w:b/>
                <w:sz w:val="24"/>
                <w:szCs w:val="20"/>
                <w:highlight w:val="none"/>
              </w:rPr>
              <w:t>本项目废气监测方案表</w:t>
            </w:r>
          </w:p>
          <w:tbl>
            <w:tblPr>
              <w:tblStyle w:val="47"/>
              <w:tblW w:w="4937"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947"/>
              <w:gridCol w:w="904"/>
              <w:gridCol w:w="941"/>
              <w:gridCol w:w="4945"/>
            </w:tblGrid>
            <w:tr w14:paraId="46F09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tcBorders>
                    <w:top w:val="single" w:color="auto" w:sz="6" w:space="0"/>
                    <w:left w:val="nil"/>
                    <w:bottom w:val="single" w:color="auto" w:sz="6" w:space="0"/>
                    <w:right w:val="single" w:color="auto" w:sz="6" w:space="0"/>
                  </w:tcBorders>
                  <w:noWrap w:val="0"/>
                  <w:vAlign w:val="center"/>
                </w:tcPr>
                <w:p w14:paraId="666027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监测点位</w:t>
                  </w:r>
                </w:p>
              </w:tc>
              <w:tc>
                <w:tcPr>
                  <w:tcW w:w="584" w:type="pct"/>
                  <w:tcBorders>
                    <w:top w:val="single" w:color="auto" w:sz="6" w:space="0"/>
                    <w:left w:val="single" w:color="auto" w:sz="6" w:space="0"/>
                    <w:bottom w:val="single" w:color="auto" w:sz="6" w:space="0"/>
                    <w:right w:val="single" w:color="auto" w:sz="6" w:space="0"/>
                  </w:tcBorders>
                  <w:noWrap w:val="0"/>
                  <w:vAlign w:val="center"/>
                </w:tcPr>
                <w:p w14:paraId="0E3F20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监测因子</w:t>
                  </w:r>
                </w:p>
              </w:tc>
              <w:tc>
                <w:tcPr>
                  <w:tcW w:w="608" w:type="pct"/>
                  <w:tcBorders>
                    <w:top w:val="single" w:color="auto" w:sz="6" w:space="0"/>
                    <w:left w:val="single" w:color="auto" w:sz="6" w:space="0"/>
                    <w:bottom w:val="single" w:color="auto" w:sz="6" w:space="0"/>
                    <w:right w:val="single" w:color="auto" w:sz="6" w:space="0"/>
                  </w:tcBorders>
                  <w:noWrap w:val="0"/>
                  <w:vAlign w:val="center"/>
                </w:tcPr>
                <w:p w14:paraId="3E449A5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监测频次</w:t>
                  </w:r>
                </w:p>
              </w:tc>
              <w:tc>
                <w:tcPr>
                  <w:tcW w:w="3195" w:type="pct"/>
                  <w:tcBorders>
                    <w:top w:val="single" w:color="auto" w:sz="6" w:space="0"/>
                    <w:left w:val="single" w:color="auto" w:sz="4" w:space="0"/>
                    <w:bottom w:val="single" w:color="auto" w:sz="6" w:space="0"/>
                    <w:right w:val="nil"/>
                  </w:tcBorders>
                  <w:noWrap w:val="0"/>
                  <w:vAlign w:val="center"/>
                </w:tcPr>
                <w:p w14:paraId="4CD96E5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执行排放标准</w:t>
                  </w:r>
                </w:p>
              </w:tc>
            </w:tr>
            <w:tr w14:paraId="4E64C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tcBorders>
                    <w:top w:val="single" w:color="auto" w:sz="6" w:space="0"/>
                    <w:left w:val="nil"/>
                    <w:right w:val="single" w:color="auto" w:sz="6" w:space="0"/>
                  </w:tcBorders>
                  <w:noWrap w:val="0"/>
                  <w:vAlign w:val="center"/>
                </w:tcPr>
                <w:p w14:paraId="4C17A93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DA00</w:t>
                  </w:r>
                  <w:r>
                    <w:rPr>
                      <w:rFonts w:hint="eastAsia" w:cs="Times New Roman"/>
                      <w:color w:val="auto"/>
                      <w:sz w:val="21"/>
                      <w:szCs w:val="21"/>
                      <w:highlight w:val="none"/>
                      <w:lang w:val="en-US" w:eastAsia="zh-CN"/>
                    </w:rPr>
                    <w:t>1</w:t>
                  </w:r>
                </w:p>
              </w:tc>
              <w:tc>
                <w:tcPr>
                  <w:tcW w:w="584" w:type="pct"/>
                  <w:tcBorders>
                    <w:top w:val="single" w:color="auto" w:sz="6" w:space="0"/>
                    <w:left w:val="single" w:color="auto" w:sz="6" w:space="0"/>
                    <w:right w:val="single" w:color="auto" w:sz="6" w:space="0"/>
                  </w:tcBorders>
                  <w:noWrap w:val="0"/>
                  <w:vAlign w:val="center"/>
                </w:tcPr>
                <w:p w14:paraId="2809577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608" w:type="pct"/>
                  <w:tcBorders>
                    <w:top w:val="single" w:color="auto" w:sz="6" w:space="0"/>
                    <w:left w:val="single" w:color="auto" w:sz="6" w:space="0"/>
                    <w:right w:val="single" w:color="auto" w:sz="6" w:space="0"/>
                  </w:tcBorders>
                  <w:noWrap w:val="0"/>
                  <w:vAlign w:val="center"/>
                </w:tcPr>
                <w:p w14:paraId="2089A93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tcBorders>
                    <w:top w:val="single" w:color="auto" w:sz="6" w:space="0"/>
                    <w:left w:val="single" w:color="auto" w:sz="4" w:space="0"/>
                    <w:bottom w:val="single" w:color="auto" w:sz="6" w:space="0"/>
                    <w:right w:val="nil"/>
                  </w:tcBorders>
                  <w:noWrap w:val="0"/>
                  <w:vAlign w:val="center"/>
                </w:tcPr>
                <w:p w14:paraId="201FD6B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《铸造工业大气污染物排放标准》（GB39726-2020），同时需满足</w:t>
                  </w:r>
                  <w:r>
                    <w:rPr>
                      <w:rFonts w:hint="default" w:ascii="Times New Roman" w:hAnsi="Times New Roman" w:eastAsia="宋体" w:cs="Times New Roman"/>
                      <w:sz w:val="21"/>
                      <w:szCs w:val="21"/>
                      <w:highlight w:val="none"/>
                      <w:lang w:val="en-US" w:eastAsia="zh-CN"/>
                    </w:rPr>
                    <w:t>《重污染天气重点行业应急减排措施制定技术指南（2021年修订版）》</w:t>
                  </w:r>
                  <w:r>
                    <w:rPr>
                      <w:rFonts w:hint="eastAsia" w:ascii="Times New Roman" w:hAnsi="Times New Roman" w:eastAsia="宋体" w:cs="Times New Roman"/>
                      <w:sz w:val="21"/>
                      <w:szCs w:val="21"/>
                      <w:highlight w:val="none"/>
                      <w:lang w:val="en-US" w:eastAsia="zh-CN"/>
                    </w:rPr>
                    <w:t>中表6-1铸造企业B级标准要求</w:t>
                  </w:r>
                </w:p>
              </w:tc>
            </w:tr>
            <w:tr w14:paraId="29CD8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tcBorders>
                    <w:top w:val="single" w:color="auto" w:sz="6" w:space="0"/>
                    <w:left w:val="nil"/>
                    <w:right w:val="single" w:color="auto" w:sz="6" w:space="0"/>
                  </w:tcBorders>
                  <w:noWrap w:val="0"/>
                  <w:vAlign w:val="center"/>
                </w:tcPr>
                <w:p w14:paraId="63C5E6C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cs="Times New Roman"/>
                      <w:color w:val="auto"/>
                      <w:sz w:val="21"/>
                      <w:szCs w:val="21"/>
                      <w:highlight w:val="none"/>
                    </w:rPr>
                    <w:t>DA00</w:t>
                  </w:r>
                  <w:r>
                    <w:rPr>
                      <w:rFonts w:hint="eastAsia" w:cs="Times New Roman"/>
                      <w:color w:val="auto"/>
                      <w:sz w:val="21"/>
                      <w:szCs w:val="21"/>
                      <w:highlight w:val="none"/>
                      <w:lang w:val="en-US" w:eastAsia="zh-CN"/>
                    </w:rPr>
                    <w:t>3</w:t>
                  </w:r>
                </w:p>
              </w:tc>
              <w:tc>
                <w:tcPr>
                  <w:tcW w:w="584" w:type="pct"/>
                  <w:tcBorders>
                    <w:top w:val="single" w:color="auto" w:sz="6" w:space="0"/>
                    <w:left w:val="single" w:color="auto" w:sz="6" w:space="0"/>
                    <w:right w:val="single" w:color="auto" w:sz="6" w:space="0"/>
                  </w:tcBorders>
                  <w:noWrap w:val="0"/>
                  <w:vAlign w:val="center"/>
                </w:tcPr>
                <w:p w14:paraId="44C6B4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颗粒物</w:t>
                  </w:r>
                </w:p>
              </w:tc>
              <w:tc>
                <w:tcPr>
                  <w:tcW w:w="608" w:type="pct"/>
                  <w:tcBorders>
                    <w:top w:val="single" w:color="auto" w:sz="6" w:space="0"/>
                    <w:left w:val="single" w:color="auto" w:sz="6" w:space="0"/>
                    <w:right w:val="single" w:color="auto" w:sz="6" w:space="0"/>
                  </w:tcBorders>
                  <w:noWrap w:val="0"/>
                  <w:vAlign w:val="center"/>
                </w:tcPr>
                <w:p w14:paraId="69411EC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tcBorders>
                    <w:top w:val="single" w:color="auto" w:sz="6" w:space="0"/>
                    <w:left w:val="single" w:color="auto" w:sz="4" w:space="0"/>
                    <w:bottom w:val="single" w:color="auto" w:sz="6" w:space="0"/>
                    <w:right w:val="nil"/>
                  </w:tcBorders>
                  <w:shd w:val="clear" w:color="auto" w:fill="auto"/>
                  <w:noWrap w:val="0"/>
                  <w:vAlign w:val="center"/>
                </w:tcPr>
                <w:p w14:paraId="25AF14A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en-US" w:eastAsia="zh-CN" w:bidi="zh-CN"/>
                    </w:rPr>
                  </w:pPr>
                  <w:r>
                    <w:rPr>
                      <w:rFonts w:hint="eastAsia" w:ascii="Times New Roman" w:hAnsi="Times New Roman" w:eastAsia="宋体" w:cs="Times New Roman"/>
                      <w:sz w:val="21"/>
                      <w:szCs w:val="21"/>
                      <w:highlight w:val="none"/>
                      <w:lang w:val="en-US" w:eastAsia="zh-CN"/>
                    </w:rPr>
                    <w:t>《铸造工业大气污染物排放标准》（GB39726-2020），同时需满足</w:t>
                  </w:r>
                  <w:r>
                    <w:rPr>
                      <w:rFonts w:hint="default" w:ascii="Times New Roman" w:hAnsi="Times New Roman" w:eastAsia="宋体" w:cs="Times New Roman"/>
                      <w:sz w:val="21"/>
                      <w:szCs w:val="21"/>
                      <w:highlight w:val="none"/>
                      <w:lang w:val="en-US" w:eastAsia="zh-CN"/>
                    </w:rPr>
                    <w:t>《重污染天气重点行业应急减排措施制定技术指南（2021年修订版）》</w:t>
                  </w:r>
                  <w:r>
                    <w:rPr>
                      <w:rFonts w:hint="eastAsia" w:ascii="Times New Roman" w:hAnsi="Times New Roman" w:eastAsia="宋体" w:cs="Times New Roman"/>
                      <w:sz w:val="21"/>
                      <w:szCs w:val="21"/>
                      <w:highlight w:val="none"/>
                      <w:lang w:val="en-US" w:eastAsia="zh-CN"/>
                    </w:rPr>
                    <w:t>中表6-1铸造企业B级标准要求</w:t>
                  </w:r>
                </w:p>
              </w:tc>
            </w:tr>
            <w:tr w14:paraId="6B11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vMerge w:val="restart"/>
                  <w:tcBorders>
                    <w:top w:val="single" w:color="auto" w:sz="4" w:space="0"/>
                    <w:left w:val="nil"/>
                    <w:right w:val="single" w:color="auto" w:sz="6" w:space="0"/>
                  </w:tcBorders>
                  <w:noWrap w:val="0"/>
                  <w:vAlign w:val="center"/>
                </w:tcPr>
                <w:p w14:paraId="7A3F823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DA00</w:t>
                  </w:r>
                  <w:r>
                    <w:rPr>
                      <w:rFonts w:hint="eastAsia" w:ascii="Times New Roman" w:hAnsi="Times New Roman" w:cs="Times New Roman"/>
                      <w:color w:val="auto"/>
                      <w:sz w:val="21"/>
                      <w:szCs w:val="21"/>
                      <w:highlight w:val="none"/>
                      <w:lang w:val="en-US" w:eastAsia="zh-CN"/>
                    </w:rPr>
                    <w:t>2</w:t>
                  </w:r>
                </w:p>
              </w:tc>
              <w:tc>
                <w:tcPr>
                  <w:tcW w:w="584" w:type="pct"/>
                  <w:tcBorders>
                    <w:left w:val="single" w:color="auto" w:sz="6" w:space="0"/>
                    <w:bottom w:val="single" w:color="auto" w:sz="6" w:space="0"/>
                    <w:right w:val="single" w:color="auto" w:sz="6" w:space="0"/>
                  </w:tcBorders>
                  <w:noWrap w:val="0"/>
                  <w:vAlign w:val="center"/>
                </w:tcPr>
                <w:p w14:paraId="020540C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颗粒物</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025C5BC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tcBorders>
                    <w:top w:val="single" w:color="auto" w:sz="4" w:space="0"/>
                    <w:left w:val="single" w:color="auto" w:sz="4" w:space="0"/>
                    <w:bottom w:val="single" w:color="auto" w:sz="4" w:space="0"/>
                    <w:right w:val="nil"/>
                  </w:tcBorders>
                  <w:shd w:val="clear" w:color="auto" w:fill="auto"/>
                  <w:noWrap w:val="0"/>
                  <w:vAlign w:val="center"/>
                </w:tcPr>
                <w:p w14:paraId="7E9EC6F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en-US" w:eastAsia="zh-CN" w:bidi="zh-CN"/>
                    </w:rPr>
                  </w:pPr>
                  <w:r>
                    <w:rPr>
                      <w:rFonts w:hint="eastAsia" w:ascii="Times New Roman" w:hAnsi="Times New Roman" w:eastAsia="宋体" w:cs="Times New Roman"/>
                      <w:sz w:val="21"/>
                      <w:szCs w:val="21"/>
                      <w:highlight w:val="none"/>
                      <w:lang w:val="en-US" w:eastAsia="zh-CN"/>
                    </w:rPr>
                    <w:t>《铸造工业大气污染物排放标准》（GB39726-2020），同时需满足</w:t>
                  </w:r>
                  <w:r>
                    <w:rPr>
                      <w:rFonts w:hint="default" w:ascii="Times New Roman" w:hAnsi="Times New Roman" w:eastAsia="宋体" w:cs="Times New Roman"/>
                      <w:sz w:val="21"/>
                      <w:szCs w:val="21"/>
                      <w:highlight w:val="none"/>
                      <w:lang w:val="en-US" w:eastAsia="zh-CN"/>
                    </w:rPr>
                    <w:t>《重污染天气重点行业应急减排措施制定技术指南（2021年修订版）》</w:t>
                  </w:r>
                  <w:r>
                    <w:rPr>
                      <w:rFonts w:hint="eastAsia" w:ascii="Times New Roman" w:hAnsi="Times New Roman" w:eastAsia="宋体" w:cs="Times New Roman"/>
                      <w:sz w:val="21"/>
                      <w:szCs w:val="21"/>
                      <w:highlight w:val="none"/>
                      <w:lang w:val="en-US" w:eastAsia="zh-CN"/>
                    </w:rPr>
                    <w:t>中表6-1铸造企业B级标准要求</w:t>
                  </w:r>
                </w:p>
              </w:tc>
            </w:tr>
            <w:tr w14:paraId="20325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vMerge w:val="continue"/>
                  <w:tcBorders>
                    <w:left w:val="nil"/>
                    <w:right w:val="single" w:color="auto" w:sz="6" w:space="0"/>
                  </w:tcBorders>
                  <w:noWrap w:val="0"/>
                  <w:vAlign w:val="center"/>
                </w:tcPr>
                <w:p w14:paraId="0C81FE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sz w:val="21"/>
                      <w:szCs w:val="21"/>
                      <w:highlight w:val="none"/>
                    </w:rPr>
                  </w:pPr>
                </w:p>
              </w:tc>
              <w:tc>
                <w:tcPr>
                  <w:tcW w:w="584" w:type="pct"/>
                  <w:tcBorders>
                    <w:left w:val="single" w:color="auto" w:sz="6" w:space="0"/>
                    <w:bottom w:val="single" w:color="auto" w:sz="6" w:space="0"/>
                    <w:right w:val="single" w:color="auto" w:sz="6" w:space="0"/>
                  </w:tcBorders>
                  <w:noWrap w:val="0"/>
                  <w:vAlign w:val="center"/>
                </w:tcPr>
                <w:p w14:paraId="0E62CD3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非甲烷总烃</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08BFE9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tcBorders>
                    <w:top w:val="single" w:color="auto" w:sz="4" w:space="0"/>
                    <w:left w:val="single" w:color="auto" w:sz="4" w:space="0"/>
                    <w:bottom w:val="single" w:color="auto" w:sz="4" w:space="0"/>
                    <w:right w:val="nil"/>
                  </w:tcBorders>
                  <w:noWrap w:val="0"/>
                  <w:vAlign w:val="center"/>
                </w:tcPr>
                <w:p w14:paraId="196915C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《工业企业挥发性有机物排放控制标准》（DB13/2322-20</w:t>
                  </w:r>
                  <w:r>
                    <w:rPr>
                      <w:rFonts w:hint="eastAsia" w:cs="Times New Roman"/>
                      <w:sz w:val="21"/>
                      <w:szCs w:val="21"/>
                      <w:highlight w:val="none"/>
                      <w:lang w:val="en-US" w:eastAsia="zh-CN"/>
                    </w:rPr>
                    <w:t>25</w:t>
                  </w:r>
                  <w:r>
                    <w:rPr>
                      <w:rFonts w:hint="eastAsia" w:ascii="Times New Roman" w:hAnsi="Times New Roman" w:eastAsia="宋体" w:cs="Times New Roman"/>
                      <w:sz w:val="21"/>
                      <w:szCs w:val="21"/>
                      <w:highlight w:val="none"/>
                      <w:lang w:val="en-US" w:eastAsia="zh-CN"/>
                    </w:rPr>
                    <w:t>）表1其他行业标准，同时需满足</w:t>
                  </w:r>
                  <w:r>
                    <w:rPr>
                      <w:rFonts w:hint="default" w:ascii="Times New Roman" w:hAnsi="Times New Roman" w:eastAsia="宋体" w:cs="Times New Roman"/>
                      <w:sz w:val="21"/>
                      <w:szCs w:val="21"/>
                      <w:highlight w:val="none"/>
                      <w:lang w:val="en-US" w:eastAsia="zh-CN"/>
                    </w:rPr>
                    <w:t>《重污染天气重点行业应急减排措施制定技术指南（2021年修订版）》</w:t>
                  </w:r>
                  <w:r>
                    <w:rPr>
                      <w:rFonts w:hint="eastAsia" w:ascii="Times New Roman" w:hAnsi="Times New Roman" w:eastAsia="宋体" w:cs="Times New Roman"/>
                      <w:sz w:val="21"/>
                      <w:szCs w:val="21"/>
                      <w:highlight w:val="none"/>
                      <w:lang w:val="en-US" w:eastAsia="zh-CN"/>
                    </w:rPr>
                    <w:t>中表6-1铸造企业B级标准要求</w:t>
                  </w:r>
                </w:p>
              </w:tc>
            </w:tr>
            <w:tr w14:paraId="628A0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vMerge w:val="continue"/>
                  <w:tcBorders>
                    <w:left w:val="nil"/>
                    <w:right w:val="single" w:color="auto" w:sz="6" w:space="0"/>
                  </w:tcBorders>
                  <w:noWrap w:val="0"/>
                  <w:vAlign w:val="center"/>
                </w:tcPr>
                <w:p w14:paraId="6E0003E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sz w:val="21"/>
                      <w:szCs w:val="21"/>
                      <w:highlight w:val="none"/>
                    </w:rPr>
                  </w:pPr>
                </w:p>
              </w:tc>
              <w:tc>
                <w:tcPr>
                  <w:tcW w:w="584" w:type="pct"/>
                  <w:tcBorders>
                    <w:left w:val="single" w:color="auto" w:sz="6" w:space="0"/>
                    <w:bottom w:val="single" w:color="auto" w:sz="6" w:space="0"/>
                    <w:right w:val="single" w:color="auto" w:sz="6" w:space="0"/>
                  </w:tcBorders>
                  <w:noWrap w:val="0"/>
                  <w:vAlign w:val="center"/>
                </w:tcPr>
                <w:p w14:paraId="1955B40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甲醛</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683D3E0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restart"/>
                  <w:tcBorders>
                    <w:top w:val="single" w:color="auto" w:sz="4" w:space="0"/>
                    <w:left w:val="single" w:color="auto" w:sz="4" w:space="0"/>
                    <w:right w:val="nil"/>
                  </w:tcBorders>
                  <w:noWrap w:val="0"/>
                  <w:vAlign w:val="center"/>
                </w:tcPr>
                <w:p w14:paraId="2602D57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《大气污染物综合排放标准》（GB16297-1996）表2中相关标准要求执行</w:t>
                  </w:r>
                </w:p>
              </w:tc>
            </w:tr>
            <w:tr w14:paraId="1FDCB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vMerge w:val="continue"/>
                  <w:tcBorders>
                    <w:left w:val="nil"/>
                    <w:right w:val="single" w:color="auto" w:sz="6" w:space="0"/>
                  </w:tcBorders>
                  <w:noWrap w:val="0"/>
                  <w:vAlign w:val="center"/>
                </w:tcPr>
                <w:p w14:paraId="1D20BC1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cs="Times New Roman"/>
                      <w:color w:val="auto"/>
                      <w:sz w:val="21"/>
                      <w:szCs w:val="21"/>
                      <w:highlight w:val="none"/>
                    </w:rPr>
                  </w:pPr>
                </w:p>
              </w:tc>
              <w:tc>
                <w:tcPr>
                  <w:tcW w:w="584" w:type="pct"/>
                  <w:tcBorders>
                    <w:left w:val="single" w:color="auto" w:sz="6" w:space="0"/>
                    <w:bottom w:val="single" w:color="auto" w:sz="6" w:space="0"/>
                    <w:right w:val="single" w:color="auto" w:sz="6" w:space="0"/>
                  </w:tcBorders>
                  <w:noWrap w:val="0"/>
                  <w:vAlign w:val="center"/>
                </w:tcPr>
                <w:p w14:paraId="03854E9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酚类</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70A7A4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continue"/>
                  <w:tcBorders>
                    <w:left w:val="single" w:color="auto" w:sz="4" w:space="0"/>
                    <w:bottom w:val="single" w:color="auto" w:sz="4" w:space="0"/>
                    <w:right w:val="nil"/>
                  </w:tcBorders>
                  <w:noWrap w:val="0"/>
                  <w:vAlign w:val="center"/>
                </w:tcPr>
                <w:p w14:paraId="53755FC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p>
              </w:tc>
            </w:tr>
            <w:tr w14:paraId="3B634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62" w:hRule="atLeast"/>
                <w:jc w:val="center"/>
              </w:trPr>
              <w:tc>
                <w:tcPr>
                  <w:tcW w:w="612" w:type="pct"/>
                  <w:vMerge w:val="restart"/>
                  <w:tcBorders>
                    <w:left w:val="nil"/>
                    <w:right w:val="single" w:color="auto" w:sz="6" w:space="0"/>
                  </w:tcBorders>
                  <w:noWrap w:val="0"/>
                  <w:vAlign w:val="center"/>
                </w:tcPr>
                <w:p w14:paraId="02ACCDE1">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w:t>
                  </w:r>
                </w:p>
              </w:tc>
              <w:tc>
                <w:tcPr>
                  <w:tcW w:w="584" w:type="pct"/>
                  <w:tcBorders>
                    <w:top w:val="single" w:color="auto" w:sz="6" w:space="0"/>
                    <w:left w:val="single" w:color="auto" w:sz="6" w:space="0"/>
                    <w:bottom w:val="single" w:color="auto" w:sz="4" w:space="0"/>
                    <w:right w:val="single" w:color="auto" w:sz="6" w:space="0"/>
                  </w:tcBorders>
                  <w:noWrap w:val="0"/>
                  <w:vAlign w:val="center"/>
                </w:tcPr>
                <w:p w14:paraId="384D468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608" w:type="pct"/>
                  <w:tcBorders>
                    <w:top w:val="single" w:color="auto" w:sz="6" w:space="0"/>
                    <w:left w:val="single" w:color="auto" w:sz="6" w:space="0"/>
                    <w:bottom w:val="single" w:color="auto" w:sz="4" w:space="0"/>
                    <w:right w:val="single" w:color="auto" w:sz="6" w:space="0"/>
                  </w:tcBorders>
                  <w:noWrap w:val="0"/>
                  <w:vAlign w:val="center"/>
                </w:tcPr>
                <w:p w14:paraId="011321E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restart"/>
                  <w:tcBorders>
                    <w:left w:val="single" w:color="auto" w:sz="4" w:space="0"/>
                    <w:right w:val="nil"/>
                  </w:tcBorders>
                  <w:noWrap w:val="0"/>
                  <w:vAlign w:val="center"/>
                </w:tcPr>
                <w:p w14:paraId="6171FA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60" w:lineRule="exact"/>
                    <w:ind w:left="-52" w:leftChars="-25" w:right="-52" w:rightChars="-25"/>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《大气污染物综合排放标准》（GB16297-1996）表2无组织排放浓度监控浓度</w:t>
                  </w:r>
                  <w:r>
                    <w:rPr>
                      <w:rFonts w:hint="eastAsia" w:cs="Times New Roman"/>
                      <w:sz w:val="21"/>
                      <w:szCs w:val="21"/>
                      <w:highlight w:val="none"/>
                      <w:lang w:val="en-US" w:eastAsia="zh-CN"/>
                    </w:rPr>
                    <w:t>限值</w:t>
                  </w:r>
                </w:p>
              </w:tc>
            </w:tr>
            <w:tr w14:paraId="79F15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93" w:hRule="atLeast"/>
                <w:jc w:val="center"/>
              </w:trPr>
              <w:tc>
                <w:tcPr>
                  <w:tcW w:w="612" w:type="pct"/>
                  <w:vMerge w:val="continue"/>
                  <w:tcBorders>
                    <w:left w:val="nil"/>
                    <w:right w:val="single" w:color="auto" w:sz="6" w:space="0"/>
                  </w:tcBorders>
                  <w:noWrap w:val="0"/>
                  <w:vAlign w:val="center"/>
                </w:tcPr>
                <w:p w14:paraId="71C5CDCF">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center"/>
                    <w:textAlignment w:val="center"/>
                    <w:rPr>
                      <w:rFonts w:hint="default" w:ascii="Times New Roman" w:hAnsi="Times New Roman" w:cs="Times New Roman"/>
                      <w:color w:val="auto"/>
                      <w:sz w:val="21"/>
                      <w:szCs w:val="21"/>
                      <w:highlight w:val="none"/>
                      <w:lang w:val="en-US" w:eastAsia="zh-CN"/>
                    </w:rPr>
                  </w:pPr>
                </w:p>
              </w:tc>
              <w:tc>
                <w:tcPr>
                  <w:tcW w:w="584" w:type="pct"/>
                  <w:tcBorders>
                    <w:top w:val="single" w:color="auto" w:sz="4" w:space="0"/>
                    <w:left w:val="single" w:color="auto" w:sz="6" w:space="0"/>
                    <w:bottom w:val="single" w:color="auto" w:sz="6" w:space="0"/>
                    <w:right w:val="single" w:color="auto" w:sz="6" w:space="0"/>
                  </w:tcBorders>
                  <w:noWrap w:val="0"/>
                  <w:vAlign w:val="center"/>
                </w:tcPr>
                <w:p w14:paraId="0064F53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rPr>
                    <w:t>非甲烷总烃</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24EB5C9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continue"/>
                  <w:tcBorders>
                    <w:left w:val="single" w:color="auto" w:sz="4" w:space="0"/>
                    <w:bottom w:val="single" w:color="auto" w:sz="4" w:space="0"/>
                    <w:right w:val="nil"/>
                  </w:tcBorders>
                  <w:noWrap w:val="0"/>
                  <w:vAlign w:val="center"/>
                </w:tcPr>
                <w:p w14:paraId="055CDE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60" w:lineRule="exact"/>
                    <w:ind w:left="-52" w:leftChars="-25" w:right="-52" w:rightChars="-25"/>
                    <w:jc w:val="center"/>
                    <w:textAlignment w:val="auto"/>
                    <w:rPr>
                      <w:rFonts w:hint="eastAsia" w:ascii="Times New Roman" w:hAnsi="Times New Roman" w:eastAsia="宋体" w:cs="Times New Roman"/>
                      <w:sz w:val="21"/>
                      <w:szCs w:val="21"/>
                      <w:highlight w:val="none"/>
                      <w:lang w:val="en-US" w:eastAsia="zh-CN"/>
                    </w:rPr>
                  </w:pPr>
                </w:p>
              </w:tc>
            </w:tr>
            <w:tr w14:paraId="76E35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vMerge w:val="continue"/>
                  <w:tcBorders>
                    <w:left w:val="nil"/>
                    <w:right w:val="single" w:color="auto" w:sz="6" w:space="0"/>
                  </w:tcBorders>
                  <w:noWrap w:val="0"/>
                  <w:vAlign w:val="center"/>
                </w:tcPr>
                <w:p w14:paraId="1B941B2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center"/>
                    <w:textAlignment w:val="center"/>
                    <w:rPr>
                      <w:rFonts w:hint="default" w:ascii="Times New Roman" w:hAnsi="Times New Roman" w:cs="Times New Roman"/>
                      <w:color w:val="auto"/>
                      <w:sz w:val="21"/>
                      <w:szCs w:val="21"/>
                      <w:highlight w:val="none"/>
                      <w:lang w:val="en-US" w:eastAsia="zh-CN"/>
                    </w:rPr>
                  </w:pPr>
                </w:p>
              </w:tc>
              <w:tc>
                <w:tcPr>
                  <w:tcW w:w="584" w:type="pct"/>
                  <w:tcBorders>
                    <w:top w:val="single" w:color="auto" w:sz="6" w:space="0"/>
                    <w:left w:val="single" w:color="auto" w:sz="6" w:space="0"/>
                    <w:bottom w:val="single" w:color="auto" w:sz="6" w:space="0"/>
                    <w:right w:val="single" w:color="auto" w:sz="6" w:space="0"/>
                  </w:tcBorders>
                  <w:shd w:val="clear" w:color="auto" w:fill="auto"/>
                  <w:noWrap w:val="0"/>
                  <w:vAlign w:val="center"/>
                </w:tcPr>
                <w:p w14:paraId="6DDFA08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bidi="zh-CN"/>
                    </w:rPr>
                  </w:pPr>
                  <w:r>
                    <w:rPr>
                      <w:rFonts w:hint="eastAsia" w:ascii="Times New Roman" w:hAnsi="Times New Roman" w:cs="Times New Roman"/>
                      <w:color w:val="auto"/>
                      <w:sz w:val="21"/>
                      <w:szCs w:val="21"/>
                      <w:highlight w:val="none"/>
                      <w:lang w:val="en-US" w:eastAsia="zh-CN"/>
                    </w:rPr>
                    <w:t>甲醛</w:t>
                  </w:r>
                </w:p>
              </w:tc>
              <w:tc>
                <w:tcPr>
                  <w:tcW w:w="608" w:type="pct"/>
                  <w:tcBorders>
                    <w:top w:val="single" w:color="auto" w:sz="4" w:space="0"/>
                    <w:left w:val="single" w:color="auto" w:sz="6" w:space="0"/>
                    <w:bottom w:val="single" w:color="auto" w:sz="4" w:space="0"/>
                    <w:right w:val="single" w:color="auto" w:sz="6" w:space="0"/>
                  </w:tcBorders>
                  <w:shd w:val="clear" w:color="auto" w:fill="auto"/>
                  <w:noWrap w:val="0"/>
                  <w:vAlign w:val="center"/>
                </w:tcPr>
                <w:p w14:paraId="7057FCE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zh-CN" w:eastAsia="zh-CN" w:bidi="zh-CN"/>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restart"/>
                  <w:tcBorders>
                    <w:top w:val="single" w:color="auto" w:sz="4" w:space="0"/>
                    <w:left w:val="single" w:color="auto" w:sz="4" w:space="0"/>
                    <w:right w:val="nil"/>
                  </w:tcBorders>
                  <w:noWrap w:val="0"/>
                  <w:vAlign w:val="center"/>
                </w:tcPr>
                <w:p w14:paraId="2877A5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60" w:lineRule="exact"/>
                    <w:ind w:left="-52" w:leftChars="-25" w:right="-52" w:rightChars="-25"/>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《工业企业挥发性有机物排放控制标准》（DB13/2322-20</w:t>
                  </w:r>
                  <w:r>
                    <w:rPr>
                      <w:rFonts w:hint="eastAsia" w:cs="Times New Roman"/>
                      <w:sz w:val="21"/>
                      <w:szCs w:val="21"/>
                      <w:highlight w:val="none"/>
                      <w:lang w:val="en-US" w:eastAsia="zh-CN"/>
                    </w:rPr>
                    <w:t>25</w:t>
                  </w:r>
                  <w:r>
                    <w:rPr>
                      <w:rFonts w:hint="eastAsia" w:ascii="Times New Roman" w:hAnsi="Times New Roman" w:eastAsia="宋体" w:cs="Times New Roman"/>
                      <w:sz w:val="21"/>
                      <w:szCs w:val="21"/>
                      <w:highlight w:val="none"/>
                      <w:lang w:val="en-US" w:eastAsia="zh-CN"/>
                    </w:rPr>
                    <w:t>）</w:t>
                  </w:r>
                  <w:r>
                    <w:rPr>
                      <w:rFonts w:hint="eastAsia" w:cs="Times New Roman"/>
                      <w:sz w:val="21"/>
                      <w:szCs w:val="21"/>
                      <w:highlight w:val="none"/>
                      <w:lang w:val="en-US" w:eastAsia="zh-CN"/>
                    </w:rPr>
                    <w:t>表3 企业边界挥发性有机物浓度限值要求</w:t>
                  </w:r>
                </w:p>
              </w:tc>
            </w:tr>
            <w:tr w14:paraId="7591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90" w:hRule="atLeast"/>
                <w:jc w:val="center"/>
              </w:trPr>
              <w:tc>
                <w:tcPr>
                  <w:tcW w:w="612" w:type="pct"/>
                  <w:vMerge w:val="continue"/>
                  <w:tcBorders>
                    <w:left w:val="nil"/>
                    <w:right w:val="single" w:color="auto" w:sz="6" w:space="0"/>
                  </w:tcBorders>
                  <w:noWrap w:val="0"/>
                  <w:vAlign w:val="center"/>
                </w:tcPr>
                <w:p w14:paraId="5D257E0F">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center"/>
                    <w:textAlignment w:val="center"/>
                    <w:rPr>
                      <w:rFonts w:hint="default" w:ascii="Times New Roman" w:hAnsi="Times New Roman" w:cs="Times New Roman"/>
                      <w:color w:val="auto"/>
                      <w:sz w:val="21"/>
                      <w:szCs w:val="21"/>
                      <w:highlight w:val="none"/>
                      <w:lang w:val="en-US" w:eastAsia="zh-CN"/>
                    </w:rPr>
                  </w:pPr>
                </w:p>
              </w:tc>
              <w:tc>
                <w:tcPr>
                  <w:tcW w:w="584" w:type="pct"/>
                  <w:tcBorders>
                    <w:top w:val="single" w:color="auto" w:sz="6" w:space="0"/>
                    <w:left w:val="single" w:color="auto" w:sz="6" w:space="0"/>
                    <w:bottom w:val="single" w:color="auto" w:sz="6" w:space="0"/>
                    <w:right w:val="single" w:color="auto" w:sz="6" w:space="0"/>
                  </w:tcBorders>
                  <w:shd w:val="clear" w:color="auto" w:fill="auto"/>
                  <w:noWrap w:val="0"/>
                  <w:vAlign w:val="center"/>
                </w:tcPr>
                <w:p w14:paraId="4E2C45B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bidi="zh-CN"/>
                    </w:rPr>
                  </w:pPr>
                  <w:r>
                    <w:rPr>
                      <w:rFonts w:hint="eastAsia" w:ascii="Times New Roman" w:hAnsi="Times New Roman" w:cs="Times New Roman"/>
                      <w:color w:val="auto"/>
                      <w:sz w:val="21"/>
                      <w:szCs w:val="21"/>
                      <w:highlight w:val="none"/>
                      <w:lang w:val="en-US" w:eastAsia="zh-CN"/>
                    </w:rPr>
                    <w:t>酚类</w:t>
                  </w:r>
                </w:p>
              </w:tc>
              <w:tc>
                <w:tcPr>
                  <w:tcW w:w="608" w:type="pct"/>
                  <w:tcBorders>
                    <w:top w:val="single" w:color="auto" w:sz="4" w:space="0"/>
                    <w:left w:val="single" w:color="auto" w:sz="6" w:space="0"/>
                    <w:bottom w:val="single" w:color="auto" w:sz="4" w:space="0"/>
                    <w:right w:val="single" w:color="auto" w:sz="6" w:space="0"/>
                  </w:tcBorders>
                  <w:shd w:val="clear" w:color="auto" w:fill="auto"/>
                  <w:noWrap w:val="0"/>
                  <w:vAlign w:val="center"/>
                </w:tcPr>
                <w:p w14:paraId="63FBACD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eastAsia="宋体" w:cs="Times New Roman"/>
                      <w:color w:val="auto"/>
                      <w:sz w:val="21"/>
                      <w:szCs w:val="21"/>
                      <w:highlight w:val="none"/>
                      <w:lang w:val="zh-CN" w:eastAsia="zh-CN" w:bidi="zh-CN"/>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vMerge w:val="continue"/>
                  <w:tcBorders>
                    <w:left w:val="single" w:color="auto" w:sz="4" w:space="0"/>
                    <w:bottom w:val="single" w:color="auto" w:sz="4" w:space="0"/>
                    <w:right w:val="nil"/>
                  </w:tcBorders>
                  <w:noWrap w:val="0"/>
                  <w:vAlign w:val="center"/>
                </w:tcPr>
                <w:p w14:paraId="01A401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60" w:lineRule="exact"/>
                    <w:ind w:left="-52" w:leftChars="-25" w:right="-52" w:rightChars="-25"/>
                    <w:jc w:val="center"/>
                    <w:textAlignment w:val="auto"/>
                    <w:rPr>
                      <w:rFonts w:hint="default" w:ascii="Times New Roman" w:hAnsi="Times New Roman" w:eastAsia="宋体" w:cs="Times New Roman"/>
                      <w:color w:val="auto"/>
                      <w:sz w:val="21"/>
                      <w:szCs w:val="21"/>
                      <w:highlight w:val="none"/>
                      <w:lang w:val="en-US" w:eastAsia="zh-CN"/>
                    </w:rPr>
                  </w:pPr>
                </w:p>
              </w:tc>
            </w:tr>
            <w:tr w14:paraId="3A0D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612" w:type="pct"/>
                  <w:tcBorders>
                    <w:left w:val="nil"/>
                    <w:right w:val="single" w:color="auto" w:sz="6" w:space="0"/>
                  </w:tcBorders>
                  <w:noWrap w:val="0"/>
                  <w:vAlign w:val="center"/>
                </w:tcPr>
                <w:p w14:paraId="102686F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厂房外</w:t>
                  </w:r>
                </w:p>
              </w:tc>
              <w:tc>
                <w:tcPr>
                  <w:tcW w:w="584" w:type="pct"/>
                  <w:tcBorders>
                    <w:top w:val="single" w:color="auto" w:sz="6" w:space="0"/>
                    <w:left w:val="single" w:color="auto" w:sz="6" w:space="0"/>
                    <w:bottom w:val="single" w:color="auto" w:sz="6" w:space="0"/>
                    <w:right w:val="single" w:color="auto" w:sz="6" w:space="0"/>
                  </w:tcBorders>
                  <w:noWrap w:val="0"/>
                  <w:vAlign w:val="center"/>
                </w:tcPr>
                <w:p w14:paraId="69067B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非甲烷总烃</w:t>
                  </w:r>
                </w:p>
              </w:tc>
              <w:tc>
                <w:tcPr>
                  <w:tcW w:w="608" w:type="pct"/>
                  <w:tcBorders>
                    <w:top w:val="single" w:color="auto" w:sz="4" w:space="0"/>
                    <w:left w:val="single" w:color="auto" w:sz="6" w:space="0"/>
                    <w:bottom w:val="single" w:color="auto" w:sz="4" w:space="0"/>
                    <w:right w:val="single" w:color="auto" w:sz="6" w:space="0"/>
                  </w:tcBorders>
                  <w:noWrap w:val="0"/>
                  <w:vAlign w:val="center"/>
                </w:tcPr>
                <w:p w14:paraId="63E98B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leftChars="0" w:right="0" w:rightChars="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val="en-US" w:eastAsia="zh-CN"/>
                    </w:rPr>
                    <w:t>半</w:t>
                  </w:r>
                  <w:r>
                    <w:rPr>
                      <w:rFonts w:hint="default" w:ascii="Times New Roman" w:hAnsi="Times New Roman" w:cs="Times New Roman"/>
                      <w:color w:val="auto"/>
                      <w:sz w:val="21"/>
                      <w:szCs w:val="21"/>
                      <w:highlight w:val="none"/>
                    </w:rPr>
                    <w:t>年</w:t>
                  </w:r>
                </w:p>
              </w:tc>
              <w:tc>
                <w:tcPr>
                  <w:tcW w:w="3195" w:type="pct"/>
                  <w:tcBorders>
                    <w:top w:val="single" w:color="auto" w:sz="4" w:space="0"/>
                    <w:left w:val="single" w:color="auto" w:sz="4" w:space="0"/>
                    <w:right w:val="nil"/>
                  </w:tcBorders>
                  <w:noWrap w:val="0"/>
                  <w:vAlign w:val="center"/>
                </w:tcPr>
                <w:p w14:paraId="2169356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sz w:val="21"/>
                      <w:szCs w:val="21"/>
                      <w:highlight w:val="none"/>
                      <w:lang w:val="en-US" w:eastAsia="zh-CN"/>
                    </w:rPr>
                    <w:t>《工业企业挥发性有机物排放控制标准》（DB13/2322-20</w:t>
                  </w:r>
                  <w:r>
                    <w:rPr>
                      <w:rFonts w:hint="eastAsia" w:cs="Times New Roman"/>
                      <w:sz w:val="21"/>
                      <w:szCs w:val="21"/>
                      <w:highlight w:val="none"/>
                      <w:lang w:val="en-US" w:eastAsia="zh-CN"/>
                    </w:rPr>
                    <w:t>25</w:t>
                  </w:r>
                  <w:r>
                    <w:rPr>
                      <w:rFonts w:hint="eastAsia" w:ascii="Times New Roman" w:hAnsi="Times New Roman" w:eastAsia="宋体" w:cs="Times New Roman"/>
                      <w:sz w:val="21"/>
                      <w:szCs w:val="21"/>
                      <w:highlight w:val="none"/>
                      <w:lang w:val="en-US" w:eastAsia="zh-CN"/>
                    </w:rPr>
                    <w:t>）中</w:t>
                  </w:r>
                  <w:r>
                    <w:rPr>
                      <w:rFonts w:hint="eastAsia" w:cs="Times New Roman"/>
                      <w:sz w:val="21"/>
                      <w:szCs w:val="21"/>
                      <w:highlight w:val="none"/>
                      <w:lang w:val="en-US" w:eastAsia="zh-CN"/>
                    </w:rPr>
                    <w:t>表2厂区内挥发性有机物无组织排放限值</w:t>
                  </w:r>
                  <w:r>
                    <w:rPr>
                      <w:rFonts w:hint="eastAsia" w:ascii="Times New Roman" w:hAnsi="Times New Roman" w:eastAsia="宋体" w:cs="Times New Roman"/>
                      <w:sz w:val="21"/>
                      <w:szCs w:val="21"/>
                      <w:highlight w:val="none"/>
                      <w:lang w:val="en-US" w:eastAsia="zh-CN"/>
                    </w:rPr>
                    <w:t>要求</w:t>
                  </w:r>
                </w:p>
              </w:tc>
            </w:tr>
          </w:tbl>
          <w:p w14:paraId="2BC963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b/>
                <w:bCs/>
                <w:sz w:val="24"/>
                <w:szCs w:val="20"/>
                <w:highlight w:val="none"/>
              </w:rPr>
            </w:pPr>
            <w:r>
              <w:rPr>
                <w:rFonts w:hint="eastAsia"/>
                <w:b/>
                <w:bCs/>
                <w:sz w:val="24"/>
                <w:szCs w:val="20"/>
                <w:highlight w:val="none"/>
                <w:lang w:val="en-US" w:eastAsia="zh-CN"/>
              </w:rPr>
              <w:t>5、</w:t>
            </w:r>
            <w:r>
              <w:rPr>
                <w:rFonts w:hint="eastAsia"/>
                <w:b/>
                <w:bCs/>
                <w:sz w:val="24"/>
                <w:szCs w:val="20"/>
                <w:highlight w:val="none"/>
              </w:rPr>
              <w:t>废气治理设施可行性分析</w:t>
            </w:r>
          </w:p>
          <w:p w14:paraId="7148811E">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firstLine="480" w:firstLineChars="200"/>
              <w:textAlignment w:val="auto"/>
              <w:outlineLvl w:val="1"/>
              <w:rPr>
                <w:rFonts w:hint="default" w:ascii="Times New Roman" w:hAnsi="Times New Roman" w:eastAsia="宋体" w:cs="Times New Roman"/>
                <w:b/>
                <w:bCs/>
                <w:color w:val="auto"/>
                <w:sz w:val="24"/>
                <w:szCs w:val="24"/>
                <w:highlight w:val="none"/>
                <w:lang w:val="en-US" w:eastAsia="zh-CN"/>
              </w:rPr>
            </w:pPr>
            <w:bookmarkStart w:id="10" w:name="_Toc21104"/>
            <w:r>
              <w:rPr>
                <w:rFonts w:hint="default" w:ascii="Times New Roman" w:hAnsi="Times New Roman" w:eastAsia="宋体" w:cs="Times New Roman"/>
                <w:b/>
                <w:bCs/>
                <w:color w:val="auto"/>
                <w:sz w:val="24"/>
                <w:szCs w:val="24"/>
                <w:highlight w:val="none"/>
                <w:lang w:val="en-US" w:eastAsia="zh-CN"/>
              </w:rPr>
              <w:t xml:space="preserve">5.1 </w:t>
            </w:r>
            <w:bookmarkEnd w:id="10"/>
            <w:r>
              <w:rPr>
                <w:rFonts w:hint="eastAsia" w:ascii="Times New Roman" w:hAnsi="Times New Roman" w:cs="Times New Roman"/>
                <w:b/>
                <w:bCs/>
                <w:color w:val="auto"/>
                <w:sz w:val="24"/>
                <w:szCs w:val="24"/>
                <w:highlight w:val="none"/>
                <w:lang w:val="en-US" w:eastAsia="zh-CN"/>
              </w:rPr>
              <w:t>粉尘废气</w:t>
            </w:r>
          </w:p>
          <w:p w14:paraId="0FF19694">
            <w:pPr>
              <w:keepNext w:val="0"/>
              <w:keepLines w:val="0"/>
              <w:suppressLineNumbers w:val="0"/>
              <w:spacing w:before="0" w:beforeAutospacing="0" w:after="0" w:afterAutospacing="0" w:line="480" w:lineRule="exact"/>
              <w:ind w:left="0" w:right="0" w:firstLine="480" w:firstLineChars="200"/>
              <w:rPr>
                <w:rFonts w:hint="default"/>
                <w:szCs w:val="20"/>
                <w:highlight w:val="none"/>
              </w:rPr>
            </w:pPr>
            <w:r>
              <w:rPr>
                <w:rFonts w:hint="default" w:ascii="Times New Roman" w:hAnsi="Times New Roman" w:cs="Times New Roman"/>
                <w:color w:val="auto"/>
                <w:sz w:val="24"/>
                <w:szCs w:val="24"/>
                <w:highlight w:val="none"/>
              </w:rPr>
              <w:t>颗粒物常用治理方式有湿式除尘、袋式除尘、电除尘等。根据工程案例，其工艺比较情况见表</w:t>
            </w:r>
            <w:r>
              <w:rPr>
                <w:rFonts w:hint="eastAsia"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7</w:t>
            </w:r>
            <w:r>
              <w:rPr>
                <w:rFonts w:hint="default" w:ascii="Times New Roman" w:hAnsi="Times New Roman" w:cs="Times New Roman"/>
                <w:color w:val="auto"/>
                <w:sz w:val="24"/>
                <w:szCs w:val="24"/>
                <w:highlight w:val="none"/>
              </w:rPr>
              <w:t>。</w:t>
            </w:r>
          </w:p>
          <w:p w14:paraId="44E2AABA">
            <w:pPr>
              <w:keepNext w:val="0"/>
              <w:keepLines w:val="0"/>
              <w:suppressLineNumbers w:val="0"/>
              <w:spacing w:before="0" w:beforeAutospacing="0" w:after="0" w:afterAutospacing="0" w:line="480" w:lineRule="exact"/>
              <w:ind w:left="0" w:right="0" w:firstLine="482"/>
              <w:jc w:val="center"/>
              <w:rPr>
                <w:rFonts w:hint="default"/>
                <w:b/>
                <w:sz w:val="24"/>
                <w:szCs w:val="20"/>
                <w:highlight w:val="none"/>
              </w:rPr>
            </w:pPr>
            <w:r>
              <w:rPr>
                <w:rFonts w:hint="default"/>
                <w:b/>
                <w:sz w:val="24"/>
                <w:szCs w:val="20"/>
                <w:highlight w:val="none"/>
              </w:rPr>
              <w:t>表</w:t>
            </w:r>
            <w:r>
              <w:rPr>
                <w:rFonts w:hint="eastAsia"/>
                <w:b/>
                <w:sz w:val="24"/>
                <w:szCs w:val="20"/>
                <w:highlight w:val="none"/>
                <w:lang w:val="en-US" w:eastAsia="zh-CN"/>
              </w:rPr>
              <w:t>4</w:t>
            </w:r>
            <w:r>
              <w:rPr>
                <w:rFonts w:hint="default"/>
                <w:b/>
                <w:sz w:val="24"/>
                <w:szCs w:val="20"/>
                <w:highlight w:val="none"/>
                <w:lang w:val="en-US" w:eastAsia="zh-CN"/>
              </w:rPr>
              <w:t>-</w:t>
            </w:r>
            <w:r>
              <w:rPr>
                <w:rFonts w:hint="eastAsia"/>
                <w:b/>
                <w:sz w:val="24"/>
                <w:szCs w:val="20"/>
                <w:highlight w:val="none"/>
                <w:lang w:val="en-US" w:eastAsia="zh-CN"/>
              </w:rPr>
              <w:t xml:space="preserve">7    </w:t>
            </w:r>
            <w:r>
              <w:rPr>
                <w:rFonts w:hint="default"/>
                <w:b/>
                <w:sz w:val="24"/>
                <w:szCs w:val="20"/>
                <w:highlight w:val="none"/>
              </w:rPr>
              <w:t>常见粉尘治理方法</w:t>
            </w:r>
          </w:p>
          <w:tbl>
            <w:tblPr>
              <w:tblStyle w:val="47"/>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5"/>
              <w:gridCol w:w="1588"/>
              <w:gridCol w:w="1324"/>
              <w:gridCol w:w="1599"/>
              <w:gridCol w:w="1490"/>
              <w:gridCol w:w="925"/>
            </w:tblGrid>
            <w:tr w14:paraId="1798049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5" w:type="dxa"/>
                  <w:tcBorders>
                    <w:top w:val="single" w:color="auto" w:sz="12" w:space="0"/>
                    <w:left w:val="nil"/>
                    <w:bottom w:val="single" w:color="auto" w:sz="4" w:space="0"/>
                    <w:right w:val="single" w:color="auto" w:sz="4" w:space="0"/>
                  </w:tcBorders>
                  <w:noWrap w:val="0"/>
                  <w:vAlign w:val="center"/>
                </w:tcPr>
                <w:p w14:paraId="088348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方法</w:t>
                  </w:r>
                </w:p>
              </w:tc>
              <w:tc>
                <w:tcPr>
                  <w:tcW w:w="1588" w:type="dxa"/>
                  <w:tcBorders>
                    <w:top w:val="single" w:color="auto" w:sz="12" w:space="0"/>
                    <w:left w:val="single" w:color="auto" w:sz="4" w:space="0"/>
                    <w:bottom w:val="single" w:color="auto" w:sz="4" w:space="0"/>
                    <w:right w:val="single" w:color="auto" w:sz="4" w:space="0"/>
                  </w:tcBorders>
                  <w:noWrap w:val="0"/>
                  <w:vAlign w:val="center"/>
                </w:tcPr>
                <w:p w14:paraId="2B998B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简介</w:t>
                  </w:r>
                </w:p>
              </w:tc>
              <w:tc>
                <w:tcPr>
                  <w:tcW w:w="1324" w:type="dxa"/>
                  <w:tcBorders>
                    <w:top w:val="single" w:color="auto" w:sz="12" w:space="0"/>
                    <w:left w:val="single" w:color="auto" w:sz="4" w:space="0"/>
                    <w:bottom w:val="single" w:color="auto" w:sz="4" w:space="0"/>
                    <w:right w:val="single" w:color="auto" w:sz="4" w:space="0"/>
                  </w:tcBorders>
                  <w:noWrap w:val="0"/>
                  <w:vAlign w:val="center"/>
                </w:tcPr>
                <w:p w14:paraId="077957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适用范围</w:t>
                  </w:r>
                </w:p>
              </w:tc>
              <w:tc>
                <w:tcPr>
                  <w:tcW w:w="1599" w:type="dxa"/>
                  <w:tcBorders>
                    <w:top w:val="single" w:color="auto" w:sz="12" w:space="0"/>
                    <w:left w:val="single" w:color="auto" w:sz="4" w:space="0"/>
                    <w:bottom w:val="single" w:color="auto" w:sz="4" w:space="0"/>
                    <w:right w:val="single" w:color="auto" w:sz="4" w:space="0"/>
                  </w:tcBorders>
                  <w:noWrap w:val="0"/>
                  <w:vAlign w:val="center"/>
                </w:tcPr>
                <w:p w14:paraId="08E87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优点</w:t>
                  </w:r>
                </w:p>
              </w:tc>
              <w:tc>
                <w:tcPr>
                  <w:tcW w:w="1490" w:type="dxa"/>
                  <w:tcBorders>
                    <w:top w:val="single" w:color="auto" w:sz="12" w:space="0"/>
                    <w:left w:val="single" w:color="auto" w:sz="4" w:space="0"/>
                    <w:bottom w:val="single" w:color="auto" w:sz="4" w:space="0"/>
                    <w:right w:val="single" w:color="auto" w:sz="4" w:space="0"/>
                  </w:tcBorders>
                  <w:noWrap w:val="0"/>
                  <w:vAlign w:val="center"/>
                </w:tcPr>
                <w:p w14:paraId="2B8B0B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缺点</w:t>
                  </w:r>
                </w:p>
              </w:tc>
              <w:tc>
                <w:tcPr>
                  <w:tcW w:w="925" w:type="dxa"/>
                  <w:tcBorders>
                    <w:top w:val="single" w:color="auto" w:sz="12" w:space="0"/>
                    <w:left w:val="single" w:color="auto" w:sz="4" w:space="0"/>
                    <w:bottom w:val="single" w:color="auto" w:sz="4" w:space="0"/>
                    <w:right w:val="nil"/>
                  </w:tcBorders>
                  <w:noWrap w:val="0"/>
                  <w:vAlign w:val="center"/>
                </w:tcPr>
                <w:p w14:paraId="3EAC02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b/>
                      <w:bCs/>
                      <w:color w:val="auto"/>
                      <w:szCs w:val="20"/>
                      <w:highlight w:val="none"/>
                    </w:rPr>
                  </w:pPr>
                  <w:r>
                    <w:rPr>
                      <w:rFonts w:hint="default" w:ascii="Times New Roman" w:hAnsi="Times New Roman" w:eastAsia="Times New Roman" w:cs="Times New Roman"/>
                      <w:b/>
                      <w:bCs/>
                      <w:color w:val="auto"/>
                      <w:szCs w:val="20"/>
                      <w:highlight w:val="none"/>
                    </w:rPr>
                    <w:t>效率</w:t>
                  </w:r>
                </w:p>
              </w:tc>
            </w:tr>
            <w:tr w14:paraId="0E9D09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5" w:type="dxa"/>
                  <w:tcBorders>
                    <w:top w:val="single" w:color="auto" w:sz="4" w:space="0"/>
                    <w:left w:val="nil"/>
                    <w:bottom w:val="single" w:color="auto" w:sz="4" w:space="0"/>
                    <w:right w:val="single" w:color="auto" w:sz="4" w:space="0"/>
                  </w:tcBorders>
                  <w:noWrap w:val="0"/>
                  <w:vAlign w:val="center"/>
                </w:tcPr>
                <w:p w14:paraId="09D73B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湿式除尘</w:t>
                  </w:r>
                </w:p>
              </w:tc>
              <w:tc>
                <w:tcPr>
                  <w:tcW w:w="1588" w:type="dxa"/>
                  <w:tcBorders>
                    <w:top w:val="single" w:color="auto" w:sz="4" w:space="0"/>
                    <w:left w:val="single" w:color="auto" w:sz="4" w:space="0"/>
                    <w:bottom w:val="single" w:color="auto" w:sz="4" w:space="0"/>
                    <w:right w:val="single" w:color="auto" w:sz="4" w:space="0"/>
                  </w:tcBorders>
                  <w:noWrap w:val="0"/>
                  <w:vAlign w:val="center"/>
                </w:tcPr>
                <w:p w14:paraId="1FA3EE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用洗涤水或其他液体与</w:t>
                  </w:r>
                  <w:r>
                    <w:rPr>
                      <w:rFonts w:hint="default" w:ascii="Times New Roman" w:hAnsi="Times New Roman" w:cs="Times New Roman"/>
                      <w:color w:val="auto"/>
                      <w:szCs w:val="20"/>
                      <w:highlight w:val="none"/>
                    </w:rPr>
                    <w:t>含尘气体相互接触实现分离捕集</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0522C0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适用范围广，</w:t>
                  </w:r>
                  <w:r>
                    <w:rPr>
                      <w:rFonts w:hint="default" w:ascii="Times New Roman" w:hAnsi="Times New Roman" w:cs="Times New Roman"/>
                      <w:color w:val="auto"/>
                      <w:szCs w:val="20"/>
                      <w:highlight w:val="none"/>
                    </w:rPr>
                    <w:t>对各种浓度含尘气体适用</w:t>
                  </w:r>
                </w:p>
              </w:tc>
              <w:tc>
                <w:tcPr>
                  <w:tcW w:w="1599" w:type="dxa"/>
                  <w:tcBorders>
                    <w:top w:val="single" w:color="auto" w:sz="4" w:space="0"/>
                    <w:left w:val="single" w:color="auto" w:sz="4" w:space="0"/>
                    <w:bottom w:val="single" w:color="auto" w:sz="4" w:space="0"/>
                    <w:right w:val="single" w:color="auto" w:sz="4" w:space="0"/>
                  </w:tcBorders>
                  <w:noWrap w:val="0"/>
                  <w:vAlign w:val="center"/>
                </w:tcPr>
                <w:p w14:paraId="06CC77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使用范围广，设备投资</w:t>
                  </w:r>
                  <w:r>
                    <w:rPr>
                      <w:rFonts w:hint="default" w:ascii="Times New Roman" w:hAnsi="Times New Roman" w:cs="Times New Roman"/>
                      <w:color w:val="auto"/>
                      <w:szCs w:val="20"/>
                      <w:highlight w:val="none"/>
                    </w:rPr>
                    <w:t>低，运行维护简单，可</w:t>
                  </w:r>
                  <w:r>
                    <w:rPr>
                      <w:rFonts w:hint="default" w:ascii="Times New Roman" w:hAnsi="Times New Roman" w:cs="Times New Roman"/>
                      <w:color w:val="auto"/>
                      <w:szCs w:val="20"/>
                      <w:highlight w:val="none"/>
                      <w:lang w:eastAsia="zh-CN"/>
                    </w:rPr>
                    <w:t>对</w:t>
                  </w:r>
                  <w:r>
                    <w:rPr>
                      <w:rFonts w:hint="default" w:ascii="Times New Roman" w:hAnsi="Times New Roman" w:cs="Times New Roman"/>
                      <w:color w:val="auto"/>
                      <w:szCs w:val="20"/>
                      <w:highlight w:val="none"/>
                    </w:rPr>
                    <w:t>废气中有毒有害气体具有去除效果</w:t>
                  </w:r>
                </w:p>
              </w:tc>
              <w:tc>
                <w:tcPr>
                  <w:tcW w:w="1490" w:type="dxa"/>
                  <w:tcBorders>
                    <w:top w:val="single" w:color="auto" w:sz="4" w:space="0"/>
                    <w:left w:val="single" w:color="auto" w:sz="4" w:space="0"/>
                    <w:bottom w:val="single" w:color="auto" w:sz="4" w:space="0"/>
                    <w:right w:val="single" w:color="auto" w:sz="4" w:space="0"/>
                  </w:tcBorders>
                  <w:noWrap w:val="0"/>
                  <w:vAlign w:val="center"/>
                </w:tcPr>
                <w:p w14:paraId="4C0ACA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有废水产</w:t>
                  </w:r>
                  <w:r>
                    <w:rPr>
                      <w:rFonts w:hint="default" w:ascii="Times New Roman" w:hAnsi="Times New Roman" w:cs="Times New Roman"/>
                      <w:color w:val="auto"/>
                      <w:szCs w:val="20"/>
                      <w:highlight w:val="none"/>
                    </w:rPr>
                    <w:t>生，污染物转移</w:t>
                  </w:r>
                </w:p>
              </w:tc>
              <w:tc>
                <w:tcPr>
                  <w:tcW w:w="925" w:type="dxa"/>
                  <w:tcBorders>
                    <w:top w:val="single" w:color="auto" w:sz="4" w:space="0"/>
                    <w:left w:val="single" w:color="auto" w:sz="4" w:space="0"/>
                    <w:bottom w:val="single" w:color="auto" w:sz="4" w:space="0"/>
                    <w:right w:val="nil"/>
                  </w:tcBorders>
                  <w:noWrap w:val="0"/>
                  <w:vAlign w:val="center"/>
                </w:tcPr>
                <w:p w14:paraId="3E13B9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95~99%</w:t>
                  </w:r>
                </w:p>
              </w:tc>
            </w:tr>
            <w:tr w14:paraId="21C237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5" w:type="dxa"/>
                  <w:tcBorders>
                    <w:top w:val="single" w:color="auto" w:sz="4" w:space="0"/>
                    <w:left w:val="nil"/>
                    <w:bottom w:val="single" w:color="auto" w:sz="4" w:space="0"/>
                    <w:right w:val="single" w:color="auto" w:sz="4" w:space="0"/>
                  </w:tcBorders>
                  <w:noWrap w:val="0"/>
                  <w:vAlign w:val="center"/>
                </w:tcPr>
                <w:p w14:paraId="270907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旋风除尘</w:t>
                  </w:r>
                </w:p>
              </w:tc>
              <w:tc>
                <w:tcPr>
                  <w:tcW w:w="1588" w:type="dxa"/>
                  <w:tcBorders>
                    <w:top w:val="single" w:color="auto" w:sz="4" w:space="0"/>
                    <w:left w:val="single" w:color="auto" w:sz="4" w:space="0"/>
                    <w:bottom w:val="single" w:color="auto" w:sz="4" w:space="0"/>
                    <w:right w:val="single" w:color="auto" w:sz="4" w:space="0"/>
                  </w:tcBorders>
                  <w:noWrap w:val="0"/>
                  <w:vAlign w:val="center"/>
                </w:tcPr>
                <w:p w14:paraId="482A8E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含尘气体从入口导入除</w:t>
                  </w:r>
                  <w:r>
                    <w:rPr>
                      <w:rFonts w:hint="default" w:ascii="Times New Roman" w:hAnsi="Times New Roman" w:cs="Times New Roman"/>
                      <w:color w:val="auto"/>
                      <w:szCs w:val="20"/>
                      <w:highlight w:val="none"/>
                    </w:rPr>
                    <w:t>尘器的外壳和排气管之间，形成旋转向下的外旋流。悬浮于外旋流的粉尘在离心力的作用下移向器壁，并随外旋流转到除尘器下部，由排尘孔排出</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27B8E8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适用于净化大</w:t>
                  </w:r>
                  <w:r>
                    <w:rPr>
                      <w:rFonts w:hint="default" w:ascii="Times New Roman" w:hAnsi="Times New Roman" w:cs="Times New Roman"/>
                      <w:color w:val="auto"/>
                      <w:szCs w:val="20"/>
                      <w:highlight w:val="none"/>
                    </w:rPr>
                    <w:t>于</w:t>
                  </w:r>
                  <w:r>
                    <w:rPr>
                      <w:rFonts w:hint="default" w:ascii="Times New Roman" w:hAnsi="Times New Roman" w:eastAsia="Times New Roman" w:cs="Times New Roman"/>
                      <w:color w:val="auto"/>
                      <w:szCs w:val="20"/>
                      <w:highlight w:val="none"/>
                    </w:rPr>
                    <w:t>5-10微米的非粘性、非纤 维的干燥粉尘</w:t>
                  </w:r>
                </w:p>
              </w:tc>
              <w:tc>
                <w:tcPr>
                  <w:tcW w:w="1599" w:type="dxa"/>
                  <w:tcBorders>
                    <w:top w:val="single" w:color="auto" w:sz="4" w:space="0"/>
                    <w:left w:val="single" w:color="auto" w:sz="4" w:space="0"/>
                    <w:bottom w:val="single" w:color="auto" w:sz="4" w:space="0"/>
                    <w:right w:val="single" w:color="auto" w:sz="4" w:space="0"/>
                  </w:tcBorders>
                  <w:noWrap w:val="0"/>
                  <w:vAlign w:val="center"/>
                </w:tcPr>
                <w:p w14:paraId="338048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维护方便，体积小，结构</w:t>
                  </w:r>
                  <w:r>
                    <w:rPr>
                      <w:rFonts w:hint="default" w:ascii="Times New Roman" w:hAnsi="Times New Roman" w:cs="Times New Roman"/>
                      <w:color w:val="auto"/>
                      <w:szCs w:val="20"/>
                      <w:highlight w:val="none"/>
                    </w:rPr>
                    <w:t>简单，价格便宜，处理大用风，量效时率便阻于力多不台受并影联响使，可耐</w:t>
                  </w:r>
                  <w:r>
                    <w:rPr>
                      <w:rFonts w:hint="default" w:ascii="Times New Roman" w:hAnsi="Times New Roman" w:eastAsia="Times New Roman" w:cs="Times New Roman"/>
                      <w:color w:val="auto"/>
                      <w:szCs w:val="20"/>
                      <w:highlight w:val="none"/>
                    </w:rPr>
                    <w:t>600℃高温，可以干法清灰，有利于回收有价值的粉尘。</w:t>
                  </w:r>
                </w:p>
              </w:tc>
              <w:tc>
                <w:tcPr>
                  <w:tcW w:w="1490" w:type="dxa"/>
                  <w:tcBorders>
                    <w:top w:val="single" w:color="auto" w:sz="4" w:space="0"/>
                    <w:left w:val="single" w:color="auto" w:sz="4" w:space="0"/>
                    <w:bottom w:val="single" w:color="auto" w:sz="4" w:space="0"/>
                    <w:right w:val="single" w:color="auto" w:sz="4" w:space="0"/>
                  </w:tcBorders>
                  <w:noWrap w:val="0"/>
                  <w:vAlign w:val="center"/>
                </w:tcPr>
                <w:p w14:paraId="37AAE6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捕集微粒小</w:t>
                  </w:r>
                  <w:r>
                    <w:rPr>
                      <w:rFonts w:hint="default" w:ascii="Times New Roman" w:hAnsi="Times New Roman" w:cs="Times New Roman"/>
                      <w:color w:val="auto"/>
                      <w:szCs w:val="20"/>
                      <w:highlight w:val="none"/>
                    </w:rPr>
                    <w:t>于</w:t>
                  </w:r>
                  <w:r>
                    <w:rPr>
                      <w:rFonts w:hint="default" w:ascii="Times New Roman" w:hAnsi="Times New Roman" w:eastAsia="Times New Roman" w:cs="Times New Roman"/>
                      <w:color w:val="auto"/>
                      <w:szCs w:val="20"/>
                      <w:highlight w:val="none"/>
                    </w:rPr>
                    <w:t>5微米的效率不高</w:t>
                  </w:r>
                </w:p>
              </w:tc>
              <w:tc>
                <w:tcPr>
                  <w:tcW w:w="925" w:type="dxa"/>
                  <w:tcBorders>
                    <w:top w:val="single" w:color="auto" w:sz="4" w:space="0"/>
                    <w:left w:val="single" w:color="auto" w:sz="4" w:space="0"/>
                    <w:bottom w:val="single" w:color="auto" w:sz="4" w:space="0"/>
                    <w:right w:val="nil"/>
                  </w:tcBorders>
                  <w:noWrap w:val="0"/>
                  <w:vAlign w:val="center"/>
                </w:tcPr>
                <w:p w14:paraId="3BAFD4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80~90%</w:t>
                  </w:r>
                </w:p>
              </w:tc>
            </w:tr>
            <w:tr w14:paraId="028460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5" w:type="dxa"/>
                  <w:tcBorders>
                    <w:top w:val="single" w:color="auto" w:sz="4" w:space="0"/>
                    <w:left w:val="nil"/>
                    <w:bottom w:val="single" w:color="auto" w:sz="4" w:space="0"/>
                    <w:right w:val="single" w:color="auto" w:sz="4" w:space="0"/>
                  </w:tcBorders>
                  <w:noWrap w:val="0"/>
                  <w:vAlign w:val="center"/>
                </w:tcPr>
                <w:p w14:paraId="4C526C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袋式除尘</w:t>
                  </w:r>
                </w:p>
              </w:tc>
              <w:tc>
                <w:tcPr>
                  <w:tcW w:w="1588" w:type="dxa"/>
                  <w:tcBorders>
                    <w:top w:val="single" w:color="auto" w:sz="4" w:space="0"/>
                    <w:left w:val="single" w:color="auto" w:sz="4" w:space="0"/>
                    <w:bottom w:val="single" w:color="auto" w:sz="4" w:space="0"/>
                    <w:right w:val="single" w:color="auto" w:sz="4" w:space="0"/>
                  </w:tcBorders>
                  <w:noWrap w:val="0"/>
                  <w:vAlign w:val="center"/>
                </w:tcPr>
                <w:p w14:paraId="2DD28E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用多孔过滤介质分离捕</w:t>
                  </w:r>
                  <w:r>
                    <w:rPr>
                      <w:rFonts w:hint="default" w:ascii="Times New Roman" w:hAnsi="Times New Roman" w:cs="Times New Roman"/>
                      <w:color w:val="auto"/>
                      <w:szCs w:val="20"/>
                      <w:highlight w:val="none"/>
                    </w:rPr>
                    <w:t>集气体中固体粒子</w:t>
                  </w:r>
                </w:p>
              </w:tc>
              <w:tc>
                <w:tcPr>
                  <w:tcW w:w="1324" w:type="dxa"/>
                  <w:tcBorders>
                    <w:top w:val="single" w:color="auto" w:sz="4" w:space="0"/>
                    <w:left w:val="single" w:color="auto" w:sz="4" w:space="0"/>
                    <w:bottom w:val="single" w:color="auto" w:sz="4" w:space="0"/>
                    <w:right w:val="single" w:color="auto" w:sz="4" w:space="0"/>
                  </w:tcBorders>
                  <w:noWrap w:val="0"/>
                  <w:vAlign w:val="center"/>
                </w:tcPr>
                <w:p w14:paraId="25BF92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用以捕集非粘</w:t>
                  </w:r>
                  <w:r>
                    <w:rPr>
                      <w:rFonts w:hint="default" w:ascii="Times New Roman" w:hAnsi="Times New Roman" w:cs="Times New Roman"/>
                      <w:color w:val="auto"/>
                      <w:szCs w:val="20"/>
                      <w:highlight w:val="none"/>
                    </w:rPr>
                    <w:t>结非纤维性的工业粉尘和挥发物，捕获粉</w:t>
                  </w:r>
                  <w:r>
                    <w:rPr>
                      <w:rFonts w:hint="default" w:ascii="Times New Roman" w:hAnsi="Times New Roman" w:eastAsia="Times New Roman" w:cs="Times New Roman"/>
                      <w:color w:val="auto"/>
                      <w:szCs w:val="20"/>
                      <w:highlight w:val="none"/>
                    </w:rPr>
                    <w:t xml:space="preserve"> </w:t>
                  </w:r>
                  <w:r>
                    <w:rPr>
                      <w:rFonts w:hint="default" w:ascii="Times New Roman" w:hAnsi="Times New Roman" w:cs="Times New Roman"/>
                      <w:color w:val="auto"/>
                      <w:szCs w:val="20"/>
                      <w:highlight w:val="none"/>
                    </w:rPr>
                    <w:t>尘微粒可达</w:t>
                  </w:r>
                  <w:r>
                    <w:rPr>
                      <w:rFonts w:hint="default" w:ascii="Times New Roman" w:hAnsi="Times New Roman" w:eastAsia="Times New Roman" w:cs="Times New Roman"/>
                      <w:color w:val="auto"/>
                      <w:szCs w:val="20"/>
                      <w:highlight w:val="none"/>
                    </w:rPr>
                    <w:t>0.1微米</w:t>
                  </w:r>
                </w:p>
              </w:tc>
              <w:tc>
                <w:tcPr>
                  <w:tcW w:w="1599" w:type="dxa"/>
                  <w:tcBorders>
                    <w:top w:val="single" w:color="auto" w:sz="4" w:space="0"/>
                    <w:left w:val="single" w:color="auto" w:sz="4" w:space="0"/>
                    <w:bottom w:val="single" w:color="auto" w:sz="4" w:space="0"/>
                    <w:right w:val="single" w:color="auto" w:sz="4" w:space="0"/>
                  </w:tcBorders>
                  <w:noWrap w:val="0"/>
                  <w:vAlign w:val="center"/>
                </w:tcPr>
                <w:p w14:paraId="17F700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除尘效率高</w:t>
                  </w:r>
                  <w:r>
                    <w:rPr>
                      <w:rFonts w:hint="default" w:ascii="Times New Roman" w:hAnsi="Times New Roman" w:cs="Times New Roman"/>
                      <w:color w:val="auto"/>
                      <w:szCs w:val="20"/>
                      <w:highlight w:val="none"/>
                    </w:rPr>
                    <w:t>运行维护简单</w:t>
                  </w:r>
                </w:p>
              </w:tc>
              <w:tc>
                <w:tcPr>
                  <w:tcW w:w="1490" w:type="dxa"/>
                  <w:tcBorders>
                    <w:top w:val="single" w:color="auto" w:sz="4" w:space="0"/>
                    <w:left w:val="single" w:color="auto" w:sz="4" w:space="0"/>
                    <w:bottom w:val="single" w:color="auto" w:sz="4" w:space="0"/>
                    <w:right w:val="single" w:color="auto" w:sz="4" w:space="0"/>
                  </w:tcBorders>
                  <w:noWrap w:val="0"/>
                  <w:vAlign w:val="center"/>
                </w:tcPr>
                <w:p w14:paraId="0D220A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气流温度、腐蚀性有要</w:t>
                  </w:r>
                  <w:r>
                    <w:rPr>
                      <w:rFonts w:hint="default" w:ascii="Times New Roman" w:hAnsi="Times New Roman" w:cs="Times New Roman"/>
                      <w:color w:val="auto"/>
                      <w:szCs w:val="20"/>
                      <w:highlight w:val="none"/>
                    </w:rPr>
                    <w:t>求，不适用含粘结、吸湿性强的含尘气体</w:t>
                  </w:r>
                </w:p>
              </w:tc>
              <w:tc>
                <w:tcPr>
                  <w:tcW w:w="925" w:type="dxa"/>
                  <w:tcBorders>
                    <w:top w:val="single" w:color="auto" w:sz="4" w:space="0"/>
                    <w:left w:val="single" w:color="auto" w:sz="4" w:space="0"/>
                    <w:bottom w:val="single" w:color="auto" w:sz="4" w:space="0"/>
                    <w:right w:val="nil"/>
                  </w:tcBorders>
                  <w:noWrap w:val="0"/>
                  <w:vAlign w:val="center"/>
                </w:tcPr>
                <w:p w14:paraId="6ED1AB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＞99%</w:t>
                  </w:r>
                </w:p>
              </w:tc>
            </w:tr>
            <w:tr w14:paraId="41263B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5" w:type="dxa"/>
                  <w:tcBorders>
                    <w:top w:val="single" w:color="auto" w:sz="4" w:space="0"/>
                    <w:left w:val="nil"/>
                    <w:bottom w:val="single" w:color="auto" w:sz="12" w:space="0"/>
                    <w:right w:val="single" w:color="auto" w:sz="4" w:space="0"/>
                  </w:tcBorders>
                  <w:noWrap w:val="0"/>
                  <w:vAlign w:val="center"/>
                </w:tcPr>
                <w:p w14:paraId="3D673F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电除尘</w:t>
                  </w:r>
                </w:p>
              </w:tc>
              <w:tc>
                <w:tcPr>
                  <w:tcW w:w="1588" w:type="dxa"/>
                  <w:tcBorders>
                    <w:top w:val="single" w:color="auto" w:sz="4" w:space="0"/>
                    <w:left w:val="single" w:color="auto" w:sz="4" w:space="0"/>
                    <w:bottom w:val="single" w:color="auto" w:sz="12" w:space="0"/>
                    <w:right w:val="single" w:color="auto" w:sz="4" w:space="0"/>
                  </w:tcBorders>
                  <w:noWrap w:val="0"/>
                  <w:vAlign w:val="center"/>
                </w:tcPr>
                <w:p w14:paraId="495B6A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 xml:space="preserve">利用静电场产生正负离 </w:t>
                  </w:r>
                  <w:r>
                    <w:rPr>
                      <w:rFonts w:hint="default" w:ascii="Times New Roman" w:hAnsi="Times New Roman" w:cs="Times New Roman"/>
                      <w:color w:val="auto"/>
                      <w:szCs w:val="20"/>
                      <w:highlight w:val="none"/>
                    </w:rPr>
                    <w:t>子和电子并使粉尘荷电，荷电粉尘在电场力作用下向集尘极运动并沉积从而达到分离</w:t>
                  </w:r>
                </w:p>
              </w:tc>
              <w:tc>
                <w:tcPr>
                  <w:tcW w:w="1324" w:type="dxa"/>
                  <w:tcBorders>
                    <w:top w:val="single" w:color="auto" w:sz="4" w:space="0"/>
                    <w:left w:val="single" w:color="auto" w:sz="4" w:space="0"/>
                    <w:bottom w:val="single" w:color="auto" w:sz="12" w:space="0"/>
                    <w:right w:val="single" w:color="auto" w:sz="4" w:space="0"/>
                  </w:tcBorders>
                  <w:noWrap w:val="0"/>
                  <w:vAlign w:val="center"/>
                </w:tcPr>
                <w:p w14:paraId="0343F4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高温、大气量</w:t>
                  </w:r>
                  <w:r>
                    <w:rPr>
                      <w:rFonts w:hint="default" w:ascii="Times New Roman" w:hAnsi="Times New Roman" w:cs="Times New Roman"/>
                      <w:color w:val="auto"/>
                      <w:szCs w:val="20"/>
                      <w:highlight w:val="none"/>
                    </w:rPr>
                    <w:t>含尘气体</w:t>
                  </w:r>
                </w:p>
              </w:tc>
              <w:tc>
                <w:tcPr>
                  <w:tcW w:w="1599" w:type="dxa"/>
                  <w:tcBorders>
                    <w:top w:val="single" w:color="auto" w:sz="4" w:space="0"/>
                    <w:left w:val="single" w:color="auto" w:sz="4" w:space="0"/>
                    <w:bottom w:val="single" w:color="auto" w:sz="12" w:space="0"/>
                    <w:right w:val="single" w:color="auto" w:sz="4" w:space="0"/>
                  </w:tcBorders>
                  <w:noWrap w:val="0"/>
                  <w:vAlign w:val="center"/>
                </w:tcPr>
                <w:p w14:paraId="324590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可耐高温、耐腐蚀、适用</w:t>
                  </w:r>
                  <w:r>
                    <w:rPr>
                      <w:rFonts w:hint="default" w:ascii="Times New Roman" w:hAnsi="Times New Roman" w:cs="Times New Roman"/>
                      <w:color w:val="auto"/>
                      <w:szCs w:val="20"/>
                      <w:highlight w:val="none"/>
                    </w:rPr>
                    <w:t>粒径范围宽，压力损失小，可远距离操作</w:t>
                  </w:r>
                </w:p>
              </w:tc>
              <w:tc>
                <w:tcPr>
                  <w:tcW w:w="1490" w:type="dxa"/>
                  <w:tcBorders>
                    <w:top w:val="single" w:color="auto" w:sz="4" w:space="0"/>
                    <w:left w:val="single" w:color="auto" w:sz="4" w:space="0"/>
                    <w:bottom w:val="single" w:color="auto" w:sz="12" w:space="0"/>
                    <w:right w:val="single" w:color="auto" w:sz="4" w:space="0"/>
                  </w:tcBorders>
                  <w:noWrap w:val="0"/>
                  <w:vAlign w:val="center"/>
                </w:tcPr>
                <w:p w14:paraId="72D641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设备投资</w:t>
                  </w:r>
                  <w:r>
                    <w:rPr>
                      <w:rFonts w:hint="default" w:ascii="Times New Roman" w:hAnsi="Times New Roman" w:cs="Times New Roman"/>
                      <w:color w:val="auto"/>
                      <w:szCs w:val="20"/>
                      <w:highlight w:val="none"/>
                    </w:rPr>
                    <w:t>高、运行维护技术水平要求高</w:t>
                  </w:r>
                </w:p>
              </w:tc>
              <w:tc>
                <w:tcPr>
                  <w:tcW w:w="925" w:type="dxa"/>
                  <w:tcBorders>
                    <w:top w:val="single" w:color="auto" w:sz="4" w:space="0"/>
                    <w:left w:val="single" w:color="auto" w:sz="4" w:space="0"/>
                    <w:bottom w:val="single" w:color="auto" w:sz="12" w:space="0"/>
                    <w:right w:val="nil"/>
                  </w:tcBorders>
                  <w:noWrap w:val="0"/>
                  <w:vAlign w:val="center"/>
                </w:tcPr>
                <w:p w14:paraId="27895D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Times New Roman" w:cs="Times New Roman"/>
                      <w:color w:val="auto"/>
                      <w:szCs w:val="20"/>
                      <w:highlight w:val="none"/>
                    </w:rPr>
                  </w:pPr>
                  <w:r>
                    <w:rPr>
                      <w:rFonts w:hint="default" w:ascii="Times New Roman" w:hAnsi="Times New Roman" w:eastAsia="Times New Roman" w:cs="Times New Roman"/>
                      <w:color w:val="auto"/>
                      <w:szCs w:val="20"/>
                      <w:highlight w:val="none"/>
                    </w:rPr>
                    <w:t>90~99%</w:t>
                  </w:r>
                </w:p>
              </w:tc>
            </w:tr>
          </w:tbl>
          <w:p w14:paraId="311AC90B">
            <w:pPr>
              <w:pStyle w:val="5"/>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jc w:val="both"/>
              <w:textAlignment w:val="auto"/>
              <w:rPr>
                <w:rFonts w:hint="default" w:ascii="Times New Roman" w:hAnsi="Times New Roman" w:cs="Times New Roman"/>
                <w:color w:val="auto"/>
                <w:sz w:val="24"/>
                <w:szCs w:val="20"/>
                <w:highlight w:val="none"/>
                <w:lang w:eastAsia="zh-CN"/>
              </w:rPr>
            </w:pPr>
            <w:r>
              <w:rPr>
                <w:rFonts w:hint="default" w:ascii="Times New Roman" w:hAnsi="Times New Roman" w:cs="Times New Roman"/>
                <w:color w:val="auto"/>
                <w:sz w:val="24"/>
                <w:szCs w:val="24"/>
                <w:highlight w:val="none"/>
              </w:rPr>
              <w:t>本项目</w:t>
            </w:r>
            <w:r>
              <w:rPr>
                <w:rFonts w:hint="eastAsia" w:ascii="Times New Roman" w:hAnsi="Times New Roman" w:cs="Times New Roman"/>
                <w:color w:val="auto"/>
                <w:sz w:val="24"/>
                <w:szCs w:val="24"/>
                <w:highlight w:val="none"/>
                <w:lang w:val="en-US" w:eastAsia="zh-CN"/>
              </w:rPr>
              <w:t>废气治理配套建设</w:t>
            </w:r>
            <w:r>
              <w:rPr>
                <w:rFonts w:hint="default" w:ascii="Times New Roman" w:hAnsi="Times New Roman" w:cs="Times New Roman"/>
                <w:color w:val="auto"/>
                <w:sz w:val="24"/>
                <w:szCs w:val="24"/>
                <w:highlight w:val="none"/>
              </w:rPr>
              <w:t>布袋除尘器</w:t>
            </w:r>
            <w:r>
              <w:rPr>
                <w:rFonts w:hint="eastAsia"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0"/>
                <w:highlight w:val="none"/>
                <w:lang w:eastAsia="zh-CN"/>
              </w:rPr>
              <w:t>颗粒物排放浓度满足</w:t>
            </w:r>
            <w:r>
              <w:rPr>
                <w:rFonts w:hint="eastAsia" w:ascii="Times New Roman" w:hAnsi="Times New Roman" w:eastAsia="宋体" w:cs="Times New Roman"/>
                <w:sz w:val="24"/>
                <w:szCs w:val="18"/>
                <w:highlight w:val="none"/>
                <w:lang w:val="en-US" w:eastAsia="zh-CN"/>
              </w:rPr>
              <w:t>《铸造工业大气污染物排放标准》（GB39726-2020）及</w:t>
            </w:r>
            <w:r>
              <w:rPr>
                <w:rFonts w:hint="default" w:ascii="Times New Roman" w:hAnsi="Times New Roman" w:eastAsia="宋体" w:cs="Times New Roman"/>
                <w:sz w:val="24"/>
                <w:szCs w:val="18"/>
                <w:highlight w:val="none"/>
                <w:lang w:val="en-US" w:eastAsia="zh-CN"/>
              </w:rPr>
              <w:t>《重污染天气重点行业应急减排措施制定技术指南（2021年修订版）》</w:t>
            </w:r>
            <w:r>
              <w:rPr>
                <w:rFonts w:hint="eastAsia" w:ascii="Times New Roman" w:hAnsi="Times New Roman" w:eastAsia="宋体" w:cs="Times New Roman"/>
                <w:sz w:val="24"/>
                <w:szCs w:val="18"/>
                <w:highlight w:val="none"/>
                <w:lang w:val="en-US" w:eastAsia="zh-CN"/>
              </w:rPr>
              <w:t>中表6-1铸造企业B级标准要求</w:t>
            </w:r>
            <w:r>
              <w:rPr>
                <w:rFonts w:hint="default" w:ascii="Times New Roman" w:hAnsi="Times New Roman" w:cs="Times New Roman"/>
                <w:color w:val="auto"/>
                <w:sz w:val="24"/>
                <w:szCs w:val="20"/>
                <w:highlight w:val="none"/>
                <w:lang w:eastAsia="zh-CN"/>
              </w:rPr>
              <w:t>。</w:t>
            </w:r>
          </w:p>
          <w:p w14:paraId="7B985426">
            <w:pPr>
              <w:pStyle w:val="5"/>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jc w:val="both"/>
              <w:textAlignment w:val="auto"/>
              <w:rPr>
                <w:rFonts w:hint="default"/>
                <w:szCs w:val="20"/>
                <w:highlight w:val="none"/>
                <w:lang w:eastAsia="zh-CN"/>
              </w:rPr>
            </w:pPr>
            <w:r>
              <w:rPr>
                <w:rFonts w:hint="eastAsia"/>
                <w:kern w:val="21"/>
                <w:sz w:val="24"/>
                <w:szCs w:val="20"/>
                <w:highlight w:val="none"/>
                <w:lang w:val="en-US" w:eastAsia="zh-CN"/>
              </w:rPr>
              <w:t>布袋除尘器</w:t>
            </w:r>
            <w:r>
              <w:rPr>
                <w:rFonts w:hint="eastAsia"/>
                <w:kern w:val="21"/>
                <w:sz w:val="24"/>
                <w:szCs w:val="20"/>
                <w:highlight w:val="none"/>
              </w:rPr>
              <w:t>结构主要由上部箱体、中部箱体、下部箱体（灰斗）、清灰系统和排灰机构等部分组成。滤料使用一段时间后，由于筛滤、碰撞、滞留、扩散、静电等效应，滤袋表面积聚了一层粉尘，这层粉尘称为初层，在此以</w:t>
            </w:r>
            <w:r>
              <w:rPr>
                <w:rFonts w:hint="default" w:ascii="Times New Roman" w:hAnsi="Times New Roman" w:cs="Times New Roman"/>
                <w:kern w:val="21"/>
                <w:sz w:val="24"/>
                <w:szCs w:val="20"/>
                <w:highlight w:val="none"/>
              </w:rPr>
              <w:t>后的运动过程中，初层成了滤料的主要过滤层，依靠初层的作用，网孔较大的滤料也能获得较高的过滤效率。随</w:t>
            </w:r>
            <w:r>
              <w:rPr>
                <w:rFonts w:hint="eastAsia"/>
                <w:kern w:val="21"/>
                <w:sz w:val="24"/>
                <w:szCs w:val="20"/>
                <w:highlight w:val="none"/>
              </w:rPr>
              <w:t>着粉尘在滤料表面的积聚，除尘器的效率和阻力都相应的增加，当滤料两侧的压力差很大时，会把有些已附着在滤料上的细小尘粒挤压过去，使收尘器效率下降。另外，收尘器的阻力过高会使收尘系统的风量显著下降。因此，收尘器的阻力达到一定数值后，要及时清灰。清灰时不能破坏初层，以免效率下降。</w:t>
            </w:r>
          </w:p>
          <w:p w14:paraId="77C2DFFA">
            <w:pPr>
              <w:pStyle w:val="5"/>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jc w:val="both"/>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根据</w:t>
            </w:r>
            <w:r>
              <w:rPr>
                <w:rFonts w:hint="default" w:ascii="Times New Roman" w:hAnsi="Times New Roman" w:cs="Times New Roman"/>
                <w:color w:val="auto"/>
                <w:sz w:val="24"/>
                <w:szCs w:val="24"/>
                <w:highlight w:val="none"/>
              </w:rPr>
              <w:t xml:space="preserve">《排污许可证申请与核发技术规范 </w:t>
            </w:r>
            <w:r>
              <w:rPr>
                <w:rFonts w:hint="eastAsia" w:ascii="Times New Roman" w:hAnsi="Times New Roman" w:cs="Times New Roman"/>
                <w:color w:val="auto"/>
                <w:sz w:val="24"/>
                <w:szCs w:val="24"/>
                <w:highlight w:val="none"/>
                <w:lang w:val="en-US" w:eastAsia="zh-CN"/>
              </w:rPr>
              <w:t>金属铸造工业</w:t>
            </w:r>
            <w:r>
              <w:rPr>
                <w:rFonts w:hint="default" w:ascii="Times New Roman" w:hAnsi="Times New Roman" w:cs="Times New Roman"/>
                <w:color w:val="auto"/>
                <w:sz w:val="24"/>
                <w:szCs w:val="24"/>
                <w:highlight w:val="none"/>
              </w:rPr>
              <w:t>》（HJ1</w:t>
            </w:r>
            <w:r>
              <w:rPr>
                <w:rFonts w:hint="eastAsia" w:ascii="Times New Roman" w:hAnsi="Times New Roman" w:cs="Times New Roman"/>
                <w:color w:val="auto"/>
                <w:sz w:val="24"/>
                <w:szCs w:val="24"/>
                <w:highlight w:val="none"/>
                <w:lang w:val="en-US" w:eastAsia="zh-CN"/>
              </w:rPr>
              <w:t>115</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szCs w:val="24"/>
                <w:highlight w:val="none"/>
              </w:rPr>
              <w:t>2020），</w:t>
            </w:r>
            <w:r>
              <w:rPr>
                <w:rFonts w:hint="default" w:ascii="Times New Roman" w:hAnsi="Times New Roman" w:cs="Times New Roman"/>
                <w:color w:val="auto"/>
                <w:sz w:val="24"/>
                <w:szCs w:val="24"/>
                <w:highlight w:val="none"/>
                <w:lang w:val="en-US" w:eastAsia="zh-CN"/>
              </w:rPr>
              <w:t>本项目所采用的废气处理措施</w:t>
            </w:r>
            <w:r>
              <w:rPr>
                <w:rFonts w:hint="default" w:ascii="Times New Roman" w:hAnsi="Times New Roman" w:cs="Times New Roman"/>
                <w:color w:val="auto"/>
                <w:sz w:val="24"/>
                <w:szCs w:val="24"/>
                <w:highlight w:val="none"/>
              </w:rPr>
              <w:t>属于可行性技术，</w:t>
            </w:r>
            <w:r>
              <w:rPr>
                <w:rFonts w:hint="eastAsia" w:ascii="Times New Roman" w:hAnsi="Times New Roman" w:cs="Times New Roman"/>
                <w:color w:val="auto"/>
                <w:sz w:val="24"/>
                <w:szCs w:val="24"/>
                <w:highlight w:val="none"/>
                <w:lang w:val="en-US" w:eastAsia="zh-CN"/>
              </w:rPr>
              <w:t>粉尘</w:t>
            </w:r>
            <w:r>
              <w:rPr>
                <w:rFonts w:hint="default" w:ascii="Times New Roman" w:hAnsi="Times New Roman" w:cs="Times New Roman"/>
                <w:color w:val="auto"/>
                <w:sz w:val="24"/>
                <w:szCs w:val="24"/>
                <w:highlight w:val="none"/>
              </w:rPr>
              <w:t>废气治理设施可行</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详见下表。</w:t>
            </w:r>
          </w:p>
          <w:p w14:paraId="19301F4E">
            <w:pPr>
              <w:pStyle w:val="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eastAsia" w:cs="Times New Roman"/>
                <w:b/>
                <w:bCs/>
                <w:color w:val="auto"/>
                <w:sz w:val="24"/>
                <w:szCs w:val="24"/>
                <w:highlight w:val="none"/>
                <w:lang w:val="en-US" w:eastAsia="zh-CN"/>
              </w:rPr>
            </w:pPr>
            <w:r>
              <w:rPr>
                <w:rFonts w:hint="default" w:ascii="宋体" w:hAnsi="宋体" w:eastAsia="宋体" w:cs="宋体"/>
                <w:b/>
                <w:bCs/>
                <w:sz w:val="24"/>
                <w:szCs w:val="24"/>
                <w:highlight w:val="none"/>
              </w:rPr>
              <w:t>表</w:t>
            </w:r>
            <w:r>
              <w:rPr>
                <w:rFonts w:hint="eastAsia"/>
                <w:b/>
                <w:sz w:val="24"/>
                <w:szCs w:val="20"/>
                <w:highlight w:val="none"/>
                <w:lang w:val="en-US" w:eastAsia="zh-CN"/>
              </w:rPr>
              <w:t>4</w:t>
            </w:r>
            <w:r>
              <w:rPr>
                <w:rFonts w:hint="default"/>
                <w:b/>
                <w:sz w:val="24"/>
                <w:szCs w:val="20"/>
                <w:highlight w:val="none"/>
                <w:lang w:val="en-US" w:eastAsia="zh-CN"/>
              </w:rPr>
              <w:t>-</w:t>
            </w:r>
            <w:r>
              <w:rPr>
                <w:rFonts w:hint="eastAsia"/>
                <w:b/>
                <w:sz w:val="24"/>
                <w:szCs w:val="20"/>
                <w:highlight w:val="none"/>
                <w:lang w:val="en-US" w:eastAsia="zh-CN"/>
              </w:rPr>
              <w:t xml:space="preserve">8 </w:t>
            </w:r>
            <w:r>
              <w:rPr>
                <w:rFonts w:hint="default" w:ascii="宋体" w:hAnsi="宋体" w:eastAsia="宋体" w:cs="宋体"/>
                <w:b/>
                <w:bCs/>
                <w:sz w:val="24"/>
                <w:szCs w:val="24"/>
                <w:highlight w:val="none"/>
              </w:rPr>
              <w:t>废气产污环节名称、污染物项目、排放形式及污染治理设施表</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750"/>
              <w:gridCol w:w="1500"/>
              <w:gridCol w:w="1800"/>
              <w:gridCol w:w="4366"/>
              <w:gridCol w:w="1398"/>
              <w:gridCol w:w="2025"/>
            </w:tblGrid>
            <w:tr w14:paraId="4F9B6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5" w:type="dxa"/>
                  <w:vAlign w:val="center"/>
                </w:tcPr>
                <w:p w14:paraId="655279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生产单元</w:t>
                  </w:r>
                </w:p>
              </w:tc>
              <w:tc>
                <w:tcPr>
                  <w:tcW w:w="1750" w:type="dxa"/>
                  <w:vAlign w:val="center"/>
                </w:tcPr>
                <w:p w14:paraId="15C3B2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生产设施</w:t>
                  </w:r>
                </w:p>
              </w:tc>
              <w:tc>
                <w:tcPr>
                  <w:tcW w:w="1500" w:type="dxa"/>
                  <w:vAlign w:val="center"/>
                </w:tcPr>
                <w:p w14:paraId="0C3603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废气产污环节</w:t>
                  </w:r>
                </w:p>
              </w:tc>
              <w:tc>
                <w:tcPr>
                  <w:tcW w:w="1800" w:type="dxa"/>
                  <w:vAlign w:val="center"/>
                </w:tcPr>
                <w:p w14:paraId="31A09D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主要污染物项目</w:t>
                  </w:r>
                </w:p>
              </w:tc>
              <w:tc>
                <w:tcPr>
                  <w:tcW w:w="4366" w:type="dxa"/>
                  <w:vAlign w:val="center"/>
                </w:tcPr>
                <w:p w14:paraId="5C0BDE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主要污染治理设施</w:t>
                  </w:r>
                </w:p>
              </w:tc>
              <w:tc>
                <w:tcPr>
                  <w:tcW w:w="1398" w:type="dxa"/>
                  <w:vAlign w:val="center"/>
                </w:tcPr>
                <w:p w14:paraId="36FD78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本项目情况</w:t>
                  </w:r>
                </w:p>
              </w:tc>
              <w:tc>
                <w:tcPr>
                  <w:tcW w:w="2025" w:type="dxa"/>
                  <w:vAlign w:val="center"/>
                </w:tcPr>
                <w:p w14:paraId="20F47B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b/>
                      <w:bCs/>
                      <w:sz w:val="21"/>
                      <w:szCs w:val="21"/>
                      <w:highlight w:val="none"/>
                      <w:vertAlign w:val="baseline"/>
                      <w:lang w:val="en-US" w:eastAsia="zh-CN"/>
                    </w:rPr>
                  </w:pPr>
                  <w:r>
                    <w:rPr>
                      <w:rFonts w:hint="eastAsia"/>
                      <w:b/>
                      <w:bCs/>
                      <w:sz w:val="21"/>
                      <w:szCs w:val="21"/>
                      <w:highlight w:val="none"/>
                      <w:vertAlign w:val="baseline"/>
                      <w:lang w:val="en-US" w:eastAsia="zh-CN"/>
                    </w:rPr>
                    <w:t>是否为可行性技术</w:t>
                  </w:r>
                </w:p>
              </w:tc>
            </w:tr>
            <w:tr w14:paraId="77603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5" w:type="dxa"/>
                  <w:vAlign w:val="center"/>
                </w:tcPr>
                <w:p w14:paraId="153D12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金属熔炼</w:t>
                  </w:r>
                </w:p>
              </w:tc>
              <w:tc>
                <w:tcPr>
                  <w:tcW w:w="1750" w:type="dxa"/>
                  <w:vAlign w:val="center"/>
                </w:tcPr>
                <w:p w14:paraId="167632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感应电炉、电弧炉等其他熔炼（化）设备</w:t>
                  </w:r>
                </w:p>
              </w:tc>
              <w:tc>
                <w:tcPr>
                  <w:tcW w:w="1500" w:type="dxa"/>
                  <w:vAlign w:val="center"/>
                </w:tcPr>
                <w:p w14:paraId="74B93F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eastAsiaTheme="minorEastAsia"/>
                      <w:sz w:val="21"/>
                      <w:szCs w:val="21"/>
                      <w:highlight w:val="none"/>
                      <w:vertAlign w:val="baseline"/>
                      <w:lang w:val="en-US" w:eastAsia="zh-CN"/>
                    </w:rPr>
                  </w:pPr>
                  <w:r>
                    <w:rPr>
                      <w:rFonts w:hint="eastAsia"/>
                      <w:sz w:val="21"/>
                      <w:szCs w:val="21"/>
                      <w:highlight w:val="none"/>
                      <w:vertAlign w:val="baseline"/>
                      <w:lang w:val="en-US" w:eastAsia="zh-CN"/>
                    </w:rPr>
                    <w:t>熔炼</w:t>
                  </w:r>
                </w:p>
              </w:tc>
              <w:tc>
                <w:tcPr>
                  <w:tcW w:w="1800" w:type="dxa"/>
                  <w:vAlign w:val="center"/>
                </w:tcPr>
                <w:p w14:paraId="2AFC1E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颗粒物</w:t>
                  </w:r>
                </w:p>
              </w:tc>
              <w:tc>
                <w:tcPr>
                  <w:tcW w:w="4366" w:type="dxa"/>
                  <w:vAlign w:val="center"/>
                </w:tcPr>
                <w:p w14:paraId="56C0A8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静电除尘器、袋式除尘器、电袋复合除尘器、旋风除尘器、滤筒除尘器、湿式除尘器、其他</w:t>
                  </w:r>
                </w:p>
              </w:tc>
              <w:tc>
                <w:tcPr>
                  <w:tcW w:w="1398" w:type="dxa"/>
                  <w:vAlign w:val="center"/>
                </w:tcPr>
                <w:p w14:paraId="19662B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Theme="minorEastAsia"/>
                      <w:sz w:val="21"/>
                      <w:szCs w:val="21"/>
                      <w:highlight w:val="none"/>
                      <w:vertAlign w:val="baseline"/>
                      <w:lang w:val="en-US" w:eastAsia="zh-CN"/>
                    </w:rPr>
                  </w:pPr>
                  <w:r>
                    <w:rPr>
                      <w:rFonts w:hint="eastAsia"/>
                      <w:sz w:val="21"/>
                      <w:szCs w:val="21"/>
                      <w:highlight w:val="none"/>
                      <w:vertAlign w:val="baseline"/>
                      <w:lang w:val="en-US" w:eastAsia="zh-CN"/>
                    </w:rPr>
                    <w:t>袋式除尘器</w:t>
                  </w:r>
                </w:p>
              </w:tc>
              <w:tc>
                <w:tcPr>
                  <w:tcW w:w="2025" w:type="dxa"/>
                  <w:vAlign w:val="center"/>
                </w:tcPr>
                <w:p w14:paraId="7FA55E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eastAsiaTheme="minorEastAsia"/>
                      <w:sz w:val="21"/>
                      <w:szCs w:val="21"/>
                      <w:highlight w:val="none"/>
                      <w:vertAlign w:val="baseline"/>
                      <w:lang w:val="en-US" w:eastAsia="zh-CN"/>
                    </w:rPr>
                  </w:pPr>
                  <w:r>
                    <w:rPr>
                      <w:rFonts w:hint="eastAsia"/>
                      <w:sz w:val="21"/>
                      <w:szCs w:val="21"/>
                      <w:highlight w:val="none"/>
                      <w:vertAlign w:val="baseline"/>
                      <w:lang w:val="en-US" w:eastAsia="zh-CN"/>
                    </w:rPr>
                    <w:t>可行</w:t>
                  </w:r>
                </w:p>
              </w:tc>
            </w:tr>
            <w:tr w14:paraId="7318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5" w:type="dxa"/>
                  <w:vAlign w:val="center"/>
                </w:tcPr>
                <w:p w14:paraId="799E7A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清理</w:t>
                  </w:r>
                </w:p>
              </w:tc>
              <w:tc>
                <w:tcPr>
                  <w:tcW w:w="1750" w:type="dxa"/>
                  <w:vAlign w:val="center"/>
                </w:tcPr>
                <w:p w14:paraId="446D50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打磨设备</w:t>
                  </w:r>
                </w:p>
              </w:tc>
              <w:tc>
                <w:tcPr>
                  <w:tcW w:w="1500" w:type="dxa"/>
                  <w:vAlign w:val="center"/>
                </w:tcPr>
                <w:p w14:paraId="4CE303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打磨</w:t>
                  </w:r>
                </w:p>
              </w:tc>
              <w:tc>
                <w:tcPr>
                  <w:tcW w:w="1800" w:type="dxa"/>
                  <w:vAlign w:val="center"/>
                </w:tcPr>
                <w:p w14:paraId="741D29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颗粒物</w:t>
                  </w:r>
                </w:p>
              </w:tc>
              <w:tc>
                <w:tcPr>
                  <w:tcW w:w="4366" w:type="dxa"/>
                  <w:vAlign w:val="center"/>
                </w:tcPr>
                <w:p w14:paraId="4F328F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静电除尘器、袋式除尘器、电袋复合除尘器、旋风除尘器、滤筒除尘器、湿式除尘器、其他</w:t>
                  </w:r>
                </w:p>
              </w:tc>
              <w:tc>
                <w:tcPr>
                  <w:tcW w:w="1398" w:type="dxa"/>
                  <w:vAlign w:val="center"/>
                </w:tcPr>
                <w:p w14:paraId="78E4DD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eastAsia"/>
                      <w:sz w:val="21"/>
                      <w:szCs w:val="21"/>
                      <w:highlight w:val="none"/>
                      <w:vertAlign w:val="baseline"/>
                      <w:lang w:val="en-US" w:eastAsia="zh-CN"/>
                    </w:rPr>
                    <w:t>袋式除尘器</w:t>
                  </w:r>
                </w:p>
              </w:tc>
              <w:tc>
                <w:tcPr>
                  <w:tcW w:w="2025" w:type="dxa"/>
                  <w:vAlign w:val="center"/>
                </w:tcPr>
                <w:p w14:paraId="30BC42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eastAsia"/>
                      <w:sz w:val="21"/>
                      <w:szCs w:val="21"/>
                      <w:highlight w:val="none"/>
                      <w:vertAlign w:val="baseline"/>
                      <w:lang w:val="en-US" w:eastAsia="zh-CN"/>
                    </w:rPr>
                    <w:t>可行</w:t>
                  </w:r>
                </w:p>
              </w:tc>
            </w:tr>
            <w:tr w14:paraId="7D6A3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5" w:type="dxa"/>
                  <w:vAlign w:val="center"/>
                </w:tcPr>
                <w:p w14:paraId="35B348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ascii="宋体" w:hAnsi="宋体" w:eastAsia="宋体" w:cs="宋体"/>
                      <w:sz w:val="21"/>
                      <w:szCs w:val="21"/>
                      <w:highlight w:val="none"/>
                      <w:lang w:val="en-US" w:eastAsia="zh-CN"/>
                    </w:rPr>
                  </w:pPr>
                  <w:r>
                    <w:rPr>
                      <w:rFonts w:hint="default" w:ascii="宋体" w:hAnsi="宋体" w:eastAsia="宋体" w:cs="宋体"/>
                      <w:sz w:val="21"/>
                      <w:szCs w:val="21"/>
                      <w:highlight w:val="none"/>
                    </w:rPr>
                    <w:t>砂处理及旧砂</w:t>
                  </w:r>
                  <w:r>
                    <w:rPr>
                      <w:rFonts w:hint="eastAsia" w:ascii="宋体" w:hAnsi="宋体" w:eastAsia="宋体" w:cs="宋体"/>
                      <w:sz w:val="21"/>
                      <w:szCs w:val="21"/>
                      <w:highlight w:val="none"/>
                      <w:lang w:val="en-US" w:eastAsia="zh-CN"/>
                    </w:rPr>
                    <w:t>再生</w:t>
                  </w:r>
                </w:p>
              </w:tc>
              <w:tc>
                <w:tcPr>
                  <w:tcW w:w="1750" w:type="dxa"/>
                  <w:vAlign w:val="center"/>
                </w:tcPr>
                <w:p w14:paraId="6425EE6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落砂机</w:t>
                  </w:r>
                </w:p>
              </w:tc>
              <w:tc>
                <w:tcPr>
                  <w:tcW w:w="1500" w:type="dxa"/>
                  <w:vAlign w:val="center"/>
                </w:tcPr>
                <w:p w14:paraId="577A73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eastAsia" w:ascii="宋体" w:hAnsi="宋体" w:eastAsia="宋体" w:cs="宋体"/>
                      <w:sz w:val="21"/>
                      <w:szCs w:val="21"/>
                      <w:highlight w:val="none"/>
                      <w:lang w:val="en-US" w:eastAsia="zh-CN"/>
                    </w:rPr>
                    <w:t>注砂、</w:t>
                  </w:r>
                  <w:r>
                    <w:rPr>
                      <w:rFonts w:hint="default" w:ascii="宋体" w:hAnsi="宋体" w:eastAsia="宋体" w:cs="宋体"/>
                      <w:sz w:val="21"/>
                      <w:szCs w:val="21"/>
                      <w:highlight w:val="none"/>
                    </w:rPr>
                    <w:t>落砂</w:t>
                  </w:r>
                </w:p>
              </w:tc>
              <w:tc>
                <w:tcPr>
                  <w:tcW w:w="1800" w:type="dxa"/>
                  <w:vAlign w:val="center"/>
                </w:tcPr>
                <w:p w14:paraId="13D72F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颗粒物</w:t>
                  </w:r>
                </w:p>
              </w:tc>
              <w:tc>
                <w:tcPr>
                  <w:tcW w:w="4366" w:type="dxa"/>
                  <w:vAlign w:val="center"/>
                </w:tcPr>
                <w:p w14:paraId="4E88BF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default" w:ascii="宋体" w:hAnsi="宋体" w:eastAsia="宋体" w:cs="宋体"/>
                      <w:sz w:val="21"/>
                      <w:szCs w:val="21"/>
                      <w:highlight w:val="none"/>
                    </w:rPr>
                    <w:t>静电除尘器、袋式除尘器、电袋复合除尘器、旋风除尘器、滤筒除尘器、湿式除尘器、其他</w:t>
                  </w:r>
                </w:p>
              </w:tc>
              <w:tc>
                <w:tcPr>
                  <w:tcW w:w="1398" w:type="dxa"/>
                  <w:vAlign w:val="center"/>
                </w:tcPr>
                <w:p w14:paraId="13FF8F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eastAsia"/>
                      <w:sz w:val="21"/>
                      <w:szCs w:val="21"/>
                      <w:highlight w:val="none"/>
                      <w:vertAlign w:val="baseline"/>
                      <w:lang w:val="en-US" w:eastAsia="zh-CN"/>
                    </w:rPr>
                    <w:t>袋式除尘器</w:t>
                  </w:r>
                </w:p>
              </w:tc>
              <w:tc>
                <w:tcPr>
                  <w:tcW w:w="2025" w:type="dxa"/>
                  <w:vAlign w:val="center"/>
                </w:tcPr>
                <w:p w14:paraId="23C026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 w:val="21"/>
                      <w:szCs w:val="21"/>
                      <w:highlight w:val="none"/>
                      <w:vertAlign w:val="baseline"/>
                    </w:rPr>
                  </w:pPr>
                  <w:r>
                    <w:rPr>
                      <w:rFonts w:hint="eastAsia"/>
                      <w:sz w:val="21"/>
                      <w:szCs w:val="21"/>
                      <w:highlight w:val="none"/>
                      <w:vertAlign w:val="baseline"/>
                      <w:lang w:val="en-US" w:eastAsia="zh-CN"/>
                    </w:rPr>
                    <w:t>可行</w:t>
                  </w:r>
                </w:p>
              </w:tc>
            </w:tr>
          </w:tbl>
          <w:p w14:paraId="297F01F7">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firstLine="480" w:firstLineChars="200"/>
              <w:textAlignment w:val="auto"/>
              <w:outlineLvl w:val="1"/>
              <w:rPr>
                <w:rFonts w:hint="default" w:ascii="Times New Roman" w:hAnsi="Times New Roman" w:eastAsia="宋体" w:cs="Times New Roman"/>
                <w:b/>
                <w:bCs/>
                <w:color w:val="auto"/>
                <w:sz w:val="24"/>
                <w:szCs w:val="24"/>
                <w:highlight w:val="none"/>
                <w:lang w:val="en-US" w:eastAsia="zh-CN"/>
              </w:rPr>
            </w:pPr>
            <w:bookmarkStart w:id="11" w:name="_Toc4701"/>
            <w:r>
              <w:rPr>
                <w:rFonts w:hint="default" w:ascii="Times New Roman" w:hAnsi="Times New Roman" w:eastAsia="宋体" w:cs="Times New Roman"/>
                <w:b/>
                <w:bCs/>
                <w:color w:val="auto"/>
                <w:sz w:val="24"/>
                <w:szCs w:val="24"/>
                <w:highlight w:val="none"/>
                <w:lang w:val="en-US" w:eastAsia="zh-CN"/>
              </w:rPr>
              <w:t>5.2有机废气</w:t>
            </w:r>
            <w:bookmarkEnd w:id="11"/>
          </w:p>
          <w:p w14:paraId="7ED6F26C">
            <w:pPr>
              <w:keepNext w:val="0"/>
              <w:keepLines w:val="0"/>
              <w:suppressLineNumbers w:val="0"/>
              <w:spacing w:before="0" w:beforeAutospacing="0" w:after="0" w:afterAutospacing="0" w:line="460" w:lineRule="exact"/>
              <w:ind w:left="0" w:right="0" w:firstLine="480" w:firstLineChars="200"/>
              <w:rPr>
                <w:rFonts w:hint="default" w:ascii="Times New Roman" w:hAnsi="Times New Roman" w:eastAsia="黑体" w:cs="Times New Roman"/>
                <w:bCs/>
                <w:color w:val="auto"/>
                <w:sz w:val="24"/>
                <w:szCs w:val="24"/>
                <w:highlight w:val="none"/>
              </w:rPr>
            </w:pPr>
            <w:r>
              <w:rPr>
                <w:rFonts w:hint="default" w:ascii="Times New Roman" w:hAnsi="Times New Roman" w:cs="Times New Roman"/>
                <w:color w:val="auto"/>
                <w:sz w:val="24"/>
                <w:szCs w:val="24"/>
                <w:highlight w:val="none"/>
              </w:rPr>
              <w:t>有机化合物是污染大气的重要污染物之一，主要来源于石油、化工、有机溶剂行业的生产过程以及有机溶剂的使用过程，对人体器官有刺激作用。根据有机废气的性质、特点以及其中有机物回收的可能性等条件，可采用不同的净化和回收方法。目前，主要的净化方法见表</w:t>
            </w:r>
            <w:r>
              <w:rPr>
                <w:rFonts w:hint="eastAsia"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9</w:t>
            </w:r>
            <w:r>
              <w:rPr>
                <w:rFonts w:hint="default" w:ascii="Times New Roman" w:hAnsi="Times New Roman" w:cs="Times New Roman"/>
                <w:color w:val="auto"/>
                <w:sz w:val="24"/>
                <w:szCs w:val="24"/>
                <w:highlight w:val="none"/>
              </w:rPr>
              <w:t>。</w:t>
            </w:r>
          </w:p>
          <w:p w14:paraId="5A3FE07D">
            <w:pPr>
              <w:keepNext w:val="0"/>
              <w:keepLines w:val="0"/>
              <w:suppressLineNumbers w:val="0"/>
              <w:spacing w:before="0" w:beforeAutospacing="0" w:after="0" w:afterAutospacing="0" w:line="480" w:lineRule="exact"/>
              <w:ind w:left="0" w:right="0" w:firstLine="482"/>
              <w:jc w:val="center"/>
              <w:rPr>
                <w:rFonts w:hint="default"/>
                <w:b/>
                <w:sz w:val="24"/>
                <w:szCs w:val="20"/>
                <w:highlight w:val="none"/>
              </w:rPr>
            </w:pPr>
            <w:r>
              <w:rPr>
                <w:rFonts w:hint="default"/>
                <w:b/>
                <w:sz w:val="24"/>
                <w:szCs w:val="20"/>
                <w:highlight w:val="none"/>
              </w:rPr>
              <w:t>表</w:t>
            </w:r>
            <w:r>
              <w:rPr>
                <w:rFonts w:hint="eastAsia"/>
                <w:b/>
                <w:sz w:val="24"/>
                <w:szCs w:val="20"/>
                <w:highlight w:val="none"/>
                <w:lang w:val="en-US" w:eastAsia="zh-CN"/>
              </w:rPr>
              <w:t>4</w:t>
            </w:r>
            <w:r>
              <w:rPr>
                <w:rFonts w:hint="default"/>
                <w:b/>
                <w:sz w:val="24"/>
                <w:szCs w:val="20"/>
                <w:highlight w:val="none"/>
                <w:lang w:val="en-US" w:eastAsia="zh-CN"/>
              </w:rPr>
              <w:t>-</w:t>
            </w:r>
            <w:r>
              <w:rPr>
                <w:rFonts w:hint="eastAsia"/>
                <w:b/>
                <w:sz w:val="24"/>
                <w:szCs w:val="20"/>
                <w:highlight w:val="none"/>
                <w:lang w:val="en-US" w:eastAsia="zh-CN"/>
              </w:rPr>
              <w:t>9</w:t>
            </w:r>
            <w:r>
              <w:rPr>
                <w:rFonts w:hint="default"/>
                <w:b/>
                <w:sz w:val="24"/>
                <w:szCs w:val="20"/>
                <w:highlight w:val="none"/>
              </w:rPr>
              <w:t xml:space="preserve">   </w:t>
            </w:r>
            <w:r>
              <w:rPr>
                <w:rFonts w:hint="default"/>
                <w:b/>
                <w:sz w:val="24"/>
                <w:szCs w:val="20"/>
                <w:highlight w:val="none"/>
                <w:lang w:val="en-US" w:eastAsia="zh-CN"/>
              </w:rPr>
              <w:t xml:space="preserve"> </w:t>
            </w:r>
            <w:r>
              <w:rPr>
                <w:rFonts w:hint="default"/>
                <w:b/>
                <w:sz w:val="24"/>
                <w:szCs w:val="20"/>
                <w:highlight w:val="none"/>
              </w:rPr>
              <w:t>六种废气治理方法的优缺点和适用范围</w:t>
            </w:r>
          </w:p>
          <w:tbl>
            <w:tblPr>
              <w:tblStyle w:val="47"/>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50"/>
              <w:gridCol w:w="2055"/>
              <w:gridCol w:w="3133"/>
              <w:gridCol w:w="2013"/>
            </w:tblGrid>
            <w:tr w14:paraId="7C03CFF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c>
                <w:tcPr>
                  <w:tcW w:w="650" w:type="dxa"/>
                  <w:noWrap w:val="0"/>
                  <w:vAlign w:val="center"/>
                </w:tcPr>
                <w:p w14:paraId="6657DE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治理方法</w:t>
                  </w:r>
                </w:p>
              </w:tc>
              <w:tc>
                <w:tcPr>
                  <w:tcW w:w="2055" w:type="dxa"/>
                  <w:noWrap w:val="0"/>
                  <w:vAlign w:val="center"/>
                </w:tcPr>
                <w:p w14:paraId="16E3D8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主要优点</w:t>
                  </w:r>
                </w:p>
              </w:tc>
              <w:tc>
                <w:tcPr>
                  <w:tcW w:w="3133" w:type="dxa"/>
                  <w:noWrap w:val="0"/>
                  <w:vAlign w:val="center"/>
                </w:tcPr>
                <w:p w14:paraId="05DA08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主要缺点</w:t>
                  </w:r>
                </w:p>
              </w:tc>
              <w:tc>
                <w:tcPr>
                  <w:tcW w:w="2013" w:type="dxa"/>
                  <w:noWrap w:val="0"/>
                  <w:vAlign w:val="center"/>
                </w:tcPr>
                <w:p w14:paraId="327CE6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适用范围</w:t>
                  </w:r>
                </w:p>
              </w:tc>
            </w:tr>
            <w:tr w14:paraId="37FCD2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33" w:hRule="atLeast"/>
              </w:trPr>
              <w:tc>
                <w:tcPr>
                  <w:tcW w:w="650" w:type="dxa"/>
                  <w:noWrap w:val="0"/>
                  <w:vAlign w:val="center"/>
                </w:tcPr>
                <w:p w14:paraId="22670A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活性炭吸附法</w:t>
                  </w:r>
                </w:p>
              </w:tc>
              <w:tc>
                <w:tcPr>
                  <w:tcW w:w="2055" w:type="dxa"/>
                  <w:noWrap w:val="0"/>
                  <w:vAlign w:val="center"/>
                </w:tcPr>
                <w:p w14:paraId="49EE85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①设备简单；②</w:t>
                  </w:r>
                  <w:r>
                    <w:rPr>
                      <w:rFonts w:hint="default" w:ascii="Times New Roman" w:hAnsi="Times New Roman" w:cs="Times New Roman"/>
                      <w:color w:val="auto"/>
                      <w:spacing w:val="-6"/>
                      <w:sz w:val="21"/>
                      <w:szCs w:val="21"/>
                      <w:highlight w:val="none"/>
                    </w:rPr>
                    <w:t>运行费用低，维护费用较低；</w:t>
                  </w:r>
                  <w:r>
                    <w:rPr>
                      <w:rFonts w:hint="default" w:ascii="Times New Roman" w:hAnsi="Times New Roman" w:cs="Times New Roman"/>
                      <w:color w:val="auto"/>
                      <w:sz w:val="21"/>
                      <w:szCs w:val="21"/>
                      <w:highlight w:val="none"/>
                    </w:rPr>
                    <w:t>③回收率高；④处理程度可控制。</w:t>
                  </w:r>
                </w:p>
              </w:tc>
              <w:tc>
                <w:tcPr>
                  <w:tcW w:w="3133" w:type="dxa"/>
                  <w:noWrap w:val="0"/>
                  <w:vAlign w:val="center"/>
                </w:tcPr>
                <w:p w14:paraId="5C104F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①活性炭的再生和补充需要花费的费用高；②处理烤漆废气时需先冷却；③处理喷涂室废气时，需预先除漆雾。</w:t>
                  </w:r>
                </w:p>
              </w:tc>
              <w:tc>
                <w:tcPr>
                  <w:tcW w:w="2013" w:type="dxa"/>
                  <w:noWrap w:val="0"/>
                  <w:vAlign w:val="center"/>
                </w:tcPr>
                <w:p w14:paraId="00272C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适用常温、低浓度、废气量较小的废气治理。</w:t>
                  </w:r>
                </w:p>
              </w:tc>
            </w:tr>
            <w:tr w14:paraId="2A67A71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 w:hRule="atLeast"/>
              </w:trPr>
              <w:tc>
                <w:tcPr>
                  <w:tcW w:w="650" w:type="dxa"/>
                  <w:noWrap w:val="0"/>
                  <w:vAlign w:val="center"/>
                </w:tcPr>
                <w:p w14:paraId="15FB1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冷凝回收法</w:t>
                  </w:r>
                </w:p>
              </w:tc>
              <w:tc>
                <w:tcPr>
                  <w:tcW w:w="2055" w:type="dxa"/>
                  <w:noWrap w:val="0"/>
                  <w:vAlign w:val="center"/>
                </w:tcPr>
                <w:p w14:paraId="7F61E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可回收有价值有机物</w:t>
                  </w:r>
                </w:p>
              </w:tc>
              <w:tc>
                <w:tcPr>
                  <w:tcW w:w="3133" w:type="dxa"/>
                  <w:noWrap w:val="0"/>
                  <w:vAlign w:val="center"/>
                </w:tcPr>
                <w:p w14:paraId="07D2CB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需要附属冷冻设备</w:t>
                  </w:r>
                </w:p>
              </w:tc>
              <w:tc>
                <w:tcPr>
                  <w:tcW w:w="2013" w:type="dxa"/>
                  <w:noWrap w:val="0"/>
                  <w:vAlign w:val="center"/>
                </w:tcPr>
                <w:p w14:paraId="7C4ACF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适用于有机废气浓度高、温度低、风量小的工况</w:t>
                  </w:r>
                </w:p>
              </w:tc>
            </w:tr>
            <w:tr w14:paraId="70507E9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10" w:hRule="atLeast"/>
              </w:trPr>
              <w:tc>
                <w:tcPr>
                  <w:tcW w:w="650" w:type="dxa"/>
                  <w:noWrap w:val="0"/>
                  <w:vAlign w:val="center"/>
                </w:tcPr>
                <w:p w14:paraId="2AAD64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催化燃烧法</w:t>
                  </w:r>
                </w:p>
              </w:tc>
              <w:tc>
                <w:tcPr>
                  <w:tcW w:w="2055" w:type="dxa"/>
                  <w:noWrap w:val="0"/>
                  <w:vAlign w:val="center"/>
                </w:tcPr>
                <w:p w14:paraId="64255D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①装置占地面积小；</w:t>
                  </w:r>
                </w:p>
                <w:p w14:paraId="03A273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②治理中产生的热量有一部分可以利用。</w:t>
                  </w:r>
                </w:p>
              </w:tc>
              <w:tc>
                <w:tcPr>
                  <w:tcW w:w="3133" w:type="dxa"/>
                  <w:noWrap w:val="0"/>
                  <w:vAlign w:val="center"/>
                </w:tcPr>
                <w:p w14:paraId="09A2E3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①应去除废气中杂质和漆雾，防止催化剂中毒；②</w:t>
                  </w:r>
                  <w:r>
                    <w:rPr>
                      <w:rFonts w:hint="default" w:ascii="Times New Roman" w:hAnsi="Times New Roman" w:cs="Times New Roman"/>
                      <w:color w:val="auto"/>
                      <w:spacing w:val="-10"/>
                      <w:sz w:val="21"/>
                      <w:szCs w:val="21"/>
                      <w:highlight w:val="none"/>
                    </w:rPr>
                    <w:t>催化剂使用时间长时，治理效率相应降低；</w:t>
                  </w:r>
                  <w:r>
                    <w:rPr>
                      <w:rFonts w:hint="default" w:ascii="Times New Roman" w:hAnsi="Times New Roman" w:cs="Times New Roman"/>
                      <w:color w:val="auto"/>
                      <w:sz w:val="21"/>
                      <w:szCs w:val="21"/>
                      <w:highlight w:val="none"/>
                    </w:rPr>
                    <w:t>③治理装置较复杂；④催化剂和设备价格高。</w:t>
                  </w:r>
                </w:p>
              </w:tc>
              <w:tc>
                <w:tcPr>
                  <w:tcW w:w="2013" w:type="dxa"/>
                  <w:noWrap w:val="0"/>
                  <w:vAlign w:val="center"/>
                </w:tcPr>
                <w:p w14:paraId="00186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适用于温度高、流量小、有机溶剂浓度高、含杂质少的场合。</w:t>
                  </w:r>
                </w:p>
              </w:tc>
            </w:tr>
            <w:tr w14:paraId="13406CB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10" w:hRule="atLeast"/>
              </w:trPr>
              <w:tc>
                <w:tcPr>
                  <w:tcW w:w="650" w:type="dxa"/>
                  <w:noWrap w:val="0"/>
                  <w:vAlign w:val="center"/>
                </w:tcPr>
                <w:p w14:paraId="10E318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洗涤</w:t>
                  </w:r>
                </w:p>
                <w:p w14:paraId="2BA187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吸收法</w:t>
                  </w:r>
                </w:p>
              </w:tc>
              <w:tc>
                <w:tcPr>
                  <w:tcW w:w="2055" w:type="dxa"/>
                  <w:noWrap w:val="0"/>
                  <w:vAlign w:val="center"/>
                </w:tcPr>
                <w:p w14:paraId="0CB0F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①设备费用较低，运行费用低，占地面积较小；</w:t>
                  </w:r>
                </w:p>
                <w:p w14:paraId="03832B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②可治理较大废气量；</w:t>
                  </w:r>
                </w:p>
                <w:p w14:paraId="0A6C05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③无爆炸、火灾等危险，安全性好。</w:t>
                  </w:r>
                </w:p>
              </w:tc>
              <w:tc>
                <w:tcPr>
                  <w:tcW w:w="3133" w:type="dxa"/>
                  <w:noWrap w:val="0"/>
                  <w:vAlign w:val="center"/>
                </w:tcPr>
                <w:p w14:paraId="2FB49E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①与其它方法相比，治理效率较低；②对洗涤吸收液内的废气成分需进行二次处理；</w:t>
                  </w:r>
                </w:p>
                <w:p w14:paraId="6D76BA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③洗涤吸收液的选用需根据废气内的主要溶剂来确定，对涂料品种有限制。</w:t>
                  </w:r>
                </w:p>
              </w:tc>
              <w:tc>
                <w:tcPr>
                  <w:tcW w:w="2013" w:type="dxa"/>
                  <w:noWrap w:val="0"/>
                  <w:vAlign w:val="center"/>
                </w:tcPr>
                <w:p w14:paraId="2F7EE7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适用于低温、低浓度、大气量的场合，以及烤漆室、喷涂室混合废气的治理。</w:t>
                  </w:r>
                </w:p>
              </w:tc>
            </w:tr>
            <w:tr w14:paraId="43642F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10" w:hRule="atLeast"/>
              </w:trPr>
              <w:tc>
                <w:tcPr>
                  <w:tcW w:w="650" w:type="dxa"/>
                  <w:noWrap w:val="0"/>
                  <w:vAlign w:val="center"/>
                </w:tcPr>
                <w:p w14:paraId="35B038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直接燃烧法</w:t>
                  </w:r>
                </w:p>
              </w:tc>
              <w:tc>
                <w:tcPr>
                  <w:tcW w:w="2055" w:type="dxa"/>
                  <w:noWrap w:val="0"/>
                  <w:vAlign w:val="center"/>
                </w:tcPr>
                <w:p w14:paraId="7274AA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①治理效率高；</w:t>
                  </w:r>
                </w:p>
                <w:p w14:paraId="00833B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②一般废气燃烧后，即达到排放标准，废气治理可靠性高；</w:t>
                  </w:r>
                </w:p>
                <w:p w14:paraId="32B185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③装置占地面积小；</w:t>
                  </w:r>
                </w:p>
                <w:p w14:paraId="24A9D7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④容易管理，维护简单。</w:t>
                  </w:r>
                </w:p>
              </w:tc>
              <w:tc>
                <w:tcPr>
                  <w:tcW w:w="3133" w:type="dxa"/>
                  <w:noWrap w:val="0"/>
                  <w:vAlign w:val="center"/>
                </w:tcPr>
                <w:p w14:paraId="36C74E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w:t>
                  </w:r>
                  <w:r>
                    <w:rPr>
                      <w:rFonts w:hint="default" w:ascii="Times New Roman" w:hAnsi="Times New Roman" w:cs="Times New Roman"/>
                      <w:color w:val="auto"/>
                      <w:spacing w:val="-4"/>
                      <w:sz w:val="21"/>
                      <w:szCs w:val="21"/>
                      <w:highlight w:val="none"/>
                    </w:rPr>
                    <w:t>处理温度高，预热耗能多，需燃料费高；</w:t>
                  </w:r>
                  <w:r>
                    <w:rPr>
                      <w:rFonts w:hint="default" w:ascii="Times New Roman" w:hAnsi="Times New Roman" w:cs="Times New Roman"/>
                      <w:color w:val="auto"/>
                      <w:sz w:val="21"/>
                      <w:szCs w:val="21"/>
                      <w:highlight w:val="none"/>
                    </w:rPr>
                    <w:t>②需考虑防爆等安全措施；③燃烧装置、换热器、燃烧室等装置设计较复杂，设备造价高；④处理像喷漆室浓度低、风量大的废气不经济。</w:t>
                  </w:r>
                </w:p>
              </w:tc>
              <w:tc>
                <w:tcPr>
                  <w:tcW w:w="2013" w:type="dxa"/>
                  <w:noWrap w:val="0"/>
                  <w:vAlign w:val="center"/>
                </w:tcPr>
                <w:p w14:paraId="75A0E9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适用于有机溶剂含量高、温度高废气治理。</w:t>
                  </w:r>
                </w:p>
              </w:tc>
            </w:tr>
            <w:tr w14:paraId="2CA0A9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10" w:hRule="atLeast"/>
              </w:trPr>
              <w:tc>
                <w:tcPr>
                  <w:tcW w:w="650" w:type="dxa"/>
                  <w:noWrap w:val="0"/>
                  <w:vAlign w:val="center"/>
                </w:tcPr>
                <w:p w14:paraId="01199D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光催化氧化法</w:t>
                  </w:r>
                </w:p>
              </w:tc>
              <w:tc>
                <w:tcPr>
                  <w:tcW w:w="2055" w:type="dxa"/>
                  <w:noWrap w:val="0"/>
                  <w:vAlign w:val="center"/>
                </w:tcPr>
                <w:p w14:paraId="7AAA0D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①净化彻底；</w:t>
                  </w:r>
                </w:p>
                <w:p w14:paraId="07486E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②催化剂在使用过程中不消耗，绿色能源；</w:t>
                  </w:r>
                </w:p>
                <w:p w14:paraId="2F6DDD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③氧化性强；</w:t>
                  </w:r>
                </w:p>
              </w:tc>
              <w:tc>
                <w:tcPr>
                  <w:tcW w:w="3133" w:type="dxa"/>
                  <w:noWrap w:val="0"/>
                  <w:vAlign w:val="center"/>
                </w:tcPr>
                <w:p w14:paraId="779959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废气需经过预处理（除酸、除重金属）</w:t>
                  </w:r>
                </w:p>
              </w:tc>
              <w:tc>
                <w:tcPr>
                  <w:tcW w:w="2013" w:type="dxa"/>
                  <w:noWrap w:val="0"/>
                  <w:vAlign w:val="center"/>
                </w:tcPr>
                <w:p w14:paraId="5E6990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适合处理高浓度、气量大、稳定性强的有毒有害气体的</w:t>
                  </w:r>
                  <w:r>
                    <w:rPr>
                      <w:rFonts w:hint="default" w:ascii="Times New Roman" w:hAnsi="Times New Roman" w:cs="Times New Roman"/>
                      <w:color w:val="auto"/>
                      <w:sz w:val="21"/>
                      <w:szCs w:val="21"/>
                      <w:highlight w:val="none"/>
                    </w:rPr>
                    <w:fldChar w:fldCharType="begin"/>
                  </w:r>
                  <w:r>
                    <w:rPr>
                      <w:rFonts w:hint="default" w:ascii="Times New Roman" w:hAnsi="Times New Roman" w:cs="Times New Roman"/>
                      <w:color w:val="auto"/>
                      <w:sz w:val="21"/>
                      <w:szCs w:val="21"/>
                      <w:highlight w:val="none"/>
                    </w:rPr>
                    <w:instrText xml:space="preserve"> HYPERLINK "http://baike.so.com/doc/5347554.html" </w:instrText>
                  </w:r>
                  <w:r>
                    <w:rPr>
                      <w:rFonts w:hint="default" w:ascii="Times New Roman" w:hAnsi="Times New Roman" w:cs="Times New Roman"/>
                      <w:color w:val="auto"/>
                      <w:sz w:val="21"/>
                      <w:szCs w:val="21"/>
                      <w:highlight w:val="none"/>
                    </w:rPr>
                    <w:fldChar w:fldCharType="separate"/>
                  </w:r>
                  <w:r>
                    <w:rPr>
                      <w:rFonts w:hint="default" w:ascii="Times New Roman" w:hAnsi="Times New Roman" w:cs="Times New Roman"/>
                      <w:color w:val="auto"/>
                      <w:sz w:val="21"/>
                      <w:szCs w:val="21"/>
                      <w:highlight w:val="none"/>
                    </w:rPr>
                    <w:t>废气处理</w:t>
                  </w:r>
                  <w:r>
                    <w:rPr>
                      <w:rFonts w:hint="default" w:ascii="Times New Roman" w:hAnsi="Times New Roman" w:cs="Times New Roman"/>
                      <w:color w:val="auto"/>
                      <w:sz w:val="21"/>
                      <w:szCs w:val="21"/>
                      <w:highlight w:val="none"/>
                    </w:rPr>
                    <w:fldChar w:fldCharType="end"/>
                  </w:r>
                  <w:r>
                    <w:rPr>
                      <w:rFonts w:hint="default" w:ascii="Times New Roman" w:hAnsi="Times New Roman" w:cs="Times New Roman"/>
                      <w:color w:val="auto"/>
                      <w:sz w:val="21"/>
                      <w:szCs w:val="21"/>
                      <w:highlight w:val="none"/>
                    </w:rPr>
                    <w:t>。</w:t>
                  </w:r>
                </w:p>
              </w:tc>
            </w:tr>
          </w:tbl>
          <w:p w14:paraId="7BFAFD87">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根据表</w:t>
            </w:r>
            <w:r>
              <w:rPr>
                <w:rFonts w:hint="eastAsia" w:cs="Times New Roman"/>
                <w:color w:val="auto"/>
                <w:sz w:val="24"/>
                <w:szCs w:val="24"/>
                <w:highlight w:val="none"/>
                <w:lang w:val="en-US" w:eastAsia="zh-CN"/>
              </w:rPr>
              <w:t>4-8</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比较各种废气处理方法的优缺点，结合本项目废气特点，本项目选用活性炭吸附法处理有机废气。</w:t>
            </w:r>
          </w:p>
          <w:p w14:paraId="09C34C5C">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80" w:lineRule="exact"/>
              <w:ind w:left="0" w:right="0" w:firstLine="472" w:firstLineChars="200"/>
              <w:textAlignment w:val="auto"/>
              <w:rPr>
                <w:rFonts w:hint="default" w:ascii="Times New Roman" w:hAnsi="Times New Roman" w:cs="Times New Roman"/>
                <w:color w:val="auto"/>
                <w:spacing w:val="-2"/>
                <w:kern w:val="0"/>
                <w:sz w:val="24"/>
                <w:szCs w:val="24"/>
                <w:highlight w:val="none"/>
              </w:rPr>
            </w:pPr>
            <w:r>
              <w:rPr>
                <w:rFonts w:hint="default" w:ascii="Times New Roman" w:hAnsi="Times New Roman" w:cs="Times New Roman"/>
                <w:color w:val="auto"/>
                <w:spacing w:val="-2"/>
                <w:kern w:val="0"/>
                <w:sz w:val="24"/>
                <w:szCs w:val="24"/>
                <w:highlight w:val="none"/>
              </w:rPr>
              <w:t>活性炭吸附技术一般适用于低浓度、常温有机废气处理。活性炭是一种主要由含碳材料制成的外观</w:t>
            </w:r>
            <w:r>
              <w:rPr>
                <w:rFonts w:hint="eastAsia" w:cs="Times New Roman"/>
                <w:color w:val="auto"/>
                <w:spacing w:val="-2"/>
                <w:kern w:val="0"/>
                <w:sz w:val="24"/>
                <w:szCs w:val="24"/>
                <w:highlight w:val="none"/>
                <w:lang w:val="en-US" w:eastAsia="zh-CN"/>
              </w:rPr>
              <w:t>呈</w:t>
            </w:r>
            <w:r>
              <w:rPr>
                <w:rFonts w:hint="default" w:ascii="Times New Roman" w:hAnsi="Times New Roman" w:cs="Times New Roman"/>
                <w:color w:val="auto"/>
                <w:spacing w:val="-2"/>
                <w:kern w:val="0"/>
                <w:sz w:val="24"/>
                <w:szCs w:val="24"/>
                <w:highlight w:val="none"/>
              </w:rPr>
              <w:t>黑色，内部空隙结构发达、比表面积大、吸附能力强的一类微晶质碳素颗粒材料。活性炭材料中有大量肉眼看不到的微孔，1g活性炭材料中微孔将其展开后表面积可达500-1000m</w:t>
            </w:r>
            <w:r>
              <w:rPr>
                <w:rFonts w:hint="default" w:ascii="Times New Roman" w:hAnsi="Times New Roman" w:cs="Times New Roman"/>
                <w:color w:val="auto"/>
                <w:spacing w:val="-2"/>
                <w:kern w:val="0"/>
                <w:sz w:val="24"/>
                <w:szCs w:val="24"/>
                <w:highlight w:val="none"/>
                <w:vertAlign w:val="superscript"/>
              </w:rPr>
              <w:t>2</w:t>
            </w:r>
            <w:r>
              <w:rPr>
                <w:rFonts w:hint="default" w:ascii="Times New Roman" w:hAnsi="Times New Roman" w:cs="Times New Roman"/>
                <w:color w:val="auto"/>
                <w:spacing w:val="-2"/>
                <w:kern w:val="0"/>
                <w:sz w:val="24"/>
                <w:szCs w:val="24"/>
                <w:highlight w:val="none"/>
              </w:rPr>
              <w:t>，高度发达的空隙结构，使活性炭具有优良的吸附性能，尤其对挥发性有机物具有很强的吸附能力。活性炭吸附效率与有机污染物浓度、活性炭品种、截面流速等有关。有机废气进入活性炭箱体内由于空间的扩大导致气流的流速降低，确保有机废气能够保证足够的停留时间穿过碳层，完善的活性炭吸附装置可以长期保持VOCs去除率不低于90%。</w:t>
            </w:r>
          </w:p>
          <w:p w14:paraId="3AF2EB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根据</w:t>
            </w:r>
            <w:r>
              <w:rPr>
                <w:rFonts w:hint="default" w:ascii="Times New Roman" w:hAnsi="Times New Roman" w:cs="Times New Roman"/>
                <w:color w:val="auto"/>
                <w:sz w:val="24"/>
                <w:szCs w:val="24"/>
                <w:highlight w:val="none"/>
              </w:rPr>
              <w:t xml:space="preserve">《排污许可证申请与核发技术规范 </w:t>
            </w:r>
            <w:r>
              <w:rPr>
                <w:rFonts w:hint="eastAsia" w:ascii="Times New Roman" w:hAnsi="Times New Roman" w:cs="Times New Roman"/>
                <w:color w:val="auto"/>
                <w:sz w:val="24"/>
                <w:szCs w:val="24"/>
                <w:highlight w:val="none"/>
                <w:lang w:val="en-US" w:eastAsia="zh-CN"/>
              </w:rPr>
              <w:t>金属铸造工业</w:t>
            </w:r>
            <w:r>
              <w:rPr>
                <w:rFonts w:hint="default" w:ascii="Times New Roman" w:hAnsi="Times New Roman" w:cs="Times New Roman"/>
                <w:color w:val="auto"/>
                <w:sz w:val="24"/>
                <w:szCs w:val="24"/>
                <w:highlight w:val="none"/>
              </w:rPr>
              <w:t>》（HJ1</w:t>
            </w:r>
            <w:r>
              <w:rPr>
                <w:rFonts w:hint="eastAsia" w:ascii="Times New Roman" w:hAnsi="Times New Roman" w:cs="Times New Roman"/>
                <w:color w:val="auto"/>
                <w:sz w:val="24"/>
                <w:szCs w:val="24"/>
                <w:highlight w:val="none"/>
                <w:lang w:val="en-US" w:eastAsia="zh-CN"/>
              </w:rPr>
              <w:t>115</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szCs w:val="24"/>
                <w:highlight w:val="none"/>
              </w:rPr>
              <w:t>2020），</w:t>
            </w:r>
            <w:r>
              <w:rPr>
                <w:rFonts w:hint="default" w:ascii="Times New Roman" w:hAnsi="Times New Roman" w:cs="Times New Roman"/>
                <w:color w:val="auto"/>
                <w:sz w:val="24"/>
                <w:szCs w:val="24"/>
                <w:highlight w:val="none"/>
                <w:lang w:val="en-US" w:eastAsia="zh-CN"/>
              </w:rPr>
              <w:t>本项目所采用的废气处理措施</w:t>
            </w:r>
            <w:r>
              <w:rPr>
                <w:rFonts w:hint="default" w:ascii="Times New Roman" w:hAnsi="Times New Roman" w:cs="Times New Roman"/>
                <w:color w:val="auto"/>
                <w:sz w:val="24"/>
                <w:szCs w:val="24"/>
                <w:highlight w:val="none"/>
              </w:rPr>
              <w:t>属于可行性技术，</w:t>
            </w:r>
            <w:r>
              <w:rPr>
                <w:rFonts w:hint="default" w:ascii="Times New Roman" w:hAnsi="Times New Roman" w:cs="Times New Roman"/>
                <w:color w:val="auto"/>
                <w:sz w:val="24"/>
                <w:szCs w:val="24"/>
                <w:highlight w:val="none"/>
                <w:lang w:val="en-US" w:eastAsia="zh-CN"/>
              </w:rPr>
              <w:t>有机</w:t>
            </w:r>
            <w:r>
              <w:rPr>
                <w:rFonts w:hint="default" w:ascii="Times New Roman" w:hAnsi="Times New Roman" w:cs="Times New Roman"/>
                <w:color w:val="auto"/>
                <w:sz w:val="24"/>
                <w:szCs w:val="24"/>
                <w:highlight w:val="none"/>
              </w:rPr>
              <w:t>废气治理设施可行</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详见下表。</w:t>
            </w:r>
          </w:p>
          <w:p w14:paraId="7C590871">
            <w:pPr>
              <w:pStyle w:val="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hint="eastAsia" w:cs="Times New Roman"/>
                <w:b/>
                <w:bCs/>
                <w:color w:val="auto"/>
                <w:sz w:val="24"/>
                <w:szCs w:val="24"/>
                <w:highlight w:val="none"/>
                <w:lang w:val="en-US" w:eastAsia="zh-CN"/>
              </w:rPr>
            </w:pPr>
            <w:r>
              <w:rPr>
                <w:rFonts w:hint="default" w:ascii="宋体" w:hAnsi="宋体" w:eastAsia="宋体" w:cs="宋体"/>
                <w:b/>
                <w:bCs/>
                <w:sz w:val="24"/>
                <w:szCs w:val="24"/>
                <w:highlight w:val="none"/>
              </w:rPr>
              <w:t>表</w:t>
            </w:r>
            <w:r>
              <w:rPr>
                <w:rFonts w:hint="eastAsia"/>
                <w:b/>
                <w:sz w:val="24"/>
                <w:szCs w:val="20"/>
                <w:highlight w:val="none"/>
                <w:lang w:val="en-US" w:eastAsia="zh-CN"/>
              </w:rPr>
              <w:t>4</w:t>
            </w:r>
            <w:r>
              <w:rPr>
                <w:rFonts w:hint="default"/>
                <w:b/>
                <w:sz w:val="24"/>
                <w:szCs w:val="20"/>
                <w:highlight w:val="none"/>
                <w:lang w:val="en-US" w:eastAsia="zh-CN"/>
              </w:rPr>
              <w:t>-</w:t>
            </w:r>
            <w:r>
              <w:rPr>
                <w:rFonts w:hint="eastAsia"/>
                <w:b/>
                <w:sz w:val="24"/>
                <w:szCs w:val="20"/>
                <w:highlight w:val="none"/>
                <w:lang w:val="en-US" w:eastAsia="zh-CN"/>
              </w:rPr>
              <w:t xml:space="preserve">10 </w:t>
            </w:r>
            <w:r>
              <w:rPr>
                <w:rFonts w:hint="default" w:ascii="宋体" w:hAnsi="宋体" w:eastAsia="宋体" w:cs="宋体"/>
                <w:b/>
                <w:bCs/>
                <w:sz w:val="24"/>
                <w:szCs w:val="24"/>
                <w:highlight w:val="none"/>
              </w:rPr>
              <w:t>废气产污环节名称、污染物项目、排放形式及污染治理设施表</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837"/>
              <w:gridCol w:w="1067"/>
              <w:gridCol w:w="1224"/>
              <w:gridCol w:w="1609"/>
              <w:gridCol w:w="1000"/>
              <w:gridCol w:w="1325"/>
            </w:tblGrid>
            <w:tr w14:paraId="20A43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79" w:type="dxa"/>
                  <w:vAlign w:val="center"/>
                </w:tcPr>
                <w:p w14:paraId="227D65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生产单元</w:t>
                  </w:r>
                </w:p>
              </w:tc>
              <w:tc>
                <w:tcPr>
                  <w:tcW w:w="837" w:type="dxa"/>
                  <w:vAlign w:val="center"/>
                </w:tcPr>
                <w:p w14:paraId="4D1B69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生产设施</w:t>
                  </w:r>
                </w:p>
              </w:tc>
              <w:tc>
                <w:tcPr>
                  <w:tcW w:w="1067" w:type="dxa"/>
                  <w:vAlign w:val="center"/>
                </w:tcPr>
                <w:p w14:paraId="2320A7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废气产污环节</w:t>
                  </w:r>
                </w:p>
              </w:tc>
              <w:tc>
                <w:tcPr>
                  <w:tcW w:w="1224" w:type="dxa"/>
                  <w:vAlign w:val="center"/>
                </w:tcPr>
                <w:p w14:paraId="4C408B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主要污染物项目</w:t>
                  </w:r>
                </w:p>
              </w:tc>
              <w:tc>
                <w:tcPr>
                  <w:tcW w:w="1609" w:type="dxa"/>
                  <w:vAlign w:val="center"/>
                </w:tcPr>
                <w:p w14:paraId="02D4733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主要污染治理设施</w:t>
                  </w:r>
                </w:p>
              </w:tc>
              <w:tc>
                <w:tcPr>
                  <w:tcW w:w="1000" w:type="dxa"/>
                  <w:vAlign w:val="center"/>
                </w:tcPr>
                <w:p w14:paraId="19041C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本项目情况</w:t>
                  </w:r>
                </w:p>
              </w:tc>
              <w:tc>
                <w:tcPr>
                  <w:tcW w:w="1325" w:type="dxa"/>
                  <w:vAlign w:val="center"/>
                </w:tcPr>
                <w:p w14:paraId="6E64F1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b/>
                      <w:bCs/>
                      <w:sz w:val="21"/>
                      <w:szCs w:val="21"/>
                      <w:highlight w:val="none"/>
                      <w:vertAlign w:val="baseline"/>
                      <w:lang w:val="en-US" w:eastAsia="zh-CN"/>
                    </w:rPr>
                  </w:pPr>
                  <w:r>
                    <w:rPr>
                      <w:rFonts w:hint="default" w:ascii="Times New Roman" w:hAnsi="Times New Roman" w:cs="Times New Roman"/>
                      <w:b/>
                      <w:bCs/>
                      <w:sz w:val="21"/>
                      <w:szCs w:val="21"/>
                      <w:highlight w:val="none"/>
                      <w:vertAlign w:val="baseline"/>
                      <w:lang w:val="en-US" w:eastAsia="zh-CN"/>
                    </w:rPr>
                    <w:t>是否为可行性技术</w:t>
                  </w:r>
                </w:p>
              </w:tc>
            </w:tr>
            <w:tr w14:paraId="7706A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9" w:type="dxa"/>
                  <w:vAlign w:val="center"/>
                </w:tcPr>
                <w:p w14:paraId="09F0EE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sz w:val="21"/>
                      <w:szCs w:val="21"/>
                      <w:highlight w:val="none"/>
                      <w:vertAlign w:val="baseline"/>
                    </w:rPr>
                  </w:pPr>
                  <w:r>
                    <w:rPr>
                      <w:rFonts w:hint="default" w:ascii="Times New Roman" w:hAnsi="Times New Roman" w:eastAsia="宋体" w:cs="Times New Roman"/>
                      <w:sz w:val="21"/>
                      <w:szCs w:val="21"/>
                      <w:highlight w:val="none"/>
                    </w:rPr>
                    <w:t>浇注</w:t>
                  </w:r>
                </w:p>
              </w:tc>
              <w:tc>
                <w:tcPr>
                  <w:tcW w:w="837" w:type="dxa"/>
                  <w:vAlign w:val="center"/>
                </w:tcPr>
                <w:p w14:paraId="0E4F56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sz w:val="21"/>
                      <w:szCs w:val="21"/>
                      <w:highlight w:val="none"/>
                      <w:vertAlign w:val="baseline"/>
                    </w:rPr>
                  </w:pPr>
                  <w:r>
                    <w:rPr>
                      <w:rFonts w:hint="default" w:ascii="Times New Roman" w:hAnsi="Times New Roman" w:eastAsia="宋体" w:cs="Times New Roman"/>
                      <w:sz w:val="21"/>
                      <w:szCs w:val="21"/>
                      <w:highlight w:val="none"/>
                    </w:rPr>
                    <w:t>浇注设备</w:t>
                  </w:r>
                </w:p>
              </w:tc>
              <w:tc>
                <w:tcPr>
                  <w:tcW w:w="1067" w:type="dxa"/>
                  <w:vAlign w:val="center"/>
                </w:tcPr>
                <w:p w14:paraId="668802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eastAsia="宋体" w:cs="Times New Roman"/>
                      <w:sz w:val="21"/>
                      <w:szCs w:val="21"/>
                      <w:highlight w:val="none"/>
                    </w:rPr>
                    <w:t>浇注</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lang w:val="en-US" w:eastAsia="zh-CN"/>
                    </w:rPr>
                    <w:t>制壳</w:t>
                  </w:r>
                </w:p>
              </w:tc>
              <w:tc>
                <w:tcPr>
                  <w:tcW w:w="1224" w:type="dxa"/>
                  <w:vAlign w:val="center"/>
                </w:tcPr>
                <w:p w14:paraId="18B6B6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sz w:val="21"/>
                      <w:szCs w:val="21"/>
                      <w:highlight w:val="none"/>
                      <w:lang w:val="en-US" w:eastAsia="zh-CN"/>
                    </w:rPr>
                    <w:t>非甲烷总烃</w:t>
                  </w:r>
                </w:p>
              </w:tc>
              <w:tc>
                <w:tcPr>
                  <w:tcW w:w="1609" w:type="dxa"/>
                  <w:vAlign w:val="center"/>
                </w:tcPr>
                <w:p w14:paraId="6AF2A0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sz w:val="21"/>
                      <w:szCs w:val="21"/>
                      <w:highlight w:val="none"/>
                      <w:vertAlign w:val="baseline"/>
                    </w:rPr>
                  </w:pPr>
                  <w:r>
                    <w:rPr>
                      <w:rFonts w:hint="default" w:ascii="Times New Roman" w:hAnsi="Times New Roman" w:eastAsia="宋体" w:cs="Times New Roman"/>
                      <w:sz w:val="21"/>
                      <w:szCs w:val="21"/>
                      <w:highlight w:val="none"/>
                    </w:rPr>
                    <w:t>催化燃烧、活性炭吸附、蓄热燃烧、其他</w:t>
                  </w:r>
                </w:p>
              </w:tc>
              <w:tc>
                <w:tcPr>
                  <w:tcW w:w="1000" w:type="dxa"/>
                  <w:vAlign w:val="center"/>
                </w:tcPr>
                <w:p w14:paraId="2E1D00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二级活性炭吸附装置</w:t>
                  </w:r>
                </w:p>
              </w:tc>
              <w:tc>
                <w:tcPr>
                  <w:tcW w:w="1325" w:type="dxa"/>
                  <w:vAlign w:val="center"/>
                </w:tcPr>
                <w:p w14:paraId="0A2B3E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cs="Times New Roman" w:eastAsiaTheme="minorEastAsia"/>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可行</w:t>
                  </w:r>
                </w:p>
              </w:tc>
            </w:tr>
          </w:tbl>
          <w:p w14:paraId="5C1CEE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sz w:val="24"/>
                <w:szCs w:val="20"/>
                <w:highlight w:val="none"/>
              </w:rPr>
            </w:pPr>
            <w:r>
              <w:rPr>
                <w:rFonts w:hint="eastAsia"/>
                <w:sz w:val="24"/>
                <w:szCs w:val="20"/>
                <w:highlight w:val="none"/>
              </w:rPr>
              <w:t>综上所述，本项目采取了有效可行的废气治理措施，本项目废气对环境影响较小。</w:t>
            </w:r>
          </w:p>
          <w:p w14:paraId="0404FC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b/>
                <w:bCs/>
                <w:sz w:val="24"/>
                <w:szCs w:val="20"/>
                <w:highlight w:val="none"/>
              </w:rPr>
            </w:pPr>
            <w:r>
              <w:rPr>
                <w:rFonts w:hint="eastAsia"/>
                <w:b/>
                <w:bCs/>
                <w:sz w:val="24"/>
                <w:szCs w:val="20"/>
                <w:highlight w:val="none"/>
                <w:lang w:val="en-US" w:eastAsia="zh-CN"/>
              </w:rPr>
              <w:t>6、</w:t>
            </w:r>
            <w:r>
              <w:rPr>
                <w:rFonts w:hint="eastAsia"/>
                <w:b/>
                <w:bCs/>
                <w:sz w:val="24"/>
                <w:szCs w:val="20"/>
                <w:highlight w:val="none"/>
              </w:rPr>
              <w:t>大气环境影响结论</w:t>
            </w:r>
          </w:p>
          <w:p w14:paraId="42A42F18">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szCs w:val="20"/>
                <w:highlight w:val="none"/>
              </w:rPr>
            </w:pPr>
            <w:r>
              <w:rPr>
                <w:rFonts w:hint="eastAsia" w:ascii="宋体" w:hAnsi="宋体"/>
                <w:sz w:val="24"/>
                <w:szCs w:val="20"/>
                <w:highlight w:val="none"/>
              </w:rPr>
              <w:t>本项目所在地为环境空气质量不达标区。项目产生的废气均经收集处理达标排放，未收集的废气无组织排放至车间，车间为密闭生产车间，废气进入环境量较小。经工程分析及源强核算可知各污染物经相应治理措施治理后均能做到达标排放，运营期建设单位在加强各废气处理装置运营维护、定期按要求进行日常监测，确保各装置正常使用的情况下，本项目排放的废气不会对周边空气质量产生明显不利影响。</w:t>
            </w:r>
          </w:p>
          <w:p w14:paraId="353619B9">
            <w:pPr>
              <w:pStyle w:val="171"/>
              <w:keepNext w:val="0"/>
              <w:keepLines w:val="0"/>
              <w:suppressLineNumbers w:val="0"/>
              <w:spacing w:before="0" w:beforeAutospacing="0" w:after="0" w:afterAutospacing="0"/>
              <w:ind w:left="0" w:right="0" w:firstLine="482"/>
              <w:jc w:val="both"/>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二、</w:t>
            </w:r>
            <w:r>
              <w:rPr>
                <w:rFonts w:hint="default" w:ascii="Times New Roman" w:hAnsi="Times New Roman" w:cs="Times New Roman"/>
                <w:b/>
                <w:smallCaps w:val="0"/>
                <w:color w:val="auto"/>
                <w:spacing w:val="0"/>
                <w:highlight w:val="none"/>
              </w:rPr>
              <w:t>废水</w:t>
            </w:r>
          </w:p>
          <w:p w14:paraId="2FF73EE2">
            <w:pPr>
              <w:keepNext w:val="0"/>
              <w:keepLines w:val="0"/>
              <w:widowControl w:val="0"/>
              <w:suppressLineNumbers w:val="0"/>
              <w:autoSpaceDE w:val="0"/>
              <w:autoSpaceDN/>
              <w:adjustRightInd w:val="0"/>
              <w:snapToGrid w:val="0"/>
              <w:spacing w:before="0" w:beforeAutospacing="0" w:after="0" w:afterAutospacing="0" w:line="460" w:lineRule="exact"/>
              <w:ind w:left="0" w:right="0" w:firstLine="480" w:firstLineChars="200"/>
              <w:jc w:val="both"/>
              <w:rPr>
                <w:rFonts w:hint="eastAsia" w:cs="Times New Roman"/>
                <w:color w:val="auto"/>
                <w:kern w:val="2"/>
                <w:sz w:val="24"/>
                <w:szCs w:val="24"/>
                <w:highlight w:val="none"/>
                <w:lang w:val="en-US" w:eastAsia="zh-CN" w:bidi="ar"/>
              </w:rPr>
            </w:pPr>
            <w:r>
              <w:rPr>
                <w:rFonts w:hint="eastAsia" w:ascii="Times New Roman" w:hAnsi="Times New Roman" w:cs="Times New Roman"/>
                <w:bCs/>
                <w:color w:val="000000"/>
                <w:sz w:val="24"/>
                <w:szCs w:val="20"/>
                <w:highlight w:val="none"/>
                <w:lang w:val="en-US" w:eastAsia="zh-CN"/>
              </w:rPr>
              <w:t>本项目</w:t>
            </w:r>
            <w:r>
              <w:rPr>
                <w:rFonts w:hint="eastAsia" w:ascii="Times New Roman" w:hAnsi="Times New Roman" w:cs="Times New Roman"/>
                <w:color w:val="000000"/>
                <w:sz w:val="24"/>
                <w:szCs w:val="20"/>
                <w:highlight w:val="none"/>
                <w:lang w:val="en-US" w:eastAsia="zh-CN"/>
              </w:rPr>
              <w:t>中频电炉循环冷却水循环使用不外排</w:t>
            </w:r>
            <w:r>
              <w:rPr>
                <w:rFonts w:hint="eastAsia" w:cs="Times New Roman"/>
                <w:color w:val="000000"/>
                <w:sz w:val="24"/>
                <w:szCs w:val="20"/>
                <w:highlight w:val="none"/>
                <w:lang w:val="en-US" w:eastAsia="zh-CN"/>
              </w:rPr>
              <w:t>，雾炮用水全部消耗</w:t>
            </w:r>
            <w:r>
              <w:rPr>
                <w:rFonts w:hint="eastAsia" w:ascii="Times New Roman" w:hAnsi="Times New Roman" w:cs="Times New Roman"/>
                <w:color w:val="000000"/>
                <w:sz w:val="24"/>
                <w:szCs w:val="20"/>
                <w:highlight w:val="none"/>
                <w:lang w:val="en-US" w:eastAsia="zh-CN"/>
              </w:rPr>
              <w:t>。本项目职工生活污水</w:t>
            </w:r>
            <w:r>
              <w:rPr>
                <w:rFonts w:hint="eastAsia" w:ascii="Times New Roman" w:hAnsi="Times New Roman" w:cs="Times New Roman"/>
                <w:bCs/>
                <w:color w:val="000000"/>
                <w:sz w:val="24"/>
                <w:szCs w:val="20"/>
                <w:highlight w:val="none"/>
                <w:lang w:val="en-US" w:eastAsia="zh-CN"/>
              </w:rPr>
              <w:t>产生量为0.32m</w:t>
            </w:r>
            <w:r>
              <w:rPr>
                <w:rFonts w:hint="eastAsia" w:ascii="Times New Roman" w:hAnsi="Times New Roman" w:cs="Times New Roman"/>
                <w:bCs/>
                <w:color w:val="000000"/>
                <w:sz w:val="24"/>
                <w:szCs w:val="20"/>
                <w:highlight w:val="none"/>
                <w:vertAlign w:val="superscript"/>
                <w:lang w:val="en-US" w:eastAsia="zh-CN"/>
              </w:rPr>
              <w:t>3</w:t>
            </w:r>
            <w:r>
              <w:rPr>
                <w:rFonts w:hint="eastAsia" w:ascii="Times New Roman" w:hAnsi="Times New Roman" w:cs="Times New Roman"/>
                <w:bCs/>
                <w:color w:val="000000"/>
                <w:sz w:val="24"/>
                <w:szCs w:val="20"/>
                <w:highlight w:val="none"/>
                <w:lang w:val="en-US" w:eastAsia="zh-CN"/>
              </w:rPr>
              <w:t>/d（96m</w:t>
            </w:r>
            <w:r>
              <w:rPr>
                <w:rFonts w:hint="eastAsia" w:ascii="Times New Roman" w:hAnsi="Times New Roman" w:cs="Times New Roman"/>
                <w:bCs/>
                <w:color w:val="000000"/>
                <w:sz w:val="24"/>
                <w:szCs w:val="20"/>
                <w:highlight w:val="none"/>
                <w:vertAlign w:val="superscript"/>
                <w:lang w:val="en-US" w:eastAsia="zh-CN"/>
              </w:rPr>
              <w:t>3</w:t>
            </w:r>
            <w:r>
              <w:rPr>
                <w:rFonts w:hint="eastAsia" w:ascii="Times New Roman" w:hAnsi="Times New Roman" w:cs="Times New Roman"/>
                <w:bCs/>
                <w:color w:val="000000"/>
                <w:sz w:val="24"/>
                <w:szCs w:val="20"/>
                <w:highlight w:val="none"/>
                <w:lang w:val="en-US" w:eastAsia="zh-CN"/>
              </w:rPr>
              <w:t>/a），水量较小，水质简单，</w:t>
            </w:r>
            <w:r>
              <w:rPr>
                <w:rFonts w:hint="eastAsia" w:cs="Times New Roman"/>
                <w:bCs/>
                <w:color w:val="000000"/>
                <w:sz w:val="24"/>
                <w:szCs w:val="20"/>
                <w:highlight w:val="none"/>
                <w:lang w:val="en-US" w:eastAsia="zh-CN"/>
              </w:rPr>
              <w:t>排入防渗旱厕，定期清掏</w:t>
            </w:r>
            <w:r>
              <w:rPr>
                <w:rFonts w:hint="eastAsia" w:ascii="Times New Roman" w:hAnsi="Times New Roman" w:cs="Times New Roman"/>
                <w:bCs/>
                <w:color w:val="000000"/>
                <w:sz w:val="24"/>
                <w:szCs w:val="20"/>
                <w:highlight w:val="none"/>
                <w:lang w:val="en-US" w:eastAsia="zh-CN"/>
              </w:rPr>
              <w:t>不外排。</w:t>
            </w:r>
          </w:p>
          <w:p w14:paraId="0F7A003B">
            <w:pPr>
              <w:pStyle w:val="171"/>
              <w:keepNext w:val="0"/>
              <w:keepLines w:val="0"/>
              <w:suppressLineNumbers w:val="0"/>
              <w:spacing w:before="0" w:beforeAutospacing="0" w:after="0" w:afterAutospacing="0"/>
              <w:ind w:left="0" w:right="0" w:firstLine="482"/>
              <w:jc w:val="both"/>
              <w:rPr>
                <w:rFonts w:hint="default" w:ascii="Times New Roman" w:hAnsi="Times New Roman" w:cs="Times New Roman"/>
                <w:b/>
                <w:bCs/>
                <w:smallCaps w:val="0"/>
                <w:color w:val="auto"/>
                <w:spacing w:val="0"/>
                <w:highlight w:val="none"/>
              </w:rPr>
            </w:pPr>
            <w:r>
              <w:rPr>
                <w:rFonts w:hint="eastAsia" w:cs="Times New Roman"/>
                <w:b/>
                <w:bCs/>
                <w:smallCaps w:val="0"/>
                <w:color w:val="auto"/>
                <w:spacing w:val="0"/>
                <w:highlight w:val="none"/>
                <w:lang w:val="en-US" w:eastAsia="zh-CN"/>
              </w:rPr>
              <w:t>三、</w:t>
            </w:r>
            <w:r>
              <w:rPr>
                <w:rFonts w:hint="default" w:ascii="Times New Roman" w:hAnsi="Times New Roman" w:cs="Times New Roman"/>
                <w:b/>
                <w:bCs/>
                <w:smallCaps w:val="0"/>
                <w:color w:val="auto"/>
                <w:spacing w:val="0"/>
                <w:highlight w:val="none"/>
              </w:rPr>
              <w:t>噪声</w:t>
            </w:r>
          </w:p>
          <w:p w14:paraId="732710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540"/>
              <w:textAlignment w:val="auto"/>
              <w:rPr>
                <w:rFonts w:hint="eastAsia"/>
                <w:b/>
                <w:bCs/>
                <w:sz w:val="24"/>
                <w:szCs w:val="20"/>
                <w:highlight w:val="none"/>
                <w:lang w:val="en-US" w:eastAsia="zh-CN"/>
              </w:rPr>
            </w:pPr>
            <w:r>
              <w:rPr>
                <w:rFonts w:hint="eastAsia"/>
                <w:b/>
                <w:bCs/>
                <w:sz w:val="24"/>
                <w:szCs w:val="20"/>
                <w:highlight w:val="none"/>
                <w:lang w:val="en-US" w:eastAsia="zh-CN"/>
              </w:rPr>
              <w:t>3.1 预测模式</w:t>
            </w:r>
          </w:p>
          <w:p w14:paraId="24A2D6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540"/>
              <w:textAlignment w:val="auto"/>
              <w:rPr>
                <w:rFonts w:hint="default"/>
                <w:sz w:val="24"/>
                <w:szCs w:val="20"/>
                <w:highlight w:val="none"/>
              </w:rPr>
            </w:pPr>
            <w:r>
              <w:rPr>
                <w:rFonts w:hint="default"/>
                <w:sz w:val="24"/>
                <w:szCs w:val="20"/>
                <w:highlight w:val="none"/>
              </w:rPr>
              <w:t>根据本工程对噪声源所采取的隔声、</w:t>
            </w:r>
            <w:r>
              <w:rPr>
                <w:rFonts w:hint="eastAsia"/>
                <w:sz w:val="24"/>
                <w:szCs w:val="20"/>
                <w:highlight w:val="none"/>
              </w:rPr>
              <w:t>减振</w:t>
            </w:r>
            <w:r>
              <w:rPr>
                <w:rFonts w:hint="default"/>
                <w:sz w:val="24"/>
                <w:szCs w:val="20"/>
                <w:highlight w:val="none"/>
              </w:rPr>
              <w:t>等措施及效果，按照《环境影响评价技术导则</w:t>
            </w:r>
            <w:r>
              <w:rPr>
                <w:rFonts w:hint="eastAsia"/>
                <w:sz w:val="24"/>
                <w:szCs w:val="20"/>
                <w:highlight w:val="none"/>
              </w:rPr>
              <w:t xml:space="preserve"> </w:t>
            </w:r>
            <w:r>
              <w:rPr>
                <w:rFonts w:hint="default"/>
                <w:sz w:val="24"/>
                <w:szCs w:val="20"/>
                <w:highlight w:val="none"/>
              </w:rPr>
              <w:t>声环境》（HJ2.4</w:t>
            </w:r>
            <w:r>
              <w:rPr>
                <w:rFonts w:hint="eastAsia"/>
                <w:sz w:val="24"/>
                <w:szCs w:val="20"/>
                <w:highlight w:val="none"/>
              </w:rPr>
              <w:t>-</w:t>
            </w:r>
            <w:r>
              <w:rPr>
                <w:rFonts w:hint="default"/>
                <w:sz w:val="24"/>
                <w:szCs w:val="20"/>
                <w:highlight w:val="none"/>
              </w:rPr>
              <w:t>20</w:t>
            </w:r>
            <w:r>
              <w:rPr>
                <w:rFonts w:hint="eastAsia"/>
                <w:sz w:val="24"/>
                <w:szCs w:val="20"/>
                <w:highlight w:val="none"/>
              </w:rPr>
              <w:t>21</w:t>
            </w:r>
            <w:r>
              <w:rPr>
                <w:rFonts w:hint="default"/>
                <w:sz w:val="24"/>
                <w:szCs w:val="20"/>
                <w:highlight w:val="none"/>
              </w:rPr>
              <w:t>）中的模式预测噪声源对各预测点的影响值并进行影响评价。</w:t>
            </w:r>
          </w:p>
          <w:p w14:paraId="16BD1C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（1）</w:t>
            </w:r>
            <w:r>
              <w:rPr>
                <w:rFonts w:hint="eastAsia"/>
                <w:sz w:val="24"/>
                <w:szCs w:val="20"/>
                <w:highlight w:val="none"/>
              </w:rPr>
              <w:t>户外</w:t>
            </w:r>
            <w:r>
              <w:rPr>
                <w:rFonts w:hint="default"/>
                <w:sz w:val="24"/>
                <w:szCs w:val="20"/>
                <w:highlight w:val="none"/>
              </w:rPr>
              <w:t>声源预测模式</w:t>
            </w:r>
          </w:p>
          <w:p w14:paraId="361490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采用室外声源衰减公式为：</w:t>
            </w:r>
          </w:p>
          <w:p w14:paraId="2044CB53">
            <w:pPr>
              <w:keepNext w:val="0"/>
              <w:keepLines w:val="0"/>
              <w:suppressLineNumbers w:val="0"/>
              <w:spacing w:before="0" w:beforeAutospacing="0" w:after="0" w:afterAutospacing="0" w:line="480" w:lineRule="exact"/>
              <w:ind w:left="0" w:right="0" w:firstLine="439" w:firstLineChars="183"/>
              <w:jc w:val="center"/>
              <w:rPr>
                <w:rFonts w:hint="default"/>
                <w:sz w:val="24"/>
                <w:szCs w:val="20"/>
                <w:highlight w:val="none"/>
              </w:rPr>
            </w:pPr>
            <w:r>
              <w:rPr>
                <w:rFonts w:hint="default"/>
                <w:sz w:val="24"/>
                <w:szCs w:val="20"/>
                <w:highlight w:val="none"/>
              </w:rPr>
              <w:t>L(r)=L(r</w:t>
            </w:r>
            <w:r>
              <w:rPr>
                <w:rFonts w:hint="default"/>
                <w:sz w:val="24"/>
                <w:szCs w:val="20"/>
                <w:highlight w:val="none"/>
                <w:vertAlign w:val="subscript"/>
              </w:rPr>
              <w:t>0</w:t>
            </w:r>
            <w:r>
              <w:rPr>
                <w:rFonts w:hint="default"/>
                <w:sz w:val="24"/>
                <w:szCs w:val="20"/>
                <w:highlight w:val="none"/>
              </w:rPr>
              <w:t>)-20lg(r/r</w:t>
            </w:r>
            <w:r>
              <w:rPr>
                <w:rFonts w:hint="default"/>
                <w:sz w:val="24"/>
                <w:szCs w:val="20"/>
                <w:highlight w:val="none"/>
                <w:vertAlign w:val="subscript"/>
              </w:rPr>
              <w:t>0</w:t>
            </w:r>
            <w:r>
              <w:rPr>
                <w:rFonts w:hint="default"/>
                <w:sz w:val="24"/>
                <w:szCs w:val="20"/>
                <w:highlight w:val="none"/>
              </w:rPr>
              <w:t>)</w:t>
            </w:r>
          </w:p>
          <w:p w14:paraId="0311F5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式中：L(r)—距离噪声源rm处的声压级，dB(A)；</w:t>
            </w:r>
          </w:p>
          <w:p w14:paraId="7484AC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r—预测点距离噪声源的距离，m；</w:t>
            </w:r>
          </w:p>
          <w:p w14:paraId="027AA4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eastAsia"/>
                <w:sz w:val="24"/>
                <w:szCs w:val="20"/>
                <w:highlight w:val="none"/>
              </w:rPr>
              <w:t>r</w:t>
            </w:r>
            <w:r>
              <w:rPr>
                <w:rFonts w:hint="eastAsia"/>
                <w:sz w:val="24"/>
                <w:szCs w:val="20"/>
                <w:highlight w:val="none"/>
                <w:vertAlign w:val="subscript"/>
              </w:rPr>
              <w:t>0</w:t>
            </w:r>
            <w:r>
              <w:rPr>
                <w:rFonts w:hint="default"/>
                <w:sz w:val="24"/>
                <w:szCs w:val="20"/>
                <w:highlight w:val="none"/>
              </w:rPr>
              <w:t>—参考位置距声源的距离，m。</w:t>
            </w:r>
          </w:p>
          <w:p w14:paraId="7B2333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（2）室内声源预测模式</w:t>
            </w:r>
          </w:p>
          <w:p w14:paraId="002E77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drawing>
                <wp:anchor distT="0" distB="0" distL="114300" distR="114300" simplePos="0" relativeHeight="251662336" behindDoc="0" locked="0" layoutInCell="1" allowOverlap="1">
                  <wp:simplePos x="0" y="0"/>
                  <wp:positionH relativeFrom="column">
                    <wp:posOffset>1513205</wp:posOffset>
                  </wp:positionH>
                  <wp:positionV relativeFrom="paragraph">
                    <wp:posOffset>297180</wp:posOffset>
                  </wp:positionV>
                  <wp:extent cx="2019300" cy="482600"/>
                  <wp:effectExtent l="0" t="0" r="0" b="13335"/>
                  <wp:wrapNone/>
                  <wp:docPr id="7" name="图片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920"/>
                          <pic:cNvPicPr>
                            <a:picLocks noChangeAspect="1"/>
                          </pic:cNvPicPr>
                        </pic:nvPicPr>
                        <pic:blipFill>
                          <a:blip r:embed="rId12"/>
                          <a:stretch>
                            <a:fillRect/>
                          </a:stretch>
                        </pic:blipFill>
                        <pic:spPr>
                          <a:xfrm>
                            <a:off x="0" y="0"/>
                            <a:ext cx="2019300" cy="482600"/>
                          </a:xfrm>
                          <a:prstGeom prst="rect">
                            <a:avLst/>
                          </a:prstGeom>
                          <a:noFill/>
                          <a:ln>
                            <a:noFill/>
                          </a:ln>
                        </pic:spPr>
                      </pic:pic>
                    </a:graphicData>
                  </a:graphic>
                </wp:anchor>
              </w:drawing>
            </w:r>
            <w:r>
              <w:rPr>
                <w:rFonts w:hint="default"/>
                <w:sz w:val="24"/>
                <w:szCs w:val="20"/>
                <w:highlight w:val="none"/>
              </w:rPr>
              <w:t>Ⅰ首先计算出某个室内靠近围护结构处的声压级：</w:t>
            </w:r>
          </w:p>
          <w:p w14:paraId="0643ECEF">
            <w:pPr>
              <w:keepNext w:val="0"/>
              <w:keepLines w:val="0"/>
              <w:suppressLineNumbers w:val="0"/>
              <w:spacing w:before="0" w:beforeAutospacing="0" w:after="0" w:afterAutospacing="0"/>
              <w:ind w:left="0" w:right="0"/>
              <w:jc w:val="center"/>
              <w:rPr>
                <w:rFonts w:hint="default"/>
                <w:sz w:val="24"/>
                <w:szCs w:val="20"/>
                <w:highlight w:val="none"/>
              </w:rPr>
            </w:pPr>
          </w:p>
          <w:p w14:paraId="446F2370">
            <w:pPr>
              <w:pStyle w:val="5"/>
              <w:keepNext w:val="0"/>
              <w:keepLines w:val="0"/>
              <w:suppressLineNumbers w:val="0"/>
              <w:spacing w:before="0" w:beforeAutospacing="0" w:after="0" w:afterAutospacing="0"/>
              <w:ind w:left="0" w:right="0"/>
              <w:rPr>
                <w:rFonts w:hint="default"/>
                <w:szCs w:val="20"/>
                <w:highlight w:val="none"/>
              </w:rPr>
            </w:pPr>
          </w:p>
          <w:p w14:paraId="048FED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 w:val="24"/>
                <w:szCs w:val="20"/>
                <w:highlight w:val="none"/>
              </w:rPr>
            </w:pPr>
            <w:r>
              <w:rPr>
                <w:rFonts w:hint="default"/>
                <w:sz w:val="24"/>
                <w:szCs w:val="20"/>
                <w:highlight w:val="none"/>
              </w:rPr>
              <w:t>式中：</w:t>
            </w:r>
            <w:r>
              <w:rPr>
                <w:rFonts w:hint="default"/>
                <w:i/>
                <w:sz w:val="24"/>
                <w:szCs w:val="20"/>
                <w:highlight w:val="none"/>
              </w:rPr>
              <w:t>L</w:t>
            </w:r>
            <w:r>
              <w:rPr>
                <w:rFonts w:hint="default"/>
                <w:i/>
                <w:sz w:val="24"/>
                <w:szCs w:val="20"/>
                <w:highlight w:val="none"/>
                <w:vertAlign w:val="subscript"/>
              </w:rPr>
              <w:t>oct，1</w:t>
            </w:r>
            <w:r>
              <w:rPr>
                <w:rFonts w:hint="default"/>
                <w:sz w:val="24"/>
                <w:szCs w:val="20"/>
                <w:highlight w:val="none"/>
              </w:rPr>
              <w:t>—某个室内声源在靠近围护结构处产生的声压级；</w:t>
            </w:r>
          </w:p>
          <w:p w14:paraId="43776D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080" w:firstLineChars="450"/>
              <w:textAlignment w:val="auto"/>
              <w:rPr>
                <w:rFonts w:hint="default"/>
                <w:sz w:val="24"/>
                <w:szCs w:val="20"/>
                <w:highlight w:val="none"/>
              </w:rPr>
            </w:pPr>
            <w:r>
              <w:rPr>
                <w:rFonts w:hint="default"/>
                <w:i/>
                <w:sz w:val="24"/>
                <w:szCs w:val="20"/>
                <w:highlight w:val="none"/>
              </w:rPr>
              <w:t>L</w:t>
            </w:r>
            <w:r>
              <w:rPr>
                <w:rFonts w:hint="default"/>
                <w:i/>
                <w:sz w:val="24"/>
                <w:szCs w:val="20"/>
                <w:highlight w:val="none"/>
                <w:vertAlign w:val="subscript"/>
              </w:rPr>
              <w:t>woct</w:t>
            </w:r>
            <w:r>
              <w:rPr>
                <w:rFonts w:hint="default"/>
                <w:sz w:val="24"/>
                <w:szCs w:val="20"/>
                <w:highlight w:val="none"/>
              </w:rPr>
              <w:t>—某个声源的声功率级；</w:t>
            </w:r>
          </w:p>
          <w:p w14:paraId="4A24B0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080" w:firstLineChars="450"/>
              <w:textAlignment w:val="auto"/>
              <w:rPr>
                <w:rFonts w:hint="default"/>
                <w:sz w:val="24"/>
                <w:szCs w:val="20"/>
                <w:highlight w:val="none"/>
              </w:rPr>
            </w:pPr>
            <w:r>
              <w:rPr>
                <w:rFonts w:hint="default"/>
                <w:sz w:val="24"/>
                <w:szCs w:val="20"/>
                <w:highlight w:val="none"/>
              </w:rPr>
              <w:t>r</w:t>
            </w:r>
            <w:r>
              <w:rPr>
                <w:rFonts w:hint="default"/>
                <w:sz w:val="24"/>
                <w:szCs w:val="20"/>
                <w:highlight w:val="none"/>
                <w:vertAlign w:val="subscript"/>
              </w:rPr>
              <w:t>1</w:t>
            </w:r>
            <w:r>
              <w:rPr>
                <w:rFonts w:hint="default"/>
                <w:sz w:val="24"/>
                <w:szCs w:val="20"/>
                <w:highlight w:val="none"/>
              </w:rPr>
              <w:t>—室内某个声源与靠近围护结构处的距离；</w:t>
            </w:r>
          </w:p>
          <w:p w14:paraId="7850D9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080" w:firstLineChars="450"/>
              <w:textAlignment w:val="auto"/>
              <w:rPr>
                <w:rFonts w:hint="default"/>
                <w:sz w:val="24"/>
                <w:szCs w:val="20"/>
                <w:highlight w:val="none"/>
              </w:rPr>
            </w:pPr>
            <w:r>
              <w:rPr>
                <w:rFonts w:hint="default"/>
                <w:sz w:val="24"/>
                <w:szCs w:val="20"/>
                <w:highlight w:val="none"/>
              </w:rPr>
              <w:t>R—房间常数；</w:t>
            </w:r>
          </w:p>
          <w:p w14:paraId="788BA6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1080" w:firstLineChars="450"/>
              <w:textAlignment w:val="auto"/>
              <w:rPr>
                <w:rFonts w:hint="default"/>
                <w:sz w:val="24"/>
                <w:szCs w:val="20"/>
                <w:highlight w:val="none"/>
              </w:rPr>
            </w:pPr>
            <w:r>
              <w:rPr>
                <w:rFonts w:hint="default"/>
                <w:sz w:val="24"/>
                <w:szCs w:val="20"/>
                <w:highlight w:val="none"/>
              </w:rPr>
              <w:t>Q—方向因子。</w:t>
            </w:r>
          </w:p>
          <w:p w14:paraId="7135DD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 w:val="24"/>
                <w:szCs w:val="20"/>
                <w:highlight w:val="none"/>
              </w:rPr>
            </w:pPr>
            <w:r>
              <w:rPr>
                <w:rFonts w:hint="default"/>
                <w:sz w:val="24"/>
                <w:szCs w:val="20"/>
                <w:highlight w:val="none"/>
              </w:rPr>
              <w:t>Ⅱ计算出所有室内声源在靠近围护结构处产生的总声压级：</w:t>
            </w:r>
          </w:p>
          <w:p w14:paraId="0160A67F">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position w:val="-30"/>
                <w:sz w:val="24"/>
                <w:szCs w:val="20"/>
                <w:highlight w:val="none"/>
              </w:rPr>
              <w:drawing>
                <wp:anchor distT="0" distB="0" distL="114300" distR="114300" simplePos="0" relativeHeight="251664384" behindDoc="0" locked="0" layoutInCell="1" allowOverlap="1">
                  <wp:simplePos x="0" y="0"/>
                  <wp:positionH relativeFrom="column">
                    <wp:posOffset>1204595</wp:posOffset>
                  </wp:positionH>
                  <wp:positionV relativeFrom="paragraph">
                    <wp:posOffset>70485</wp:posOffset>
                  </wp:positionV>
                  <wp:extent cx="2207260" cy="551815"/>
                  <wp:effectExtent l="0" t="0" r="2540" b="635"/>
                  <wp:wrapNone/>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3"/>
                          <a:stretch>
                            <a:fillRect/>
                          </a:stretch>
                        </pic:blipFill>
                        <pic:spPr>
                          <a:xfrm>
                            <a:off x="0" y="0"/>
                            <a:ext cx="2207260" cy="551815"/>
                          </a:xfrm>
                          <a:prstGeom prst="rect">
                            <a:avLst/>
                          </a:prstGeom>
                          <a:noFill/>
                          <a:ln>
                            <a:noFill/>
                          </a:ln>
                        </pic:spPr>
                      </pic:pic>
                    </a:graphicData>
                  </a:graphic>
                </wp:anchor>
              </w:drawing>
            </w:r>
          </w:p>
          <w:p w14:paraId="1FF9E857">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p>
          <w:p w14:paraId="5C1609A8">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sz w:val="24"/>
                <w:szCs w:val="20"/>
                <w:highlight w:val="none"/>
              </w:rPr>
              <w:t>计算出室外靠近围护结构处的声压级：</w:t>
            </w:r>
          </w:p>
          <w:p w14:paraId="3BDCD1C8">
            <w:pPr>
              <w:keepNext w:val="0"/>
              <w:keepLines w:val="0"/>
              <w:suppressLineNumbers w:val="0"/>
              <w:spacing w:before="0" w:beforeAutospacing="0" w:after="0" w:afterAutospacing="0" w:line="480" w:lineRule="exact"/>
              <w:ind w:left="0" w:right="0"/>
              <w:jc w:val="center"/>
              <w:rPr>
                <w:rFonts w:hint="default"/>
                <w:sz w:val="24"/>
                <w:szCs w:val="20"/>
                <w:highlight w:val="none"/>
              </w:rPr>
            </w:pPr>
            <w:r>
              <w:rPr>
                <w:rFonts w:hint="default"/>
                <w:position w:val="-14"/>
                <w:sz w:val="24"/>
                <w:szCs w:val="20"/>
                <w:highlight w:val="none"/>
              </w:rPr>
              <w:drawing>
                <wp:inline distT="0" distB="0" distL="114300" distR="114300">
                  <wp:extent cx="1943100" cy="238125"/>
                  <wp:effectExtent l="0" t="0" r="0" b="8255"/>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14"/>
                          <a:stretch>
                            <a:fillRect/>
                          </a:stretch>
                        </pic:blipFill>
                        <pic:spPr>
                          <a:xfrm>
                            <a:off x="0" y="0"/>
                            <a:ext cx="1943100" cy="238125"/>
                          </a:xfrm>
                          <a:prstGeom prst="rect">
                            <a:avLst/>
                          </a:prstGeom>
                          <a:noFill/>
                          <a:ln>
                            <a:noFill/>
                          </a:ln>
                        </pic:spPr>
                      </pic:pic>
                    </a:graphicData>
                  </a:graphic>
                </wp:inline>
              </w:drawing>
            </w:r>
          </w:p>
          <w:p w14:paraId="3FF4FC5B">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sz w:val="24"/>
                <w:szCs w:val="20"/>
                <w:highlight w:val="none"/>
              </w:rPr>
              <w:t>Ⅳ将室外声级</w:t>
            </w:r>
            <w:r>
              <w:rPr>
                <w:rFonts w:hint="default"/>
                <w:i/>
                <w:sz w:val="24"/>
                <w:szCs w:val="20"/>
                <w:highlight w:val="none"/>
              </w:rPr>
              <w:t>L</w:t>
            </w:r>
            <w:r>
              <w:rPr>
                <w:rFonts w:hint="default"/>
                <w:i/>
                <w:sz w:val="24"/>
                <w:szCs w:val="20"/>
                <w:highlight w:val="none"/>
                <w:vertAlign w:val="subscript"/>
              </w:rPr>
              <w:t>oct，2</w:t>
            </w:r>
            <w:r>
              <w:rPr>
                <w:rFonts w:hint="default"/>
                <w:i/>
                <w:sz w:val="24"/>
                <w:szCs w:val="20"/>
                <w:highlight w:val="none"/>
              </w:rPr>
              <w:t>(T)</w:t>
            </w:r>
            <w:r>
              <w:rPr>
                <w:rFonts w:hint="default"/>
                <w:sz w:val="24"/>
                <w:szCs w:val="20"/>
                <w:highlight w:val="none"/>
              </w:rPr>
              <w:t>和透声面积换算成等效的室外声源，计算出等效声源第i个声功率级</w:t>
            </w:r>
            <w:r>
              <w:rPr>
                <w:rFonts w:hint="default"/>
                <w:i/>
                <w:sz w:val="24"/>
                <w:szCs w:val="20"/>
                <w:highlight w:val="none"/>
              </w:rPr>
              <w:t>L</w:t>
            </w:r>
            <w:r>
              <w:rPr>
                <w:rFonts w:hint="default"/>
                <w:i/>
                <w:sz w:val="24"/>
                <w:szCs w:val="20"/>
                <w:highlight w:val="none"/>
                <w:vertAlign w:val="subscript"/>
              </w:rPr>
              <w:t>woct</w:t>
            </w:r>
            <w:r>
              <w:rPr>
                <w:rFonts w:hint="default"/>
                <w:sz w:val="24"/>
                <w:szCs w:val="20"/>
                <w:highlight w:val="none"/>
              </w:rPr>
              <w:t>：</w:t>
            </w:r>
            <w:r>
              <w:rPr>
                <w:rFonts w:hint="default"/>
                <w:position w:val="-14"/>
                <w:sz w:val="24"/>
                <w:szCs w:val="20"/>
                <w:highlight w:val="none"/>
              </w:rPr>
              <w:drawing>
                <wp:inline distT="0" distB="0" distL="114300" distR="114300">
                  <wp:extent cx="1590675" cy="238125"/>
                  <wp:effectExtent l="0" t="0" r="9525" b="8255"/>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15"/>
                          <a:stretch>
                            <a:fillRect/>
                          </a:stretch>
                        </pic:blipFill>
                        <pic:spPr>
                          <a:xfrm>
                            <a:off x="0" y="0"/>
                            <a:ext cx="1590675" cy="238125"/>
                          </a:xfrm>
                          <a:prstGeom prst="rect">
                            <a:avLst/>
                          </a:prstGeom>
                          <a:noFill/>
                          <a:ln>
                            <a:noFill/>
                          </a:ln>
                        </pic:spPr>
                      </pic:pic>
                    </a:graphicData>
                  </a:graphic>
                </wp:inline>
              </w:drawing>
            </w:r>
          </w:p>
          <w:p w14:paraId="26EEB1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 w:val="24"/>
                <w:szCs w:val="20"/>
                <w:highlight w:val="none"/>
              </w:rPr>
            </w:pPr>
            <w:r>
              <w:rPr>
                <w:rFonts w:hint="default"/>
                <w:sz w:val="24"/>
                <w:szCs w:val="20"/>
                <w:highlight w:val="none"/>
              </w:rPr>
              <w:t>式中：S为透声面积，m</w:t>
            </w:r>
            <w:r>
              <w:rPr>
                <w:rFonts w:hint="default"/>
                <w:sz w:val="24"/>
                <w:szCs w:val="20"/>
                <w:highlight w:val="none"/>
                <w:vertAlign w:val="superscript"/>
              </w:rPr>
              <w:t>2</w:t>
            </w:r>
            <w:r>
              <w:rPr>
                <w:rFonts w:hint="default"/>
                <w:sz w:val="24"/>
                <w:szCs w:val="20"/>
                <w:highlight w:val="none"/>
              </w:rPr>
              <w:t>。</w:t>
            </w:r>
          </w:p>
          <w:p w14:paraId="342807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 w:val="24"/>
                <w:szCs w:val="20"/>
                <w:highlight w:val="none"/>
              </w:rPr>
            </w:pPr>
            <w:r>
              <w:rPr>
                <w:rFonts w:hint="default"/>
                <w:sz w:val="24"/>
                <w:szCs w:val="20"/>
                <w:highlight w:val="none"/>
              </w:rPr>
              <w:t>Ⅴ等效室外声源的位置为围护结构的位置，其声功率级为</w:t>
            </w:r>
            <w:r>
              <w:rPr>
                <w:rFonts w:hint="default"/>
                <w:i/>
                <w:sz w:val="24"/>
                <w:szCs w:val="20"/>
                <w:highlight w:val="none"/>
              </w:rPr>
              <w:t>L</w:t>
            </w:r>
            <w:r>
              <w:rPr>
                <w:rFonts w:hint="default"/>
                <w:i/>
                <w:sz w:val="24"/>
                <w:szCs w:val="20"/>
                <w:highlight w:val="none"/>
                <w:vertAlign w:val="subscript"/>
              </w:rPr>
              <w:t>woct</w:t>
            </w:r>
            <w:r>
              <w:rPr>
                <w:rFonts w:hint="default"/>
                <w:sz w:val="24"/>
                <w:szCs w:val="20"/>
                <w:highlight w:val="none"/>
              </w:rPr>
              <w:t>，由此按室外声源方法计算等效室外声源在预测点产生的声级。</w:t>
            </w:r>
          </w:p>
          <w:p w14:paraId="793C91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39" w:firstLineChars="183"/>
              <w:textAlignment w:val="auto"/>
              <w:rPr>
                <w:rFonts w:hint="default"/>
                <w:sz w:val="24"/>
                <w:szCs w:val="20"/>
                <w:highlight w:val="none"/>
              </w:rPr>
            </w:pPr>
            <w:r>
              <w:rPr>
                <w:rFonts w:hint="default"/>
                <w:sz w:val="24"/>
                <w:szCs w:val="20"/>
                <w:highlight w:val="none"/>
              </w:rPr>
              <w:t>（3）噪声</w:t>
            </w:r>
            <w:r>
              <w:rPr>
                <w:rFonts w:hint="eastAsia"/>
                <w:sz w:val="24"/>
                <w:szCs w:val="20"/>
                <w:highlight w:val="none"/>
              </w:rPr>
              <w:t>贡献值</w:t>
            </w:r>
            <w:r>
              <w:rPr>
                <w:rFonts w:hint="default"/>
                <w:sz w:val="24"/>
                <w:szCs w:val="20"/>
                <w:highlight w:val="none"/>
              </w:rPr>
              <w:t>计算</w:t>
            </w:r>
          </w:p>
          <w:p w14:paraId="44AE60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sz w:val="24"/>
                <w:szCs w:val="20"/>
                <w:highlight w:val="none"/>
              </w:rPr>
            </w:pPr>
            <w:r>
              <w:rPr>
                <w:rFonts w:hint="default"/>
                <w:sz w:val="24"/>
                <w:szCs w:val="20"/>
                <w:highlight w:val="none"/>
              </w:rPr>
              <w:t>设第i个室外声源在预测点产生的A声级为</w:t>
            </w:r>
            <w:r>
              <w:rPr>
                <w:rFonts w:hint="default"/>
                <w:i/>
                <w:sz w:val="24"/>
                <w:szCs w:val="20"/>
                <w:highlight w:val="none"/>
              </w:rPr>
              <w:t>L</w:t>
            </w:r>
            <w:r>
              <w:rPr>
                <w:rFonts w:hint="default"/>
                <w:i/>
                <w:sz w:val="24"/>
                <w:szCs w:val="20"/>
                <w:highlight w:val="none"/>
                <w:vertAlign w:val="subscript"/>
              </w:rPr>
              <w:t>Ain，i</w:t>
            </w:r>
            <w:r>
              <w:rPr>
                <w:rFonts w:hint="default"/>
                <w:sz w:val="24"/>
                <w:szCs w:val="20"/>
                <w:highlight w:val="none"/>
              </w:rPr>
              <w:t>，在T时间内该声源工作时间为</w:t>
            </w:r>
            <w:r>
              <w:rPr>
                <w:rFonts w:hint="default"/>
                <w:i/>
                <w:sz w:val="24"/>
                <w:szCs w:val="20"/>
                <w:highlight w:val="none"/>
              </w:rPr>
              <w:t>t</w:t>
            </w:r>
            <w:r>
              <w:rPr>
                <w:rFonts w:hint="default"/>
                <w:i/>
                <w:sz w:val="24"/>
                <w:szCs w:val="20"/>
                <w:highlight w:val="none"/>
                <w:vertAlign w:val="subscript"/>
              </w:rPr>
              <w:t>in，i</w:t>
            </w:r>
            <w:r>
              <w:rPr>
                <w:rFonts w:hint="default"/>
                <w:sz w:val="24"/>
                <w:szCs w:val="20"/>
                <w:highlight w:val="none"/>
              </w:rPr>
              <w:t>；第j个等效室外声源在预测点产生的A声级为</w:t>
            </w:r>
            <w:r>
              <w:rPr>
                <w:rFonts w:hint="default"/>
                <w:i/>
                <w:sz w:val="24"/>
                <w:szCs w:val="20"/>
                <w:highlight w:val="none"/>
              </w:rPr>
              <w:t>L</w:t>
            </w:r>
            <w:r>
              <w:rPr>
                <w:rFonts w:hint="default"/>
                <w:i/>
                <w:sz w:val="24"/>
                <w:szCs w:val="20"/>
                <w:highlight w:val="none"/>
                <w:vertAlign w:val="subscript"/>
              </w:rPr>
              <w:t>Aout，j</w:t>
            </w:r>
            <w:r>
              <w:rPr>
                <w:rFonts w:hint="default"/>
                <w:sz w:val="24"/>
                <w:szCs w:val="20"/>
                <w:highlight w:val="none"/>
              </w:rPr>
              <w:t>，在T时间内该声源工作时间为</w:t>
            </w:r>
            <w:r>
              <w:rPr>
                <w:rFonts w:hint="default"/>
                <w:i/>
                <w:sz w:val="24"/>
                <w:szCs w:val="20"/>
                <w:highlight w:val="none"/>
              </w:rPr>
              <w:t>t</w:t>
            </w:r>
            <w:r>
              <w:rPr>
                <w:rFonts w:hint="default"/>
                <w:i/>
                <w:sz w:val="24"/>
                <w:szCs w:val="20"/>
                <w:highlight w:val="none"/>
                <w:vertAlign w:val="subscript"/>
              </w:rPr>
              <w:t>out，j</w:t>
            </w:r>
            <w:r>
              <w:rPr>
                <w:rFonts w:hint="default"/>
                <w:sz w:val="24"/>
                <w:szCs w:val="20"/>
                <w:highlight w:val="none"/>
              </w:rPr>
              <w:t>，则预测点的总等效声级为：</w:t>
            </w:r>
          </w:p>
          <w:p w14:paraId="605EBD25">
            <w:pPr>
              <w:keepNext w:val="0"/>
              <w:keepLines w:val="0"/>
              <w:suppressLineNumbers w:val="0"/>
              <w:spacing w:before="0" w:beforeAutospacing="0" w:after="0" w:afterAutospacing="0"/>
              <w:ind w:left="0" w:right="0" w:firstLine="480" w:firstLineChars="200"/>
              <w:jc w:val="center"/>
              <w:rPr>
                <w:rFonts w:hint="default"/>
                <w:sz w:val="24"/>
                <w:szCs w:val="20"/>
                <w:highlight w:val="none"/>
              </w:rPr>
            </w:pPr>
            <w:r>
              <w:rPr>
                <w:rFonts w:hint="default"/>
                <w:position w:val="-32"/>
                <w:sz w:val="24"/>
                <w:szCs w:val="20"/>
                <w:highlight w:val="none"/>
              </w:rPr>
              <w:drawing>
                <wp:inline distT="0" distB="0" distL="114300" distR="114300">
                  <wp:extent cx="3133725" cy="485775"/>
                  <wp:effectExtent l="0" t="0" r="9525" b="889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16"/>
                          <a:stretch>
                            <a:fillRect/>
                          </a:stretch>
                        </pic:blipFill>
                        <pic:spPr>
                          <a:xfrm>
                            <a:off x="0" y="0"/>
                            <a:ext cx="3133725" cy="485775"/>
                          </a:xfrm>
                          <a:prstGeom prst="rect">
                            <a:avLst/>
                          </a:prstGeom>
                          <a:noFill/>
                          <a:ln>
                            <a:noFill/>
                          </a:ln>
                        </pic:spPr>
                      </pic:pic>
                    </a:graphicData>
                  </a:graphic>
                </wp:inline>
              </w:drawing>
            </w:r>
          </w:p>
          <w:p w14:paraId="51774B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default"/>
                <w:sz w:val="24"/>
                <w:szCs w:val="20"/>
                <w:highlight w:val="none"/>
              </w:rPr>
            </w:pPr>
            <w:r>
              <w:rPr>
                <w:rFonts w:hint="default"/>
                <w:sz w:val="24"/>
                <w:szCs w:val="20"/>
                <w:highlight w:val="none"/>
              </w:rPr>
              <w:t>式中：T为计算等效声级的时间，N为室外声源个数，M为等效室外声源个数。</w:t>
            </w:r>
          </w:p>
          <w:p w14:paraId="426E07F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default"/>
                <w:b/>
                <w:sz w:val="24"/>
                <w:szCs w:val="20"/>
                <w:highlight w:val="none"/>
              </w:rPr>
            </w:pPr>
            <w:r>
              <w:rPr>
                <w:rFonts w:hint="eastAsia"/>
                <w:b/>
                <w:sz w:val="24"/>
                <w:szCs w:val="20"/>
                <w:highlight w:val="none"/>
              </w:rPr>
              <w:t>3.2噪声源参数的确定</w:t>
            </w:r>
          </w:p>
          <w:p w14:paraId="4FC9A853">
            <w:pPr>
              <w:pStyle w:val="17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80"/>
              <w:jc w:val="both"/>
              <w:textAlignment w:val="auto"/>
              <w:rPr>
                <w:rFonts w:hint="eastAsia"/>
                <w:bCs/>
                <w:sz w:val="24"/>
                <w:highlight w:val="none"/>
              </w:rPr>
            </w:pPr>
            <w:r>
              <w:rPr>
                <w:rFonts w:hint="eastAsia"/>
                <w:bCs/>
                <w:sz w:val="24"/>
                <w:highlight w:val="none"/>
              </w:rPr>
              <w:t>项目运营过程主要噪声源主要为生产设备产生的噪声，声级值在</w:t>
            </w:r>
            <w:r>
              <w:rPr>
                <w:rFonts w:hint="eastAsia"/>
                <w:bCs/>
                <w:sz w:val="24"/>
                <w:highlight w:val="none"/>
                <w:lang w:val="en-US" w:eastAsia="zh-CN"/>
              </w:rPr>
              <w:t>80</w:t>
            </w:r>
            <w:r>
              <w:rPr>
                <w:rFonts w:hint="eastAsia"/>
                <w:bCs/>
                <w:sz w:val="24"/>
                <w:highlight w:val="none"/>
              </w:rPr>
              <w:t>-9</w:t>
            </w:r>
            <w:r>
              <w:rPr>
                <w:rFonts w:hint="eastAsia"/>
                <w:bCs/>
                <w:sz w:val="24"/>
                <w:highlight w:val="none"/>
                <w:lang w:val="en-US" w:eastAsia="zh-CN"/>
              </w:rPr>
              <w:t>0</w:t>
            </w:r>
            <w:r>
              <w:rPr>
                <w:rFonts w:hint="eastAsia"/>
                <w:bCs/>
                <w:sz w:val="24"/>
                <w:highlight w:val="none"/>
              </w:rPr>
              <w:t>dB(A)之间，本评价提出以下措施，主要包括在设备选型上采用低噪声设备、各设备均置于车间内、设减振基础等。噪声源强调查清单见表4-</w:t>
            </w:r>
            <w:r>
              <w:rPr>
                <w:rFonts w:hint="eastAsia"/>
                <w:bCs/>
                <w:sz w:val="24"/>
                <w:highlight w:val="none"/>
                <w:lang w:val="en-US" w:eastAsia="zh-CN"/>
              </w:rPr>
              <w:t>9</w:t>
            </w:r>
            <w:r>
              <w:rPr>
                <w:rFonts w:hint="eastAsia"/>
                <w:bCs/>
                <w:sz w:val="24"/>
                <w:highlight w:val="none"/>
              </w:rPr>
              <w:t>。</w:t>
            </w:r>
          </w:p>
          <w:p w14:paraId="382F310F">
            <w:pPr>
              <w:pStyle w:val="2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b/>
                <w:bCs w:val="0"/>
                <w:szCs w:val="20"/>
                <w:highlight w:val="none"/>
                <w:lang w:val="en-US" w:eastAsia="zh-CN"/>
              </w:rPr>
            </w:pPr>
            <w:r>
              <w:rPr>
                <w:rFonts w:hint="eastAsia"/>
                <w:b/>
                <w:bCs w:val="0"/>
                <w:sz w:val="24"/>
                <w:szCs w:val="20"/>
                <w:highlight w:val="none"/>
                <w:lang w:val="en-US" w:eastAsia="zh-CN"/>
              </w:rPr>
              <w:t>表4-9    工业企业噪声源强调查清单（室外声源）</w:t>
            </w:r>
          </w:p>
          <w:tbl>
            <w:tblPr>
              <w:tblStyle w:val="4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7"/>
              <w:gridCol w:w="819"/>
              <w:gridCol w:w="733"/>
              <w:gridCol w:w="715"/>
              <w:gridCol w:w="737"/>
              <w:gridCol w:w="1766"/>
              <w:gridCol w:w="1368"/>
              <w:gridCol w:w="1044"/>
            </w:tblGrid>
            <w:tr w14:paraId="3B090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419" w:type="pct"/>
                  <w:vMerge w:val="restart"/>
                  <w:vAlign w:val="center"/>
                </w:tcPr>
                <w:p w14:paraId="77F99B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序号</w:t>
                  </w:r>
                </w:p>
              </w:tc>
              <w:tc>
                <w:tcPr>
                  <w:tcW w:w="522" w:type="pct"/>
                  <w:vMerge w:val="restart"/>
                  <w:vAlign w:val="center"/>
                </w:tcPr>
                <w:p w14:paraId="5BB0E6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声源名称</w:t>
                  </w:r>
                </w:p>
              </w:tc>
              <w:tc>
                <w:tcPr>
                  <w:tcW w:w="1393" w:type="pct"/>
                  <w:gridSpan w:val="3"/>
                  <w:vAlign w:val="center"/>
                </w:tcPr>
                <w:p w14:paraId="5C39B2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空间相对位置/m</w:t>
                  </w:r>
                </w:p>
              </w:tc>
              <w:tc>
                <w:tcPr>
                  <w:tcW w:w="1126" w:type="pct"/>
                  <w:vAlign w:val="center"/>
                </w:tcPr>
                <w:p w14:paraId="147C54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b/>
                      <w:sz w:val="21"/>
                      <w:szCs w:val="21"/>
                      <w:highlight w:val="none"/>
                      <w:lang w:eastAsia="zh-CN"/>
                    </w:rPr>
                    <w:t>声源源强</w:t>
                  </w:r>
                </w:p>
              </w:tc>
              <w:tc>
                <w:tcPr>
                  <w:tcW w:w="872" w:type="pct"/>
                  <w:vMerge w:val="restart"/>
                  <w:vAlign w:val="center"/>
                </w:tcPr>
                <w:p w14:paraId="1EA836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声源控制措施</w:t>
                  </w:r>
                </w:p>
              </w:tc>
              <w:tc>
                <w:tcPr>
                  <w:tcW w:w="665" w:type="pct"/>
                  <w:vMerge w:val="restart"/>
                  <w:vAlign w:val="center"/>
                </w:tcPr>
                <w:p w14:paraId="4CDECF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运行时段</w:t>
                  </w:r>
                </w:p>
              </w:tc>
            </w:tr>
            <w:tr w14:paraId="2889E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419" w:type="pct"/>
                  <w:vMerge w:val="continue"/>
                  <w:shd w:val="clear" w:color="auto" w:fill="FFFFFF"/>
                  <w:vAlign w:val="center"/>
                </w:tcPr>
                <w:p w14:paraId="6B34D9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c>
                <w:tcPr>
                  <w:tcW w:w="522" w:type="pct"/>
                  <w:vMerge w:val="continue"/>
                  <w:shd w:val="clear" w:color="auto" w:fill="FFFFFF"/>
                  <w:vAlign w:val="center"/>
                </w:tcPr>
                <w:p w14:paraId="0140AB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c>
                <w:tcPr>
                  <w:tcW w:w="467" w:type="pct"/>
                  <w:shd w:val="clear" w:color="auto" w:fill="FFFFFF"/>
                  <w:vAlign w:val="center"/>
                </w:tcPr>
                <w:p w14:paraId="1C7B0F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bCs/>
                      <w:sz w:val="21"/>
                      <w:szCs w:val="21"/>
                      <w:highlight w:val="none"/>
                    </w:rPr>
                  </w:pPr>
                  <w:r>
                    <w:rPr>
                      <w:rFonts w:hint="default" w:ascii="Times New Roman" w:hAnsi="Times New Roman" w:eastAsia="宋体" w:cs="Times New Roman"/>
                      <w:b/>
                      <w:bCs/>
                      <w:sz w:val="21"/>
                      <w:szCs w:val="21"/>
                      <w:highlight w:val="none"/>
                    </w:rPr>
                    <w:t>X</w:t>
                  </w:r>
                </w:p>
              </w:tc>
              <w:tc>
                <w:tcPr>
                  <w:tcW w:w="456" w:type="pct"/>
                  <w:shd w:val="clear" w:color="auto" w:fill="FFFFFF"/>
                  <w:vAlign w:val="center"/>
                </w:tcPr>
                <w:p w14:paraId="09E1C3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bCs/>
                      <w:sz w:val="21"/>
                      <w:szCs w:val="21"/>
                      <w:highlight w:val="none"/>
                    </w:rPr>
                  </w:pPr>
                  <w:r>
                    <w:rPr>
                      <w:rFonts w:hint="default" w:ascii="Times New Roman" w:hAnsi="Times New Roman" w:eastAsia="宋体" w:cs="Times New Roman"/>
                      <w:b/>
                      <w:bCs/>
                      <w:sz w:val="21"/>
                      <w:szCs w:val="21"/>
                      <w:highlight w:val="none"/>
                    </w:rPr>
                    <w:t>Y</w:t>
                  </w:r>
                </w:p>
              </w:tc>
              <w:tc>
                <w:tcPr>
                  <w:tcW w:w="470" w:type="pct"/>
                  <w:shd w:val="clear" w:color="auto" w:fill="FFFFFF"/>
                  <w:vAlign w:val="center"/>
                </w:tcPr>
                <w:p w14:paraId="1A1275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bCs/>
                      <w:sz w:val="21"/>
                      <w:szCs w:val="21"/>
                      <w:highlight w:val="none"/>
                    </w:rPr>
                  </w:pPr>
                  <w:r>
                    <w:rPr>
                      <w:rFonts w:hint="default" w:ascii="Times New Roman" w:hAnsi="Times New Roman" w:eastAsia="宋体" w:cs="Times New Roman"/>
                      <w:b/>
                      <w:bCs/>
                      <w:sz w:val="21"/>
                      <w:szCs w:val="21"/>
                      <w:highlight w:val="none"/>
                    </w:rPr>
                    <w:t>Z</w:t>
                  </w:r>
                </w:p>
              </w:tc>
              <w:tc>
                <w:tcPr>
                  <w:tcW w:w="1126" w:type="pct"/>
                  <w:shd w:val="clear" w:color="auto" w:fill="FFFFFF"/>
                  <w:vAlign w:val="center"/>
                </w:tcPr>
                <w:p w14:paraId="33F7B5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bCs/>
                      <w:kern w:val="2"/>
                      <w:sz w:val="21"/>
                      <w:szCs w:val="21"/>
                      <w:highlight w:val="none"/>
                      <w:lang w:val="en-US" w:eastAsia="zh-CN" w:bidi="ar-SA"/>
                    </w:rPr>
                  </w:pPr>
                  <w:r>
                    <w:rPr>
                      <w:rFonts w:hint="default" w:ascii="Times New Roman" w:hAnsi="Times New Roman" w:eastAsia="宋体" w:cs="Times New Roman"/>
                      <w:b/>
                      <w:bCs/>
                      <w:sz w:val="21"/>
                      <w:szCs w:val="21"/>
                      <w:highlight w:val="none"/>
                    </w:rPr>
                    <w:t>声功率级/dB(A)</w:t>
                  </w:r>
                </w:p>
              </w:tc>
              <w:tc>
                <w:tcPr>
                  <w:tcW w:w="872" w:type="pct"/>
                  <w:vMerge w:val="continue"/>
                  <w:shd w:val="clear" w:color="auto" w:fill="FFFFFF"/>
                  <w:vAlign w:val="center"/>
                </w:tcPr>
                <w:p w14:paraId="26702E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c>
                <w:tcPr>
                  <w:tcW w:w="665" w:type="pct"/>
                  <w:vMerge w:val="continue"/>
                  <w:shd w:val="clear" w:color="auto" w:fill="FFFFFF"/>
                  <w:vAlign w:val="center"/>
                </w:tcPr>
                <w:p w14:paraId="528BE6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r>
            <w:tr w14:paraId="197E5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 w:hRule="atLeast"/>
              </w:trPr>
              <w:tc>
                <w:tcPr>
                  <w:tcW w:w="419" w:type="pct"/>
                  <w:shd w:val="clear" w:color="auto" w:fill="FFFFFF"/>
                  <w:vAlign w:val="center"/>
                </w:tcPr>
                <w:p w14:paraId="3E3B6B5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p>
              </w:tc>
              <w:tc>
                <w:tcPr>
                  <w:tcW w:w="522" w:type="pct"/>
                  <w:shd w:val="clear" w:color="auto" w:fill="FFFFFF"/>
                  <w:vAlign w:val="center"/>
                </w:tcPr>
                <w:p w14:paraId="17460C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风机1</w:t>
                  </w:r>
                </w:p>
              </w:tc>
              <w:tc>
                <w:tcPr>
                  <w:tcW w:w="467" w:type="pct"/>
                  <w:shd w:val="clear" w:color="auto" w:fill="FFFFFF"/>
                  <w:vAlign w:val="center"/>
                </w:tcPr>
                <w:p w14:paraId="650075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97.5</w:t>
                  </w:r>
                </w:p>
              </w:tc>
              <w:tc>
                <w:tcPr>
                  <w:tcW w:w="456" w:type="pct"/>
                  <w:shd w:val="clear" w:color="auto" w:fill="FFFFFF"/>
                  <w:vAlign w:val="center"/>
                </w:tcPr>
                <w:p w14:paraId="295E08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-24.8</w:t>
                  </w:r>
                </w:p>
              </w:tc>
              <w:tc>
                <w:tcPr>
                  <w:tcW w:w="470" w:type="pct"/>
                  <w:shd w:val="clear" w:color="auto" w:fill="FFFFFF"/>
                  <w:vAlign w:val="center"/>
                </w:tcPr>
                <w:p w14:paraId="71AB87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1126" w:type="pct"/>
                  <w:shd w:val="clear" w:color="auto" w:fill="FFFFFF"/>
                  <w:vAlign w:val="center"/>
                </w:tcPr>
                <w:p w14:paraId="6EF53F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eastAsia="宋体" w:cs="Times New Roman"/>
                      <w:sz w:val="21"/>
                      <w:szCs w:val="21"/>
                      <w:highlight w:val="none"/>
                    </w:rPr>
                    <w:t>90</w:t>
                  </w:r>
                </w:p>
              </w:tc>
              <w:tc>
                <w:tcPr>
                  <w:tcW w:w="872" w:type="pct"/>
                  <w:vMerge w:val="restart"/>
                  <w:shd w:val="clear" w:color="auto" w:fill="FFFFFF"/>
                  <w:vAlign w:val="center"/>
                </w:tcPr>
                <w:p w14:paraId="0C69A4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基础减震</w:t>
                  </w:r>
                  <w:r>
                    <w:rPr>
                      <w:rFonts w:hint="eastAsia" w:cs="Times New Roman"/>
                      <w:sz w:val="21"/>
                      <w:szCs w:val="21"/>
                      <w:highlight w:val="none"/>
                      <w:lang w:val="en-US" w:eastAsia="zh-CN"/>
                    </w:rPr>
                    <w:t>，软连接等</w:t>
                  </w:r>
                </w:p>
              </w:tc>
              <w:tc>
                <w:tcPr>
                  <w:tcW w:w="665" w:type="pct"/>
                  <w:shd w:val="clear" w:color="auto" w:fill="FFFFFF"/>
                  <w:vAlign w:val="center"/>
                </w:tcPr>
                <w:p w14:paraId="6468B0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10h</w:t>
                  </w:r>
                </w:p>
              </w:tc>
            </w:tr>
            <w:tr w14:paraId="3C70B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 w:hRule="atLeast"/>
              </w:trPr>
              <w:tc>
                <w:tcPr>
                  <w:tcW w:w="419" w:type="pct"/>
                  <w:shd w:val="clear" w:color="auto" w:fill="FFFFFF"/>
                  <w:vAlign w:val="center"/>
                </w:tcPr>
                <w:p w14:paraId="126994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w:t>
                  </w:r>
                </w:p>
              </w:tc>
              <w:tc>
                <w:tcPr>
                  <w:tcW w:w="522" w:type="pct"/>
                  <w:shd w:val="clear" w:color="auto" w:fill="FFFFFF"/>
                  <w:vAlign w:val="center"/>
                </w:tcPr>
                <w:p w14:paraId="0AE150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风机2</w:t>
                  </w:r>
                </w:p>
              </w:tc>
              <w:tc>
                <w:tcPr>
                  <w:tcW w:w="467" w:type="pct"/>
                  <w:shd w:val="clear" w:color="auto" w:fill="FFFFFF"/>
                  <w:vAlign w:val="center"/>
                </w:tcPr>
                <w:p w14:paraId="1562BE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70.8</w:t>
                  </w:r>
                </w:p>
              </w:tc>
              <w:tc>
                <w:tcPr>
                  <w:tcW w:w="456" w:type="pct"/>
                  <w:shd w:val="clear" w:color="auto" w:fill="FFFFFF"/>
                  <w:vAlign w:val="center"/>
                </w:tcPr>
                <w:p w14:paraId="2E9B4AD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-24.7</w:t>
                  </w:r>
                </w:p>
              </w:tc>
              <w:tc>
                <w:tcPr>
                  <w:tcW w:w="470" w:type="pct"/>
                  <w:shd w:val="clear" w:color="auto" w:fill="FFFFFF"/>
                  <w:vAlign w:val="center"/>
                </w:tcPr>
                <w:p w14:paraId="6F0A35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1126" w:type="pct"/>
                  <w:shd w:val="clear" w:color="auto" w:fill="FFFFFF"/>
                  <w:vAlign w:val="center"/>
                </w:tcPr>
                <w:p w14:paraId="29E00D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eastAsia="宋体" w:cs="Times New Roman"/>
                      <w:sz w:val="21"/>
                      <w:szCs w:val="21"/>
                      <w:highlight w:val="none"/>
                    </w:rPr>
                    <w:t>90</w:t>
                  </w:r>
                </w:p>
              </w:tc>
              <w:tc>
                <w:tcPr>
                  <w:tcW w:w="872" w:type="pct"/>
                  <w:vMerge w:val="continue"/>
                  <w:shd w:val="clear" w:color="auto" w:fill="FFFFFF"/>
                  <w:vAlign w:val="center"/>
                </w:tcPr>
                <w:p w14:paraId="5D7B30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c>
                <w:tcPr>
                  <w:tcW w:w="665" w:type="pct"/>
                  <w:shd w:val="clear" w:color="auto" w:fill="FFFFFF"/>
                  <w:vAlign w:val="center"/>
                </w:tcPr>
                <w:p w14:paraId="1E1E54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10h</w:t>
                  </w:r>
                </w:p>
              </w:tc>
            </w:tr>
            <w:tr w14:paraId="4FDA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 w:hRule="atLeast"/>
              </w:trPr>
              <w:tc>
                <w:tcPr>
                  <w:tcW w:w="419" w:type="pct"/>
                  <w:shd w:val="clear" w:color="auto" w:fill="FFFFFF"/>
                  <w:vAlign w:val="center"/>
                </w:tcPr>
                <w:p w14:paraId="69A5D8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w:t>
                  </w:r>
                </w:p>
              </w:tc>
              <w:tc>
                <w:tcPr>
                  <w:tcW w:w="522" w:type="pct"/>
                  <w:shd w:val="clear" w:color="auto" w:fill="FFFFFF"/>
                  <w:vAlign w:val="center"/>
                </w:tcPr>
                <w:p w14:paraId="310B3B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风机3</w:t>
                  </w:r>
                </w:p>
              </w:tc>
              <w:tc>
                <w:tcPr>
                  <w:tcW w:w="467" w:type="pct"/>
                  <w:shd w:val="clear" w:color="auto" w:fill="FFFFFF"/>
                  <w:vAlign w:val="center"/>
                </w:tcPr>
                <w:p w14:paraId="10B806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79.1</w:t>
                  </w:r>
                </w:p>
              </w:tc>
              <w:tc>
                <w:tcPr>
                  <w:tcW w:w="456" w:type="pct"/>
                  <w:shd w:val="clear" w:color="auto" w:fill="FFFFFF"/>
                  <w:vAlign w:val="center"/>
                </w:tcPr>
                <w:p w14:paraId="6C780C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17.9</w:t>
                  </w:r>
                </w:p>
              </w:tc>
              <w:tc>
                <w:tcPr>
                  <w:tcW w:w="470" w:type="pct"/>
                  <w:shd w:val="clear" w:color="auto" w:fill="FFFFFF"/>
                  <w:vAlign w:val="center"/>
                </w:tcPr>
                <w:p w14:paraId="740E3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1126" w:type="pct"/>
                  <w:shd w:val="clear" w:color="auto" w:fill="FFFFFF"/>
                  <w:vAlign w:val="center"/>
                </w:tcPr>
                <w:p w14:paraId="5C8BD5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eastAsia="宋体" w:cs="Times New Roman"/>
                      <w:sz w:val="21"/>
                      <w:szCs w:val="21"/>
                      <w:highlight w:val="none"/>
                    </w:rPr>
                    <w:t>90</w:t>
                  </w:r>
                </w:p>
              </w:tc>
              <w:tc>
                <w:tcPr>
                  <w:tcW w:w="872" w:type="pct"/>
                  <w:vMerge w:val="continue"/>
                  <w:shd w:val="clear" w:color="auto" w:fill="FFFFFF"/>
                  <w:vAlign w:val="center"/>
                </w:tcPr>
                <w:p w14:paraId="4FD4C3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p>
              </w:tc>
              <w:tc>
                <w:tcPr>
                  <w:tcW w:w="665" w:type="pct"/>
                  <w:shd w:val="clear" w:color="auto" w:fill="FFFFFF"/>
                  <w:vAlign w:val="center"/>
                </w:tcPr>
                <w:p w14:paraId="64E01D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10h</w:t>
                  </w:r>
                </w:p>
              </w:tc>
            </w:tr>
          </w:tbl>
          <w:p w14:paraId="730C2222">
            <w:pPr>
              <w:keepNext w:val="0"/>
              <w:keepLines w:val="0"/>
              <w:suppressLineNumbers w:val="0"/>
              <w:bidi w:val="0"/>
              <w:spacing w:before="0" w:beforeAutospacing="0" w:after="0" w:afterAutospacing="0"/>
              <w:ind w:left="0" w:right="0"/>
              <w:jc w:val="left"/>
              <w:rPr>
                <w:rFonts w:hint="default"/>
                <w:color w:val="auto"/>
                <w:szCs w:val="20"/>
                <w:highlight w:val="none"/>
                <w:lang w:val="en-US" w:eastAsia="zh-CN"/>
              </w:rPr>
            </w:pPr>
          </w:p>
        </w:tc>
      </w:tr>
    </w:tbl>
    <w:p w14:paraId="45398BD5">
      <w:pPr>
        <w:sectPr>
          <w:pgSz w:w="11907" w:h="16840"/>
          <w:pgMar w:top="1440" w:right="1800" w:bottom="1440" w:left="1800" w:header="851" w:footer="992" w:gutter="0"/>
          <w:cols w:space="720" w:num="1"/>
          <w:docGrid w:type="linesAndChars" w:linePitch="319" w:charSpace="0"/>
        </w:sectPr>
      </w:pPr>
      <w:bookmarkStart w:id="12" w:name="_Toc30095"/>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3419"/>
      </w:tblGrid>
      <w:tr w14:paraId="7DCAB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71" w:hRule="atLeast"/>
        </w:trPr>
        <w:tc>
          <w:tcPr>
            <w:tcW w:w="267" w:type="pct"/>
            <w:vAlign w:val="center"/>
          </w:tcPr>
          <w:p w14:paraId="1D4613E5">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运营</w:t>
            </w:r>
          </w:p>
          <w:p w14:paraId="3F5D28F2">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期环</w:t>
            </w:r>
          </w:p>
          <w:p w14:paraId="0E476020">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境影</w:t>
            </w:r>
          </w:p>
          <w:p w14:paraId="07FC3DB1">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响和</w:t>
            </w:r>
          </w:p>
          <w:p w14:paraId="36641233">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保护措施</w:t>
            </w:r>
          </w:p>
        </w:tc>
        <w:tc>
          <w:tcPr>
            <w:tcW w:w="4732" w:type="pct"/>
            <w:vAlign w:val="top"/>
          </w:tcPr>
          <w:tbl>
            <w:tblPr>
              <w:tblStyle w:val="47"/>
              <w:tblpPr w:leftFromText="180" w:rightFromText="180" w:vertAnchor="text" w:horzAnchor="page" w:tblpX="336" w:tblpY="323"/>
              <w:tblOverlap w:val="never"/>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7"/>
              <w:gridCol w:w="522"/>
              <w:gridCol w:w="493"/>
              <w:gridCol w:w="622"/>
              <w:gridCol w:w="520"/>
              <w:gridCol w:w="583"/>
              <w:gridCol w:w="583"/>
              <w:gridCol w:w="589"/>
              <w:gridCol w:w="480"/>
              <w:gridCol w:w="480"/>
              <w:gridCol w:w="480"/>
              <w:gridCol w:w="499"/>
              <w:gridCol w:w="475"/>
              <w:gridCol w:w="475"/>
              <w:gridCol w:w="475"/>
              <w:gridCol w:w="491"/>
              <w:gridCol w:w="441"/>
              <w:gridCol w:w="459"/>
              <w:gridCol w:w="459"/>
              <w:gridCol w:w="459"/>
              <w:gridCol w:w="462"/>
              <w:gridCol w:w="491"/>
              <w:gridCol w:w="491"/>
              <w:gridCol w:w="491"/>
              <w:gridCol w:w="491"/>
              <w:gridCol w:w="742"/>
            </w:tblGrid>
            <w:tr w14:paraId="1024B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exact"/>
              </w:trPr>
              <w:tc>
                <w:tcPr>
                  <w:tcW w:w="161" w:type="pct"/>
                  <w:vMerge w:val="restart"/>
                  <w:vAlign w:val="center"/>
                </w:tcPr>
                <w:p w14:paraId="5C835F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bookmarkStart w:id="13" w:name="PT_6"/>
                  <w:r>
                    <w:rPr>
                      <w:rFonts w:hint="default" w:ascii="Times New Roman" w:hAnsi="Times New Roman" w:eastAsia="宋体" w:cs="Times New Roman"/>
                      <w:b/>
                      <w:sz w:val="21"/>
                      <w:szCs w:val="21"/>
                    </w:rPr>
                    <w:t>序号</w:t>
                  </w:r>
                </w:p>
              </w:tc>
              <w:tc>
                <w:tcPr>
                  <w:tcW w:w="198" w:type="pct"/>
                  <w:vMerge w:val="restart"/>
                  <w:vAlign w:val="center"/>
                </w:tcPr>
                <w:p w14:paraId="2D7E6D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建筑物名称</w:t>
                  </w:r>
                </w:p>
              </w:tc>
              <w:tc>
                <w:tcPr>
                  <w:tcW w:w="187" w:type="pct"/>
                  <w:vMerge w:val="restart"/>
                  <w:vAlign w:val="center"/>
                </w:tcPr>
                <w:p w14:paraId="62C8CB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声源名称</w:t>
                  </w:r>
                </w:p>
              </w:tc>
              <w:tc>
                <w:tcPr>
                  <w:tcW w:w="236" w:type="pct"/>
                  <w:vAlign w:val="center"/>
                </w:tcPr>
                <w:p w14:paraId="7F9E03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eastAsia="宋体" w:cs="Times New Roman"/>
                      <w:b/>
                      <w:sz w:val="21"/>
                      <w:szCs w:val="21"/>
                      <w:lang w:eastAsia="zh-CN"/>
                    </w:rPr>
                    <w:t>声源源强</w:t>
                  </w:r>
                </w:p>
              </w:tc>
              <w:tc>
                <w:tcPr>
                  <w:tcW w:w="197" w:type="pct"/>
                  <w:vMerge w:val="restart"/>
                  <w:vAlign w:val="center"/>
                </w:tcPr>
                <w:p w14:paraId="51AE95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声源控制措施</w:t>
                  </w:r>
                </w:p>
              </w:tc>
              <w:tc>
                <w:tcPr>
                  <w:tcW w:w="665" w:type="pct"/>
                  <w:gridSpan w:val="3"/>
                  <w:vAlign w:val="center"/>
                </w:tcPr>
                <w:p w14:paraId="288D0E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空间相对位置/m</w:t>
                  </w:r>
                </w:p>
              </w:tc>
              <w:tc>
                <w:tcPr>
                  <w:tcW w:w="735" w:type="pct"/>
                  <w:gridSpan w:val="4"/>
                  <w:vAlign w:val="center"/>
                </w:tcPr>
                <w:p w14:paraId="65B600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距室内边界距离/m</w:t>
                  </w:r>
                </w:p>
              </w:tc>
              <w:tc>
                <w:tcPr>
                  <w:tcW w:w="726" w:type="pct"/>
                  <w:gridSpan w:val="4"/>
                  <w:vAlign w:val="center"/>
                </w:tcPr>
                <w:p w14:paraId="1265FB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室内边界声级/dB(A)</w:t>
                  </w:r>
                </w:p>
              </w:tc>
              <w:tc>
                <w:tcPr>
                  <w:tcW w:w="167" w:type="pct"/>
                  <w:vMerge w:val="restart"/>
                  <w:vAlign w:val="center"/>
                </w:tcPr>
                <w:p w14:paraId="6342AD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运行时段</w:t>
                  </w:r>
                </w:p>
              </w:tc>
              <w:tc>
                <w:tcPr>
                  <w:tcW w:w="697" w:type="pct"/>
                  <w:gridSpan w:val="4"/>
                  <w:vAlign w:val="center"/>
                </w:tcPr>
                <w:p w14:paraId="18F8FE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建筑物插入损失 / dB(A)</w:t>
                  </w:r>
                  <w:bookmarkStart w:id="14" w:name="PT_10"/>
                  <w:bookmarkEnd w:id="14"/>
                </w:p>
              </w:tc>
              <w:tc>
                <w:tcPr>
                  <w:tcW w:w="1025" w:type="pct"/>
                  <w:gridSpan w:val="5"/>
                  <w:vAlign w:val="center"/>
                </w:tcPr>
                <w:p w14:paraId="3A08D2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val="0"/>
                      <w:sz w:val="21"/>
                      <w:szCs w:val="21"/>
                    </w:rPr>
                  </w:pPr>
                  <w:r>
                    <w:rPr>
                      <w:rFonts w:hint="default" w:ascii="Times New Roman" w:hAnsi="Times New Roman" w:eastAsia="宋体" w:cs="Times New Roman"/>
                      <w:b/>
                      <w:bCs w:val="0"/>
                      <w:sz w:val="21"/>
                      <w:szCs w:val="21"/>
                    </w:rPr>
                    <w:t>建筑物外噪声声压级/dB(A)</w:t>
                  </w:r>
                </w:p>
              </w:tc>
            </w:tr>
            <w:tr w14:paraId="71DF3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0" w:hRule="atLeast"/>
              </w:trPr>
              <w:tc>
                <w:tcPr>
                  <w:tcW w:w="161" w:type="pct"/>
                  <w:vMerge w:val="continue"/>
                  <w:shd w:val="clear" w:color="auto" w:fill="FFFFFF"/>
                  <w:tcMar>
                    <w:top w:w="0" w:type="dxa"/>
                    <w:left w:w="0" w:type="dxa"/>
                    <w:bottom w:w="0" w:type="dxa"/>
                    <w:right w:w="0" w:type="dxa"/>
                  </w:tcMar>
                  <w:vAlign w:val="center"/>
                </w:tcPr>
                <w:p w14:paraId="2F85F5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p>
              </w:tc>
              <w:tc>
                <w:tcPr>
                  <w:tcW w:w="198" w:type="pct"/>
                  <w:vMerge w:val="continue"/>
                  <w:shd w:val="clear" w:color="auto" w:fill="FFFFFF"/>
                  <w:tcMar>
                    <w:top w:w="0" w:type="dxa"/>
                    <w:left w:w="0" w:type="dxa"/>
                    <w:bottom w:w="0" w:type="dxa"/>
                    <w:right w:w="0" w:type="dxa"/>
                  </w:tcMar>
                  <w:vAlign w:val="center"/>
                </w:tcPr>
                <w:p w14:paraId="290A70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187" w:type="pct"/>
                  <w:vMerge w:val="continue"/>
                  <w:shd w:val="clear" w:color="auto" w:fill="FFFFFF"/>
                  <w:tcMar>
                    <w:top w:w="0" w:type="dxa"/>
                    <w:left w:w="0" w:type="dxa"/>
                    <w:bottom w:w="0" w:type="dxa"/>
                    <w:right w:w="0" w:type="dxa"/>
                  </w:tcMar>
                  <w:vAlign w:val="center"/>
                </w:tcPr>
                <w:p w14:paraId="641870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36" w:type="pct"/>
                  <w:shd w:val="clear" w:color="auto" w:fill="FFFFFF"/>
                  <w:tcMar>
                    <w:top w:w="0" w:type="dxa"/>
                    <w:left w:w="0" w:type="dxa"/>
                    <w:bottom w:w="0" w:type="dxa"/>
                    <w:right w:w="0" w:type="dxa"/>
                  </w:tcMar>
                  <w:vAlign w:val="center"/>
                </w:tcPr>
                <w:p w14:paraId="775655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声功率级/dB(A)</w:t>
                  </w:r>
                </w:p>
              </w:tc>
              <w:tc>
                <w:tcPr>
                  <w:tcW w:w="197" w:type="pct"/>
                  <w:vMerge w:val="continue"/>
                  <w:shd w:val="clear" w:color="auto" w:fill="FFFFFF"/>
                  <w:tcMar>
                    <w:top w:w="0" w:type="dxa"/>
                    <w:left w:w="0" w:type="dxa"/>
                    <w:bottom w:w="0" w:type="dxa"/>
                    <w:right w:w="0" w:type="dxa"/>
                  </w:tcMar>
                  <w:vAlign w:val="center"/>
                </w:tcPr>
                <w:p w14:paraId="729E5D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42C56B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X</w:t>
                  </w:r>
                </w:p>
              </w:tc>
              <w:tc>
                <w:tcPr>
                  <w:tcW w:w="221" w:type="pct"/>
                  <w:shd w:val="clear" w:color="auto" w:fill="FFFFFF"/>
                  <w:tcMar>
                    <w:top w:w="0" w:type="dxa"/>
                    <w:left w:w="0" w:type="dxa"/>
                    <w:bottom w:w="0" w:type="dxa"/>
                    <w:right w:w="0" w:type="dxa"/>
                  </w:tcMar>
                  <w:vAlign w:val="center"/>
                </w:tcPr>
                <w:p w14:paraId="035008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Y</w:t>
                  </w:r>
                </w:p>
              </w:tc>
              <w:tc>
                <w:tcPr>
                  <w:tcW w:w="223" w:type="pct"/>
                  <w:shd w:val="clear" w:color="auto" w:fill="FFFFFF"/>
                  <w:tcMar>
                    <w:top w:w="0" w:type="dxa"/>
                    <w:left w:w="0" w:type="dxa"/>
                    <w:bottom w:w="0" w:type="dxa"/>
                    <w:right w:w="0" w:type="dxa"/>
                  </w:tcMar>
                  <w:vAlign w:val="center"/>
                </w:tcPr>
                <w:p w14:paraId="1AF1486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Z</w:t>
                  </w:r>
                </w:p>
              </w:tc>
              <w:tc>
                <w:tcPr>
                  <w:tcW w:w="182" w:type="pct"/>
                  <w:shd w:val="clear" w:color="auto" w:fill="FFFFFF"/>
                  <w:tcMar>
                    <w:top w:w="0" w:type="dxa"/>
                    <w:left w:w="0" w:type="dxa"/>
                    <w:bottom w:w="0" w:type="dxa"/>
                    <w:right w:w="0" w:type="dxa"/>
                  </w:tcMar>
                  <w:vAlign w:val="center"/>
                </w:tcPr>
                <w:p w14:paraId="7394A6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东</w:t>
                  </w:r>
                </w:p>
              </w:tc>
              <w:tc>
                <w:tcPr>
                  <w:tcW w:w="182" w:type="pct"/>
                  <w:shd w:val="clear" w:color="auto" w:fill="FFFFFF"/>
                  <w:tcMar>
                    <w:top w:w="0" w:type="dxa"/>
                    <w:left w:w="0" w:type="dxa"/>
                    <w:bottom w:w="0" w:type="dxa"/>
                    <w:right w:w="0" w:type="dxa"/>
                  </w:tcMar>
                  <w:vAlign w:val="center"/>
                </w:tcPr>
                <w:p w14:paraId="277DED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南</w:t>
                  </w:r>
                </w:p>
              </w:tc>
              <w:tc>
                <w:tcPr>
                  <w:tcW w:w="182" w:type="pct"/>
                  <w:shd w:val="clear" w:color="auto" w:fill="FFFFFF"/>
                  <w:tcMar>
                    <w:top w:w="0" w:type="dxa"/>
                    <w:left w:w="0" w:type="dxa"/>
                    <w:bottom w:w="0" w:type="dxa"/>
                    <w:right w:w="0" w:type="dxa"/>
                  </w:tcMar>
                  <w:vAlign w:val="center"/>
                </w:tcPr>
                <w:p w14:paraId="6D34DD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西</w:t>
                  </w:r>
                </w:p>
              </w:tc>
              <w:tc>
                <w:tcPr>
                  <w:tcW w:w="189" w:type="pct"/>
                  <w:shd w:val="clear" w:color="auto" w:fill="FFFFFF"/>
                  <w:tcMar>
                    <w:top w:w="0" w:type="dxa"/>
                    <w:left w:w="0" w:type="dxa"/>
                    <w:bottom w:w="0" w:type="dxa"/>
                    <w:right w:w="0" w:type="dxa"/>
                  </w:tcMar>
                  <w:vAlign w:val="center"/>
                </w:tcPr>
                <w:p w14:paraId="289EAC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北</w:t>
                  </w:r>
                </w:p>
              </w:tc>
              <w:tc>
                <w:tcPr>
                  <w:tcW w:w="180" w:type="pct"/>
                  <w:shd w:val="clear" w:color="auto" w:fill="FFFFFF"/>
                  <w:tcMar>
                    <w:top w:w="0" w:type="dxa"/>
                    <w:left w:w="0" w:type="dxa"/>
                    <w:bottom w:w="0" w:type="dxa"/>
                    <w:right w:w="0" w:type="dxa"/>
                  </w:tcMar>
                  <w:vAlign w:val="center"/>
                </w:tcPr>
                <w:p w14:paraId="4ADFB4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东</w:t>
                  </w:r>
                </w:p>
              </w:tc>
              <w:tc>
                <w:tcPr>
                  <w:tcW w:w="180" w:type="pct"/>
                  <w:shd w:val="clear" w:color="auto" w:fill="FFFFFF"/>
                  <w:tcMar>
                    <w:top w:w="0" w:type="dxa"/>
                    <w:left w:w="0" w:type="dxa"/>
                    <w:bottom w:w="0" w:type="dxa"/>
                    <w:right w:w="0" w:type="dxa"/>
                  </w:tcMar>
                  <w:vAlign w:val="center"/>
                </w:tcPr>
                <w:p w14:paraId="64C3A0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南</w:t>
                  </w:r>
                </w:p>
              </w:tc>
              <w:tc>
                <w:tcPr>
                  <w:tcW w:w="180" w:type="pct"/>
                  <w:shd w:val="clear" w:color="auto" w:fill="FFFFFF"/>
                  <w:tcMar>
                    <w:top w:w="0" w:type="dxa"/>
                    <w:left w:w="0" w:type="dxa"/>
                    <w:bottom w:w="0" w:type="dxa"/>
                    <w:right w:w="0" w:type="dxa"/>
                  </w:tcMar>
                  <w:vAlign w:val="center"/>
                </w:tcPr>
                <w:p w14:paraId="493B94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西</w:t>
                  </w:r>
                </w:p>
              </w:tc>
              <w:tc>
                <w:tcPr>
                  <w:tcW w:w="186" w:type="pct"/>
                  <w:shd w:val="clear" w:color="auto" w:fill="FFFFFF"/>
                  <w:tcMar>
                    <w:top w:w="0" w:type="dxa"/>
                    <w:left w:w="0" w:type="dxa"/>
                    <w:bottom w:w="0" w:type="dxa"/>
                    <w:right w:w="0" w:type="dxa"/>
                  </w:tcMar>
                  <w:vAlign w:val="center"/>
                </w:tcPr>
                <w:p w14:paraId="1C5122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北</w:t>
                  </w:r>
                </w:p>
              </w:tc>
              <w:tc>
                <w:tcPr>
                  <w:tcW w:w="167" w:type="pct"/>
                  <w:vMerge w:val="continue"/>
                  <w:shd w:val="clear" w:color="auto" w:fill="FFFFFF"/>
                  <w:tcMar>
                    <w:top w:w="0" w:type="dxa"/>
                    <w:left w:w="0" w:type="dxa"/>
                    <w:bottom w:w="0" w:type="dxa"/>
                    <w:right w:w="0" w:type="dxa"/>
                  </w:tcMar>
                  <w:vAlign w:val="center"/>
                </w:tcPr>
                <w:p w14:paraId="56782B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p>
              </w:tc>
              <w:tc>
                <w:tcPr>
                  <w:tcW w:w="174" w:type="pct"/>
                  <w:shd w:val="clear" w:color="auto" w:fill="FFFFFF"/>
                  <w:tcMar>
                    <w:top w:w="0" w:type="dxa"/>
                    <w:left w:w="0" w:type="dxa"/>
                    <w:bottom w:w="0" w:type="dxa"/>
                    <w:right w:w="0" w:type="dxa"/>
                  </w:tcMar>
                  <w:vAlign w:val="center"/>
                </w:tcPr>
                <w:p w14:paraId="5582C7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东</w:t>
                  </w:r>
                </w:p>
              </w:tc>
              <w:tc>
                <w:tcPr>
                  <w:tcW w:w="174" w:type="pct"/>
                  <w:shd w:val="clear" w:color="auto" w:fill="FFFFFF"/>
                  <w:tcMar>
                    <w:top w:w="0" w:type="dxa"/>
                    <w:left w:w="0" w:type="dxa"/>
                    <w:bottom w:w="0" w:type="dxa"/>
                    <w:right w:w="0" w:type="dxa"/>
                  </w:tcMar>
                  <w:vAlign w:val="center"/>
                </w:tcPr>
                <w:p w14:paraId="3C2163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南</w:t>
                  </w:r>
                </w:p>
              </w:tc>
              <w:tc>
                <w:tcPr>
                  <w:tcW w:w="174" w:type="pct"/>
                  <w:shd w:val="clear" w:color="auto" w:fill="FFFFFF"/>
                  <w:tcMar>
                    <w:top w:w="0" w:type="dxa"/>
                    <w:left w:w="0" w:type="dxa"/>
                    <w:bottom w:w="0" w:type="dxa"/>
                    <w:right w:w="0" w:type="dxa"/>
                  </w:tcMar>
                  <w:vAlign w:val="center"/>
                </w:tcPr>
                <w:p w14:paraId="4C2B21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西</w:t>
                  </w:r>
                </w:p>
              </w:tc>
              <w:tc>
                <w:tcPr>
                  <w:tcW w:w="175" w:type="pct"/>
                  <w:shd w:val="clear" w:color="auto" w:fill="FFFFFF"/>
                  <w:tcMar>
                    <w:top w:w="0" w:type="dxa"/>
                    <w:left w:w="0" w:type="dxa"/>
                    <w:bottom w:w="0" w:type="dxa"/>
                    <w:right w:w="0" w:type="dxa"/>
                  </w:tcMar>
                  <w:vAlign w:val="center"/>
                </w:tcPr>
                <w:p w14:paraId="58C7C3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北</w:t>
                  </w:r>
                </w:p>
              </w:tc>
              <w:tc>
                <w:tcPr>
                  <w:tcW w:w="186" w:type="pct"/>
                  <w:shd w:val="clear" w:color="auto" w:fill="FFFFFF"/>
                  <w:tcMar>
                    <w:top w:w="0" w:type="dxa"/>
                    <w:left w:w="0" w:type="dxa"/>
                    <w:bottom w:w="0" w:type="dxa"/>
                    <w:right w:w="0" w:type="dxa"/>
                  </w:tcMar>
                  <w:vAlign w:val="center"/>
                </w:tcPr>
                <w:p w14:paraId="55EFE1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东</w:t>
                  </w:r>
                </w:p>
              </w:tc>
              <w:tc>
                <w:tcPr>
                  <w:tcW w:w="186" w:type="pct"/>
                  <w:shd w:val="clear" w:color="auto" w:fill="FFFFFF"/>
                  <w:tcMar>
                    <w:top w:w="0" w:type="dxa"/>
                    <w:left w:w="0" w:type="dxa"/>
                    <w:bottom w:w="0" w:type="dxa"/>
                    <w:right w:w="0" w:type="dxa"/>
                  </w:tcMar>
                  <w:vAlign w:val="center"/>
                </w:tcPr>
                <w:p w14:paraId="208A03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南</w:t>
                  </w:r>
                </w:p>
              </w:tc>
              <w:tc>
                <w:tcPr>
                  <w:tcW w:w="186" w:type="pct"/>
                  <w:shd w:val="clear" w:color="auto" w:fill="FFFFFF"/>
                  <w:tcMar>
                    <w:top w:w="0" w:type="dxa"/>
                    <w:left w:w="0" w:type="dxa"/>
                    <w:bottom w:w="0" w:type="dxa"/>
                    <w:right w:w="0" w:type="dxa"/>
                  </w:tcMar>
                  <w:vAlign w:val="center"/>
                </w:tcPr>
                <w:p w14:paraId="7339AD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西</w:t>
                  </w:r>
                </w:p>
              </w:tc>
              <w:tc>
                <w:tcPr>
                  <w:tcW w:w="186" w:type="pct"/>
                  <w:shd w:val="clear" w:color="auto" w:fill="FFFFFF"/>
                  <w:tcMar>
                    <w:top w:w="0" w:type="dxa"/>
                    <w:left w:w="0" w:type="dxa"/>
                    <w:bottom w:w="0" w:type="dxa"/>
                    <w:right w:w="0" w:type="dxa"/>
                  </w:tcMar>
                  <w:vAlign w:val="center"/>
                </w:tcPr>
                <w:p w14:paraId="66AC18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lang w:val="en-US" w:eastAsia="zh-CN"/>
                    </w:rPr>
                    <w:t>北</w:t>
                  </w:r>
                </w:p>
              </w:tc>
              <w:tc>
                <w:tcPr>
                  <w:tcW w:w="280" w:type="pct"/>
                  <w:shd w:val="clear" w:color="auto" w:fill="FFFFFF"/>
                  <w:tcMar>
                    <w:top w:w="0" w:type="dxa"/>
                    <w:left w:w="0" w:type="dxa"/>
                    <w:bottom w:w="0" w:type="dxa"/>
                    <w:right w:w="0" w:type="dxa"/>
                  </w:tcMar>
                  <w:vAlign w:val="center"/>
                </w:tcPr>
                <w:p w14:paraId="6BC5FF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建筑物外距离</w:t>
                  </w:r>
                </w:p>
              </w:tc>
            </w:tr>
            <w:tr w14:paraId="6FDFC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52" w:hRule="atLeast"/>
              </w:trPr>
              <w:tc>
                <w:tcPr>
                  <w:tcW w:w="161" w:type="pct"/>
                  <w:shd w:val="clear" w:color="auto" w:fill="FFFFFF"/>
                  <w:tcMar>
                    <w:top w:w="0" w:type="dxa"/>
                    <w:left w:w="0" w:type="dxa"/>
                    <w:bottom w:w="0" w:type="dxa"/>
                    <w:right w:w="0" w:type="dxa"/>
                  </w:tcMar>
                  <w:vAlign w:val="center"/>
                </w:tcPr>
                <w:p w14:paraId="4114C2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98" w:type="pct"/>
                  <w:shd w:val="clear" w:color="auto" w:fill="FFFFFF"/>
                  <w:tcMar>
                    <w:top w:w="0" w:type="dxa"/>
                    <w:left w:w="0" w:type="dxa"/>
                    <w:bottom w:w="0" w:type="dxa"/>
                    <w:right w:w="0" w:type="dxa"/>
                  </w:tcMar>
                  <w:vAlign w:val="center"/>
                </w:tcPr>
                <w:p w14:paraId="201195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0C5BCF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全自动垂直制壳机</w:t>
                  </w:r>
                </w:p>
              </w:tc>
              <w:tc>
                <w:tcPr>
                  <w:tcW w:w="236" w:type="pct"/>
                  <w:shd w:val="clear" w:color="auto" w:fill="FFFFFF"/>
                  <w:tcMar>
                    <w:top w:w="0" w:type="dxa"/>
                    <w:left w:w="0" w:type="dxa"/>
                    <w:bottom w:w="0" w:type="dxa"/>
                    <w:right w:w="0" w:type="dxa"/>
                  </w:tcMar>
                  <w:vAlign w:val="center"/>
                </w:tcPr>
                <w:p w14:paraId="103044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80</w:t>
                  </w:r>
                </w:p>
              </w:tc>
              <w:tc>
                <w:tcPr>
                  <w:tcW w:w="197" w:type="pct"/>
                  <w:vMerge w:val="restart"/>
                  <w:shd w:val="clear" w:color="auto" w:fill="FFFFFF"/>
                  <w:tcMar>
                    <w:top w:w="0" w:type="dxa"/>
                    <w:left w:w="0" w:type="dxa"/>
                    <w:bottom w:w="0" w:type="dxa"/>
                    <w:right w:w="0" w:type="dxa"/>
                  </w:tcMar>
                  <w:vAlign w:val="center"/>
                </w:tcPr>
                <w:p w14:paraId="1982E9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基础减震，厂房隔声</w:t>
                  </w:r>
                </w:p>
              </w:tc>
              <w:tc>
                <w:tcPr>
                  <w:tcW w:w="221" w:type="pct"/>
                  <w:shd w:val="clear" w:color="auto" w:fill="FFFFFF"/>
                  <w:tcMar>
                    <w:top w:w="0" w:type="dxa"/>
                    <w:left w:w="0" w:type="dxa"/>
                    <w:bottom w:w="0" w:type="dxa"/>
                    <w:right w:w="0" w:type="dxa"/>
                  </w:tcMar>
                  <w:vAlign w:val="center"/>
                </w:tcPr>
                <w:p w14:paraId="03BA7B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62.7</w:t>
                  </w:r>
                </w:p>
              </w:tc>
              <w:tc>
                <w:tcPr>
                  <w:tcW w:w="221" w:type="pct"/>
                  <w:shd w:val="clear" w:color="auto" w:fill="FFFFFF"/>
                  <w:tcMar>
                    <w:top w:w="0" w:type="dxa"/>
                    <w:left w:w="0" w:type="dxa"/>
                    <w:bottom w:w="0" w:type="dxa"/>
                    <w:right w:w="0" w:type="dxa"/>
                  </w:tcMar>
                  <w:vAlign w:val="center"/>
                </w:tcPr>
                <w:p w14:paraId="2698B7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-19.4</w:t>
                  </w:r>
                </w:p>
              </w:tc>
              <w:tc>
                <w:tcPr>
                  <w:tcW w:w="223" w:type="pct"/>
                  <w:shd w:val="clear" w:color="auto" w:fill="FFFFFF"/>
                  <w:tcMar>
                    <w:top w:w="0" w:type="dxa"/>
                    <w:left w:w="0" w:type="dxa"/>
                    <w:bottom w:w="0" w:type="dxa"/>
                    <w:right w:w="0" w:type="dxa"/>
                  </w:tcMar>
                  <w:vAlign w:val="center"/>
                </w:tcPr>
                <w:p w14:paraId="274D38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4C5D5E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57.4</w:t>
                  </w:r>
                </w:p>
              </w:tc>
              <w:tc>
                <w:tcPr>
                  <w:tcW w:w="182" w:type="pct"/>
                  <w:shd w:val="clear" w:color="auto" w:fill="FFFFFF"/>
                  <w:tcMar>
                    <w:top w:w="0" w:type="dxa"/>
                    <w:left w:w="0" w:type="dxa"/>
                    <w:bottom w:w="0" w:type="dxa"/>
                    <w:right w:w="0" w:type="dxa"/>
                  </w:tcMar>
                  <w:vAlign w:val="center"/>
                </w:tcPr>
                <w:p w14:paraId="17283A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3.7</w:t>
                  </w:r>
                </w:p>
              </w:tc>
              <w:tc>
                <w:tcPr>
                  <w:tcW w:w="182" w:type="pct"/>
                  <w:shd w:val="clear" w:color="auto" w:fill="FFFFFF"/>
                  <w:tcMar>
                    <w:top w:w="0" w:type="dxa"/>
                    <w:left w:w="0" w:type="dxa"/>
                    <w:bottom w:w="0" w:type="dxa"/>
                    <w:right w:w="0" w:type="dxa"/>
                  </w:tcMar>
                  <w:vAlign w:val="center"/>
                </w:tcPr>
                <w:p w14:paraId="1834FE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47.9</w:t>
                  </w:r>
                </w:p>
              </w:tc>
              <w:tc>
                <w:tcPr>
                  <w:tcW w:w="189" w:type="pct"/>
                  <w:shd w:val="clear" w:color="auto" w:fill="FFFFFF"/>
                  <w:tcMar>
                    <w:top w:w="0" w:type="dxa"/>
                    <w:left w:w="0" w:type="dxa"/>
                    <w:bottom w:w="0" w:type="dxa"/>
                    <w:right w:w="0" w:type="dxa"/>
                  </w:tcMar>
                  <w:vAlign w:val="center"/>
                </w:tcPr>
                <w:p w14:paraId="5BE031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35.7</w:t>
                  </w:r>
                </w:p>
              </w:tc>
              <w:tc>
                <w:tcPr>
                  <w:tcW w:w="180" w:type="pct"/>
                  <w:shd w:val="clear" w:color="auto" w:fill="FFFFFF"/>
                  <w:tcMar>
                    <w:top w:w="0" w:type="dxa"/>
                    <w:left w:w="0" w:type="dxa"/>
                    <w:bottom w:w="0" w:type="dxa"/>
                    <w:right w:w="0" w:type="dxa"/>
                  </w:tcMar>
                  <w:vAlign w:val="center"/>
                </w:tcPr>
                <w:p w14:paraId="71023D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57.4</w:t>
                  </w:r>
                </w:p>
              </w:tc>
              <w:tc>
                <w:tcPr>
                  <w:tcW w:w="180" w:type="pct"/>
                  <w:shd w:val="clear" w:color="auto" w:fill="FFFFFF"/>
                  <w:tcMar>
                    <w:top w:w="0" w:type="dxa"/>
                    <w:left w:w="0" w:type="dxa"/>
                    <w:bottom w:w="0" w:type="dxa"/>
                    <w:right w:w="0" w:type="dxa"/>
                  </w:tcMar>
                  <w:vAlign w:val="center"/>
                </w:tcPr>
                <w:p w14:paraId="29EA276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68.6</w:t>
                  </w:r>
                </w:p>
              </w:tc>
              <w:tc>
                <w:tcPr>
                  <w:tcW w:w="180" w:type="pct"/>
                  <w:shd w:val="clear" w:color="auto" w:fill="FFFFFF"/>
                  <w:tcMar>
                    <w:top w:w="0" w:type="dxa"/>
                    <w:left w:w="0" w:type="dxa"/>
                    <w:bottom w:w="0" w:type="dxa"/>
                    <w:right w:w="0" w:type="dxa"/>
                  </w:tcMar>
                  <w:vAlign w:val="center"/>
                </w:tcPr>
                <w:p w14:paraId="56314F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46.3</w:t>
                  </w:r>
                </w:p>
              </w:tc>
              <w:tc>
                <w:tcPr>
                  <w:tcW w:w="186" w:type="pct"/>
                  <w:shd w:val="clear" w:color="auto" w:fill="FFFFFF"/>
                  <w:tcMar>
                    <w:top w:w="0" w:type="dxa"/>
                    <w:left w:w="0" w:type="dxa"/>
                    <w:bottom w:w="0" w:type="dxa"/>
                    <w:right w:w="0" w:type="dxa"/>
                  </w:tcMar>
                  <w:vAlign w:val="center"/>
                </w:tcPr>
                <w:p w14:paraId="2C4761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48.9</w:t>
                  </w:r>
                </w:p>
              </w:tc>
              <w:tc>
                <w:tcPr>
                  <w:tcW w:w="167" w:type="pct"/>
                  <w:vMerge w:val="restart"/>
                  <w:shd w:val="clear" w:color="auto" w:fill="FFFFFF"/>
                  <w:tcMar>
                    <w:top w:w="0" w:type="dxa"/>
                    <w:left w:w="0" w:type="dxa"/>
                    <w:bottom w:w="0" w:type="dxa"/>
                    <w:right w:w="0" w:type="dxa"/>
                  </w:tcMar>
                  <w:vAlign w:val="center"/>
                </w:tcPr>
                <w:p w14:paraId="6FC966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rPr>
                  </w:pPr>
                  <w:r>
                    <w:rPr>
                      <w:rFonts w:hint="default" w:ascii="Times New Roman" w:hAnsi="Times New Roman" w:eastAsia="宋体" w:cs="Times New Roman"/>
                      <w:sz w:val="21"/>
                      <w:szCs w:val="21"/>
                      <w:lang w:val="en-US" w:eastAsia="zh-CN"/>
                    </w:rPr>
                    <w:t>昼间</w:t>
                  </w:r>
                </w:p>
              </w:tc>
              <w:tc>
                <w:tcPr>
                  <w:tcW w:w="459" w:type="dxa"/>
                  <w:shd w:val="clear" w:color="auto" w:fill="FFFFFF"/>
                  <w:tcMar>
                    <w:top w:w="0" w:type="dxa"/>
                    <w:left w:w="0" w:type="dxa"/>
                    <w:bottom w:w="0" w:type="dxa"/>
                    <w:right w:w="0" w:type="dxa"/>
                  </w:tcMar>
                  <w:vAlign w:val="center"/>
                </w:tcPr>
                <w:p w14:paraId="581FBE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73582F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CC2C2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6FDB0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22B069F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36.4</w:t>
                  </w:r>
                </w:p>
              </w:tc>
              <w:tc>
                <w:tcPr>
                  <w:tcW w:w="491" w:type="dxa"/>
                  <w:shd w:val="clear" w:color="auto" w:fill="FFFFFF"/>
                  <w:tcMar>
                    <w:top w:w="0" w:type="dxa"/>
                    <w:left w:w="0" w:type="dxa"/>
                    <w:bottom w:w="0" w:type="dxa"/>
                    <w:right w:w="0" w:type="dxa"/>
                  </w:tcMar>
                  <w:vAlign w:val="center"/>
                </w:tcPr>
                <w:p w14:paraId="3E68B30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47.6</w:t>
                  </w:r>
                </w:p>
              </w:tc>
              <w:tc>
                <w:tcPr>
                  <w:tcW w:w="491" w:type="dxa"/>
                  <w:shd w:val="clear" w:color="auto" w:fill="FFFFFF"/>
                  <w:tcMar>
                    <w:top w:w="0" w:type="dxa"/>
                    <w:left w:w="0" w:type="dxa"/>
                    <w:bottom w:w="0" w:type="dxa"/>
                    <w:right w:w="0" w:type="dxa"/>
                  </w:tcMar>
                  <w:vAlign w:val="center"/>
                </w:tcPr>
                <w:p w14:paraId="412D319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25.3</w:t>
                  </w:r>
                </w:p>
              </w:tc>
              <w:tc>
                <w:tcPr>
                  <w:tcW w:w="491" w:type="dxa"/>
                  <w:shd w:val="clear" w:color="auto" w:fill="FFFFFF"/>
                  <w:tcMar>
                    <w:top w:w="0" w:type="dxa"/>
                    <w:left w:w="0" w:type="dxa"/>
                    <w:bottom w:w="0" w:type="dxa"/>
                    <w:right w:w="0" w:type="dxa"/>
                  </w:tcMar>
                  <w:vAlign w:val="center"/>
                </w:tcPr>
                <w:p w14:paraId="59CD2B4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27.9</w:t>
                  </w:r>
                </w:p>
              </w:tc>
              <w:tc>
                <w:tcPr>
                  <w:tcW w:w="280" w:type="pct"/>
                  <w:shd w:val="clear" w:color="auto" w:fill="FFFFFF"/>
                  <w:tcMar>
                    <w:top w:w="0" w:type="dxa"/>
                    <w:left w:w="0" w:type="dxa"/>
                    <w:bottom w:w="0" w:type="dxa"/>
                    <w:right w:w="0" w:type="dxa"/>
                  </w:tcMar>
                  <w:vAlign w:val="center"/>
                </w:tcPr>
                <w:p w14:paraId="7F1AC0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7AD92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13" w:hRule="atLeast"/>
              </w:trPr>
              <w:tc>
                <w:tcPr>
                  <w:tcW w:w="161" w:type="pct"/>
                  <w:shd w:val="clear" w:color="auto" w:fill="FFFFFF"/>
                  <w:tcMar>
                    <w:top w:w="0" w:type="dxa"/>
                    <w:left w:w="0" w:type="dxa"/>
                    <w:bottom w:w="0" w:type="dxa"/>
                    <w:right w:w="0" w:type="dxa"/>
                  </w:tcMar>
                  <w:vAlign w:val="center"/>
                </w:tcPr>
                <w:p w14:paraId="6DFE9E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98" w:type="pct"/>
                  <w:shd w:val="clear" w:color="auto" w:fill="FFFFFF"/>
                  <w:tcMar>
                    <w:top w:w="0" w:type="dxa"/>
                    <w:left w:w="0" w:type="dxa"/>
                    <w:bottom w:w="0" w:type="dxa"/>
                    <w:right w:w="0" w:type="dxa"/>
                  </w:tcMar>
                  <w:vAlign w:val="center"/>
                </w:tcPr>
                <w:p w14:paraId="7EEAA0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7E509B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全自动垂直制壳机</w:t>
                  </w:r>
                </w:p>
              </w:tc>
              <w:tc>
                <w:tcPr>
                  <w:tcW w:w="236" w:type="pct"/>
                  <w:shd w:val="clear" w:color="auto" w:fill="FFFFFF"/>
                  <w:tcMar>
                    <w:top w:w="0" w:type="dxa"/>
                    <w:left w:w="0" w:type="dxa"/>
                    <w:bottom w:w="0" w:type="dxa"/>
                    <w:right w:w="0" w:type="dxa"/>
                  </w:tcMar>
                  <w:vAlign w:val="center"/>
                </w:tcPr>
                <w:p w14:paraId="3163E5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80</w:t>
                  </w:r>
                </w:p>
              </w:tc>
              <w:tc>
                <w:tcPr>
                  <w:tcW w:w="197" w:type="pct"/>
                  <w:vMerge w:val="continue"/>
                  <w:shd w:val="clear" w:color="auto" w:fill="FFFFFF"/>
                  <w:tcMar>
                    <w:top w:w="0" w:type="dxa"/>
                    <w:left w:w="0" w:type="dxa"/>
                    <w:bottom w:w="0" w:type="dxa"/>
                    <w:right w:w="0" w:type="dxa"/>
                  </w:tcMar>
                  <w:vAlign w:val="center"/>
                </w:tcPr>
                <w:p w14:paraId="38373A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1793E6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68.1</w:t>
                  </w:r>
                </w:p>
              </w:tc>
              <w:tc>
                <w:tcPr>
                  <w:tcW w:w="221" w:type="pct"/>
                  <w:shd w:val="clear" w:color="auto" w:fill="FFFFFF"/>
                  <w:tcMar>
                    <w:top w:w="0" w:type="dxa"/>
                    <w:left w:w="0" w:type="dxa"/>
                    <w:bottom w:w="0" w:type="dxa"/>
                    <w:right w:w="0" w:type="dxa"/>
                  </w:tcMar>
                  <w:vAlign w:val="center"/>
                </w:tcPr>
                <w:p w14:paraId="3B8A4B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-19.5</w:t>
                  </w:r>
                </w:p>
              </w:tc>
              <w:tc>
                <w:tcPr>
                  <w:tcW w:w="223" w:type="pct"/>
                  <w:shd w:val="clear" w:color="auto" w:fill="FFFFFF"/>
                  <w:tcMar>
                    <w:top w:w="0" w:type="dxa"/>
                    <w:left w:w="0" w:type="dxa"/>
                    <w:bottom w:w="0" w:type="dxa"/>
                    <w:right w:w="0" w:type="dxa"/>
                  </w:tcMar>
                  <w:vAlign w:val="center"/>
                </w:tcPr>
                <w:p w14:paraId="74ECA2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25902F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52.0</w:t>
                  </w:r>
                </w:p>
              </w:tc>
              <w:tc>
                <w:tcPr>
                  <w:tcW w:w="182" w:type="pct"/>
                  <w:shd w:val="clear" w:color="auto" w:fill="FFFFFF"/>
                  <w:tcMar>
                    <w:top w:w="0" w:type="dxa"/>
                    <w:left w:w="0" w:type="dxa"/>
                    <w:bottom w:w="0" w:type="dxa"/>
                    <w:right w:w="0" w:type="dxa"/>
                  </w:tcMar>
                  <w:vAlign w:val="center"/>
                </w:tcPr>
                <w:p w14:paraId="31F685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3.6</w:t>
                  </w:r>
                </w:p>
              </w:tc>
              <w:tc>
                <w:tcPr>
                  <w:tcW w:w="182" w:type="pct"/>
                  <w:shd w:val="clear" w:color="auto" w:fill="FFFFFF"/>
                  <w:tcMar>
                    <w:top w:w="0" w:type="dxa"/>
                    <w:left w:w="0" w:type="dxa"/>
                    <w:bottom w:w="0" w:type="dxa"/>
                    <w:right w:w="0" w:type="dxa"/>
                  </w:tcMar>
                  <w:vAlign w:val="center"/>
                </w:tcPr>
                <w:p w14:paraId="5C2135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53.3</w:t>
                  </w:r>
                </w:p>
              </w:tc>
              <w:tc>
                <w:tcPr>
                  <w:tcW w:w="189" w:type="pct"/>
                  <w:shd w:val="clear" w:color="auto" w:fill="FFFFFF"/>
                  <w:tcMar>
                    <w:top w:w="0" w:type="dxa"/>
                    <w:left w:w="0" w:type="dxa"/>
                    <w:bottom w:w="0" w:type="dxa"/>
                    <w:right w:w="0" w:type="dxa"/>
                  </w:tcMar>
                  <w:vAlign w:val="center"/>
                </w:tcPr>
                <w:p w14:paraId="644CE3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35.8</w:t>
                  </w:r>
                </w:p>
              </w:tc>
              <w:tc>
                <w:tcPr>
                  <w:tcW w:w="180" w:type="pct"/>
                  <w:shd w:val="clear" w:color="auto" w:fill="FFFFFF"/>
                  <w:tcMar>
                    <w:top w:w="0" w:type="dxa"/>
                    <w:left w:w="0" w:type="dxa"/>
                    <w:bottom w:w="0" w:type="dxa"/>
                    <w:right w:w="0" w:type="dxa"/>
                  </w:tcMar>
                  <w:vAlign w:val="center"/>
                </w:tcPr>
                <w:p w14:paraId="5DBF88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45.6</w:t>
                  </w:r>
                </w:p>
              </w:tc>
              <w:tc>
                <w:tcPr>
                  <w:tcW w:w="180" w:type="pct"/>
                  <w:shd w:val="clear" w:color="auto" w:fill="FFFFFF"/>
                  <w:tcMar>
                    <w:top w:w="0" w:type="dxa"/>
                    <w:left w:w="0" w:type="dxa"/>
                    <w:bottom w:w="0" w:type="dxa"/>
                    <w:right w:w="0" w:type="dxa"/>
                  </w:tcMar>
                  <w:vAlign w:val="center"/>
                </w:tcPr>
                <w:p w14:paraId="77C0F9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68.8</w:t>
                  </w:r>
                </w:p>
              </w:tc>
              <w:tc>
                <w:tcPr>
                  <w:tcW w:w="180" w:type="pct"/>
                  <w:shd w:val="clear" w:color="auto" w:fill="FFFFFF"/>
                  <w:tcMar>
                    <w:top w:w="0" w:type="dxa"/>
                    <w:left w:w="0" w:type="dxa"/>
                    <w:bottom w:w="0" w:type="dxa"/>
                    <w:right w:w="0" w:type="dxa"/>
                  </w:tcMar>
                  <w:vAlign w:val="center"/>
                </w:tcPr>
                <w:p w14:paraId="66AFC1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45.4</w:t>
                  </w:r>
                </w:p>
              </w:tc>
              <w:tc>
                <w:tcPr>
                  <w:tcW w:w="186" w:type="pct"/>
                  <w:shd w:val="clear" w:color="auto" w:fill="FFFFFF"/>
                  <w:tcMar>
                    <w:top w:w="0" w:type="dxa"/>
                    <w:left w:w="0" w:type="dxa"/>
                    <w:bottom w:w="0" w:type="dxa"/>
                    <w:right w:w="0" w:type="dxa"/>
                  </w:tcMar>
                  <w:vAlign w:val="center"/>
                </w:tcPr>
                <w:p w14:paraId="2F2A81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48.9</w:t>
                  </w:r>
                </w:p>
              </w:tc>
              <w:tc>
                <w:tcPr>
                  <w:tcW w:w="167" w:type="pct"/>
                  <w:vMerge w:val="continue"/>
                  <w:shd w:val="clear" w:color="auto" w:fill="FFFFFF"/>
                  <w:tcMar>
                    <w:top w:w="0" w:type="dxa"/>
                    <w:left w:w="0" w:type="dxa"/>
                    <w:bottom w:w="0" w:type="dxa"/>
                    <w:right w:w="0" w:type="dxa"/>
                  </w:tcMar>
                  <w:vAlign w:val="center"/>
                </w:tcPr>
                <w:p w14:paraId="7A375CF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459" w:type="dxa"/>
                  <w:shd w:val="clear" w:color="auto" w:fill="FFFFFF"/>
                  <w:tcMar>
                    <w:top w:w="0" w:type="dxa"/>
                    <w:left w:w="0" w:type="dxa"/>
                    <w:bottom w:w="0" w:type="dxa"/>
                    <w:right w:w="0" w:type="dxa"/>
                  </w:tcMar>
                  <w:vAlign w:val="center"/>
                </w:tcPr>
                <w:p w14:paraId="1E7435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E9D9B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BA826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1C9AD5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43046171">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24.6</w:t>
                  </w:r>
                </w:p>
              </w:tc>
              <w:tc>
                <w:tcPr>
                  <w:tcW w:w="491" w:type="dxa"/>
                  <w:shd w:val="clear" w:color="auto" w:fill="FFFFFF"/>
                  <w:tcMar>
                    <w:top w:w="0" w:type="dxa"/>
                    <w:left w:w="0" w:type="dxa"/>
                    <w:bottom w:w="0" w:type="dxa"/>
                    <w:right w:w="0" w:type="dxa"/>
                  </w:tcMar>
                  <w:vAlign w:val="center"/>
                </w:tcPr>
                <w:p w14:paraId="651BF65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47.8</w:t>
                  </w:r>
                </w:p>
              </w:tc>
              <w:tc>
                <w:tcPr>
                  <w:tcW w:w="491" w:type="dxa"/>
                  <w:shd w:val="clear" w:color="auto" w:fill="FFFFFF"/>
                  <w:tcMar>
                    <w:top w:w="0" w:type="dxa"/>
                    <w:left w:w="0" w:type="dxa"/>
                    <w:bottom w:w="0" w:type="dxa"/>
                    <w:right w:w="0" w:type="dxa"/>
                  </w:tcMar>
                  <w:vAlign w:val="center"/>
                </w:tcPr>
                <w:p w14:paraId="4391BD6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24.4</w:t>
                  </w:r>
                </w:p>
              </w:tc>
              <w:tc>
                <w:tcPr>
                  <w:tcW w:w="491" w:type="dxa"/>
                  <w:shd w:val="clear" w:color="auto" w:fill="FFFFFF"/>
                  <w:tcMar>
                    <w:top w:w="0" w:type="dxa"/>
                    <w:left w:w="0" w:type="dxa"/>
                    <w:bottom w:w="0" w:type="dxa"/>
                    <w:right w:w="0" w:type="dxa"/>
                  </w:tcMar>
                  <w:vAlign w:val="center"/>
                </w:tcPr>
                <w:p w14:paraId="4DC8AEEC">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27.9</w:t>
                  </w:r>
                </w:p>
              </w:tc>
              <w:tc>
                <w:tcPr>
                  <w:tcW w:w="280" w:type="pct"/>
                  <w:shd w:val="clear" w:color="auto" w:fill="FFFFFF"/>
                  <w:tcMar>
                    <w:top w:w="0" w:type="dxa"/>
                    <w:left w:w="0" w:type="dxa"/>
                    <w:bottom w:w="0" w:type="dxa"/>
                    <w:right w:w="0" w:type="dxa"/>
                  </w:tcMar>
                  <w:vAlign w:val="center"/>
                </w:tcPr>
                <w:p w14:paraId="426800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6F8F6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0" w:hRule="atLeast"/>
              </w:trPr>
              <w:tc>
                <w:tcPr>
                  <w:tcW w:w="161" w:type="pct"/>
                  <w:shd w:val="clear" w:color="auto" w:fill="FFFFFF"/>
                  <w:tcMar>
                    <w:top w:w="0" w:type="dxa"/>
                    <w:left w:w="0" w:type="dxa"/>
                    <w:bottom w:w="0" w:type="dxa"/>
                    <w:right w:w="0" w:type="dxa"/>
                  </w:tcMar>
                  <w:vAlign w:val="center"/>
                </w:tcPr>
                <w:p w14:paraId="37B6F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98" w:type="pct"/>
                  <w:shd w:val="clear" w:color="auto" w:fill="FFFFFF"/>
                  <w:tcMar>
                    <w:top w:w="0" w:type="dxa"/>
                    <w:left w:w="0" w:type="dxa"/>
                    <w:bottom w:w="0" w:type="dxa"/>
                    <w:right w:w="0" w:type="dxa"/>
                  </w:tcMar>
                  <w:vAlign w:val="center"/>
                </w:tcPr>
                <w:p w14:paraId="189947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0BBF26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中频炉</w:t>
                  </w:r>
                </w:p>
              </w:tc>
              <w:tc>
                <w:tcPr>
                  <w:tcW w:w="236" w:type="pct"/>
                  <w:shd w:val="clear" w:color="auto" w:fill="FFFFFF"/>
                  <w:tcMar>
                    <w:top w:w="0" w:type="dxa"/>
                    <w:left w:w="0" w:type="dxa"/>
                    <w:bottom w:w="0" w:type="dxa"/>
                    <w:right w:w="0" w:type="dxa"/>
                  </w:tcMar>
                  <w:vAlign w:val="center"/>
                </w:tcPr>
                <w:p w14:paraId="7C0CE5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85</w:t>
                  </w:r>
                </w:p>
              </w:tc>
              <w:tc>
                <w:tcPr>
                  <w:tcW w:w="197" w:type="pct"/>
                  <w:vMerge w:val="continue"/>
                  <w:shd w:val="clear" w:color="auto" w:fill="FFFFFF"/>
                  <w:tcMar>
                    <w:top w:w="0" w:type="dxa"/>
                    <w:left w:w="0" w:type="dxa"/>
                    <w:bottom w:w="0" w:type="dxa"/>
                    <w:right w:w="0" w:type="dxa"/>
                  </w:tcMar>
                  <w:vAlign w:val="center"/>
                </w:tcPr>
                <w:p w14:paraId="61739E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4F2F51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108.1</w:t>
                  </w:r>
                </w:p>
              </w:tc>
              <w:tc>
                <w:tcPr>
                  <w:tcW w:w="221" w:type="pct"/>
                  <w:shd w:val="clear" w:color="auto" w:fill="FFFFFF"/>
                  <w:tcMar>
                    <w:top w:w="0" w:type="dxa"/>
                    <w:left w:w="0" w:type="dxa"/>
                    <w:bottom w:w="0" w:type="dxa"/>
                    <w:right w:w="0" w:type="dxa"/>
                  </w:tcMar>
                  <w:vAlign w:val="center"/>
                </w:tcPr>
                <w:p w14:paraId="1B3DE9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223" w:type="pct"/>
                  <w:shd w:val="clear" w:color="auto" w:fill="FFFFFF"/>
                  <w:tcMar>
                    <w:top w:w="0" w:type="dxa"/>
                    <w:left w:w="0" w:type="dxa"/>
                    <w:bottom w:w="0" w:type="dxa"/>
                    <w:right w:w="0" w:type="dxa"/>
                  </w:tcMar>
                  <w:vAlign w:val="center"/>
                </w:tcPr>
                <w:p w14:paraId="0B51C4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60C600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12.0</w:t>
                  </w:r>
                </w:p>
              </w:tc>
              <w:tc>
                <w:tcPr>
                  <w:tcW w:w="182" w:type="pct"/>
                  <w:shd w:val="clear" w:color="auto" w:fill="FFFFFF"/>
                  <w:tcMar>
                    <w:top w:w="0" w:type="dxa"/>
                    <w:left w:w="0" w:type="dxa"/>
                    <w:bottom w:w="0" w:type="dxa"/>
                    <w:right w:w="0" w:type="dxa"/>
                  </w:tcMar>
                  <w:vAlign w:val="center"/>
                </w:tcPr>
                <w:p w14:paraId="32BD99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11.1</w:t>
                  </w:r>
                </w:p>
              </w:tc>
              <w:tc>
                <w:tcPr>
                  <w:tcW w:w="182" w:type="pct"/>
                  <w:shd w:val="clear" w:color="auto" w:fill="FFFFFF"/>
                  <w:tcMar>
                    <w:top w:w="0" w:type="dxa"/>
                    <w:left w:w="0" w:type="dxa"/>
                    <w:bottom w:w="0" w:type="dxa"/>
                    <w:right w:w="0" w:type="dxa"/>
                  </w:tcMar>
                  <w:vAlign w:val="center"/>
                </w:tcPr>
                <w:p w14:paraId="4C63E9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93.3</w:t>
                  </w:r>
                </w:p>
              </w:tc>
              <w:tc>
                <w:tcPr>
                  <w:tcW w:w="189" w:type="pct"/>
                  <w:shd w:val="clear" w:color="auto" w:fill="FFFFFF"/>
                  <w:tcMar>
                    <w:top w:w="0" w:type="dxa"/>
                    <w:left w:w="0" w:type="dxa"/>
                    <w:bottom w:w="0" w:type="dxa"/>
                    <w:right w:w="0" w:type="dxa"/>
                  </w:tcMar>
                  <w:vAlign w:val="center"/>
                </w:tcPr>
                <w:p w14:paraId="240E3B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28.3</w:t>
                  </w:r>
                </w:p>
              </w:tc>
              <w:tc>
                <w:tcPr>
                  <w:tcW w:w="180" w:type="pct"/>
                  <w:shd w:val="clear" w:color="auto" w:fill="FFFFFF"/>
                  <w:tcMar>
                    <w:top w:w="0" w:type="dxa"/>
                    <w:left w:w="0" w:type="dxa"/>
                    <w:bottom w:w="0" w:type="dxa"/>
                    <w:right w:w="0" w:type="dxa"/>
                  </w:tcMar>
                  <w:vAlign w:val="center"/>
                </w:tcPr>
                <w:p w14:paraId="6DCA2D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63.4</w:t>
                  </w:r>
                </w:p>
              </w:tc>
              <w:tc>
                <w:tcPr>
                  <w:tcW w:w="180" w:type="pct"/>
                  <w:shd w:val="clear" w:color="auto" w:fill="FFFFFF"/>
                  <w:tcMar>
                    <w:top w:w="0" w:type="dxa"/>
                    <w:left w:w="0" w:type="dxa"/>
                    <w:bottom w:w="0" w:type="dxa"/>
                    <w:right w:w="0" w:type="dxa"/>
                  </w:tcMar>
                  <w:vAlign w:val="center"/>
                </w:tcPr>
                <w:p w14:paraId="03808A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64.0</w:t>
                  </w:r>
                </w:p>
              </w:tc>
              <w:tc>
                <w:tcPr>
                  <w:tcW w:w="180" w:type="pct"/>
                  <w:shd w:val="clear" w:color="auto" w:fill="FFFFFF"/>
                  <w:tcMar>
                    <w:top w:w="0" w:type="dxa"/>
                    <w:left w:w="0" w:type="dxa"/>
                    <w:bottom w:w="0" w:type="dxa"/>
                    <w:right w:w="0" w:type="dxa"/>
                  </w:tcMar>
                  <w:vAlign w:val="center"/>
                </w:tcPr>
                <w:p w14:paraId="6E04C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45.6</w:t>
                  </w:r>
                </w:p>
              </w:tc>
              <w:tc>
                <w:tcPr>
                  <w:tcW w:w="186" w:type="pct"/>
                  <w:shd w:val="clear" w:color="auto" w:fill="FFFFFF"/>
                  <w:tcMar>
                    <w:top w:w="0" w:type="dxa"/>
                    <w:left w:w="0" w:type="dxa"/>
                    <w:bottom w:w="0" w:type="dxa"/>
                    <w:right w:w="0" w:type="dxa"/>
                  </w:tcMar>
                  <w:vAlign w:val="center"/>
                </w:tcPr>
                <w:p w14:paraId="740071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55.9</w:t>
                  </w:r>
                </w:p>
              </w:tc>
              <w:tc>
                <w:tcPr>
                  <w:tcW w:w="167" w:type="pct"/>
                  <w:vMerge w:val="continue"/>
                  <w:shd w:val="clear" w:color="auto" w:fill="FFFFFF"/>
                  <w:tcMar>
                    <w:top w:w="0" w:type="dxa"/>
                    <w:left w:w="0" w:type="dxa"/>
                    <w:bottom w:w="0" w:type="dxa"/>
                    <w:right w:w="0" w:type="dxa"/>
                  </w:tcMar>
                  <w:vAlign w:val="center"/>
                </w:tcPr>
                <w:p w14:paraId="599B2C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459" w:type="dxa"/>
                  <w:shd w:val="clear" w:color="auto" w:fill="FFFFFF"/>
                  <w:tcMar>
                    <w:top w:w="0" w:type="dxa"/>
                    <w:left w:w="0" w:type="dxa"/>
                    <w:bottom w:w="0" w:type="dxa"/>
                    <w:right w:w="0" w:type="dxa"/>
                  </w:tcMar>
                  <w:vAlign w:val="center"/>
                </w:tcPr>
                <w:p w14:paraId="7958D6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77EF0F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BF6DE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3D85B1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6BEF9B8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42.4</w:t>
                  </w:r>
                </w:p>
              </w:tc>
              <w:tc>
                <w:tcPr>
                  <w:tcW w:w="491" w:type="dxa"/>
                  <w:shd w:val="clear" w:color="auto" w:fill="FFFFFF"/>
                  <w:tcMar>
                    <w:top w:w="0" w:type="dxa"/>
                    <w:left w:w="0" w:type="dxa"/>
                    <w:bottom w:w="0" w:type="dxa"/>
                    <w:right w:w="0" w:type="dxa"/>
                  </w:tcMar>
                  <w:vAlign w:val="center"/>
                </w:tcPr>
                <w:p w14:paraId="23E031D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43</w:t>
                  </w:r>
                </w:p>
              </w:tc>
              <w:tc>
                <w:tcPr>
                  <w:tcW w:w="491" w:type="dxa"/>
                  <w:shd w:val="clear" w:color="auto" w:fill="FFFFFF"/>
                  <w:tcMar>
                    <w:top w:w="0" w:type="dxa"/>
                    <w:left w:w="0" w:type="dxa"/>
                    <w:bottom w:w="0" w:type="dxa"/>
                    <w:right w:w="0" w:type="dxa"/>
                  </w:tcMar>
                  <w:vAlign w:val="center"/>
                </w:tcPr>
                <w:p w14:paraId="28D97546">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24.6</w:t>
                  </w:r>
                </w:p>
              </w:tc>
              <w:tc>
                <w:tcPr>
                  <w:tcW w:w="491" w:type="dxa"/>
                  <w:shd w:val="clear" w:color="auto" w:fill="FFFFFF"/>
                  <w:tcMar>
                    <w:top w:w="0" w:type="dxa"/>
                    <w:left w:w="0" w:type="dxa"/>
                    <w:bottom w:w="0" w:type="dxa"/>
                    <w:right w:w="0" w:type="dxa"/>
                  </w:tcMar>
                  <w:vAlign w:val="center"/>
                </w:tcPr>
                <w:p w14:paraId="254E7AD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34.9</w:t>
                  </w:r>
                </w:p>
              </w:tc>
              <w:tc>
                <w:tcPr>
                  <w:tcW w:w="280" w:type="pct"/>
                  <w:shd w:val="clear" w:color="auto" w:fill="FFFFFF"/>
                  <w:tcMar>
                    <w:top w:w="0" w:type="dxa"/>
                    <w:left w:w="0" w:type="dxa"/>
                    <w:bottom w:w="0" w:type="dxa"/>
                    <w:right w:w="0" w:type="dxa"/>
                  </w:tcMar>
                  <w:vAlign w:val="center"/>
                </w:tcPr>
                <w:p w14:paraId="7A50FA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1D2D5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66" w:hRule="atLeast"/>
              </w:trPr>
              <w:tc>
                <w:tcPr>
                  <w:tcW w:w="161" w:type="pct"/>
                  <w:shd w:val="clear" w:color="auto" w:fill="FFFFFF"/>
                  <w:tcMar>
                    <w:top w:w="0" w:type="dxa"/>
                    <w:left w:w="0" w:type="dxa"/>
                    <w:bottom w:w="0" w:type="dxa"/>
                    <w:right w:w="0" w:type="dxa"/>
                  </w:tcMar>
                  <w:vAlign w:val="center"/>
                </w:tcPr>
                <w:p w14:paraId="454BC4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4</w:t>
                  </w:r>
                </w:p>
              </w:tc>
              <w:tc>
                <w:tcPr>
                  <w:tcW w:w="198" w:type="pct"/>
                  <w:shd w:val="clear" w:color="auto" w:fill="FFFFFF"/>
                  <w:tcMar>
                    <w:top w:w="0" w:type="dxa"/>
                    <w:left w:w="0" w:type="dxa"/>
                    <w:bottom w:w="0" w:type="dxa"/>
                    <w:right w:w="0" w:type="dxa"/>
                  </w:tcMar>
                  <w:vAlign w:val="center"/>
                </w:tcPr>
                <w:p w14:paraId="06DA9F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3ED242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高速磨削机</w:t>
                  </w:r>
                </w:p>
              </w:tc>
              <w:tc>
                <w:tcPr>
                  <w:tcW w:w="236" w:type="pct"/>
                  <w:shd w:val="clear" w:color="auto" w:fill="FFFFFF"/>
                  <w:tcMar>
                    <w:top w:w="0" w:type="dxa"/>
                    <w:left w:w="0" w:type="dxa"/>
                    <w:bottom w:w="0" w:type="dxa"/>
                    <w:right w:w="0" w:type="dxa"/>
                  </w:tcMar>
                  <w:vAlign w:val="center"/>
                </w:tcPr>
                <w:p w14:paraId="018124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97" w:type="pct"/>
                  <w:vMerge w:val="restart"/>
                  <w:shd w:val="clear" w:color="auto" w:fill="FFFFFF"/>
                  <w:tcMar>
                    <w:top w:w="0" w:type="dxa"/>
                    <w:left w:w="0" w:type="dxa"/>
                    <w:bottom w:w="0" w:type="dxa"/>
                    <w:right w:w="0" w:type="dxa"/>
                  </w:tcMar>
                  <w:vAlign w:val="center"/>
                </w:tcPr>
                <w:p w14:paraId="076B52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独立封闭车间，</w:t>
                  </w:r>
                  <w:r>
                    <w:rPr>
                      <w:rFonts w:hint="default" w:ascii="Times New Roman" w:hAnsi="Times New Roman" w:eastAsia="宋体" w:cs="Times New Roman"/>
                      <w:sz w:val="21"/>
                      <w:szCs w:val="21"/>
                      <w:lang w:val="en-US" w:eastAsia="zh-CN"/>
                    </w:rPr>
                    <w:t>基础减震，厂房隔声</w:t>
                  </w:r>
                </w:p>
              </w:tc>
              <w:tc>
                <w:tcPr>
                  <w:tcW w:w="221" w:type="pct"/>
                  <w:shd w:val="clear" w:color="auto" w:fill="FFFFFF"/>
                  <w:tcMar>
                    <w:top w:w="0" w:type="dxa"/>
                    <w:left w:w="0" w:type="dxa"/>
                    <w:bottom w:w="0" w:type="dxa"/>
                    <w:right w:w="0" w:type="dxa"/>
                  </w:tcMar>
                  <w:vAlign w:val="center"/>
                </w:tcPr>
                <w:p w14:paraId="2B8164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72.8</w:t>
                  </w:r>
                </w:p>
              </w:tc>
              <w:tc>
                <w:tcPr>
                  <w:tcW w:w="221" w:type="pct"/>
                  <w:shd w:val="clear" w:color="auto" w:fill="FFFFFF"/>
                  <w:tcMar>
                    <w:top w:w="0" w:type="dxa"/>
                    <w:left w:w="0" w:type="dxa"/>
                    <w:bottom w:w="0" w:type="dxa"/>
                    <w:right w:w="0" w:type="dxa"/>
                  </w:tcMar>
                  <w:vAlign w:val="center"/>
                </w:tcPr>
                <w:p w14:paraId="263729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12.4</w:t>
                  </w:r>
                </w:p>
              </w:tc>
              <w:tc>
                <w:tcPr>
                  <w:tcW w:w="223" w:type="pct"/>
                  <w:shd w:val="clear" w:color="auto" w:fill="FFFFFF"/>
                  <w:tcMar>
                    <w:top w:w="0" w:type="dxa"/>
                    <w:left w:w="0" w:type="dxa"/>
                    <w:bottom w:w="0" w:type="dxa"/>
                    <w:right w:w="0" w:type="dxa"/>
                  </w:tcMar>
                  <w:vAlign w:val="center"/>
                </w:tcPr>
                <w:p w14:paraId="55CD55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2AF7B9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47.3</w:t>
                  </w:r>
                </w:p>
              </w:tc>
              <w:tc>
                <w:tcPr>
                  <w:tcW w:w="182" w:type="pct"/>
                  <w:shd w:val="clear" w:color="auto" w:fill="FFFFFF"/>
                  <w:tcMar>
                    <w:top w:w="0" w:type="dxa"/>
                    <w:left w:w="0" w:type="dxa"/>
                    <w:bottom w:w="0" w:type="dxa"/>
                    <w:right w:w="0" w:type="dxa"/>
                  </w:tcMar>
                  <w:vAlign w:val="center"/>
                </w:tcPr>
                <w:p w14:paraId="787FF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35.5</w:t>
                  </w:r>
                </w:p>
              </w:tc>
              <w:tc>
                <w:tcPr>
                  <w:tcW w:w="182" w:type="pct"/>
                  <w:shd w:val="clear" w:color="auto" w:fill="FFFFFF"/>
                  <w:tcMar>
                    <w:top w:w="0" w:type="dxa"/>
                    <w:left w:w="0" w:type="dxa"/>
                    <w:bottom w:w="0" w:type="dxa"/>
                    <w:right w:w="0" w:type="dxa"/>
                  </w:tcMar>
                  <w:vAlign w:val="center"/>
                </w:tcPr>
                <w:p w14:paraId="2C28D6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58.0</w:t>
                  </w:r>
                </w:p>
              </w:tc>
              <w:tc>
                <w:tcPr>
                  <w:tcW w:w="189" w:type="pct"/>
                  <w:shd w:val="clear" w:color="auto" w:fill="FFFFFF"/>
                  <w:tcMar>
                    <w:top w:w="0" w:type="dxa"/>
                    <w:left w:w="0" w:type="dxa"/>
                    <w:bottom w:w="0" w:type="dxa"/>
                    <w:right w:w="0" w:type="dxa"/>
                  </w:tcMar>
                  <w:vAlign w:val="center"/>
                </w:tcPr>
                <w:p w14:paraId="166AAF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eastAsia" w:cs="Times New Roman"/>
                      <w:sz w:val="21"/>
                      <w:szCs w:val="21"/>
                      <w:lang w:val="en-US" w:eastAsia="zh-CN"/>
                    </w:rPr>
                    <w:t>5.2</w:t>
                  </w:r>
                </w:p>
              </w:tc>
              <w:tc>
                <w:tcPr>
                  <w:tcW w:w="180" w:type="pct"/>
                  <w:shd w:val="clear" w:color="auto" w:fill="FFFFFF"/>
                  <w:tcMar>
                    <w:top w:w="0" w:type="dxa"/>
                    <w:left w:w="0" w:type="dxa"/>
                    <w:bottom w:w="0" w:type="dxa"/>
                    <w:right w:w="0" w:type="dxa"/>
                  </w:tcMar>
                  <w:vAlign w:val="center"/>
                </w:tcPr>
                <w:p w14:paraId="5A0E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56.5</w:t>
                  </w:r>
                </w:p>
              </w:tc>
              <w:tc>
                <w:tcPr>
                  <w:tcW w:w="180" w:type="pct"/>
                  <w:shd w:val="clear" w:color="auto" w:fill="FFFFFF"/>
                  <w:tcMar>
                    <w:top w:w="0" w:type="dxa"/>
                    <w:left w:w="0" w:type="dxa"/>
                    <w:bottom w:w="0" w:type="dxa"/>
                    <w:right w:w="0" w:type="dxa"/>
                  </w:tcMar>
                  <w:vAlign w:val="center"/>
                </w:tcPr>
                <w:p w14:paraId="6F2294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58.</w:t>
                  </w:r>
                  <w:r>
                    <w:rPr>
                      <w:rFonts w:hint="default" w:ascii="Times New Roman" w:hAnsi="Times New Roman" w:cs="Times New Roman"/>
                      <w:sz w:val="21"/>
                      <w:szCs w:val="21"/>
                      <w:lang w:val="en-US" w:eastAsia="zh-CN"/>
                    </w:rPr>
                    <w:t>9</w:t>
                  </w:r>
                </w:p>
              </w:tc>
              <w:tc>
                <w:tcPr>
                  <w:tcW w:w="180" w:type="pct"/>
                  <w:shd w:val="clear" w:color="auto" w:fill="FFFFFF"/>
                  <w:tcMar>
                    <w:top w:w="0" w:type="dxa"/>
                    <w:left w:w="0" w:type="dxa"/>
                    <w:bottom w:w="0" w:type="dxa"/>
                    <w:right w:w="0" w:type="dxa"/>
                  </w:tcMar>
                  <w:vAlign w:val="center"/>
                </w:tcPr>
                <w:p w14:paraId="249416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54.7</w:t>
                  </w:r>
                </w:p>
              </w:tc>
              <w:tc>
                <w:tcPr>
                  <w:tcW w:w="186" w:type="pct"/>
                  <w:shd w:val="clear" w:color="auto" w:fill="FFFFFF"/>
                  <w:tcMar>
                    <w:top w:w="0" w:type="dxa"/>
                    <w:left w:w="0" w:type="dxa"/>
                    <w:bottom w:w="0" w:type="dxa"/>
                    <w:right w:w="0" w:type="dxa"/>
                  </w:tcMar>
                  <w:vAlign w:val="center"/>
                </w:tcPr>
                <w:p w14:paraId="62CE0E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eastAsia"/>
                      <w:szCs w:val="20"/>
                    </w:rPr>
                    <w:t>75.6</w:t>
                  </w:r>
                </w:p>
              </w:tc>
              <w:tc>
                <w:tcPr>
                  <w:tcW w:w="167" w:type="pct"/>
                  <w:vMerge w:val="continue"/>
                  <w:shd w:val="clear" w:color="auto" w:fill="FFFFFF"/>
                  <w:tcMar>
                    <w:top w:w="0" w:type="dxa"/>
                    <w:left w:w="0" w:type="dxa"/>
                    <w:bottom w:w="0" w:type="dxa"/>
                    <w:right w:w="0" w:type="dxa"/>
                  </w:tcMar>
                  <w:vAlign w:val="center"/>
                </w:tcPr>
                <w:p w14:paraId="553448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459" w:type="dxa"/>
                  <w:shd w:val="clear" w:color="auto" w:fill="FFFFFF"/>
                  <w:tcMar>
                    <w:top w:w="0" w:type="dxa"/>
                    <w:left w:w="0" w:type="dxa"/>
                    <w:bottom w:w="0" w:type="dxa"/>
                    <w:right w:w="0" w:type="dxa"/>
                  </w:tcMar>
                  <w:vAlign w:val="center"/>
                </w:tcPr>
                <w:p w14:paraId="1674CC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CB2D3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2ECEAD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71B58F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4C2E4F6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35.5</w:t>
                  </w:r>
                </w:p>
              </w:tc>
              <w:tc>
                <w:tcPr>
                  <w:tcW w:w="491" w:type="dxa"/>
                  <w:shd w:val="clear" w:color="auto" w:fill="FFFFFF"/>
                  <w:tcMar>
                    <w:top w:w="0" w:type="dxa"/>
                    <w:left w:w="0" w:type="dxa"/>
                    <w:bottom w:w="0" w:type="dxa"/>
                    <w:right w:w="0" w:type="dxa"/>
                  </w:tcMar>
                  <w:vAlign w:val="center"/>
                </w:tcPr>
                <w:p w14:paraId="0813F9A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37.9</w:t>
                  </w:r>
                </w:p>
              </w:tc>
              <w:tc>
                <w:tcPr>
                  <w:tcW w:w="491" w:type="dxa"/>
                  <w:shd w:val="clear" w:color="auto" w:fill="FFFFFF"/>
                  <w:tcMar>
                    <w:top w:w="0" w:type="dxa"/>
                    <w:left w:w="0" w:type="dxa"/>
                    <w:bottom w:w="0" w:type="dxa"/>
                    <w:right w:w="0" w:type="dxa"/>
                  </w:tcMar>
                  <w:vAlign w:val="center"/>
                </w:tcPr>
                <w:p w14:paraId="1C449FC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33.7</w:t>
                  </w:r>
                </w:p>
              </w:tc>
              <w:tc>
                <w:tcPr>
                  <w:tcW w:w="491" w:type="dxa"/>
                  <w:shd w:val="clear" w:color="auto" w:fill="FFFFFF"/>
                  <w:tcMar>
                    <w:top w:w="0" w:type="dxa"/>
                    <w:left w:w="0" w:type="dxa"/>
                    <w:bottom w:w="0" w:type="dxa"/>
                    <w:right w:w="0" w:type="dxa"/>
                  </w:tcMar>
                  <w:vAlign w:val="center"/>
                </w:tcPr>
                <w:p w14:paraId="38A8E692">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54.6</w:t>
                  </w:r>
                </w:p>
              </w:tc>
              <w:tc>
                <w:tcPr>
                  <w:tcW w:w="280" w:type="pct"/>
                  <w:shd w:val="clear" w:color="auto" w:fill="FFFFFF"/>
                  <w:tcMar>
                    <w:top w:w="0" w:type="dxa"/>
                    <w:left w:w="0" w:type="dxa"/>
                    <w:bottom w:w="0" w:type="dxa"/>
                    <w:right w:w="0" w:type="dxa"/>
                  </w:tcMar>
                  <w:vAlign w:val="center"/>
                </w:tcPr>
                <w:p w14:paraId="243182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3D7D7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48" w:hRule="atLeast"/>
              </w:trPr>
              <w:tc>
                <w:tcPr>
                  <w:tcW w:w="161" w:type="pct"/>
                  <w:shd w:val="clear" w:color="auto" w:fill="FFFFFF"/>
                  <w:tcMar>
                    <w:top w:w="0" w:type="dxa"/>
                    <w:left w:w="0" w:type="dxa"/>
                    <w:bottom w:w="0" w:type="dxa"/>
                    <w:right w:w="0" w:type="dxa"/>
                  </w:tcMar>
                  <w:vAlign w:val="center"/>
                </w:tcPr>
                <w:p w14:paraId="5E005A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5</w:t>
                  </w:r>
                </w:p>
              </w:tc>
              <w:tc>
                <w:tcPr>
                  <w:tcW w:w="198" w:type="pct"/>
                  <w:shd w:val="clear" w:color="auto" w:fill="FFFFFF"/>
                  <w:tcMar>
                    <w:top w:w="0" w:type="dxa"/>
                    <w:left w:w="0" w:type="dxa"/>
                    <w:bottom w:w="0" w:type="dxa"/>
                    <w:right w:w="0" w:type="dxa"/>
                  </w:tcMar>
                  <w:vAlign w:val="center"/>
                </w:tcPr>
                <w:p w14:paraId="07B84B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67FC3C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高速磨削机</w:t>
                  </w:r>
                </w:p>
              </w:tc>
              <w:tc>
                <w:tcPr>
                  <w:tcW w:w="236" w:type="pct"/>
                  <w:shd w:val="clear" w:color="auto" w:fill="FFFFFF"/>
                  <w:tcMar>
                    <w:top w:w="0" w:type="dxa"/>
                    <w:left w:w="0" w:type="dxa"/>
                    <w:bottom w:w="0" w:type="dxa"/>
                    <w:right w:w="0" w:type="dxa"/>
                  </w:tcMar>
                  <w:vAlign w:val="center"/>
                </w:tcPr>
                <w:p w14:paraId="6AF9E0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97" w:type="pct"/>
                  <w:vMerge w:val="continue"/>
                  <w:shd w:val="clear" w:color="auto" w:fill="FFFFFF"/>
                  <w:tcMar>
                    <w:top w:w="0" w:type="dxa"/>
                    <w:left w:w="0" w:type="dxa"/>
                    <w:bottom w:w="0" w:type="dxa"/>
                    <w:right w:w="0" w:type="dxa"/>
                  </w:tcMar>
                  <w:vAlign w:val="center"/>
                </w:tcPr>
                <w:p w14:paraId="6535BB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4CE8C1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76.1</w:t>
                  </w:r>
                </w:p>
              </w:tc>
              <w:tc>
                <w:tcPr>
                  <w:tcW w:w="221" w:type="pct"/>
                  <w:shd w:val="clear" w:color="auto" w:fill="FFFFFF"/>
                  <w:tcMar>
                    <w:top w:w="0" w:type="dxa"/>
                    <w:left w:w="0" w:type="dxa"/>
                    <w:bottom w:w="0" w:type="dxa"/>
                    <w:right w:w="0" w:type="dxa"/>
                  </w:tcMar>
                  <w:vAlign w:val="center"/>
                </w:tcPr>
                <w:p w14:paraId="627FE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12.4</w:t>
                  </w:r>
                </w:p>
              </w:tc>
              <w:tc>
                <w:tcPr>
                  <w:tcW w:w="223" w:type="pct"/>
                  <w:shd w:val="clear" w:color="auto" w:fill="FFFFFF"/>
                  <w:tcMar>
                    <w:top w:w="0" w:type="dxa"/>
                    <w:left w:w="0" w:type="dxa"/>
                    <w:bottom w:w="0" w:type="dxa"/>
                    <w:right w:w="0" w:type="dxa"/>
                  </w:tcMar>
                  <w:vAlign w:val="center"/>
                </w:tcPr>
                <w:p w14:paraId="09E2A3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067AC8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44.0</w:t>
                  </w:r>
                </w:p>
              </w:tc>
              <w:tc>
                <w:tcPr>
                  <w:tcW w:w="182" w:type="pct"/>
                  <w:shd w:val="clear" w:color="auto" w:fill="FFFFFF"/>
                  <w:tcMar>
                    <w:top w:w="0" w:type="dxa"/>
                    <w:left w:w="0" w:type="dxa"/>
                    <w:bottom w:w="0" w:type="dxa"/>
                    <w:right w:w="0" w:type="dxa"/>
                  </w:tcMar>
                  <w:vAlign w:val="center"/>
                </w:tcPr>
                <w:p w14:paraId="1528A3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35.5</w:t>
                  </w:r>
                </w:p>
              </w:tc>
              <w:tc>
                <w:tcPr>
                  <w:tcW w:w="182" w:type="pct"/>
                  <w:shd w:val="clear" w:color="auto" w:fill="FFFFFF"/>
                  <w:tcMar>
                    <w:top w:w="0" w:type="dxa"/>
                    <w:left w:w="0" w:type="dxa"/>
                    <w:bottom w:w="0" w:type="dxa"/>
                    <w:right w:w="0" w:type="dxa"/>
                  </w:tcMar>
                  <w:vAlign w:val="center"/>
                </w:tcPr>
                <w:p w14:paraId="139324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61.3</w:t>
                  </w:r>
                </w:p>
              </w:tc>
              <w:tc>
                <w:tcPr>
                  <w:tcW w:w="189" w:type="pct"/>
                  <w:shd w:val="clear" w:color="auto" w:fill="FFFFFF"/>
                  <w:tcMar>
                    <w:top w:w="0" w:type="dxa"/>
                    <w:left w:w="0" w:type="dxa"/>
                    <w:bottom w:w="0" w:type="dxa"/>
                    <w:right w:w="0" w:type="dxa"/>
                  </w:tcMar>
                  <w:vAlign w:val="center"/>
                </w:tcPr>
                <w:p w14:paraId="3C37B7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eastAsia" w:cs="Times New Roman"/>
                      <w:sz w:val="21"/>
                      <w:szCs w:val="21"/>
                      <w:lang w:val="en-US" w:eastAsia="zh-CN"/>
                    </w:rPr>
                    <w:t>4.9</w:t>
                  </w:r>
                </w:p>
              </w:tc>
              <w:tc>
                <w:tcPr>
                  <w:tcW w:w="180" w:type="pct"/>
                  <w:shd w:val="clear" w:color="auto" w:fill="FFFFFF"/>
                  <w:tcMar>
                    <w:top w:w="0" w:type="dxa"/>
                    <w:left w:w="0" w:type="dxa"/>
                    <w:bottom w:w="0" w:type="dxa"/>
                    <w:right w:w="0" w:type="dxa"/>
                  </w:tcMar>
                  <w:vAlign w:val="center"/>
                </w:tcPr>
                <w:p w14:paraId="4B1608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57.1</w:t>
                  </w:r>
                </w:p>
              </w:tc>
              <w:tc>
                <w:tcPr>
                  <w:tcW w:w="180" w:type="pct"/>
                  <w:shd w:val="clear" w:color="auto" w:fill="FFFFFF"/>
                  <w:tcMar>
                    <w:top w:w="0" w:type="dxa"/>
                    <w:left w:w="0" w:type="dxa"/>
                    <w:bottom w:w="0" w:type="dxa"/>
                    <w:right w:w="0" w:type="dxa"/>
                  </w:tcMar>
                  <w:vAlign w:val="center"/>
                </w:tcPr>
                <w:p w14:paraId="156038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58.9</w:t>
                  </w:r>
                </w:p>
              </w:tc>
              <w:tc>
                <w:tcPr>
                  <w:tcW w:w="180" w:type="pct"/>
                  <w:shd w:val="clear" w:color="auto" w:fill="FFFFFF"/>
                  <w:tcMar>
                    <w:top w:w="0" w:type="dxa"/>
                    <w:left w:w="0" w:type="dxa"/>
                    <w:bottom w:w="0" w:type="dxa"/>
                    <w:right w:w="0" w:type="dxa"/>
                  </w:tcMar>
                  <w:vAlign w:val="center"/>
                </w:tcPr>
                <w:p w14:paraId="4BA6B5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54.2</w:t>
                  </w:r>
                </w:p>
              </w:tc>
              <w:tc>
                <w:tcPr>
                  <w:tcW w:w="186" w:type="pct"/>
                  <w:shd w:val="clear" w:color="auto" w:fill="FFFFFF"/>
                  <w:tcMar>
                    <w:top w:w="0" w:type="dxa"/>
                    <w:left w:w="0" w:type="dxa"/>
                    <w:bottom w:w="0" w:type="dxa"/>
                    <w:right w:w="0" w:type="dxa"/>
                  </w:tcMar>
                  <w:vAlign w:val="center"/>
                </w:tcPr>
                <w:p w14:paraId="43352A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eastAsia"/>
                      <w:szCs w:val="20"/>
                    </w:rPr>
                    <w:t>76.1</w:t>
                  </w:r>
                </w:p>
              </w:tc>
              <w:tc>
                <w:tcPr>
                  <w:tcW w:w="167" w:type="pct"/>
                  <w:vMerge w:val="continue"/>
                  <w:shd w:val="clear" w:color="auto" w:fill="FFFFFF"/>
                  <w:tcMar>
                    <w:top w:w="0" w:type="dxa"/>
                    <w:left w:w="0" w:type="dxa"/>
                    <w:bottom w:w="0" w:type="dxa"/>
                    <w:right w:w="0" w:type="dxa"/>
                  </w:tcMar>
                  <w:vAlign w:val="center"/>
                </w:tcPr>
                <w:p w14:paraId="2CCBA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459" w:type="dxa"/>
                  <w:shd w:val="clear" w:color="auto" w:fill="FFFFFF"/>
                  <w:tcMar>
                    <w:top w:w="0" w:type="dxa"/>
                    <w:left w:w="0" w:type="dxa"/>
                    <w:bottom w:w="0" w:type="dxa"/>
                    <w:right w:w="0" w:type="dxa"/>
                  </w:tcMar>
                  <w:vAlign w:val="center"/>
                </w:tcPr>
                <w:p w14:paraId="1F9AF0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6743A8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348AC1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5FEEC9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1C4B778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36.1</w:t>
                  </w:r>
                </w:p>
              </w:tc>
              <w:tc>
                <w:tcPr>
                  <w:tcW w:w="491" w:type="dxa"/>
                  <w:shd w:val="clear" w:color="auto" w:fill="FFFFFF"/>
                  <w:tcMar>
                    <w:top w:w="0" w:type="dxa"/>
                    <w:left w:w="0" w:type="dxa"/>
                    <w:bottom w:w="0" w:type="dxa"/>
                    <w:right w:w="0" w:type="dxa"/>
                  </w:tcMar>
                  <w:vAlign w:val="center"/>
                </w:tcPr>
                <w:p w14:paraId="7AE334D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37.9</w:t>
                  </w:r>
                </w:p>
              </w:tc>
              <w:tc>
                <w:tcPr>
                  <w:tcW w:w="491" w:type="dxa"/>
                  <w:shd w:val="clear" w:color="auto" w:fill="FFFFFF"/>
                  <w:tcMar>
                    <w:top w:w="0" w:type="dxa"/>
                    <w:left w:w="0" w:type="dxa"/>
                    <w:bottom w:w="0" w:type="dxa"/>
                    <w:right w:w="0" w:type="dxa"/>
                  </w:tcMar>
                  <w:vAlign w:val="center"/>
                </w:tcPr>
                <w:p w14:paraId="68CB796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33.2</w:t>
                  </w:r>
                </w:p>
              </w:tc>
              <w:tc>
                <w:tcPr>
                  <w:tcW w:w="491" w:type="dxa"/>
                  <w:shd w:val="clear" w:color="auto" w:fill="FFFFFF"/>
                  <w:tcMar>
                    <w:top w:w="0" w:type="dxa"/>
                    <w:left w:w="0" w:type="dxa"/>
                    <w:bottom w:w="0" w:type="dxa"/>
                    <w:right w:w="0" w:type="dxa"/>
                  </w:tcMar>
                  <w:vAlign w:val="center"/>
                </w:tcPr>
                <w:p w14:paraId="25A26EC8">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55.1</w:t>
                  </w:r>
                </w:p>
              </w:tc>
              <w:tc>
                <w:tcPr>
                  <w:tcW w:w="280" w:type="pct"/>
                  <w:shd w:val="clear" w:color="auto" w:fill="FFFFFF"/>
                  <w:tcMar>
                    <w:top w:w="0" w:type="dxa"/>
                    <w:left w:w="0" w:type="dxa"/>
                    <w:bottom w:w="0" w:type="dxa"/>
                    <w:right w:w="0" w:type="dxa"/>
                  </w:tcMar>
                  <w:vAlign w:val="center"/>
                </w:tcPr>
                <w:p w14:paraId="5B557B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776C2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0" w:hRule="atLeast"/>
              </w:trPr>
              <w:tc>
                <w:tcPr>
                  <w:tcW w:w="161" w:type="pct"/>
                  <w:shd w:val="clear" w:color="auto" w:fill="FFFFFF"/>
                  <w:tcMar>
                    <w:top w:w="0" w:type="dxa"/>
                    <w:left w:w="0" w:type="dxa"/>
                    <w:bottom w:w="0" w:type="dxa"/>
                    <w:right w:w="0" w:type="dxa"/>
                  </w:tcMar>
                  <w:vAlign w:val="center"/>
                </w:tcPr>
                <w:p w14:paraId="5CA623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6</w:t>
                  </w:r>
                </w:p>
              </w:tc>
              <w:tc>
                <w:tcPr>
                  <w:tcW w:w="198" w:type="pct"/>
                  <w:shd w:val="clear" w:color="auto" w:fill="FFFFFF"/>
                  <w:tcMar>
                    <w:top w:w="0" w:type="dxa"/>
                    <w:left w:w="0" w:type="dxa"/>
                    <w:bottom w:w="0" w:type="dxa"/>
                    <w:right w:w="0" w:type="dxa"/>
                  </w:tcMar>
                  <w:vAlign w:val="center"/>
                </w:tcPr>
                <w:p w14:paraId="67945C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6DCF6A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角磨机</w:t>
                  </w:r>
                </w:p>
              </w:tc>
              <w:tc>
                <w:tcPr>
                  <w:tcW w:w="236" w:type="pct"/>
                  <w:shd w:val="clear" w:color="auto" w:fill="FFFFFF"/>
                  <w:tcMar>
                    <w:top w:w="0" w:type="dxa"/>
                    <w:left w:w="0" w:type="dxa"/>
                    <w:bottom w:w="0" w:type="dxa"/>
                    <w:right w:w="0" w:type="dxa"/>
                  </w:tcMar>
                  <w:vAlign w:val="center"/>
                </w:tcPr>
                <w:p w14:paraId="54BF2C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97" w:type="pct"/>
                  <w:vMerge w:val="continue"/>
                  <w:shd w:val="clear" w:color="auto" w:fill="FFFFFF"/>
                  <w:tcMar>
                    <w:top w:w="0" w:type="dxa"/>
                    <w:left w:w="0" w:type="dxa"/>
                    <w:bottom w:w="0" w:type="dxa"/>
                    <w:right w:w="0" w:type="dxa"/>
                  </w:tcMar>
                  <w:vAlign w:val="center"/>
                </w:tcPr>
                <w:p w14:paraId="1D96FE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1EBE9D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78.9</w:t>
                  </w:r>
                </w:p>
              </w:tc>
              <w:tc>
                <w:tcPr>
                  <w:tcW w:w="221" w:type="pct"/>
                  <w:shd w:val="clear" w:color="auto" w:fill="FFFFFF"/>
                  <w:tcMar>
                    <w:top w:w="0" w:type="dxa"/>
                    <w:left w:w="0" w:type="dxa"/>
                    <w:bottom w:w="0" w:type="dxa"/>
                    <w:right w:w="0" w:type="dxa"/>
                  </w:tcMar>
                  <w:vAlign w:val="center"/>
                </w:tcPr>
                <w:p w14:paraId="3E61E7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13.6</w:t>
                  </w:r>
                </w:p>
              </w:tc>
              <w:tc>
                <w:tcPr>
                  <w:tcW w:w="223" w:type="pct"/>
                  <w:shd w:val="clear" w:color="auto" w:fill="FFFFFF"/>
                  <w:tcMar>
                    <w:top w:w="0" w:type="dxa"/>
                    <w:left w:w="0" w:type="dxa"/>
                    <w:bottom w:w="0" w:type="dxa"/>
                    <w:right w:w="0" w:type="dxa"/>
                  </w:tcMar>
                  <w:vAlign w:val="center"/>
                </w:tcPr>
                <w:p w14:paraId="24B3B0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78E513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41.2</w:t>
                  </w:r>
                </w:p>
              </w:tc>
              <w:tc>
                <w:tcPr>
                  <w:tcW w:w="182" w:type="pct"/>
                  <w:shd w:val="clear" w:color="auto" w:fill="FFFFFF"/>
                  <w:tcMar>
                    <w:top w:w="0" w:type="dxa"/>
                    <w:left w:w="0" w:type="dxa"/>
                    <w:bottom w:w="0" w:type="dxa"/>
                    <w:right w:w="0" w:type="dxa"/>
                  </w:tcMar>
                  <w:vAlign w:val="center"/>
                </w:tcPr>
                <w:p w14:paraId="30B76A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36.7</w:t>
                  </w:r>
                </w:p>
              </w:tc>
              <w:tc>
                <w:tcPr>
                  <w:tcW w:w="182" w:type="pct"/>
                  <w:shd w:val="clear" w:color="auto" w:fill="FFFFFF"/>
                  <w:tcMar>
                    <w:top w:w="0" w:type="dxa"/>
                    <w:left w:w="0" w:type="dxa"/>
                    <w:bottom w:w="0" w:type="dxa"/>
                    <w:right w:w="0" w:type="dxa"/>
                  </w:tcMar>
                  <w:vAlign w:val="center"/>
                </w:tcPr>
                <w:p w14:paraId="5970C5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64.1</w:t>
                  </w:r>
                </w:p>
              </w:tc>
              <w:tc>
                <w:tcPr>
                  <w:tcW w:w="189" w:type="pct"/>
                  <w:shd w:val="clear" w:color="auto" w:fill="FFFFFF"/>
                  <w:tcMar>
                    <w:top w:w="0" w:type="dxa"/>
                    <w:left w:w="0" w:type="dxa"/>
                    <w:bottom w:w="0" w:type="dxa"/>
                    <w:right w:w="0" w:type="dxa"/>
                  </w:tcMar>
                  <w:vAlign w:val="center"/>
                </w:tcPr>
                <w:p w14:paraId="71BCAD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eastAsia" w:cs="Times New Roman"/>
                      <w:sz w:val="21"/>
                      <w:szCs w:val="21"/>
                      <w:lang w:val="en-US" w:eastAsia="zh-CN"/>
                    </w:rPr>
                    <w:t>3</w:t>
                  </w:r>
                  <w:r>
                    <w:rPr>
                      <w:rFonts w:hint="default" w:ascii="Times New Roman" w:hAnsi="Times New Roman" w:eastAsia="宋体" w:cs="Times New Roman"/>
                      <w:sz w:val="21"/>
                      <w:szCs w:val="21"/>
                    </w:rPr>
                    <w:t>.7</w:t>
                  </w:r>
                </w:p>
              </w:tc>
              <w:tc>
                <w:tcPr>
                  <w:tcW w:w="180" w:type="pct"/>
                  <w:shd w:val="clear" w:color="auto" w:fill="FFFFFF"/>
                  <w:tcMar>
                    <w:top w:w="0" w:type="dxa"/>
                    <w:left w:w="0" w:type="dxa"/>
                    <w:bottom w:w="0" w:type="dxa"/>
                    <w:right w:w="0" w:type="dxa"/>
                  </w:tcMar>
                  <w:vAlign w:val="center"/>
                </w:tcPr>
                <w:p w14:paraId="5C6FBB2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57.7</w:t>
                  </w:r>
                </w:p>
              </w:tc>
              <w:tc>
                <w:tcPr>
                  <w:tcW w:w="180" w:type="pct"/>
                  <w:shd w:val="clear" w:color="auto" w:fill="FFFFFF"/>
                  <w:tcMar>
                    <w:top w:w="0" w:type="dxa"/>
                    <w:left w:w="0" w:type="dxa"/>
                    <w:bottom w:w="0" w:type="dxa"/>
                    <w:right w:w="0" w:type="dxa"/>
                  </w:tcMar>
                  <w:vAlign w:val="center"/>
                </w:tcPr>
                <w:p w14:paraId="65E692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58.7</w:t>
                  </w:r>
                </w:p>
              </w:tc>
              <w:tc>
                <w:tcPr>
                  <w:tcW w:w="180" w:type="pct"/>
                  <w:shd w:val="clear" w:color="auto" w:fill="FFFFFF"/>
                  <w:tcMar>
                    <w:top w:w="0" w:type="dxa"/>
                    <w:left w:w="0" w:type="dxa"/>
                    <w:bottom w:w="0" w:type="dxa"/>
                    <w:right w:w="0" w:type="dxa"/>
                  </w:tcMar>
                  <w:vAlign w:val="center"/>
                </w:tcPr>
                <w:p w14:paraId="35B8CB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53.8</w:t>
                  </w:r>
                </w:p>
              </w:tc>
              <w:tc>
                <w:tcPr>
                  <w:tcW w:w="186" w:type="pct"/>
                  <w:shd w:val="clear" w:color="auto" w:fill="FFFFFF"/>
                  <w:tcMar>
                    <w:top w:w="0" w:type="dxa"/>
                    <w:left w:w="0" w:type="dxa"/>
                    <w:bottom w:w="0" w:type="dxa"/>
                    <w:right w:w="0" w:type="dxa"/>
                  </w:tcMar>
                  <w:vAlign w:val="center"/>
                </w:tcPr>
                <w:p w14:paraId="43A3B4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eastAsia"/>
                      <w:szCs w:val="20"/>
                    </w:rPr>
                    <w:t>78.6</w:t>
                  </w:r>
                </w:p>
              </w:tc>
              <w:tc>
                <w:tcPr>
                  <w:tcW w:w="167" w:type="pct"/>
                  <w:vMerge w:val="continue"/>
                  <w:shd w:val="clear" w:color="auto" w:fill="FFFFFF"/>
                  <w:tcMar>
                    <w:top w:w="0" w:type="dxa"/>
                    <w:left w:w="0" w:type="dxa"/>
                    <w:bottom w:w="0" w:type="dxa"/>
                    <w:right w:w="0" w:type="dxa"/>
                  </w:tcMar>
                  <w:vAlign w:val="center"/>
                </w:tcPr>
                <w:p w14:paraId="3C448F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459" w:type="dxa"/>
                  <w:shd w:val="clear" w:color="auto" w:fill="FFFFFF"/>
                  <w:tcMar>
                    <w:top w:w="0" w:type="dxa"/>
                    <w:left w:w="0" w:type="dxa"/>
                    <w:bottom w:w="0" w:type="dxa"/>
                    <w:right w:w="0" w:type="dxa"/>
                  </w:tcMar>
                  <w:vAlign w:val="center"/>
                </w:tcPr>
                <w:p w14:paraId="58147A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5F0C72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1B7A984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1D5865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129D756A">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36.7</w:t>
                  </w:r>
                </w:p>
              </w:tc>
              <w:tc>
                <w:tcPr>
                  <w:tcW w:w="491" w:type="dxa"/>
                  <w:shd w:val="clear" w:color="auto" w:fill="FFFFFF"/>
                  <w:tcMar>
                    <w:top w:w="0" w:type="dxa"/>
                    <w:left w:w="0" w:type="dxa"/>
                    <w:bottom w:w="0" w:type="dxa"/>
                    <w:right w:w="0" w:type="dxa"/>
                  </w:tcMar>
                  <w:vAlign w:val="center"/>
                </w:tcPr>
                <w:p w14:paraId="519B431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37.7</w:t>
                  </w:r>
                </w:p>
              </w:tc>
              <w:tc>
                <w:tcPr>
                  <w:tcW w:w="491" w:type="dxa"/>
                  <w:shd w:val="clear" w:color="auto" w:fill="FFFFFF"/>
                  <w:tcMar>
                    <w:top w:w="0" w:type="dxa"/>
                    <w:left w:w="0" w:type="dxa"/>
                    <w:bottom w:w="0" w:type="dxa"/>
                    <w:right w:w="0" w:type="dxa"/>
                  </w:tcMar>
                  <w:vAlign w:val="center"/>
                </w:tcPr>
                <w:p w14:paraId="052A1AC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32.8</w:t>
                  </w:r>
                </w:p>
              </w:tc>
              <w:tc>
                <w:tcPr>
                  <w:tcW w:w="491" w:type="dxa"/>
                  <w:shd w:val="clear" w:color="auto" w:fill="FFFFFF"/>
                  <w:tcMar>
                    <w:top w:w="0" w:type="dxa"/>
                    <w:left w:w="0" w:type="dxa"/>
                    <w:bottom w:w="0" w:type="dxa"/>
                    <w:right w:w="0" w:type="dxa"/>
                  </w:tcMar>
                  <w:vAlign w:val="center"/>
                </w:tcPr>
                <w:p w14:paraId="29F39A9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57.6</w:t>
                  </w:r>
                </w:p>
              </w:tc>
              <w:tc>
                <w:tcPr>
                  <w:tcW w:w="280" w:type="pct"/>
                  <w:shd w:val="clear" w:color="auto" w:fill="FFFFFF"/>
                  <w:tcMar>
                    <w:top w:w="0" w:type="dxa"/>
                    <w:left w:w="0" w:type="dxa"/>
                    <w:bottom w:w="0" w:type="dxa"/>
                    <w:right w:w="0" w:type="dxa"/>
                  </w:tcMar>
                  <w:vAlign w:val="center"/>
                </w:tcPr>
                <w:p w14:paraId="6793E1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5E1E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0" w:hRule="atLeast"/>
              </w:trPr>
              <w:tc>
                <w:tcPr>
                  <w:tcW w:w="161" w:type="pct"/>
                  <w:shd w:val="clear" w:color="auto" w:fill="FFFFFF"/>
                  <w:tcMar>
                    <w:top w:w="0" w:type="dxa"/>
                    <w:left w:w="0" w:type="dxa"/>
                    <w:bottom w:w="0" w:type="dxa"/>
                    <w:right w:w="0" w:type="dxa"/>
                  </w:tcMar>
                  <w:vAlign w:val="center"/>
                </w:tcPr>
                <w:p w14:paraId="3C55C9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7</w:t>
                  </w:r>
                </w:p>
              </w:tc>
              <w:tc>
                <w:tcPr>
                  <w:tcW w:w="198" w:type="pct"/>
                  <w:shd w:val="clear" w:color="auto" w:fill="FFFFFF"/>
                  <w:tcMar>
                    <w:top w:w="0" w:type="dxa"/>
                    <w:left w:w="0" w:type="dxa"/>
                    <w:bottom w:w="0" w:type="dxa"/>
                    <w:right w:w="0" w:type="dxa"/>
                  </w:tcMar>
                  <w:vAlign w:val="center"/>
                </w:tcPr>
                <w:p w14:paraId="580908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0BA3A3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角磨机</w:t>
                  </w:r>
                </w:p>
              </w:tc>
              <w:tc>
                <w:tcPr>
                  <w:tcW w:w="236" w:type="pct"/>
                  <w:shd w:val="clear" w:color="auto" w:fill="FFFFFF"/>
                  <w:tcMar>
                    <w:top w:w="0" w:type="dxa"/>
                    <w:left w:w="0" w:type="dxa"/>
                    <w:bottom w:w="0" w:type="dxa"/>
                    <w:right w:w="0" w:type="dxa"/>
                  </w:tcMar>
                  <w:vAlign w:val="center"/>
                </w:tcPr>
                <w:p w14:paraId="717714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w:t>
                  </w:r>
                </w:p>
              </w:tc>
              <w:tc>
                <w:tcPr>
                  <w:tcW w:w="197" w:type="pct"/>
                  <w:vMerge w:val="continue"/>
                  <w:shd w:val="clear" w:color="auto" w:fill="FFFFFF"/>
                  <w:tcMar>
                    <w:top w:w="0" w:type="dxa"/>
                    <w:left w:w="0" w:type="dxa"/>
                    <w:bottom w:w="0" w:type="dxa"/>
                    <w:right w:w="0" w:type="dxa"/>
                  </w:tcMar>
                  <w:vAlign w:val="center"/>
                </w:tcPr>
                <w:p w14:paraId="43B62C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p>
              </w:tc>
              <w:tc>
                <w:tcPr>
                  <w:tcW w:w="221" w:type="pct"/>
                  <w:shd w:val="clear" w:color="auto" w:fill="FFFFFF"/>
                  <w:tcMar>
                    <w:top w:w="0" w:type="dxa"/>
                    <w:left w:w="0" w:type="dxa"/>
                    <w:bottom w:w="0" w:type="dxa"/>
                    <w:right w:w="0" w:type="dxa"/>
                  </w:tcMar>
                  <w:vAlign w:val="center"/>
                </w:tcPr>
                <w:p w14:paraId="1B1CCD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81.5</w:t>
                  </w:r>
                </w:p>
              </w:tc>
              <w:tc>
                <w:tcPr>
                  <w:tcW w:w="221" w:type="pct"/>
                  <w:shd w:val="clear" w:color="auto" w:fill="FFFFFF"/>
                  <w:tcMar>
                    <w:top w:w="0" w:type="dxa"/>
                    <w:left w:w="0" w:type="dxa"/>
                    <w:bottom w:w="0" w:type="dxa"/>
                    <w:right w:w="0" w:type="dxa"/>
                  </w:tcMar>
                  <w:vAlign w:val="center"/>
                </w:tcPr>
                <w:p w14:paraId="245895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13.4</w:t>
                  </w:r>
                </w:p>
              </w:tc>
              <w:tc>
                <w:tcPr>
                  <w:tcW w:w="223" w:type="pct"/>
                  <w:shd w:val="clear" w:color="auto" w:fill="FFFFFF"/>
                  <w:tcMar>
                    <w:top w:w="0" w:type="dxa"/>
                    <w:left w:w="0" w:type="dxa"/>
                    <w:bottom w:w="0" w:type="dxa"/>
                    <w:right w:w="0" w:type="dxa"/>
                  </w:tcMar>
                  <w:vAlign w:val="center"/>
                </w:tcPr>
                <w:p w14:paraId="248B07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6FF6C9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38.6</w:t>
                  </w:r>
                </w:p>
              </w:tc>
              <w:tc>
                <w:tcPr>
                  <w:tcW w:w="182" w:type="pct"/>
                  <w:shd w:val="clear" w:color="auto" w:fill="FFFFFF"/>
                  <w:tcMar>
                    <w:top w:w="0" w:type="dxa"/>
                    <w:left w:w="0" w:type="dxa"/>
                    <w:bottom w:w="0" w:type="dxa"/>
                    <w:right w:w="0" w:type="dxa"/>
                  </w:tcMar>
                  <w:vAlign w:val="center"/>
                </w:tcPr>
                <w:p w14:paraId="66D1EC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36.5</w:t>
                  </w:r>
                </w:p>
              </w:tc>
              <w:tc>
                <w:tcPr>
                  <w:tcW w:w="182" w:type="pct"/>
                  <w:shd w:val="clear" w:color="auto" w:fill="FFFFFF"/>
                  <w:tcMar>
                    <w:top w:w="0" w:type="dxa"/>
                    <w:left w:w="0" w:type="dxa"/>
                    <w:bottom w:w="0" w:type="dxa"/>
                    <w:right w:w="0" w:type="dxa"/>
                  </w:tcMar>
                  <w:vAlign w:val="center"/>
                </w:tcPr>
                <w:p w14:paraId="02EE1E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66.7</w:t>
                  </w:r>
                </w:p>
              </w:tc>
              <w:tc>
                <w:tcPr>
                  <w:tcW w:w="189" w:type="pct"/>
                  <w:shd w:val="clear" w:color="auto" w:fill="FFFFFF"/>
                  <w:tcMar>
                    <w:top w:w="0" w:type="dxa"/>
                    <w:left w:w="0" w:type="dxa"/>
                    <w:bottom w:w="0" w:type="dxa"/>
                    <w:right w:w="0" w:type="dxa"/>
                  </w:tcMar>
                  <w:vAlign w:val="center"/>
                </w:tcPr>
                <w:p w14:paraId="2349C6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eastAsia" w:cs="Times New Roman"/>
                      <w:sz w:val="21"/>
                      <w:szCs w:val="21"/>
                      <w:lang w:val="en-US" w:eastAsia="zh-CN"/>
                    </w:rPr>
                    <w:t>3</w:t>
                  </w:r>
                  <w:r>
                    <w:rPr>
                      <w:rFonts w:hint="default" w:ascii="Times New Roman" w:hAnsi="Times New Roman" w:eastAsia="宋体" w:cs="Times New Roman"/>
                      <w:sz w:val="21"/>
                      <w:szCs w:val="21"/>
                    </w:rPr>
                    <w:t>.9</w:t>
                  </w:r>
                </w:p>
              </w:tc>
              <w:tc>
                <w:tcPr>
                  <w:tcW w:w="180" w:type="pct"/>
                  <w:shd w:val="clear" w:color="auto" w:fill="FFFFFF"/>
                  <w:tcMar>
                    <w:top w:w="0" w:type="dxa"/>
                    <w:left w:w="0" w:type="dxa"/>
                    <w:bottom w:w="0" w:type="dxa"/>
                    <w:right w:w="0" w:type="dxa"/>
                  </w:tcMar>
                  <w:vAlign w:val="center"/>
                </w:tcPr>
                <w:p w14:paraId="186882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58.2</w:t>
                  </w:r>
                </w:p>
              </w:tc>
              <w:tc>
                <w:tcPr>
                  <w:tcW w:w="180" w:type="pct"/>
                  <w:shd w:val="clear" w:color="auto" w:fill="FFFFFF"/>
                  <w:tcMar>
                    <w:top w:w="0" w:type="dxa"/>
                    <w:left w:w="0" w:type="dxa"/>
                    <w:bottom w:w="0" w:type="dxa"/>
                    <w:right w:w="0" w:type="dxa"/>
                  </w:tcMar>
                  <w:vAlign w:val="center"/>
                </w:tcPr>
                <w:p w14:paraId="17FF4B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58.7</w:t>
                  </w:r>
                </w:p>
              </w:tc>
              <w:tc>
                <w:tcPr>
                  <w:tcW w:w="180" w:type="pct"/>
                  <w:shd w:val="clear" w:color="auto" w:fill="FFFFFF"/>
                  <w:tcMar>
                    <w:top w:w="0" w:type="dxa"/>
                    <w:left w:w="0" w:type="dxa"/>
                    <w:bottom w:w="0" w:type="dxa"/>
                    <w:right w:w="0" w:type="dxa"/>
                  </w:tcMar>
                  <w:vAlign w:val="center"/>
                </w:tcPr>
                <w:p w14:paraId="1BCF03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53.5</w:t>
                  </w:r>
                </w:p>
              </w:tc>
              <w:tc>
                <w:tcPr>
                  <w:tcW w:w="186" w:type="pct"/>
                  <w:shd w:val="clear" w:color="auto" w:fill="FFFFFF"/>
                  <w:tcMar>
                    <w:top w:w="0" w:type="dxa"/>
                    <w:left w:w="0" w:type="dxa"/>
                    <w:bottom w:w="0" w:type="dxa"/>
                    <w:right w:w="0" w:type="dxa"/>
                  </w:tcMar>
                  <w:vAlign w:val="center"/>
                </w:tcPr>
                <w:p w14:paraId="53F5F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eastAsia"/>
                      <w:szCs w:val="20"/>
                    </w:rPr>
                    <w:t>78.1</w:t>
                  </w:r>
                </w:p>
              </w:tc>
              <w:tc>
                <w:tcPr>
                  <w:tcW w:w="167" w:type="pct"/>
                  <w:vMerge w:val="continue"/>
                  <w:shd w:val="clear" w:color="auto" w:fill="FFFFFF"/>
                  <w:tcMar>
                    <w:top w:w="0" w:type="dxa"/>
                    <w:left w:w="0" w:type="dxa"/>
                    <w:bottom w:w="0" w:type="dxa"/>
                    <w:right w:w="0" w:type="dxa"/>
                  </w:tcMar>
                  <w:vAlign w:val="center"/>
                </w:tcPr>
                <w:p w14:paraId="7046FA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rPr>
                  </w:pPr>
                </w:p>
              </w:tc>
              <w:tc>
                <w:tcPr>
                  <w:tcW w:w="459" w:type="dxa"/>
                  <w:shd w:val="clear" w:color="auto" w:fill="FFFFFF"/>
                  <w:tcMar>
                    <w:top w:w="0" w:type="dxa"/>
                    <w:left w:w="0" w:type="dxa"/>
                    <w:bottom w:w="0" w:type="dxa"/>
                    <w:right w:w="0" w:type="dxa"/>
                  </w:tcMar>
                  <w:vAlign w:val="center"/>
                </w:tcPr>
                <w:p w14:paraId="47E7BA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00A834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19777F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7A84B86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sz w:val="21"/>
                      <w:szCs w:val="21"/>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4694907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37.2</w:t>
                  </w:r>
                </w:p>
              </w:tc>
              <w:tc>
                <w:tcPr>
                  <w:tcW w:w="491" w:type="dxa"/>
                  <w:shd w:val="clear" w:color="auto" w:fill="FFFFFF"/>
                  <w:tcMar>
                    <w:top w:w="0" w:type="dxa"/>
                    <w:left w:w="0" w:type="dxa"/>
                    <w:bottom w:w="0" w:type="dxa"/>
                    <w:right w:w="0" w:type="dxa"/>
                  </w:tcMar>
                  <w:vAlign w:val="center"/>
                </w:tcPr>
                <w:p w14:paraId="68570ED3">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37.7</w:t>
                  </w:r>
                </w:p>
              </w:tc>
              <w:tc>
                <w:tcPr>
                  <w:tcW w:w="491" w:type="dxa"/>
                  <w:shd w:val="clear" w:color="auto" w:fill="FFFFFF"/>
                  <w:tcMar>
                    <w:top w:w="0" w:type="dxa"/>
                    <w:left w:w="0" w:type="dxa"/>
                    <w:bottom w:w="0" w:type="dxa"/>
                    <w:right w:w="0" w:type="dxa"/>
                  </w:tcMar>
                  <w:vAlign w:val="center"/>
                </w:tcPr>
                <w:p w14:paraId="11C4F48D">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32.5</w:t>
                  </w:r>
                </w:p>
              </w:tc>
              <w:tc>
                <w:tcPr>
                  <w:tcW w:w="491" w:type="dxa"/>
                  <w:shd w:val="clear" w:color="auto" w:fill="FFFFFF"/>
                  <w:tcMar>
                    <w:top w:w="0" w:type="dxa"/>
                    <w:left w:w="0" w:type="dxa"/>
                    <w:bottom w:w="0" w:type="dxa"/>
                    <w:right w:w="0" w:type="dxa"/>
                  </w:tcMar>
                  <w:vAlign w:val="center"/>
                </w:tcPr>
                <w:p w14:paraId="18086CB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i w:val="0"/>
                      <w:iCs w:val="0"/>
                      <w:color w:val="000000"/>
                      <w:kern w:val="0"/>
                      <w:sz w:val="21"/>
                      <w:szCs w:val="21"/>
                      <w:u w:val="none"/>
                      <w:lang w:val="en-US" w:eastAsia="zh-CN" w:bidi="ar"/>
                    </w:rPr>
                    <w:t>57.1</w:t>
                  </w:r>
                </w:p>
              </w:tc>
              <w:tc>
                <w:tcPr>
                  <w:tcW w:w="280" w:type="pct"/>
                  <w:shd w:val="clear" w:color="auto" w:fill="FFFFFF"/>
                  <w:tcMar>
                    <w:top w:w="0" w:type="dxa"/>
                    <w:left w:w="0" w:type="dxa"/>
                    <w:bottom w:w="0" w:type="dxa"/>
                    <w:right w:w="0" w:type="dxa"/>
                  </w:tcMar>
                  <w:vAlign w:val="center"/>
                </w:tcPr>
                <w:p w14:paraId="20232A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tr w14:paraId="32A06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0" w:hRule="atLeast"/>
              </w:trPr>
              <w:tc>
                <w:tcPr>
                  <w:tcW w:w="161" w:type="pct"/>
                  <w:shd w:val="clear" w:color="auto" w:fill="FFFFFF"/>
                  <w:tcMar>
                    <w:top w:w="0" w:type="dxa"/>
                    <w:left w:w="0" w:type="dxa"/>
                    <w:bottom w:w="0" w:type="dxa"/>
                    <w:right w:w="0" w:type="dxa"/>
                  </w:tcMar>
                  <w:vAlign w:val="center"/>
                </w:tcPr>
                <w:p w14:paraId="4B06CE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8</w:t>
                  </w:r>
                </w:p>
              </w:tc>
              <w:tc>
                <w:tcPr>
                  <w:tcW w:w="198" w:type="pct"/>
                  <w:shd w:val="clear" w:color="auto" w:fill="FFFFFF"/>
                  <w:tcMar>
                    <w:top w:w="0" w:type="dxa"/>
                    <w:left w:w="0" w:type="dxa"/>
                    <w:bottom w:w="0" w:type="dxa"/>
                    <w:right w:w="0" w:type="dxa"/>
                  </w:tcMar>
                  <w:vAlign w:val="center"/>
                </w:tcPr>
                <w:p w14:paraId="7FE1A2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val="en-US" w:eastAsia="zh-CN"/>
                    </w:rPr>
                    <w:t>5号车间</w:t>
                  </w:r>
                </w:p>
              </w:tc>
              <w:tc>
                <w:tcPr>
                  <w:tcW w:w="187" w:type="pct"/>
                  <w:shd w:val="clear" w:color="auto" w:fill="FFFFFF"/>
                  <w:tcMar>
                    <w:top w:w="0" w:type="dxa"/>
                    <w:left w:w="0" w:type="dxa"/>
                    <w:bottom w:w="0" w:type="dxa"/>
                    <w:right w:w="0" w:type="dxa"/>
                  </w:tcMar>
                  <w:vAlign w:val="center"/>
                </w:tcPr>
                <w:p w14:paraId="22FBB2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水泵</w:t>
                  </w:r>
                </w:p>
              </w:tc>
              <w:tc>
                <w:tcPr>
                  <w:tcW w:w="236" w:type="pct"/>
                  <w:shd w:val="clear" w:color="auto" w:fill="FFFFFF"/>
                  <w:tcMar>
                    <w:top w:w="0" w:type="dxa"/>
                    <w:left w:w="0" w:type="dxa"/>
                    <w:bottom w:w="0" w:type="dxa"/>
                    <w:right w:w="0" w:type="dxa"/>
                  </w:tcMar>
                  <w:vAlign w:val="center"/>
                </w:tcPr>
                <w:p w14:paraId="5C5F70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85</w:t>
                  </w:r>
                </w:p>
              </w:tc>
              <w:tc>
                <w:tcPr>
                  <w:tcW w:w="197" w:type="pct"/>
                  <w:shd w:val="clear" w:color="auto" w:fill="FFFFFF"/>
                  <w:tcMar>
                    <w:top w:w="0" w:type="dxa"/>
                    <w:left w:w="0" w:type="dxa"/>
                    <w:bottom w:w="0" w:type="dxa"/>
                    <w:right w:w="0" w:type="dxa"/>
                  </w:tcMar>
                  <w:vAlign w:val="center"/>
                </w:tcPr>
                <w:p w14:paraId="3FD1BD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厂房隔声</w:t>
                  </w:r>
                </w:p>
              </w:tc>
              <w:tc>
                <w:tcPr>
                  <w:tcW w:w="221" w:type="pct"/>
                  <w:shd w:val="clear" w:color="auto" w:fill="FFFFFF"/>
                  <w:tcMar>
                    <w:top w:w="0" w:type="dxa"/>
                    <w:left w:w="0" w:type="dxa"/>
                    <w:bottom w:w="0" w:type="dxa"/>
                    <w:right w:w="0" w:type="dxa"/>
                  </w:tcMar>
                  <w:vAlign w:val="center"/>
                </w:tcPr>
                <w:p w14:paraId="565787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10</w:t>
                  </w:r>
                  <w:r>
                    <w:rPr>
                      <w:rFonts w:hint="default" w:ascii="Times New Roman" w:hAnsi="Times New Roman" w:eastAsia="宋体" w:cs="Times New Roman"/>
                      <w:sz w:val="21"/>
                      <w:szCs w:val="21"/>
                      <w:lang w:val="en-US" w:eastAsia="zh-CN"/>
                    </w:rPr>
                    <w:t>7</w:t>
                  </w:r>
                  <w:r>
                    <w:rPr>
                      <w:rFonts w:hint="default" w:ascii="Times New Roman" w:hAnsi="Times New Roman" w:eastAsia="宋体" w:cs="Times New Roman"/>
                      <w:sz w:val="21"/>
                      <w:szCs w:val="21"/>
                    </w:rPr>
                    <w:t>.</w:t>
                  </w:r>
                  <w:r>
                    <w:rPr>
                      <w:rFonts w:hint="default" w:ascii="Times New Roman" w:hAnsi="Times New Roman" w:eastAsia="宋体" w:cs="Times New Roman"/>
                      <w:sz w:val="21"/>
                      <w:szCs w:val="21"/>
                      <w:lang w:val="en-US" w:eastAsia="zh-CN"/>
                    </w:rPr>
                    <w:t>2</w:t>
                  </w:r>
                </w:p>
              </w:tc>
              <w:tc>
                <w:tcPr>
                  <w:tcW w:w="221" w:type="pct"/>
                  <w:shd w:val="clear" w:color="auto" w:fill="FFFFFF"/>
                  <w:tcMar>
                    <w:top w:w="0" w:type="dxa"/>
                    <w:left w:w="0" w:type="dxa"/>
                    <w:bottom w:w="0" w:type="dxa"/>
                    <w:right w:w="0" w:type="dxa"/>
                  </w:tcMar>
                  <w:vAlign w:val="center"/>
                </w:tcPr>
                <w:p w14:paraId="581447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lang w:val="en-US" w:eastAsia="zh-CN"/>
                    </w:rPr>
                    <w:t>0</w:t>
                  </w:r>
                </w:p>
              </w:tc>
              <w:tc>
                <w:tcPr>
                  <w:tcW w:w="223" w:type="pct"/>
                  <w:shd w:val="clear" w:color="auto" w:fill="FFFFFF"/>
                  <w:tcMar>
                    <w:top w:w="0" w:type="dxa"/>
                    <w:left w:w="0" w:type="dxa"/>
                    <w:bottom w:w="0" w:type="dxa"/>
                    <w:right w:w="0" w:type="dxa"/>
                  </w:tcMar>
                  <w:vAlign w:val="center"/>
                </w:tcPr>
                <w:p w14:paraId="2FBADA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1.2</w:t>
                  </w:r>
                </w:p>
              </w:tc>
              <w:tc>
                <w:tcPr>
                  <w:tcW w:w="182" w:type="pct"/>
                  <w:shd w:val="clear" w:color="auto" w:fill="FFFFFF"/>
                  <w:tcMar>
                    <w:top w:w="0" w:type="dxa"/>
                    <w:left w:w="0" w:type="dxa"/>
                    <w:bottom w:w="0" w:type="dxa"/>
                    <w:right w:w="0" w:type="dxa"/>
                  </w:tcMar>
                  <w:vAlign w:val="center"/>
                </w:tcPr>
                <w:p w14:paraId="7CCD37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lang w:val="en-US" w:eastAsia="zh-CN"/>
                    </w:rPr>
                    <w:t>0</w:t>
                  </w:r>
                  <w:r>
                    <w:rPr>
                      <w:rFonts w:hint="default" w:ascii="Times New Roman" w:hAnsi="Times New Roman" w:eastAsia="宋体" w:cs="Times New Roman"/>
                      <w:sz w:val="21"/>
                      <w:szCs w:val="21"/>
                    </w:rPr>
                    <w:t>.0</w:t>
                  </w:r>
                </w:p>
              </w:tc>
              <w:tc>
                <w:tcPr>
                  <w:tcW w:w="182" w:type="pct"/>
                  <w:shd w:val="clear" w:color="auto" w:fill="FFFFFF"/>
                  <w:tcMar>
                    <w:top w:w="0" w:type="dxa"/>
                    <w:left w:w="0" w:type="dxa"/>
                    <w:bottom w:w="0" w:type="dxa"/>
                    <w:right w:w="0" w:type="dxa"/>
                  </w:tcMar>
                  <w:vAlign w:val="center"/>
                </w:tcPr>
                <w:p w14:paraId="2E7EB8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w:t>
                  </w:r>
                  <w:r>
                    <w:rPr>
                      <w:rFonts w:hint="default" w:ascii="Times New Roman" w:hAnsi="Times New Roman" w:eastAsia="宋体" w:cs="Times New Roman"/>
                      <w:sz w:val="21"/>
                      <w:szCs w:val="21"/>
                      <w:lang w:val="en-US" w:eastAsia="zh-CN"/>
                    </w:rPr>
                    <w:t>5</w:t>
                  </w:r>
                  <w:r>
                    <w:rPr>
                      <w:rFonts w:hint="default" w:ascii="Times New Roman" w:hAnsi="Times New Roman" w:eastAsia="宋体" w:cs="Times New Roman"/>
                      <w:sz w:val="21"/>
                      <w:szCs w:val="21"/>
                    </w:rPr>
                    <w:t>.1</w:t>
                  </w:r>
                </w:p>
              </w:tc>
              <w:tc>
                <w:tcPr>
                  <w:tcW w:w="182" w:type="pct"/>
                  <w:shd w:val="clear" w:color="auto" w:fill="FFFFFF"/>
                  <w:tcMar>
                    <w:top w:w="0" w:type="dxa"/>
                    <w:left w:w="0" w:type="dxa"/>
                    <w:bottom w:w="0" w:type="dxa"/>
                    <w:right w:w="0" w:type="dxa"/>
                  </w:tcMar>
                  <w:vAlign w:val="center"/>
                </w:tcPr>
                <w:p w14:paraId="4E3DDD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9</w:t>
                  </w: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w:t>
                  </w:r>
                  <w:r>
                    <w:rPr>
                      <w:rFonts w:hint="default" w:ascii="Times New Roman" w:hAnsi="Times New Roman" w:eastAsia="宋体" w:cs="Times New Roman"/>
                      <w:sz w:val="21"/>
                      <w:szCs w:val="21"/>
                      <w:lang w:val="en-US" w:eastAsia="zh-CN"/>
                    </w:rPr>
                    <w:t>1</w:t>
                  </w:r>
                </w:p>
              </w:tc>
              <w:tc>
                <w:tcPr>
                  <w:tcW w:w="189" w:type="pct"/>
                  <w:shd w:val="clear" w:color="auto" w:fill="FFFFFF"/>
                  <w:tcMar>
                    <w:top w:w="0" w:type="dxa"/>
                    <w:left w:w="0" w:type="dxa"/>
                    <w:bottom w:w="0" w:type="dxa"/>
                    <w:right w:w="0" w:type="dxa"/>
                  </w:tcMar>
                  <w:vAlign w:val="center"/>
                </w:tcPr>
                <w:p w14:paraId="384491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w:t>
                  </w:r>
                  <w:r>
                    <w:rPr>
                      <w:rFonts w:hint="default" w:ascii="Times New Roman" w:hAnsi="Times New Roman" w:eastAsia="宋体" w:cs="Times New Roman"/>
                      <w:sz w:val="21"/>
                      <w:szCs w:val="21"/>
                      <w:lang w:val="en-US" w:eastAsia="zh-CN"/>
                    </w:rPr>
                    <w:t>2</w:t>
                  </w:r>
                  <w:r>
                    <w:rPr>
                      <w:rFonts w:hint="default" w:ascii="Times New Roman" w:hAnsi="Times New Roman" w:eastAsia="宋体" w:cs="Times New Roman"/>
                      <w:sz w:val="21"/>
                      <w:szCs w:val="21"/>
                    </w:rPr>
                    <w:t>.</w:t>
                  </w:r>
                  <w:r>
                    <w:rPr>
                      <w:rFonts w:hint="default" w:ascii="Times New Roman" w:hAnsi="Times New Roman" w:eastAsia="宋体" w:cs="Times New Roman"/>
                      <w:sz w:val="21"/>
                      <w:szCs w:val="21"/>
                      <w:lang w:val="en-US" w:eastAsia="zh-CN"/>
                    </w:rPr>
                    <w:t>8</w:t>
                  </w:r>
                </w:p>
              </w:tc>
              <w:tc>
                <w:tcPr>
                  <w:tcW w:w="180" w:type="pct"/>
                  <w:shd w:val="clear" w:color="auto" w:fill="FFFFFF"/>
                  <w:tcMar>
                    <w:top w:w="0" w:type="dxa"/>
                    <w:left w:w="0" w:type="dxa"/>
                    <w:bottom w:w="0" w:type="dxa"/>
                    <w:right w:w="0" w:type="dxa"/>
                  </w:tcMar>
                  <w:vAlign w:val="center"/>
                </w:tcPr>
                <w:p w14:paraId="715CE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kern w:val="2"/>
                      <w:sz w:val="21"/>
                      <w:szCs w:val="21"/>
                      <w:lang w:val="en-US" w:eastAsia="zh-CN" w:bidi="ar-SA"/>
                    </w:rPr>
                    <w:t>70.0</w:t>
                  </w:r>
                </w:p>
              </w:tc>
              <w:tc>
                <w:tcPr>
                  <w:tcW w:w="180" w:type="pct"/>
                  <w:shd w:val="clear" w:color="auto" w:fill="FFFFFF"/>
                  <w:tcMar>
                    <w:top w:w="0" w:type="dxa"/>
                    <w:left w:w="0" w:type="dxa"/>
                    <w:bottom w:w="0" w:type="dxa"/>
                    <w:right w:w="0" w:type="dxa"/>
                  </w:tcMar>
                  <w:vAlign w:val="center"/>
                </w:tcPr>
                <w:p w14:paraId="79E747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kern w:val="2"/>
                      <w:sz w:val="21"/>
                      <w:szCs w:val="21"/>
                      <w:lang w:val="en-US" w:eastAsia="zh-CN" w:bidi="ar-SA"/>
                    </w:rPr>
                    <w:t>66.4</w:t>
                  </w:r>
                </w:p>
              </w:tc>
              <w:tc>
                <w:tcPr>
                  <w:tcW w:w="180" w:type="pct"/>
                  <w:shd w:val="clear" w:color="auto" w:fill="FFFFFF"/>
                  <w:tcMar>
                    <w:top w:w="0" w:type="dxa"/>
                    <w:left w:w="0" w:type="dxa"/>
                    <w:bottom w:w="0" w:type="dxa"/>
                    <w:right w:w="0" w:type="dxa"/>
                  </w:tcMar>
                  <w:vAlign w:val="center"/>
                </w:tcPr>
                <w:p w14:paraId="6436CA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kern w:val="2"/>
                      <w:sz w:val="21"/>
                      <w:szCs w:val="21"/>
                      <w:lang w:val="en-US" w:eastAsia="zh-CN" w:bidi="ar-SA"/>
                    </w:rPr>
                    <w:t>50.8</w:t>
                  </w:r>
                </w:p>
              </w:tc>
              <w:tc>
                <w:tcPr>
                  <w:tcW w:w="186" w:type="pct"/>
                  <w:shd w:val="clear" w:color="auto" w:fill="FFFFFF"/>
                  <w:tcMar>
                    <w:top w:w="0" w:type="dxa"/>
                    <w:left w:w="0" w:type="dxa"/>
                    <w:bottom w:w="0" w:type="dxa"/>
                    <w:right w:w="0" w:type="dxa"/>
                  </w:tcMar>
                  <w:vAlign w:val="center"/>
                </w:tcPr>
                <w:p w14:paraId="69EEFE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kern w:val="2"/>
                      <w:sz w:val="21"/>
                      <w:szCs w:val="21"/>
                      <w:lang w:val="en-US" w:eastAsia="zh-CN" w:bidi="ar-SA"/>
                    </w:rPr>
                    <w:t>62.8</w:t>
                  </w:r>
                </w:p>
              </w:tc>
              <w:tc>
                <w:tcPr>
                  <w:tcW w:w="167" w:type="pct"/>
                  <w:vMerge w:val="continue"/>
                  <w:shd w:val="clear" w:color="auto" w:fill="FFFFFF"/>
                  <w:tcMar>
                    <w:top w:w="0" w:type="dxa"/>
                    <w:left w:w="0" w:type="dxa"/>
                    <w:bottom w:w="0" w:type="dxa"/>
                    <w:right w:w="0" w:type="dxa"/>
                  </w:tcMar>
                  <w:vAlign w:val="center"/>
                </w:tcPr>
                <w:p w14:paraId="4DB27E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p>
              </w:tc>
              <w:tc>
                <w:tcPr>
                  <w:tcW w:w="459" w:type="dxa"/>
                  <w:shd w:val="clear" w:color="auto" w:fill="FFFFFF"/>
                  <w:tcMar>
                    <w:top w:w="0" w:type="dxa"/>
                    <w:left w:w="0" w:type="dxa"/>
                    <w:bottom w:w="0" w:type="dxa"/>
                    <w:right w:w="0" w:type="dxa"/>
                  </w:tcMar>
                  <w:vAlign w:val="center"/>
                </w:tcPr>
                <w:p w14:paraId="5674C6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56AD3E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59" w:type="dxa"/>
                  <w:shd w:val="clear" w:color="auto" w:fill="FFFFFF"/>
                  <w:tcMar>
                    <w:top w:w="0" w:type="dxa"/>
                    <w:left w:w="0" w:type="dxa"/>
                    <w:bottom w:w="0" w:type="dxa"/>
                    <w:right w:w="0" w:type="dxa"/>
                  </w:tcMar>
                  <w:vAlign w:val="center"/>
                </w:tcPr>
                <w:p w14:paraId="6C3E4F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62" w:type="dxa"/>
                  <w:shd w:val="clear" w:color="auto" w:fill="FFFFFF"/>
                  <w:tcMar>
                    <w:top w:w="0" w:type="dxa"/>
                    <w:left w:w="0" w:type="dxa"/>
                    <w:bottom w:w="0" w:type="dxa"/>
                    <w:right w:w="0" w:type="dxa"/>
                  </w:tcMar>
                  <w:vAlign w:val="center"/>
                </w:tcPr>
                <w:p w14:paraId="4F4737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 w:val="21"/>
                      <w:szCs w:val="21"/>
                      <w:lang w:val="en-US" w:eastAsia="zh-CN"/>
                    </w:rPr>
                    <w:t>2</w:t>
                  </w:r>
                  <w:r>
                    <w:rPr>
                      <w:rFonts w:hint="eastAsia" w:cs="Times New Roman"/>
                      <w:sz w:val="21"/>
                      <w:szCs w:val="21"/>
                      <w:lang w:val="en-US" w:eastAsia="zh-CN"/>
                    </w:rPr>
                    <w:t>1</w:t>
                  </w:r>
                </w:p>
              </w:tc>
              <w:tc>
                <w:tcPr>
                  <w:tcW w:w="491" w:type="dxa"/>
                  <w:shd w:val="clear" w:color="auto" w:fill="FFFFFF"/>
                  <w:tcMar>
                    <w:top w:w="0" w:type="dxa"/>
                    <w:left w:w="0" w:type="dxa"/>
                    <w:bottom w:w="0" w:type="dxa"/>
                    <w:right w:w="0" w:type="dxa"/>
                  </w:tcMar>
                  <w:vAlign w:val="center"/>
                </w:tcPr>
                <w:p w14:paraId="7833E7D5">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49</w:t>
                  </w:r>
                </w:p>
              </w:tc>
              <w:tc>
                <w:tcPr>
                  <w:tcW w:w="491" w:type="dxa"/>
                  <w:shd w:val="clear" w:color="auto" w:fill="FFFFFF"/>
                  <w:tcMar>
                    <w:top w:w="0" w:type="dxa"/>
                    <w:left w:w="0" w:type="dxa"/>
                    <w:bottom w:w="0" w:type="dxa"/>
                    <w:right w:w="0" w:type="dxa"/>
                  </w:tcMar>
                  <w:vAlign w:val="center"/>
                </w:tcPr>
                <w:p w14:paraId="1F9C8430">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45.4</w:t>
                  </w:r>
                </w:p>
              </w:tc>
              <w:tc>
                <w:tcPr>
                  <w:tcW w:w="491" w:type="dxa"/>
                  <w:shd w:val="clear" w:color="auto" w:fill="FFFFFF"/>
                  <w:tcMar>
                    <w:top w:w="0" w:type="dxa"/>
                    <w:left w:w="0" w:type="dxa"/>
                    <w:bottom w:w="0" w:type="dxa"/>
                    <w:right w:w="0" w:type="dxa"/>
                  </w:tcMar>
                  <w:vAlign w:val="center"/>
                </w:tcPr>
                <w:p w14:paraId="454ECAEF">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29.8</w:t>
                  </w:r>
                </w:p>
              </w:tc>
              <w:tc>
                <w:tcPr>
                  <w:tcW w:w="491" w:type="dxa"/>
                  <w:shd w:val="clear" w:color="auto" w:fill="FFFFFF"/>
                  <w:tcMar>
                    <w:top w:w="0" w:type="dxa"/>
                    <w:left w:w="0" w:type="dxa"/>
                    <w:bottom w:w="0" w:type="dxa"/>
                    <w:right w:w="0" w:type="dxa"/>
                  </w:tcMar>
                  <w:vAlign w:val="center"/>
                </w:tcPr>
                <w:p w14:paraId="3ECE7C54">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41.8</w:t>
                  </w:r>
                </w:p>
              </w:tc>
              <w:tc>
                <w:tcPr>
                  <w:tcW w:w="280" w:type="pct"/>
                  <w:shd w:val="clear" w:color="auto" w:fill="FFFFFF"/>
                  <w:tcMar>
                    <w:top w:w="0" w:type="dxa"/>
                    <w:left w:w="0" w:type="dxa"/>
                    <w:bottom w:w="0" w:type="dxa"/>
                    <w:right w:w="0" w:type="dxa"/>
                  </w:tcMar>
                  <w:vAlign w:val="center"/>
                </w:tcPr>
                <w:p w14:paraId="6AA90B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r>
            <w:bookmarkEnd w:id="13"/>
          </w:tbl>
          <w:p w14:paraId="35144BDF">
            <w:pPr>
              <w:pStyle w:val="21"/>
              <w:keepNext w:val="0"/>
              <w:keepLines w:val="0"/>
              <w:suppressLineNumbers w:val="0"/>
              <w:spacing w:before="0" w:beforeAutospacing="0" w:after="0" w:afterAutospacing="0"/>
              <w:ind w:left="0" w:right="0"/>
              <w:jc w:val="center"/>
              <w:rPr>
                <w:rFonts w:hint="eastAsia"/>
                <w:b/>
                <w:bCs w:val="0"/>
                <w:sz w:val="24"/>
                <w:szCs w:val="20"/>
                <w:highlight w:val="none"/>
                <w:lang w:val="en-US" w:eastAsia="zh-CN"/>
              </w:rPr>
            </w:pPr>
            <w:r>
              <w:rPr>
                <w:rFonts w:hint="eastAsia"/>
                <w:b/>
                <w:bCs w:val="0"/>
                <w:sz w:val="24"/>
                <w:szCs w:val="20"/>
                <w:highlight w:val="none"/>
                <w:lang w:val="en-US" w:eastAsia="zh-CN"/>
              </w:rPr>
              <w:t>表4-10    工业企业噪声源强调查清单（室内声源）</w:t>
            </w:r>
          </w:p>
          <w:p w14:paraId="6FBE8DD5">
            <w:pPr>
              <w:keepNext w:val="0"/>
              <w:keepLines w:val="0"/>
              <w:suppressLineNumbers w:val="0"/>
              <w:tabs>
                <w:tab w:val="left" w:pos="2211"/>
              </w:tabs>
              <w:bidi w:val="0"/>
              <w:spacing w:before="0" w:beforeAutospacing="0" w:after="0" w:afterAutospacing="0"/>
              <w:ind w:left="0" w:right="0"/>
              <w:jc w:val="left"/>
              <w:rPr>
                <w:rFonts w:hint="default" w:ascii="Times New Roman" w:hAnsi="Times New Roman" w:eastAsia="宋体" w:cs="Times New Roman"/>
                <w:kern w:val="2"/>
                <w:sz w:val="21"/>
                <w:szCs w:val="20"/>
                <w:lang w:val="en-US" w:eastAsia="zh-CN" w:bidi="ar-SA"/>
              </w:rPr>
            </w:pPr>
            <w:r>
              <w:rPr>
                <w:rFonts w:hint="eastAsia" w:cs="Times New Roman"/>
                <w:kern w:val="2"/>
                <w:sz w:val="21"/>
                <w:szCs w:val="20"/>
                <w:lang w:val="en-US" w:eastAsia="zh-CN" w:bidi="ar-SA"/>
              </w:rPr>
              <w:t>注：</w:t>
            </w:r>
            <w:r>
              <w:rPr>
                <w:rFonts w:hint="default" w:ascii="Times New Roman" w:hAnsi="Times New Roman" w:eastAsia="宋体" w:cs="Times New Roman"/>
                <w:b w:val="0"/>
                <w:bCs/>
                <w:sz w:val="21"/>
                <w:szCs w:val="21"/>
                <w:lang w:val="en-US" w:eastAsia="zh-CN"/>
              </w:rPr>
              <w:t>表中坐标以厂界中心（</w:t>
            </w:r>
            <w:bookmarkStart w:id="15" w:name="PO_8"/>
            <w:r>
              <w:rPr>
                <w:rFonts w:hint="default" w:ascii="Times New Roman" w:hAnsi="Times New Roman" w:eastAsia="宋体" w:cs="Times New Roman"/>
                <w:b w:val="0"/>
                <w:bCs/>
                <w:sz w:val="21"/>
                <w:szCs w:val="21"/>
                <w:lang w:val="en-US" w:eastAsia="zh-CN"/>
              </w:rPr>
              <w:t>114.042121,38.107677</w:t>
            </w:r>
            <w:bookmarkEnd w:id="15"/>
            <w:r>
              <w:rPr>
                <w:rFonts w:hint="default" w:ascii="Times New Roman" w:hAnsi="Times New Roman" w:eastAsia="宋体" w:cs="Times New Roman"/>
                <w:b w:val="0"/>
                <w:bCs/>
                <w:sz w:val="21"/>
                <w:szCs w:val="21"/>
                <w:lang w:val="en-US" w:eastAsia="zh-CN"/>
              </w:rPr>
              <w:t>）为坐标原点，正东向为X轴正方向，正北向为Y轴正方向</w:t>
            </w:r>
          </w:p>
        </w:tc>
      </w:tr>
    </w:tbl>
    <w:p w14:paraId="24B7B37E">
      <w:pPr>
        <w:sectPr>
          <w:pgSz w:w="16840" w:h="11907" w:orient="landscape"/>
          <w:pgMar w:top="1800" w:right="1440" w:bottom="1800" w:left="1440" w:header="851" w:footer="992" w:gutter="0"/>
          <w:cols w:space="720" w:num="1"/>
          <w:docGrid w:type="linesAndChars" w:linePitch="319" w:charSpace="0"/>
        </w:sectPr>
      </w:pPr>
    </w:p>
    <w:p w14:paraId="3A9841A6"/>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5"/>
        <w:gridCol w:w="8068"/>
      </w:tblGrid>
      <w:tr w14:paraId="44101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8" w:hRule="atLeast"/>
        </w:trPr>
        <w:tc>
          <w:tcPr>
            <w:tcW w:w="267" w:type="pct"/>
            <w:vAlign w:val="center"/>
          </w:tcPr>
          <w:p w14:paraId="6DDD6C2E">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运营</w:t>
            </w:r>
          </w:p>
          <w:p w14:paraId="6CDCD7DF">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期环</w:t>
            </w:r>
          </w:p>
          <w:p w14:paraId="6EA8BE36">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境影</w:t>
            </w:r>
          </w:p>
          <w:p w14:paraId="08FAAC14">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响和</w:t>
            </w:r>
          </w:p>
          <w:p w14:paraId="4ADF7701">
            <w:pPr>
              <w:keepNext w:val="0"/>
              <w:keepLines w:val="0"/>
              <w:suppressLineNumbers w:val="0"/>
              <w:adjustRightInd w:val="0"/>
              <w:snapToGrid w:val="0"/>
              <w:spacing w:before="0" w:beforeAutospacing="0" w:after="0" w:afterAutospacing="0"/>
              <w:ind w:left="0" w:right="0"/>
              <w:jc w:val="center"/>
              <w:rPr>
                <w:rFonts w:hint="default" w:ascii="Times New Roman" w:hAnsi="Times New Roman" w:eastAsia="宋体" w:cs="Times New Roman"/>
                <w:bCs/>
                <w:smallCaps w:val="0"/>
                <w:color w:val="auto"/>
                <w:spacing w:val="0"/>
                <w:sz w:val="24"/>
                <w:szCs w:val="21"/>
                <w:highlight w:val="none"/>
              </w:rPr>
            </w:pPr>
            <w:r>
              <w:rPr>
                <w:rFonts w:hint="default" w:ascii="Times New Roman" w:hAnsi="Times New Roman" w:eastAsia="宋体" w:cs="Times New Roman"/>
                <w:bCs/>
                <w:smallCaps w:val="0"/>
                <w:color w:val="auto"/>
                <w:spacing w:val="0"/>
                <w:sz w:val="24"/>
                <w:szCs w:val="21"/>
                <w:highlight w:val="none"/>
              </w:rPr>
              <w:t>保护措施</w:t>
            </w:r>
          </w:p>
        </w:tc>
        <w:tc>
          <w:tcPr>
            <w:tcW w:w="4732" w:type="pct"/>
            <w:vAlign w:val="top"/>
          </w:tcPr>
          <w:p w14:paraId="58C411C7">
            <w:pPr>
              <w:keepNext w:val="0"/>
              <w:keepLines w:val="0"/>
              <w:suppressLineNumbers w:val="0"/>
              <w:spacing w:before="0" w:beforeAutospacing="0" w:after="0" w:afterAutospacing="0" w:line="480" w:lineRule="exact"/>
              <w:ind w:left="0" w:right="0" w:firstLine="480" w:firstLineChars="200"/>
              <w:rPr>
                <w:rFonts w:hint="default"/>
                <w:b/>
                <w:sz w:val="24"/>
                <w:szCs w:val="20"/>
                <w:highlight w:val="none"/>
              </w:rPr>
            </w:pPr>
            <w:r>
              <w:rPr>
                <w:rFonts w:hint="default"/>
                <w:b/>
                <w:sz w:val="24"/>
                <w:szCs w:val="20"/>
                <w:highlight w:val="none"/>
              </w:rPr>
              <w:t>3.</w:t>
            </w:r>
            <w:r>
              <w:rPr>
                <w:rFonts w:hint="eastAsia"/>
                <w:b/>
                <w:sz w:val="24"/>
                <w:szCs w:val="20"/>
                <w:highlight w:val="none"/>
              </w:rPr>
              <w:t>3声环境预测结果分析</w:t>
            </w:r>
          </w:p>
          <w:p w14:paraId="1D19066A">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sz w:val="24"/>
                <w:szCs w:val="20"/>
                <w:highlight w:val="none"/>
              </w:rPr>
              <w:t>采取上述降噪措施后，项目厂界噪声排放达标分析详见下表。</w:t>
            </w:r>
          </w:p>
          <w:p w14:paraId="78D2D34B">
            <w:pPr>
              <w:pStyle w:val="66"/>
              <w:keepLines w:val="0"/>
              <w:suppressLineNumbers w:val="0"/>
              <w:tabs>
                <w:tab w:val="left" w:pos="5600"/>
                <w:tab w:val="clear" w:pos="4153"/>
                <w:tab w:val="clear" w:pos="8306"/>
              </w:tabs>
              <w:spacing w:before="0" w:beforeAutospacing="0" w:after="0" w:afterAutospacing="0"/>
              <w:ind w:left="0" w:right="0" w:firstLine="0" w:firstLineChars="0"/>
              <w:rPr>
                <w:rFonts w:hint="eastAsia"/>
                <w:sz w:val="24"/>
                <w:szCs w:val="24"/>
                <w:highlight w:val="none"/>
              </w:rPr>
            </w:pPr>
            <w:r>
              <w:rPr>
                <w:rFonts w:hint="eastAsia"/>
                <w:sz w:val="24"/>
                <w:szCs w:val="24"/>
                <w:highlight w:val="none"/>
              </w:rPr>
              <w:t>表4-</w:t>
            </w:r>
            <w:r>
              <w:rPr>
                <w:rFonts w:hint="eastAsia"/>
                <w:sz w:val="24"/>
                <w:szCs w:val="24"/>
                <w:highlight w:val="none"/>
                <w:lang w:val="en-US" w:eastAsia="zh-CN"/>
              </w:rPr>
              <w:t>11</w:t>
            </w:r>
            <w:r>
              <w:rPr>
                <w:rFonts w:hint="eastAsia"/>
                <w:sz w:val="24"/>
                <w:szCs w:val="24"/>
                <w:highlight w:val="none"/>
              </w:rPr>
              <w:t xml:space="preserve">    项目厂界噪声排放达标分析</w:t>
            </w:r>
            <w:r>
              <w:rPr>
                <w:rFonts w:hint="eastAsia"/>
                <w:sz w:val="24"/>
                <w:szCs w:val="24"/>
                <w:highlight w:val="none"/>
                <w:lang w:val="en-US" w:eastAsia="zh-CN"/>
              </w:rPr>
              <w:t xml:space="preserve"> </w:t>
            </w:r>
            <w:r>
              <w:rPr>
                <w:rFonts w:hint="eastAsia"/>
                <w:sz w:val="24"/>
                <w:szCs w:val="24"/>
                <w:highlight w:val="none"/>
              </w:rPr>
              <w:t xml:space="preserve"> </w:t>
            </w:r>
            <w:r>
              <w:rPr>
                <w:rFonts w:hint="eastAsia"/>
                <w:sz w:val="24"/>
                <w:szCs w:val="24"/>
                <w:highlight w:val="none"/>
                <w:lang w:val="en-US" w:eastAsia="zh-CN"/>
              </w:rPr>
              <w:t xml:space="preserve"> </w:t>
            </w:r>
            <w:r>
              <w:rPr>
                <w:rFonts w:hint="eastAsia"/>
                <w:sz w:val="24"/>
                <w:szCs w:val="24"/>
                <w:highlight w:val="none"/>
              </w:rPr>
              <w:t xml:space="preserve"> 单位：dB（A）</w:t>
            </w: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
              <w:gridCol w:w="905"/>
              <w:gridCol w:w="885"/>
              <w:gridCol w:w="900"/>
              <w:gridCol w:w="749"/>
              <w:gridCol w:w="1216"/>
              <w:gridCol w:w="1227"/>
              <w:gridCol w:w="1013"/>
            </w:tblGrid>
            <w:tr w14:paraId="31E9D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0" w:hRule="exact"/>
                <w:jc w:val="center"/>
              </w:trPr>
              <w:tc>
                <w:tcPr>
                  <w:tcW w:w="946" w:type="dxa"/>
                  <w:vMerge w:val="restart"/>
                  <w:vAlign w:val="center"/>
                </w:tcPr>
                <w:p w14:paraId="415B4765">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预测方位</w:t>
                  </w:r>
                </w:p>
              </w:tc>
              <w:tc>
                <w:tcPr>
                  <w:tcW w:w="2690" w:type="dxa"/>
                  <w:gridSpan w:val="3"/>
                  <w:vAlign w:val="center"/>
                </w:tcPr>
                <w:p w14:paraId="5214372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lang w:val="en-US" w:eastAsia="zh-CN"/>
                    </w:rPr>
                    <w:t>最大值点</w:t>
                  </w:r>
                  <w:r>
                    <w:rPr>
                      <w:rFonts w:hint="default" w:ascii="Times New Roman" w:hAnsi="Times New Roman" w:eastAsia="宋体" w:cs="Times New Roman"/>
                      <w:b/>
                      <w:sz w:val="21"/>
                      <w:szCs w:val="21"/>
                      <w:highlight w:val="none"/>
                    </w:rPr>
                    <w:t>空间相对位置/m</w:t>
                  </w:r>
                </w:p>
              </w:tc>
              <w:tc>
                <w:tcPr>
                  <w:tcW w:w="749" w:type="dxa"/>
                  <w:vMerge w:val="restart"/>
                  <w:vAlign w:val="center"/>
                </w:tcPr>
                <w:p w14:paraId="5A36F91B">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时段</w:t>
                  </w:r>
                </w:p>
              </w:tc>
              <w:tc>
                <w:tcPr>
                  <w:tcW w:w="1216" w:type="dxa"/>
                  <w:vMerge w:val="restart"/>
                  <w:vAlign w:val="center"/>
                </w:tcPr>
                <w:p w14:paraId="7471738E">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贡献值（dB(A)）</w:t>
                  </w:r>
                </w:p>
              </w:tc>
              <w:tc>
                <w:tcPr>
                  <w:tcW w:w="1227" w:type="dxa"/>
                  <w:vMerge w:val="restart"/>
                  <w:vAlign w:val="center"/>
                </w:tcPr>
                <w:p w14:paraId="7153BD97">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标准限值（dB(A)）</w:t>
                  </w:r>
                </w:p>
              </w:tc>
              <w:tc>
                <w:tcPr>
                  <w:tcW w:w="1013" w:type="dxa"/>
                  <w:vMerge w:val="restart"/>
                  <w:vAlign w:val="center"/>
                </w:tcPr>
                <w:p w14:paraId="3F9B116E">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b/>
                      <w:sz w:val="21"/>
                      <w:szCs w:val="21"/>
                      <w:highlight w:val="none"/>
                    </w:rPr>
                    <w:t>达标情况</w:t>
                  </w:r>
                </w:p>
              </w:tc>
            </w:tr>
            <w:tr w14:paraId="2772B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946" w:type="dxa"/>
                  <w:vMerge w:val="continue"/>
                  <w:shd w:val="clear" w:color="auto" w:fill="FFFFFF"/>
                  <w:vAlign w:val="center"/>
                </w:tcPr>
                <w:p w14:paraId="74C626B2">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p>
              </w:tc>
              <w:tc>
                <w:tcPr>
                  <w:tcW w:w="905" w:type="dxa"/>
                  <w:shd w:val="clear" w:color="auto" w:fill="FFFFFF"/>
                  <w:vAlign w:val="center"/>
                </w:tcPr>
                <w:p w14:paraId="30CB8AD4">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X</w:t>
                  </w:r>
                </w:p>
              </w:tc>
              <w:tc>
                <w:tcPr>
                  <w:tcW w:w="885" w:type="dxa"/>
                  <w:shd w:val="clear" w:color="auto" w:fill="FFFFFF"/>
                  <w:vAlign w:val="center"/>
                </w:tcPr>
                <w:p w14:paraId="7F2DDAA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Y</w:t>
                  </w:r>
                </w:p>
              </w:tc>
              <w:tc>
                <w:tcPr>
                  <w:tcW w:w="900" w:type="dxa"/>
                  <w:shd w:val="clear" w:color="auto" w:fill="FFFFFF"/>
                  <w:vAlign w:val="center"/>
                </w:tcPr>
                <w:p w14:paraId="2FAA6917">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Z</w:t>
                  </w:r>
                </w:p>
              </w:tc>
              <w:tc>
                <w:tcPr>
                  <w:tcW w:w="749" w:type="dxa"/>
                  <w:vMerge w:val="continue"/>
                  <w:shd w:val="clear" w:color="auto" w:fill="FFFFFF"/>
                  <w:vAlign w:val="center"/>
                </w:tcPr>
                <w:p w14:paraId="085B4D51">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p>
              </w:tc>
              <w:tc>
                <w:tcPr>
                  <w:tcW w:w="1216" w:type="dxa"/>
                  <w:vMerge w:val="continue"/>
                  <w:shd w:val="clear" w:color="auto" w:fill="FFFFFF"/>
                  <w:vAlign w:val="center"/>
                </w:tcPr>
                <w:p w14:paraId="2E5C33C9">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p>
              </w:tc>
              <w:tc>
                <w:tcPr>
                  <w:tcW w:w="1227" w:type="dxa"/>
                  <w:vMerge w:val="continue"/>
                  <w:shd w:val="clear" w:color="auto" w:fill="FFFFFF"/>
                  <w:vAlign w:val="center"/>
                </w:tcPr>
                <w:p w14:paraId="1F6642E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p>
              </w:tc>
              <w:tc>
                <w:tcPr>
                  <w:tcW w:w="1013" w:type="dxa"/>
                  <w:vMerge w:val="continue"/>
                  <w:shd w:val="clear" w:color="auto" w:fill="FFFFFF"/>
                  <w:vAlign w:val="center"/>
                </w:tcPr>
                <w:p w14:paraId="699E5643">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p>
              </w:tc>
            </w:tr>
            <w:tr w14:paraId="76F62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946" w:type="dxa"/>
                  <w:shd w:val="clear" w:color="auto" w:fill="FFFFFF"/>
                  <w:vAlign w:val="center"/>
                </w:tcPr>
                <w:p w14:paraId="0D215C07">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东侧</w:t>
                  </w:r>
                </w:p>
              </w:tc>
              <w:tc>
                <w:tcPr>
                  <w:tcW w:w="905" w:type="dxa"/>
                  <w:shd w:val="clear" w:color="auto" w:fill="FFFFFF"/>
                  <w:vAlign w:val="center"/>
                </w:tcPr>
                <w:p w14:paraId="69BE777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197</w:t>
                  </w:r>
                </w:p>
              </w:tc>
              <w:tc>
                <w:tcPr>
                  <w:tcW w:w="885" w:type="dxa"/>
                  <w:shd w:val="clear" w:color="auto" w:fill="FFFFFF"/>
                  <w:vAlign w:val="center"/>
                </w:tcPr>
                <w:p w14:paraId="26AB5AD3">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62.3</w:t>
                  </w:r>
                </w:p>
              </w:tc>
              <w:tc>
                <w:tcPr>
                  <w:tcW w:w="900" w:type="dxa"/>
                  <w:shd w:val="clear" w:color="auto" w:fill="FFFFFF"/>
                  <w:vAlign w:val="center"/>
                </w:tcPr>
                <w:p w14:paraId="29B8F478">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749" w:type="dxa"/>
                  <w:shd w:val="clear" w:color="auto" w:fill="FFFFFF"/>
                  <w:vAlign w:val="center"/>
                </w:tcPr>
                <w:p w14:paraId="79C9F5CB">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昼间</w:t>
                  </w:r>
                </w:p>
              </w:tc>
              <w:tc>
                <w:tcPr>
                  <w:tcW w:w="1216" w:type="dxa"/>
                  <w:shd w:val="clear" w:color="auto" w:fill="FFFFFF"/>
                  <w:vAlign w:val="center"/>
                </w:tcPr>
                <w:p w14:paraId="57E2110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eastAsia"/>
                      <w:szCs w:val="20"/>
                    </w:rPr>
                    <w:t>50.4</w:t>
                  </w:r>
                </w:p>
              </w:tc>
              <w:tc>
                <w:tcPr>
                  <w:tcW w:w="1227" w:type="dxa"/>
                  <w:shd w:val="clear" w:color="auto" w:fill="FFFFFF"/>
                  <w:vAlign w:val="center"/>
                </w:tcPr>
                <w:p w14:paraId="0EFBC378">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65</w:t>
                  </w:r>
                </w:p>
              </w:tc>
              <w:tc>
                <w:tcPr>
                  <w:tcW w:w="1013" w:type="dxa"/>
                  <w:shd w:val="clear" w:color="auto" w:fill="FFFFFF"/>
                  <w:vAlign w:val="center"/>
                </w:tcPr>
                <w:p w14:paraId="3BA10B2E">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达标</w:t>
                  </w:r>
                </w:p>
              </w:tc>
            </w:tr>
            <w:tr w14:paraId="60ADF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946" w:type="dxa"/>
                  <w:shd w:val="clear" w:color="auto" w:fill="FFFFFF"/>
                  <w:vAlign w:val="center"/>
                </w:tcPr>
                <w:p w14:paraId="32760382">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南侧</w:t>
                  </w:r>
                </w:p>
              </w:tc>
              <w:tc>
                <w:tcPr>
                  <w:tcW w:w="905" w:type="dxa"/>
                  <w:shd w:val="clear" w:color="auto" w:fill="FFFFFF"/>
                  <w:vAlign w:val="center"/>
                </w:tcPr>
                <w:p w14:paraId="46B4071D">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85.2</w:t>
                  </w:r>
                </w:p>
              </w:tc>
              <w:tc>
                <w:tcPr>
                  <w:tcW w:w="885" w:type="dxa"/>
                  <w:shd w:val="clear" w:color="auto" w:fill="FFFFFF"/>
                  <w:vAlign w:val="center"/>
                </w:tcPr>
                <w:p w14:paraId="4B2C4E57">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-93.6</w:t>
                  </w:r>
                </w:p>
              </w:tc>
              <w:tc>
                <w:tcPr>
                  <w:tcW w:w="900" w:type="dxa"/>
                  <w:shd w:val="clear" w:color="auto" w:fill="FFFFFF"/>
                  <w:vAlign w:val="center"/>
                </w:tcPr>
                <w:p w14:paraId="74B90334">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749" w:type="dxa"/>
                  <w:shd w:val="clear" w:color="auto" w:fill="FFFFFF"/>
                  <w:vAlign w:val="center"/>
                </w:tcPr>
                <w:p w14:paraId="15F2B4B8">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昼间</w:t>
                  </w:r>
                </w:p>
              </w:tc>
              <w:tc>
                <w:tcPr>
                  <w:tcW w:w="1216" w:type="dxa"/>
                  <w:shd w:val="clear" w:color="auto" w:fill="FFFFFF"/>
                  <w:vAlign w:val="center"/>
                </w:tcPr>
                <w:p w14:paraId="51CFAE66">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eastAsia"/>
                      <w:szCs w:val="20"/>
                    </w:rPr>
                    <w:t>52.1</w:t>
                  </w:r>
                </w:p>
              </w:tc>
              <w:tc>
                <w:tcPr>
                  <w:tcW w:w="1227" w:type="dxa"/>
                  <w:shd w:val="clear" w:color="auto" w:fill="FFFFFF"/>
                  <w:vAlign w:val="center"/>
                </w:tcPr>
                <w:p w14:paraId="0E0B96DC">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65</w:t>
                  </w:r>
                </w:p>
              </w:tc>
              <w:tc>
                <w:tcPr>
                  <w:tcW w:w="1013" w:type="dxa"/>
                  <w:shd w:val="clear" w:color="auto" w:fill="FFFFFF"/>
                  <w:vAlign w:val="center"/>
                </w:tcPr>
                <w:p w14:paraId="659A37DA">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达标</w:t>
                  </w:r>
                </w:p>
              </w:tc>
            </w:tr>
            <w:tr w14:paraId="797C4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946" w:type="dxa"/>
                  <w:shd w:val="clear" w:color="auto" w:fill="FFFFFF"/>
                  <w:vAlign w:val="center"/>
                </w:tcPr>
                <w:p w14:paraId="09C51CBB">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西侧</w:t>
                  </w:r>
                </w:p>
              </w:tc>
              <w:tc>
                <w:tcPr>
                  <w:tcW w:w="905" w:type="dxa"/>
                  <w:shd w:val="clear" w:color="auto" w:fill="FFFFFF"/>
                  <w:vAlign w:val="center"/>
                </w:tcPr>
                <w:p w14:paraId="3C212B4C">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-182.2</w:t>
                  </w:r>
                </w:p>
              </w:tc>
              <w:tc>
                <w:tcPr>
                  <w:tcW w:w="885" w:type="dxa"/>
                  <w:shd w:val="clear" w:color="auto" w:fill="FFFFFF"/>
                  <w:vAlign w:val="center"/>
                </w:tcPr>
                <w:p w14:paraId="7299E9B1">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95.6</w:t>
                  </w:r>
                </w:p>
              </w:tc>
              <w:tc>
                <w:tcPr>
                  <w:tcW w:w="900" w:type="dxa"/>
                  <w:shd w:val="clear" w:color="auto" w:fill="FFFFFF"/>
                  <w:vAlign w:val="center"/>
                </w:tcPr>
                <w:p w14:paraId="085CF2A1">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1.2</w:t>
                  </w:r>
                </w:p>
              </w:tc>
              <w:tc>
                <w:tcPr>
                  <w:tcW w:w="749" w:type="dxa"/>
                  <w:shd w:val="clear" w:color="auto" w:fill="FFFFFF"/>
                  <w:vAlign w:val="center"/>
                </w:tcPr>
                <w:p w14:paraId="183F8DEE">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昼间</w:t>
                  </w:r>
                </w:p>
              </w:tc>
              <w:tc>
                <w:tcPr>
                  <w:tcW w:w="1216" w:type="dxa"/>
                  <w:shd w:val="clear" w:color="auto" w:fill="FFFFFF"/>
                  <w:vAlign w:val="center"/>
                </w:tcPr>
                <w:p w14:paraId="7421EF6F">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eastAsia"/>
                      <w:szCs w:val="20"/>
                    </w:rPr>
                    <w:t>39.5</w:t>
                  </w:r>
                </w:p>
              </w:tc>
              <w:tc>
                <w:tcPr>
                  <w:tcW w:w="1227" w:type="dxa"/>
                  <w:shd w:val="clear" w:color="auto" w:fill="FFFFFF"/>
                  <w:vAlign w:val="center"/>
                </w:tcPr>
                <w:p w14:paraId="4FD3018E">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65</w:t>
                  </w:r>
                </w:p>
              </w:tc>
              <w:tc>
                <w:tcPr>
                  <w:tcW w:w="1013" w:type="dxa"/>
                  <w:shd w:val="clear" w:color="auto" w:fill="FFFFFF"/>
                  <w:vAlign w:val="center"/>
                </w:tcPr>
                <w:p w14:paraId="1B5FE7FD">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达标</w:t>
                  </w:r>
                </w:p>
              </w:tc>
            </w:tr>
            <w:tr w14:paraId="15145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946" w:type="dxa"/>
                  <w:shd w:val="clear" w:color="auto" w:fill="FFFFFF"/>
                  <w:vAlign w:val="center"/>
                </w:tcPr>
                <w:p w14:paraId="3B7E4C99">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北侧</w:t>
                  </w:r>
                </w:p>
              </w:tc>
              <w:tc>
                <w:tcPr>
                  <w:tcW w:w="905" w:type="dxa"/>
                  <w:shd w:val="clear" w:color="auto" w:fill="FFFFFF"/>
                  <w:vAlign w:val="center"/>
                </w:tcPr>
                <w:p w14:paraId="4DDCB1D6">
                  <w:pPr>
                    <w:keepNext w:val="0"/>
                    <w:keepLines w:val="0"/>
                    <w:suppressLineNumbers w:val="0"/>
                    <w:spacing w:before="0" w:beforeAutospacing="0" w:after="0" w:afterAutospacing="0"/>
                    <w:ind w:left="0" w:right="0"/>
                    <w:jc w:val="center"/>
                    <w:rPr>
                      <w:rFonts w:hint="default" w:ascii="Times New Roman" w:hAnsi="Times New Roman" w:eastAsia="宋体" w:cs="Times New Roman"/>
                      <w:b w:val="0"/>
                      <w:bCs/>
                      <w:sz w:val="21"/>
                      <w:szCs w:val="21"/>
                      <w:highlight w:val="none"/>
                    </w:rPr>
                  </w:pPr>
                  <w:r>
                    <w:rPr>
                      <w:rFonts w:hint="default" w:ascii="Times New Roman" w:hAnsi="Times New Roman" w:eastAsia="宋体" w:cs="Times New Roman"/>
                      <w:b w:val="0"/>
                      <w:bCs/>
                      <w:sz w:val="21"/>
                      <w:szCs w:val="21"/>
                      <w:highlight w:val="none"/>
                    </w:rPr>
                    <w:t>78.4</w:t>
                  </w:r>
                </w:p>
              </w:tc>
              <w:tc>
                <w:tcPr>
                  <w:tcW w:w="885" w:type="dxa"/>
                  <w:shd w:val="clear" w:color="auto" w:fill="FFFFFF"/>
                  <w:vAlign w:val="center"/>
                </w:tcPr>
                <w:p w14:paraId="6C39CCF0">
                  <w:pPr>
                    <w:keepNext w:val="0"/>
                    <w:keepLines w:val="0"/>
                    <w:suppressLineNumbers w:val="0"/>
                    <w:spacing w:before="0" w:beforeAutospacing="0" w:after="0" w:afterAutospacing="0"/>
                    <w:ind w:left="0" w:right="0"/>
                    <w:jc w:val="center"/>
                    <w:rPr>
                      <w:rFonts w:hint="default" w:ascii="Times New Roman" w:hAnsi="Times New Roman" w:eastAsia="宋体" w:cs="Times New Roman"/>
                      <w:b w:val="0"/>
                      <w:bCs/>
                      <w:sz w:val="21"/>
                      <w:szCs w:val="21"/>
                      <w:highlight w:val="none"/>
                    </w:rPr>
                  </w:pPr>
                  <w:r>
                    <w:rPr>
                      <w:rFonts w:hint="default" w:ascii="Times New Roman" w:hAnsi="Times New Roman" w:eastAsia="宋体" w:cs="Times New Roman"/>
                      <w:b w:val="0"/>
                      <w:bCs/>
                      <w:sz w:val="21"/>
                      <w:szCs w:val="21"/>
                      <w:highlight w:val="none"/>
                    </w:rPr>
                    <w:t>95.3</w:t>
                  </w:r>
                </w:p>
              </w:tc>
              <w:tc>
                <w:tcPr>
                  <w:tcW w:w="900" w:type="dxa"/>
                  <w:shd w:val="clear" w:color="auto" w:fill="FFFFFF"/>
                  <w:vAlign w:val="center"/>
                </w:tcPr>
                <w:p w14:paraId="3CD17B04">
                  <w:pPr>
                    <w:keepNext w:val="0"/>
                    <w:keepLines w:val="0"/>
                    <w:suppressLineNumbers w:val="0"/>
                    <w:spacing w:before="0" w:beforeAutospacing="0" w:after="0" w:afterAutospacing="0"/>
                    <w:ind w:left="0" w:right="0"/>
                    <w:jc w:val="center"/>
                    <w:rPr>
                      <w:rFonts w:hint="default" w:ascii="Times New Roman" w:hAnsi="Times New Roman" w:eastAsia="宋体" w:cs="Times New Roman"/>
                      <w:b w:val="0"/>
                      <w:bCs/>
                      <w:sz w:val="21"/>
                      <w:szCs w:val="21"/>
                      <w:highlight w:val="none"/>
                    </w:rPr>
                  </w:pPr>
                  <w:r>
                    <w:rPr>
                      <w:rFonts w:hint="default" w:ascii="Times New Roman" w:hAnsi="Times New Roman" w:eastAsia="宋体" w:cs="Times New Roman"/>
                      <w:b w:val="0"/>
                      <w:bCs/>
                      <w:sz w:val="21"/>
                      <w:szCs w:val="21"/>
                      <w:highlight w:val="none"/>
                    </w:rPr>
                    <w:t>1.2</w:t>
                  </w:r>
                </w:p>
              </w:tc>
              <w:tc>
                <w:tcPr>
                  <w:tcW w:w="749" w:type="dxa"/>
                  <w:shd w:val="clear" w:color="auto" w:fill="FFFFFF"/>
                  <w:vAlign w:val="center"/>
                </w:tcPr>
                <w:p w14:paraId="442E5CB6">
                  <w:pPr>
                    <w:keepNext w:val="0"/>
                    <w:keepLines w:val="0"/>
                    <w:suppressLineNumbers w:val="0"/>
                    <w:spacing w:before="0" w:beforeAutospacing="0" w:after="0" w:afterAutospacing="0"/>
                    <w:ind w:left="0" w:right="0"/>
                    <w:jc w:val="center"/>
                    <w:rPr>
                      <w:rFonts w:hint="default" w:ascii="Times New Roman" w:hAnsi="Times New Roman" w:eastAsia="宋体" w:cs="Times New Roman"/>
                      <w:b w:val="0"/>
                      <w:bCs/>
                      <w:sz w:val="21"/>
                      <w:szCs w:val="21"/>
                      <w:highlight w:val="none"/>
                    </w:rPr>
                  </w:pPr>
                  <w:r>
                    <w:rPr>
                      <w:rFonts w:hint="default" w:ascii="Times New Roman" w:hAnsi="Times New Roman" w:eastAsia="宋体" w:cs="Times New Roman"/>
                      <w:b w:val="0"/>
                      <w:bCs/>
                      <w:sz w:val="21"/>
                      <w:szCs w:val="21"/>
                      <w:highlight w:val="none"/>
                    </w:rPr>
                    <w:t>昼间</w:t>
                  </w:r>
                </w:p>
              </w:tc>
              <w:tc>
                <w:tcPr>
                  <w:tcW w:w="1216" w:type="dxa"/>
                  <w:shd w:val="clear" w:color="auto" w:fill="FFFFFF"/>
                  <w:vAlign w:val="center"/>
                </w:tcPr>
                <w:p w14:paraId="4D16EE49">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62.4</w:t>
                  </w:r>
                </w:p>
              </w:tc>
              <w:tc>
                <w:tcPr>
                  <w:tcW w:w="1227" w:type="dxa"/>
                  <w:shd w:val="clear" w:color="auto" w:fill="FFFFFF"/>
                  <w:vAlign w:val="center"/>
                </w:tcPr>
                <w:p w14:paraId="0A42DB71">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65</w:t>
                  </w:r>
                </w:p>
              </w:tc>
              <w:tc>
                <w:tcPr>
                  <w:tcW w:w="1013" w:type="dxa"/>
                  <w:shd w:val="clear" w:color="auto" w:fill="FFFFFF"/>
                  <w:vAlign w:val="center"/>
                </w:tcPr>
                <w:p w14:paraId="45263821">
                  <w:pPr>
                    <w:keepNext w:val="0"/>
                    <w:keepLines w:val="0"/>
                    <w:suppressLineNumbers w:val="0"/>
                    <w:spacing w:before="0" w:beforeAutospacing="0" w:after="0" w:afterAutospacing="0"/>
                    <w:ind w:left="0" w:right="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达标</w:t>
                  </w:r>
                </w:p>
              </w:tc>
            </w:tr>
          </w:tbl>
          <w:p w14:paraId="5083D59E">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sz w:val="24"/>
                <w:szCs w:val="24"/>
                <w:highlight w:val="none"/>
              </w:rPr>
              <w:t>项目采取措</w:t>
            </w:r>
            <w:r>
              <w:rPr>
                <w:rFonts w:hint="default" w:ascii="Times New Roman" w:hAnsi="Times New Roman" w:cs="Times New Roman"/>
                <w:sz w:val="24"/>
                <w:szCs w:val="24"/>
                <w:highlight w:val="none"/>
              </w:rPr>
              <w:t>施后，项目</w:t>
            </w:r>
            <w:r>
              <w:rPr>
                <w:rFonts w:hint="eastAsia"/>
                <w:sz w:val="24"/>
                <w:szCs w:val="22"/>
                <w:highlight w:val="none"/>
                <w:lang w:val="en-US" w:eastAsia="zh-CN"/>
              </w:rPr>
              <w:t>夜间不生产，</w:t>
            </w:r>
            <w:r>
              <w:rPr>
                <w:rFonts w:hint="default" w:ascii="Times New Roman" w:hAnsi="Times New Roman" w:cs="Times New Roman"/>
                <w:sz w:val="24"/>
                <w:szCs w:val="24"/>
                <w:highlight w:val="none"/>
              </w:rPr>
              <w:t>运营期贡献值噪声源对各厂界的昼间贡献值为</w:t>
            </w:r>
            <w:r>
              <w:rPr>
                <w:rFonts w:hint="eastAsia"/>
                <w:sz w:val="24"/>
                <w:szCs w:val="24"/>
                <w:highlight w:val="none"/>
                <w:lang w:val="en-US" w:eastAsia="zh-CN"/>
              </w:rPr>
              <w:t>39.5</w:t>
            </w:r>
            <w:r>
              <w:rPr>
                <w:rFonts w:hint="default" w:ascii="Times New Roman" w:hAnsi="Times New Roman" w:cs="Times New Roman"/>
                <w:sz w:val="24"/>
                <w:szCs w:val="24"/>
                <w:highlight w:val="none"/>
              </w:rPr>
              <w:t>～</w:t>
            </w:r>
            <w:r>
              <w:rPr>
                <w:rFonts w:hint="eastAsia" w:cs="Times New Roman"/>
                <w:sz w:val="24"/>
                <w:szCs w:val="24"/>
                <w:highlight w:val="none"/>
                <w:lang w:val="en-US" w:eastAsia="zh-CN"/>
              </w:rPr>
              <w:t>62.4</w:t>
            </w:r>
            <w:r>
              <w:rPr>
                <w:rFonts w:hint="default" w:ascii="Times New Roman" w:hAnsi="Times New Roman" w:cs="Times New Roman"/>
                <w:sz w:val="24"/>
                <w:szCs w:val="24"/>
                <w:highlight w:val="none"/>
              </w:rPr>
              <w:t>dB（A</w:t>
            </w:r>
            <w:r>
              <w:rPr>
                <w:rFonts w:hint="default"/>
                <w:sz w:val="24"/>
                <w:szCs w:val="24"/>
                <w:highlight w:val="none"/>
              </w:rPr>
              <w:t>）</w:t>
            </w:r>
            <w:r>
              <w:rPr>
                <w:rFonts w:hint="default"/>
                <w:sz w:val="24"/>
                <w:szCs w:val="20"/>
                <w:highlight w:val="none"/>
              </w:rPr>
              <w:t>，厂界噪声</w:t>
            </w:r>
            <w:r>
              <w:rPr>
                <w:rFonts w:hint="eastAsia"/>
                <w:sz w:val="24"/>
                <w:szCs w:val="20"/>
                <w:highlight w:val="none"/>
              </w:rPr>
              <w:t>满足《工业企业厂界环境噪声排放标准》（GB12348-2008）中</w:t>
            </w:r>
            <w:r>
              <w:rPr>
                <w:rFonts w:hint="eastAsia"/>
                <w:sz w:val="24"/>
                <w:szCs w:val="20"/>
                <w:highlight w:val="none"/>
                <w:lang w:val="en-US" w:eastAsia="zh-CN"/>
              </w:rPr>
              <w:t>3</w:t>
            </w:r>
            <w:r>
              <w:rPr>
                <w:rFonts w:hint="eastAsia"/>
                <w:sz w:val="24"/>
                <w:szCs w:val="20"/>
                <w:highlight w:val="none"/>
              </w:rPr>
              <w:t>类标准的要求</w:t>
            </w:r>
            <w:r>
              <w:rPr>
                <w:rFonts w:hint="default"/>
                <w:sz w:val="24"/>
                <w:szCs w:val="20"/>
                <w:highlight w:val="none"/>
              </w:rPr>
              <w:t>。</w:t>
            </w:r>
          </w:p>
          <w:p w14:paraId="78064CB4">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sz w:val="24"/>
                <w:highlight w:val="none"/>
              </w:rPr>
              <w:t>综上，项目噪声对周围环境的影响较小。</w:t>
            </w:r>
          </w:p>
          <w:p w14:paraId="5E74A5A3">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 xml:space="preserve">3.4 </w:t>
            </w:r>
            <w:r>
              <w:rPr>
                <w:rFonts w:hint="default" w:ascii="Times New Roman" w:hAnsi="Times New Roman" w:cs="Times New Roman"/>
                <w:b/>
                <w:smallCaps w:val="0"/>
                <w:color w:val="auto"/>
                <w:spacing w:val="0"/>
                <w:highlight w:val="none"/>
              </w:rPr>
              <w:t>噪声监测计划</w:t>
            </w:r>
          </w:p>
          <w:p w14:paraId="3AC4B62C">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项目噪声监测计划见下表：</w:t>
            </w:r>
          </w:p>
          <w:p w14:paraId="09C50F4B">
            <w:pPr>
              <w:pStyle w:val="18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表4-</w:t>
            </w:r>
            <w:r>
              <w:rPr>
                <w:rFonts w:hint="eastAsia" w:cs="Times New Roman"/>
                <w:smallCaps w:val="0"/>
                <w:color w:val="auto"/>
                <w:spacing w:val="0"/>
                <w:highlight w:val="none"/>
                <w:lang w:val="en-US" w:eastAsia="zh-CN"/>
              </w:rPr>
              <w:t>12</w:t>
            </w:r>
            <w:r>
              <w:rPr>
                <w:rFonts w:hint="default" w:ascii="Times New Roman" w:hAnsi="Times New Roman" w:cs="Times New Roman"/>
                <w:smallCaps w:val="0"/>
                <w:color w:val="auto"/>
                <w:spacing w:val="0"/>
                <w:highlight w:val="none"/>
              </w:rPr>
              <w:t xml:space="preserve">    噪声监测计划一览表</w:t>
            </w: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0" w:type="dxa"/>
                <w:bottom w:w="0" w:type="dxa"/>
                <w:right w:w="0" w:type="dxa"/>
              </w:tblCellMar>
            </w:tblPr>
            <w:tblGrid>
              <w:gridCol w:w="710"/>
              <w:gridCol w:w="1700"/>
              <w:gridCol w:w="1700"/>
              <w:gridCol w:w="2370"/>
              <w:gridCol w:w="1362"/>
            </w:tblGrid>
            <w:tr w14:paraId="5C8100E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53" w:type="pct"/>
                  <w:vAlign w:val="center"/>
                </w:tcPr>
                <w:p w14:paraId="2E200F2B">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序号</w:t>
                  </w:r>
                </w:p>
              </w:tc>
              <w:tc>
                <w:tcPr>
                  <w:tcW w:w="1084" w:type="pct"/>
                  <w:vAlign w:val="center"/>
                </w:tcPr>
                <w:p w14:paraId="5D2CEF1E">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监测项目</w:t>
                  </w:r>
                </w:p>
              </w:tc>
              <w:tc>
                <w:tcPr>
                  <w:tcW w:w="1084" w:type="pct"/>
                  <w:vAlign w:val="center"/>
                </w:tcPr>
                <w:p w14:paraId="752FDBF5">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监测因子</w:t>
                  </w:r>
                </w:p>
              </w:tc>
              <w:tc>
                <w:tcPr>
                  <w:tcW w:w="1511" w:type="pct"/>
                  <w:vAlign w:val="center"/>
                </w:tcPr>
                <w:p w14:paraId="44FD5C5A">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取样位置</w:t>
                  </w:r>
                </w:p>
              </w:tc>
              <w:tc>
                <w:tcPr>
                  <w:tcW w:w="869" w:type="pct"/>
                  <w:vAlign w:val="center"/>
                </w:tcPr>
                <w:p w14:paraId="43518E74">
                  <w:pPr>
                    <w:pStyle w:val="173"/>
                    <w:keepNext w:val="0"/>
                    <w:keepLines w:val="0"/>
                    <w:suppressLineNumbers w:val="0"/>
                    <w:spacing w:before="0" w:beforeAutospacing="0" w:after="0" w:afterAutospacing="0"/>
                    <w:ind w:left="0" w:right="0"/>
                    <w:rPr>
                      <w:rFonts w:hint="default" w:ascii="Times New Roman" w:hAnsi="Times New Roman" w:cs="Times New Roman"/>
                      <w:b/>
                      <w:bCs w:val="0"/>
                      <w:smallCaps w:val="0"/>
                      <w:color w:val="auto"/>
                      <w:spacing w:val="0"/>
                      <w:highlight w:val="none"/>
                    </w:rPr>
                  </w:pPr>
                  <w:r>
                    <w:rPr>
                      <w:rFonts w:hint="default" w:ascii="Times New Roman" w:hAnsi="Times New Roman" w:cs="Times New Roman"/>
                      <w:b/>
                      <w:bCs w:val="0"/>
                      <w:smallCaps w:val="0"/>
                      <w:color w:val="auto"/>
                      <w:spacing w:val="0"/>
                      <w:highlight w:val="none"/>
                    </w:rPr>
                    <w:t>监测频率</w:t>
                  </w:r>
                </w:p>
              </w:tc>
            </w:tr>
            <w:tr w14:paraId="102CED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54" w:hRule="atLeast"/>
                <w:jc w:val="center"/>
              </w:trPr>
              <w:tc>
                <w:tcPr>
                  <w:tcW w:w="453" w:type="pct"/>
                  <w:vAlign w:val="center"/>
                </w:tcPr>
                <w:p w14:paraId="7CE4F305">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w:t>
                  </w:r>
                </w:p>
              </w:tc>
              <w:tc>
                <w:tcPr>
                  <w:tcW w:w="1084" w:type="pct"/>
                  <w:vAlign w:val="center"/>
                </w:tcPr>
                <w:p w14:paraId="287A1053">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厂界噪声</w:t>
                  </w:r>
                </w:p>
              </w:tc>
              <w:tc>
                <w:tcPr>
                  <w:tcW w:w="1084" w:type="pct"/>
                  <w:vAlign w:val="center"/>
                </w:tcPr>
                <w:p w14:paraId="32B5815B">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Leq（A）</w:t>
                  </w:r>
                </w:p>
              </w:tc>
              <w:tc>
                <w:tcPr>
                  <w:tcW w:w="1511" w:type="pct"/>
                  <w:vAlign w:val="center"/>
                </w:tcPr>
                <w:p w14:paraId="36C57B60">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厂界外1m处</w:t>
                  </w:r>
                </w:p>
              </w:tc>
              <w:tc>
                <w:tcPr>
                  <w:tcW w:w="869" w:type="pct"/>
                  <w:vAlign w:val="center"/>
                </w:tcPr>
                <w:p w14:paraId="652C0281">
                  <w:pPr>
                    <w:pStyle w:val="173"/>
                    <w:keepNext w:val="0"/>
                    <w:keepLines w:val="0"/>
                    <w:suppressLineNumbers w:val="0"/>
                    <w:spacing w:before="0" w:beforeAutospacing="0" w:after="0" w:afterAutospacing="0"/>
                    <w:ind w:left="0" w:right="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1次/季度</w:t>
                  </w:r>
                </w:p>
              </w:tc>
            </w:tr>
          </w:tbl>
          <w:p w14:paraId="7C47A72C">
            <w:pPr>
              <w:pStyle w:val="171"/>
              <w:keepNext w:val="0"/>
              <w:keepLines w:val="0"/>
              <w:suppressLineNumbers w:val="0"/>
              <w:spacing w:before="0" w:beforeAutospacing="0" w:after="0" w:afterAutospacing="0"/>
              <w:ind w:left="0" w:right="0" w:firstLine="482"/>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四</w:t>
            </w:r>
            <w:r>
              <w:rPr>
                <w:rFonts w:hint="default" w:ascii="Times New Roman" w:hAnsi="Times New Roman" w:cs="Times New Roman"/>
                <w:b/>
                <w:smallCaps w:val="0"/>
                <w:color w:val="auto"/>
                <w:spacing w:val="0"/>
                <w:highlight w:val="none"/>
              </w:rPr>
              <w:t>、固体废物</w:t>
            </w:r>
          </w:p>
          <w:p w14:paraId="67F9C720">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lang w:val="en-US" w:eastAsia="zh-CN"/>
              </w:rPr>
            </w:pPr>
            <w:r>
              <w:rPr>
                <w:rFonts w:hint="default" w:ascii="Times New Roman" w:hAnsi="Times New Roman" w:cs="Times New Roman"/>
                <w:smallCaps w:val="0"/>
                <w:color w:val="auto"/>
                <w:spacing w:val="0"/>
                <w:highlight w:val="none"/>
              </w:rPr>
              <w:t>根据工程分析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本项目运行期产生的固体废物主要为</w:t>
            </w:r>
            <w:r>
              <w:rPr>
                <w:rFonts w:hint="eastAsia" w:cs="Times New Roman"/>
                <w:smallCaps w:val="0"/>
                <w:color w:val="auto"/>
                <w:spacing w:val="0"/>
                <w:highlight w:val="none"/>
                <w:lang w:val="en-US" w:eastAsia="zh-CN"/>
              </w:rPr>
              <w:t>不合格壳芯、浇注废渣、废砂、</w:t>
            </w:r>
            <w:r>
              <w:rPr>
                <w:rFonts w:hint="eastAsia"/>
                <w:sz w:val="24"/>
                <w:szCs w:val="24"/>
                <w:highlight w:val="none"/>
                <w:lang w:val="en-US" w:eastAsia="zh-CN"/>
              </w:rPr>
              <w:t>浇冒口</w:t>
            </w:r>
            <w:r>
              <w:rPr>
                <w:rFonts w:hint="eastAsia" w:cs="Times New Roman"/>
                <w:smallCaps w:val="0"/>
                <w:color w:val="auto"/>
                <w:spacing w:val="0"/>
                <w:highlight w:val="none"/>
                <w:lang w:val="en-US" w:eastAsia="zh-CN"/>
              </w:rPr>
              <w:t>、不合格品、铁渣、废布袋、除尘灰、废活性炭、废润滑油、废润滑油桶、生活垃圾</w:t>
            </w:r>
            <w:r>
              <w:rPr>
                <w:rFonts w:hint="default" w:ascii="Times New Roman" w:hAnsi="Times New Roman" w:cs="Times New Roman"/>
                <w:smallCaps w:val="0"/>
                <w:color w:val="auto"/>
                <w:spacing w:val="0"/>
                <w:highlight w:val="none"/>
                <w:lang w:val="en-US" w:eastAsia="zh-CN"/>
              </w:rPr>
              <w:t>。</w:t>
            </w:r>
          </w:p>
          <w:p w14:paraId="7175F9D5">
            <w:pPr>
              <w:pStyle w:val="171"/>
              <w:keepNext w:val="0"/>
              <w:keepLines w:val="0"/>
              <w:suppressLineNumbers w:val="0"/>
              <w:spacing w:before="0" w:beforeAutospacing="0" w:after="0" w:afterAutospacing="0"/>
              <w:ind w:left="0" w:right="0" w:firstLine="480"/>
              <w:rPr>
                <w:rFonts w:hint="eastAsia" w:cs="Times New Roman"/>
                <w:b/>
                <w:bCs/>
                <w:smallCaps w:val="0"/>
                <w:color w:val="auto"/>
                <w:spacing w:val="0"/>
                <w:highlight w:val="none"/>
                <w:lang w:val="en-US" w:eastAsia="zh-CN"/>
              </w:rPr>
            </w:pPr>
            <w:r>
              <w:rPr>
                <w:rFonts w:hint="eastAsia" w:cs="Times New Roman"/>
                <w:b/>
                <w:bCs/>
                <w:smallCaps w:val="0"/>
                <w:color w:val="auto"/>
                <w:spacing w:val="0"/>
                <w:highlight w:val="none"/>
                <w:lang w:val="en-US" w:eastAsia="zh-CN"/>
              </w:rPr>
              <w:t>4.1 生活垃圾</w:t>
            </w:r>
          </w:p>
          <w:p w14:paraId="6B701DA4">
            <w:pPr>
              <w:pStyle w:val="21"/>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eastAsia" w:ascii="Times New Roman" w:hAnsi="Times New Roman" w:eastAsia="宋体" w:cs="Times New Roman"/>
                <w:smallCaps w:val="0"/>
                <w:snapToGrid w:val="0"/>
                <w:color w:val="auto"/>
                <w:spacing w:val="0"/>
                <w:kern w:val="2"/>
                <w:sz w:val="24"/>
                <w:szCs w:val="24"/>
                <w:highlight w:val="none"/>
                <w:lang w:val="en-US" w:eastAsia="zh-CN" w:bidi="ar-SA"/>
              </w:rPr>
            </w:pPr>
            <w:r>
              <w:rPr>
                <w:rFonts w:hint="eastAsia" w:ascii="Times New Roman" w:hAnsi="Times New Roman" w:eastAsia="宋体" w:cs="Times New Roman"/>
                <w:smallCaps w:val="0"/>
                <w:snapToGrid w:val="0"/>
                <w:color w:val="auto"/>
                <w:spacing w:val="0"/>
                <w:kern w:val="2"/>
                <w:sz w:val="24"/>
                <w:szCs w:val="24"/>
                <w:highlight w:val="none"/>
                <w:lang w:val="en-US" w:eastAsia="zh-CN" w:bidi="ar-SA"/>
              </w:rPr>
              <w:t>本项目工作人员共6人，生活垃圾产生量按0.50kg/人·d，年工作300d计，则本项目生活垃圾产生量为0.9t/a，生活垃圾分类存放，由环卫部门定期清运。</w:t>
            </w:r>
          </w:p>
          <w:p w14:paraId="525A2F2A">
            <w:pPr>
              <w:pStyle w:val="171"/>
              <w:keepNext w:val="0"/>
              <w:keepLines w:val="0"/>
              <w:suppressLineNumbers w:val="0"/>
              <w:spacing w:before="0" w:beforeAutospacing="0" w:after="0" w:afterAutospacing="0"/>
              <w:ind w:left="0" w:right="0" w:firstLine="480"/>
              <w:rPr>
                <w:rFonts w:hint="eastAsia" w:cs="Times New Roman"/>
                <w:b/>
                <w:bCs/>
                <w:smallCaps w:val="0"/>
                <w:color w:val="auto"/>
                <w:spacing w:val="0"/>
                <w:highlight w:val="none"/>
                <w:lang w:val="en-US" w:eastAsia="zh-CN"/>
              </w:rPr>
            </w:pPr>
            <w:r>
              <w:rPr>
                <w:rFonts w:hint="eastAsia" w:cs="Times New Roman"/>
                <w:b/>
                <w:bCs/>
                <w:smallCaps w:val="0"/>
                <w:color w:val="auto"/>
                <w:spacing w:val="0"/>
                <w:highlight w:val="none"/>
                <w:lang w:val="en-US" w:eastAsia="zh-CN"/>
              </w:rPr>
              <w:t>4.2 一般工业固体废物</w:t>
            </w:r>
          </w:p>
          <w:p w14:paraId="5906BFF5">
            <w:pPr>
              <w:pStyle w:val="21"/>
              <w:keepNext w:val="0"/>
              <w:keepLines w:val="0"/>
              <w:pageBreakBefore w:val="0"/>
              <w:widowControl w:val="0"/>
              <w:suppressLineNumbers w:val="0"/>
              <w:kinsoku/>
              <w:wordWrap/>
              <w:overflowPunct/>
              <w:autoSpaceDE/>
              <w:autoSpaceDN/>
              <w:bidi w:val="0"/>
              <w:spacing w:before="0" w:beforeAutospacing="0" w:after="0" w:afterAutospacing="0" w:line="480" w:lineRule="exact"/>
              <w:ind w:left="0" w:right="0" w:firstLine="480" w:firstLineChars="200"/>
              <w:textAlignment w:val="auto"/>
              <w:rPr>
                <w:rFonts w:hint="eastAsia"/>
                <w:sz w:val="24"/>
                <w:szCs w:val="24"/>
                <w:highlight w:val="none"/>
                <w:lang w:val="en-US" w:eastAsia="zh-CN"/>
              </w:rPr>
            </w:pPr>
            <w:r>
              <w:rPr>
                <w:rFonts w:hint="eastAsia"/>
                <w:sz w:val="24"/>
                <w:szCs w:val="24"/>
                <w:highlight w:val="none"/>
                <w:lang w:val="en-US" w:eastAsia="zh-CN"/>
              </w:rPr>
              <w:t>本项目一般工业固体废物有不合格壳芯、浇注废渣、废砂、浇冒口、不合格品、铁渣、废布袋、除尘灰。</w:t>
            </w:r>
          </w:p>
          <w:p w14:paraId="20E5B69D">
            <w:pPr>
              <w:pStyle w:val="66"/>
              <w:keepLines w:val="0"/>
              <w:pageBreakBefore w:val="0"/>
              <w:widowControl w:val="0"/>
              <w:suppressLineNumbers w:val="0"/>
              <w:tabs>
                <w:tab w:val="left" w:pos="5600"/>
                <w:tab w:val="clear" w:pos="4153"/>
                <w:tab w:val="clear" w:pos="8306"/>
              </w:tabs>
              <w:kinsoku/>
              <w:wordWrap/>
              <w:overflowPunct/>
              <w:autoSpaceDE/>
              <w:autoSpaceDN/>
              <w:bidi w:val="0"/>
              <w:spacing w:before="0" w:beforeAutospacing="0" w:after="0" w:afterAutospacing="0" w:line="480" w:lineRule="exact"/>
              <w:ind w:left="0" w:right="0" w:firstLine="0" w:firstLineChars="0"/>
              <w:textAlignment w:val="auto"/>
              <w:rPr>
                <w:rFonts w:hint="eastAsia"/>
                <w:sz w:val="24"/>
                <w:szCs w:val="24"/>
                <w:highlight w:val="none"/>
              </w:rPr>
            </w:pPr>
            <w:r>
              <w:rPr>
                <w:rFonts w:hint="eastAsia"/>
                <w:sz w:val="24"/>
                <w:szCs w:val="24"/>
                <w:highlight w:val="none"/>
              </w:rPr>
              <w:t>表4-</w:t>
            </w:r>
            <w:r>
              <w:rPr>
                <w:rFonts w:hint="eastAsia"/>
                <w:sz w:val="24"/>
                <w:szCs w:val="24"/>
                <w:highlight w:val="none"/>
                <w:lang w:val="en-US" w:eastAsia="zh-CN"/>
              </w:rPr>
              <w:t>13</w:t>
            </w:r>
            <w:r>
              <w:rPr>
                <w:rFonts w:hint="eastAsia"/>
                <w:sz w:val="24"/>
                <w:szCs w:val="24"/>
                <w:highlight w:val="none"/>
              </w:rPr>
              <w:t xml:space="preserve">    项目工业固体废物的产生、处置情况</w:t>
            </w:r>
          </w:p>
          <w:tbl>
            <w:tblPr>
              <w:tblStyle w:val="47"/>
              <w:tblW w:w="4992"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04"/>
              <w:gridCol w:w="937"/>
              <w:gridCol w:w="611"/>
              <w:gridCol w:w="1243"/>
              <w:gridCol w:w="980"/>
              <w:gridCol w:w="548"/>
              <w:gridCol w:w="513"/>
              <w:gridCol w:w="705"/>
              <w:gridCol w:w="537"/>
              <w:gridCol w:w="1363"/>
            </w:tblGrid>
            <w:tr w14:paraId="31C473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noWrap w:val="0"/>
                  <w:vAlign w:val="center"/>
                </w:tcPr>
                <w:p w14:paraId="583BD577">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产生</w:t>
                  </w:r>
                </w:p>
                <w:p w14:paraId="346EF2EA">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环节</w:t>
                  </w:r>
                </w:p>
              </w:tc>
              <w:tc>
                <w:tcPr>
                  <w:tcW w:w="597" w:type="pct"/>
                  <w:noWrap w:val="0"/>
                  <w:vAlign w:val="center"/>
                </w:tcPr>
                <w:p w14:paraId="0092A43B">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固废名称</w:t>
                  </w:r>
                </w:p>
              </w:tc>
              <w:tc>
                <w:tcPr>
                  <w:tcW w:w="389" w:type="pct"/>
                  <w:noWrap w:val="0"/>
                  <w:vAlign w:val="center"/>
                </w:tcPr>
                <w:p w14:paraId="5E0DFEEE">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属性</w:t>
                  </w:r>
                </w:p>
              </w:tc>
              <w:tc>
                <w:tcPr>
                  <w:tcW w:w="792" w:type="pct"/>
                  <w:noWrap w:val="0"/>
                  <w:vAlign w:val="center"/>
                </w:tcPr>
                <w:p w14:paraId="5A890050">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代码</w:t>
                  </w:r>
                </w:p>
              </w:tc>
              <w:tc>
                <w:tcPr>
                  <w:tcW w:w="624" w:type="pct"/>
                  <w:noWrap w:val="0"/>
                  <w:vAlign w:val="center"/>
                </w:tcPr>
                <w:p w14:paraId="165D748E">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主要有毒有害物质名称</w:t>
                  </w:r>
                </w:p>
              </w:tc>
              <w:tc>
                <w:tcPr>
                  <w:tcW w:w="349" w:type="pct"/>
                  <w:noWrap w:val="0"/>
                  <w:vAlign w:val="center"/>
                </w:tcPr>
                <w:p w14:paraId="52FE4BB7">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物理性状</w:t>
                  </w:r>
                </w:p>
              </w:tc>
              <w:tc>
                <w:tcPr>
                  <w:tcW w:w="327" w:type="pct"/>
                  <w:noWrap w:val="0"/>
                  <w:vAlign w:val="center"/>
                </w:tcPr>
                <w:p w14:paraId="20F9D83F">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环境危险特性</w:t>
                  </w:r>
                </w:p>
              </w:tc>
              <w:tc>
                <w:tcPr>
                  <w:tcW w:w="449" w:type="pct"/>
                  <w:noWrap w:val="0"/>
                  <w:vAlign w:val="center"/>
                </w:tcPr>
                <w:p w14:paraId="41BB2942">
                  <w:pPr>
                    <w:keepNext w:val="0"/>
                    <w:keepLines w:val="0"/>
                    <w:widowControl/>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产生量（t/a）</w:t>
                  </w:r>
                </w:p>
              </w:tc>
              <w:tc>
                <w:tcPr>
                  <w:tcW w:w="342" w:type="pct"/>
                  <w:noWrap w:val="0"/>
                  <w:vAlign w:val="center"/>
                </w:tcPr>
                <w:p w14:paraId="016A3982">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贮存</w:t>
                  </w:r>
                </w:p>
                <w:p w14:paraId="5BCA0951">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方式</w:t>
                  </w:r>
                </w:p>
              </w:tc>
              <w:tc>
                <w:tcPr>
                  <w:tcW w:w="869" w:type="pct"/>
                  <w:noWrap w:val="0"/>
                  <w:vAlign w:val="center"/>
                </w:tcPr>
                <w:p w14:paraId="390B5B28">
                  <w:pPr>
                    <w:keepNext w:val="0"/>
                    <w:keepLines w:val="0"/>
                    <w:suppressLineNumbers w:val="0"/>
                    <w:adjustRightInd w:val="0"/>
                    <w:snapToGrid w:val="0"/>
                    <w:spacing w:before="0" w:beforeAutospacing="0" w:after="0" w:afterAutospacing="0" w:line="280" w:lineRule="exact"/>
                    <w:ind w:left="0" w:right="0"/>
                    <w:jc w:val="center"/>
                    <w:rPr>
                      <w:rFonts w:hint="default"/>
                      <w:b/>
                      <w:bCs/>
                      <w:sz w:val="21"/>
                      <w:szCs w:val="21"/>
                      <w:highlight w:val="none"/>
                    </w:rPr>
                  </w:pPr>
                  <w:r>
                    <w:rPr>
                      <w:rFonts w:hint="default"/>
                      <w:b/>
                      <w:bCs/>
                      <w:sz w:val="21"/>
                      <w:szCs w:val="21"/>
                      <w:highlight w:val="none"/>
                    </w:rPr>
                    <w:t>利用处置方式</w:t>
                  </w:r>
                </w:p>
              </w:tc>
            </w:tr>
            <w:tr w14:paraId="1DE036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restart"/>
                  <w:noWrap w:val="0"/>
                  <w:vAlign w:val="center"/>
                </w:tcPr>
                <w:p w14:paraId="762CDD9C">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生产</w:t>
                  </w:r>
                </w:p>
              </w:tc>
              <w:tc>
                <w:tcPr>
                  <w:tcW w:w="597" w:type="pct"/>
                  <w:noWrap w:val="0"/>
                  <w:vAlign w:val="center"/>
                </w:tcPr>
                <w:p w14:paraId="45B397C7">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lang w:val="en-US" w:eastAsia="zh-CN"/>
                    </w:rPr>
                  </w:pPr>
                  <w:r>
                    <w:rPr>
                      <w:rFonts w:hint="eastAsia"/>
                      <w:sz w:val="21"/>
                      <w:szCs w:val="21"/>
                      <w:highlight w:val="none"/>
                      <w:lang w:val="en-US" w:eastAsia="zh-CN"/>
                    </w:rPr>
                    <w:t>不合格</w:t>
                  </w:r>
                </w:p>
                <w:p w14:paraId="6D6F80F2">
                  <w:pPr>
                    <w:keepNext w:val="0"/>
                    <w:keepLines w:val="0"/>
                    <w:widowControl/>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eastAsia"/>
                      <w:sz w:val="21"/>
                      <w:szCs w:val="21"/>
                      <w:highlight w:val="none"/>
                      <w:lang w:val="en-US" w:eastAsia="zh-CN"/>
                    </w:rPr>
                    <w:t>壳芯</w:t>
                  </w:r>
                </w:p>
              </w:tc>
              <w:tc>
                <w:tcPr>
                  <w:tcW w:w="389" w:type="pct"/>
                  <w:vMerge w:val="restart"/>
                  <w:noWrap w:val="0"/>
                  <w:vAlign w:val="center"/>
                </w:tcPr>
                <w:p w14:paraId="43A886CF">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default"/>
                      <w:sz w:val="21"/>
                      <w:szCs w:val="21"/>
                      <w:highlight w:val="none"/>
                    </w:rPr>
                    <w:t>一般固废</w:t>
                  </w:r>
                </w:p>
              </w:tc>
              <w:tc>
                <w:tcPr>
                  <w:tcW w:w="792" w:type="pct"/>
                  <w:noWrap w:val="0"/>
                  <w:vAlign w:val="center"/>
                </w:tcPr>
                <w:p w14:paraId="5DBA7FA5">
                  <w:pPr>
                    <w:keepNext w:val="0"/>
                    <w:keepLines w:val="0"/>
                    <w:widowControl/>
                    <w:suppressLineNumbers w:val="0"/>
                    <w:spacing w:before="0" w:beforeAutospacing="0" w:after="0" w:afterAutospacing="0"/>
                    <w:ind w:left="0" w:right="0"/>
                    <w:jc w:val="center"/>
                    <w:rPr>
                      <w:rFonts w:hint="default" w:ascii="Times New Roman" w:hAnsi="Times New Roman" w:cs="Times New Roman"/>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900-099-S59</w:t>
                  </w:r>
                </w:p>
              </w:tc>
              <w:tc>
                <w:tcPr>
                  <w:tcW w:w="624" w:type="pct"/>
                  <w:noWrap w:val="0"/>
                  <w:vAlign w:val="center"/>
                </w:tcPr>
                <w:p w14:paraId="1D74D24F">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eastAsia"/>
                      <w:sz w:val="21"/>
                      <w:szCs w:val="21"/>
                      <w:highlight w:val="none"/>
                    </w:rPr>
                    <w:t>/</w:t>
                  </w:r>
                </w:p>
              </w:tc>
              <w:tc>
                <w:tcPr>
                  <w:tcW w:w="349" w:type="pct"/>
                  <w:noWrap w:val="0"/>
                  <w:vAlign w:val="center"/>
                </w:tcPr>
                <w:p w14:paraId="78DF7CE2">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default"/>
                      <w:sz w:val="21"/>
                      <w:szCs w:val="21"/>
                      <w:highlight w:val="none"/>
                    </w:rPr>
                    <w:t>固态</w:t>
                  </w:r>
                </w:p>
              </w:tc>
              <w:tc>
                <w:tcPr>
                  <w:tcW w:w="327" w:type="pct"/>
                  <w:noWrap w:val="0"/>
                  <w:vAlign w:val="center"/>
                </w:tcPr>
                <w:p w14:paraId="08E47CF6">
                  <w:pPr>
                    <w:keepNext w:val="0"/>
                    <w:keepLines w:val="0"/>
                    <w:widowControl/>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eastAsia"/>
                      <w:sz w:val="21"/>
                      <w:szCs w:val="21"/>
                      <w:highlight w:val="none"/>
                    </w:rPr>
                    <w:t>/</w:t>
                  </w:r>
                </w:p>
              </w:tc>
              <w:tc>
                <w:tcPr>
                  <w:tcW w:w="449" w:type="pct"/>
                  <w:noWrap w:val="0"/>
                  <w:vAlign w:val="center"/>
                </w:tcPr>
                <w:p w14:paraId="13F57DD0">
                  <w:pPr>
                    <w:keepNext w:val="0"/>
                    <w:keepLines w:val="0"/>
                    <w:suppressLineNumbers w:val="0"/>
                    <w:adjustRightInd w:val="0"/>
                    <w:snapToGrid w:val="0"/>
                    <w:spacing w:before="0" w:beforeAutospacing="0" w:after="0" w:afterAutospacing="0" w:line="280" w:lineRule="exact"/>
                    <w:ind w:left="0" w:right="0"/>
                    <w:jc w:val="center"/>
                    <w:rPr>
                      <w:rFonts w:hint="default" w:eastAsia="宋体"/>
                      <w:sz w:val="21"/>
                      <w:szCs w:val="21"/>
                      <w:highlight w:val="none"/>
                      <w:lang w:val="en-US" w:eastAsia="zh-CN"/>
                    </w:rPr>
                  </w:pPr>
                  <w:r>
                    <w:rPr>
                      <w:rFonts w:hint="eastAsia"/>
                      <w:sz w:val="21"/>
                      <w:szCs w:val="21"/>
                      <w:highlight w:val="none"/>
                      <w:lang w:val="en-US" w:eastAsia="zh-CN"/>
                    </w:rPr>
                    <w:t>10</w:t>
                  </w:r>
                </w:p>
              </w:tc>
              <w:tc>
                <w:tcPr>
                  <w:tcW w:w="342" w:type="pct"/>
                  <w:noWrap w:val="0"/>
                  <w:vAlign w:val="center"/>
                </w:tcPr>
                <w:p w14:paraId="5E9B7A2E">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restart"/>
                  <w:noWrap w:val="0"/>
                  <w:vAlign w:val="center"/>
                </w:tcPr>
                <w:p w14:paraId="17C764AE">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r>
                    <w:rPr>
                      <w:rFonts w:hint="eastAsia" w:ascii="Times New Roman" w:hAnsi="Times New Roman" w:eastAsia="宋体" w:cs="Times New Roman"/>
                      <w:smallCaps w:val="0"/>
                      <w:color w:val="auto"/>
                      <w:spacing w:val="0"/>
                      <w:szCs w:val="20"/>
                      <w:highlight w:val="none"/>
                      <w:lang w:val="en-US" w:eastAsia="zh-CN"/>
                    </w:rPr>
                    <w:t>交厂家回收再生利用</w:t>
                  </w:r>
                </w:p>
              </w:tc>
            </w:tr>
            <w:tr w14:paraId="5ED545D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noWrap w:val="0"/>
                  <w:vAlign w:val="center"/>
                </w:tcPr>
                <w:p w14:paraId="143DBB1C">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noWrap w:val="0"/>
                  <w:vAlign w:val="center"/>
                </w:tcPr>
                <w:p w14:paraId="7ED3DB8E">
                  <w:pPr>
                    <w:keepNext w:val="0"/>
                    <w:keepLines w:val="0"/>
                    <w:widowControl/>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eastAsia"/>
                      <w:sz w:val="21"/>
                      <w:szCs w:val="21"/>
                      <w:highlight w:val="none"/>
                      <w:lang w:val="en-US" w:eastAsia="zh-CN"/>
                    </w:rPr>
                    <w:t>废砂</w:t>
                  </w:r>
                </w:p>
              </w:tc>
              <w:tc>
                <w:tcPr>
                  <w:tcW w:w="389" w:type="pct"/>
                  <w:vMerge w:val="continue"/>
                  <w:noWrap w:val="0"/>
                  <w:vAlign w:val="center"/>
                </w:tcPr>
                <w:p w14:paraId="3EF9B6E1">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noWrap w:val="0"/>
                  <w:vAlign w:val="center"/>
                </w:tcPr>
                <w:p w14:paraId="259343D7">
                  <w:pPr>
                    <w:keepNext w:val="0"/>
                    <w:keepLines w:val="0"/>
                    <w:widowControl/>
                    <w:suppressLineNumbers w:val="0"/>
                    <w:spacing w:before="0" w:beforeAutospacing="0" w:after="0" w:afterAutospacing="0"/>
                    <w:ind w:left="0" w:right="0"/>
                    <w:jc w:val="center"/>
                    <w:rPr>
                      <w:rFonts w:hint="default" w:ascii="Times New Roman" w:hAnsi="Times New Roman" w:cs="Times New Roman"/>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900-099-S59</w:t>
                  </w:r>
                </w:p>
              </w:tc>
              <w:tc>
                <w:tcPr>
                  <w:tcW w:w="624" w:type="pct"/>
                  <w:noWrap w:val="0"/>
                  <w:vAlign w:val="center"/>
                </w:tcPr>
                <w:p w14:paraId="6A0D2B23">
                  <w:pPr>
                    <w:keepNext w:val="0"/>
                    <w:keepLines w:val="0"/>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349" w:type="pct"/>
                  <w:noWrap w:val="0"/>
                  <w:vAlign w:val="center"/>
                </w:tcPr>
                <w:p w14:paraId="2B89EDCB">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default"/>
                      <w:sz w:val="21"/>
                      <w:szCs w:val="21"/>
                      <w:highlight w:val="none"/>
                    </w:rPr>
                    <w:t>固态</w:t>
                  </w:r>
                </w:p>
              </w:tc>
              <w:tc>
                <w:tcPr>
                  <w:tcW w:w="327" w:type="pct"/>
                  <w:noWrap w:val="0"/>
                  <w:vAlign w:val="center"/>
                </w:tcPr>
                <w:p w14:paraId="090B4F1B">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449" w:type="pct"/>
                  <w:noWrap w:val="0"/>
                  <w:vAlign w:val="center"/>
                </w:tcPr>
                <w:p w14:paraId="011C5390">
                  <w:pPr>
                    <w:keepNext w:val="0"/>
                    <w:keepLines w:val="0"/>
                    <w:suppressLineNumbers w:val="0"/>
                    <w:adjustRightInd w:val="0"/>
                    <w:snapToGrid w:val="0"/>
                    <w:spacing w:before="0" w:beforeAutospacing="0" w:after="0" w:afterAutospacing="0" w:line="280" w:lineRule="exact"/>
                    <w:ind w:left="0" w:right="0"/>
                    <w:jc w:val="center"/>
                    <w:rPr>
                      <w:rFonts w:hint="default" w:eastAsia="宋体"/>
                      <w:sz w:val="21"/>
                      <w:szCs w:val="21"/>
                      <w:highlight w:val="none"/>
                      <w:lang w:val="en-US" w:eastAsia="zh-CN"/>
                    </w:rPr>
                  </w:pPr>
                  <w:r>
                    <w:rPr>
                      <w:rFonts w:hint="eastAsia"/>
                      <w:sz w:val="21"/>
                      <w:szCs w:val="21"/>
                      <w:highlight w:val="none"/>
                      <w:lang w:val="en-US" w:eastAsia="zh-CN"/>
                    </w:rPr>
                    <w:t>238</w:t>
                  </w:r>
                </w:p>
              </w:tc>
              <w:tc>
                <w:tcPr>
                  <w:tcW w:w="342" w:type="pct"/>
                  <w:noWrap w:val="0"/>
                  <w:vAlign w:val="center"/>
                </w:tcPr>
                <w:p w14:paraId="7C31371F">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continue"/>
                  <w:noWrap w:val="0"/>
                  <w:vAlign w:val="center"/>
                </w:tcPr>
                <w:p w14:paraId="2D331FE8">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p>
              </w:tc>
            </w:tr>
            <w:tr w14:paraId="2CE94D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noWrap w:val="0"/>
                  <w:vAlign w:val="center"/>
                </w:tcPr>
                <w:p w14:paraId="77403146">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shd w:val="clear" w:color="auto" w:fill="auto"/>
                  <w:noWrap w:val="0"/>
                  <w:vAlign w:val="center"/>
                </w:tcPr>
                <w:p w14:paraId="77D184C9">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eastAsia"/>
                      <w:sz w:val="21"/>
                      <w:szCs w:val="21"/>
                      <w:highlight w:val="none"/>
                      <w:lang w:val="en-US" w:eastAsia="zh-CN"/>
                    </w:rPr>
                    <w:t>浇注废渣</w:t>
                  </w:r>
                </w:p>
              </w:tc>
              <w:tc>
                <w:tcPr>
                  <w:tcW w:w="389" w:type="pct"/>
                  <w:vMerge w:val="continue"/>
                  <w:noWrap w:val="0"/>
                  <w:vAlign w:val="center"/>
                </w:tcPr>
                <w:p w14:paraId="34CE82AF">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noWrap w:val="0"/>
                  <w:vAlign w:val="center"/>
                </w:tcPr>
                <w:p w14:paraId="0D210984">
                  <w:pPr>
                    <w:keepNext w:val="0"/>
                    <w:keepLines w:val="0"/>
                    <w:widowControl/>
                    <w:suppressLineNumbers w:val="0"/>
                    <w:spacing w:before="0" w:beforeAutospacing="0" w:after="0" w:afterAutospacing="0"/>
                    <w:ind w:left="0" w:right="0"/>
                    <w:jc w:val="center"/>
                    <w:rPr>
                      <w:rFonts w:hint="default" w:ascii="Times New Roman" w:hAnsi="Times New Roman" w:cs="Times New Roman"/>
                      <w:spacing w:val="-11"/>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900-001-S17</w:t>
                  </w:r>
                </w:p>
              </w:tc>
              <w:tc>
                <w:tcPr>
                  <w:tcW w:w="624" w:type="pct"/>
                  <w:noWrap w:val="0"/>
                  <w:vAlign w:val="center"/>
                </w:tcPr>
                <w:p w14:paraId="23D582B9">
                  <w:pPr>
                    <w:keepNext w:val="0"/>
                    <w:keepLines w:val="0"/>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349" w:type="pct"/>
                  <w:noWrap w:val="0"/>
                  <w:vAlign w:val="center"/>
                </w:tcPr>
                <w:p w14:paraId="2D421451">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default"/>
                      <w:sz w:val="21"/>
                      <w:szCs w:val="21"/>
                      <w:highlight w:val="none"/>
                    </w:rPr>
                    <w:t>固态</w:t>
                  </w:r>
                </w:p>
              </w:tc>
              <w:tc>
                <w:tcPr>
                  <w:tcW w:w="327" w:type="pct"/>
                  <w:noWrap w:val="0"/>
                  <w:vAlign w:val="center"/>
                </w:tcPr>
                <w:p w14:paraId="452AEEEF">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449" w:type="pct"/>
                  <w:noWrap w:val="0"/>
                  <w:vAlign w:val="center"/>
                </w:tcPr>
                <w:p w14:paraId="6E381C9F">
                  <w:pPr>
                    <w:keepNext w:val="0"/>
                    <w:keepLines w:val="0"/>
                    <w:suppressLineNumbers w:val="0"/>
                    <w:adjustRightInd w:val="0"/>
                    <w:snapToGrid w:val="0"/>
                    <w:spacing w:before="0" w:beforeAutospacing="0" w:after="0" w:afterAutospacing="0" w:line="280" w:lineRule="exact"/>
                    <w:ind w:left="0" w:right="0"/>
                    <w:jc w:val="center"/>
                    <w:rPr>
                      <w:rFonts w:hint="default" w:eastAsia="宋体" w:cs="宋体"/>
                      <w:bCs/>
                      <w:sz w:val="21"/>
                      <w:szCs w:val="21"/>
                      <w:highlight w:val="none"/>
                      <w:lang w:val="en-US" w:eastAsia="zh-CN"/>
                    </w:rPr>
                  </w:pPr>
                  <w:r>
                    <w:rPr>
                      <w:rFonts w:hint="eastAsia" w:cs="宋体"/>
                      <w:bCs/>
                      <w:sz w:val="21"/>
                      <w:szCs w:val="21"/>
                      <w:highlight w:val="none"/>
                      <w:lang w:val="en-US" w:eastAsia="zh-CN"/>
                    </w:rPr>
                    <w:t>50</w:t>
                  </w:r>
                </w:p>
              </w:tc>
              <w:tc>
                <w:tcPr>
                  <w:tcW w:w="342" w:type="pct"/>
                  <w:noWrap w:val="0"/>
                  <w:vAlign w:val="center"/>
                </w:tcPr>
                <w:p w14:paraId="001D36F9">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restart"/>
                  <w:noWrap w:val="0"/>
                  <w:vAlign w:val="center"/>
                </w:tcPr>
                <w:p w14:paraId="1BC25B6E">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r>
                    <w:rPr>
                      <w:rFonts w:hint="eastAsia" w:ascii="Times New Roman" w:hAnsi="Times New Roman" w:eastAsia="宋体" w:cs="Times New Roman"/>
                      <w:smallCaps w:val="0"/>
                      <w:color w:val="auto"/>
                      <w:spacing w:val="0"/>
                      <w:szCs w:val="20"/>
                      <w:highlight w:val="none"/>
                      <w:lang w:val="en-US" w:eastAsia="zh-CN"/>
                    </w:rPr>
                    <w:t>重新回到中频炉利用</w:t>
                  </w:r>
                </w:p>
              </w:tc>
            </w:tr>
            <w:tr w14:paraId="628572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57" w:type="pct"/>
                  <w:vMerge w:val="continue"/>
                  <w:noWrap w:val="0"/>
                  <w:vAlign w:val="center"/>
                </w:tcPr>
                <w:p w14:paraId="053C37FD">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shd w:val="clear" w:color="auto" w:fill="auto"/>
                  <w:noWrap w:val="0"/>
                  <w:vAlign w:val="center"/>
                </w:tcPr>
                <w:p w14:paraId="4EB236AC">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eastAsia"/>
                      <w:sz w:val="21"/>
                      <w:szCs w:val="21"/>
                      <w:highlight w:val="none"/>
                      <w:lang w:val="en-US" w:eastAsia="zh-CN"/>
                    </w:rPr>
                    <w:t>浇冒口</w:t>
                  </w:r>
                </w:p>
              </w:tc>
              <w:tc>
                <w:tcPr>
                  <w:tcW w:w="389" w:type="pct"/>
                  <w:vMerge w:val="continue"/>
                  <w:noWrap w:val="0"/>
                  <w:vAlign w:val="center"/>
                </w:tcPr>
                <w:p w14:paraId="58EBC6EF">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noWrap w:val="0"/>
                  <w:vAlign w:val="center"/>
                </w:tcPr>
                <w:p w14:paraId="3509B831">
                  <w:pPr>
                    <w:keepNext w:val="0"/>
                    <w:keepLines w:val="0"/>
                    <w:widowControl/>
                    <w:suppressLineNumbers w:val="0"/>
                    <w:spacing w:before="0" w:beforeAutospacing="0" w:after="0" w:afterAutospacing="0"/>
                    <w:ind w:left="0" w:right="0"/>
                    <w:jc w:val="center"/>
                    <w:rPr>
                      <w:rFonts w:hint="default" w:ascii="Times New Roman" w:hAnsi="Times New Roman" w:cs="Times New Roman"/>
                      <w:spacing w:val="-11"/>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900-001-S17</w:t>
                  </w:r>
                </w:p>
              </w:tc>
              <w:tc>
                <w:tcPr>
                  <w:tcW w:w="624" w:type="pct"/>
                  <w:noWrap w:val="0"/>
                  <w:vAlign w:val="center"/>
                </w:tcPr>
                <w:p w14:paraId="1A4C04E1">
                  <w:pPr>
                    <w:keepNext w:val="0"/>
                    <w:keepLines w:val="0"/>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349" w:type="pct"/>
                  <w:noWrap w:val="0"/>
                  <w:vAlign w:val="center"/>
                </w:tcPr>
                <w:p w14:paraId="0AE8822A">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r>
                    <w:rPr>
                      <w:rFonts w:hint="default"/>
                      <w:sz w:val="21"/>
                      <w:szCs w:val="21"/>
                      <w:highlight w:val="none"/>
                    </w:rPr>
                    <w:t>固态</w:t>
                  </w:r>
                </w:p>
              </w:tc>
              <w:tc>
                <w:tcPr>
                  <w:tcW w:w="327" w:type="pct"/>
                  <w:noWrap w:val="0"/>
                  <w:vAlign w:val="center"/>
                </w:tcPr>
                <w:p w14:paraId="77847829">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r>
                    <w:rPr>
                      <w:rFonts w:hint="eastAsia"/>
                      <w:sz w:val="21"/>
                      <w:szCs w:val="21"/>
                      <w:highlight w:val="none"/>
                    </w:rPr>
                    <w:t>/</w:t>
                  </w:r>
                </w:p>
              </w:tc>
              <w:tc>
                <w:tcPr>
                  <w:tcW w:w="449" w:type="pct"/>
                  <w:noWrap w:val="0"/>
                  <w:vAlign w:val="center"/>
                </w:tcPr>
                <w:p w14:paraId="41A0E817">
                  <w:pPr>
                    <w:keepNext w:val="0"/>
                    <w:keepLines w:val="0"/>
                    <w:suppressLineNumbers w:val="0"/>
                    <w:adjustRightInd w:val="0"/>
                    <w:snapToGrid w:val="0"/>
                    <w:spacing w:before="0" w:beforeAutospacing="0" w:after="0" w:afterAutospacing="0" w:line="280" w:lineRule="exact"/>
                    <w:ind w:left="0" w:right="0"/>
                    <w:jc w:val="center"/>
                    <w:rPr>
                      <w:rFonts w:hint="default" w:eastAsia="宋体" w:cs="宋体"/>
                      <w:bCs/>
                      <w:sz w:val="21"/>
                      <w:szCs w:val="21"/>
                      <w:highlight w:val="none"/>
                      <w:lang w:val="en-US" w:eastAsia="zh-CN"/>
                    </w:rPr>
                  </w:pPr>
                  <w:r>
                    <w:rPr>
                      <w:rFonts w:hint="eastAsia" w:cs="宋体"/>
                      <w:bCs/>
                      <w:sz w:val="21"/>
                      <w:szCs w:val="21"/>
                      <w:highlight w:val="none"/>
                      <w:lang w:val="en-US" w:eastAsia="zh-CN"/>
                    </w:rPr>
                    <w:t>300</w:t>
                  </w:r>
                </w:p>
              </w:tc>
              <w:tc>
                <w:tcPr>
                  <w:tcW w:w="342" w:type="pct"/>
                  <w:noWrap w:val="0"/>
                  <w:vAlign w:val="center"/>
                </w:tcPr>
                <w:p w14:paraId="0EA92760">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continue"/>
                  <w:noWrap w:val="0"/>
                  <w:vAlign w:val="center"/>
                </w:tcPr>
                <w:p w14:paraId="79136260">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p>
              </w:tc>
            </w:tr>
            <w:tr w14:paraId="56CA56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noWrap w:val="0"/>
                  <w:vAlign w:val="center"/>
                </w:tcPr>
                <w:p w14:paraId="36D5CCEC">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shd w:val="clear" w:color="auto" w:fill="auto"/>
                  <w:noWrap w:val="0"/>
                  <w:vAlign w:val="center"/>
                </w:tcPr>
                <w:p w14:paraId="2E93C405">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eastAsia" w:ascii="Times New Roman" w:hAnsi="Times New Roman" w:eastAsia="宋体" w:cs="Times New Roman"/>
                      <w:kern w:val="2"/>
                      <w:sz w:val="21"/>
                      <w:szCs w:val="21"/>
                      <w:highlight w:val="none"/>
                      <w:lang w:val="en-US" w:eastAsia="zh-CN" w:bidi="ar-SA"/>
                    </w:rPr>
                  </w:pPr>
                  <w:r>
                    <w:rPr>
                      <w:rFonts w:hint="eastAsia" w:ascii="Times New Roman" w:hAnsi="Times New Roman" w:eastAsia="宋体" w:cs="Times New Roman"/>
                      <w:smallCaps w:val="0"/>
                      <w:color w:val="auto"/>
                      <w:spacing w:val="0"/>
                      <w:szCs w:val="20"/>
                      <w:highlight w:val="none"/>
                      <w:lang w:val="en-US" w:eastAsia="zh-CN"/>
                    </w:rPr>
                    <w:t>不合格品</w:t>
                  </w:r>
                </w:p>
              </w:tc>
              <w:tc>
                <w:tcPr>
                  <w:tcW w:w="389" w:type="pct"/>
                  <w:vMerge w:val="continue"/>
                  <w:noWrap w:val="0"/>
                  <w:vAlign w:val="center"/>
                </w:tcPr>
                <w:p w14:paraId="62BB1B0E">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shd w:val="clear" w:color="auto" w:fill="auto"/>
                  <w:noWrap w:val="0"/>
                  <w:vAlign w:val="center"/>
                </w:tcPr>
                <w:p w14:paraId="6672CE2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spacing w:val="-11"/>
                      <w:kern w:val="2"/>
                      <w:sz w:val="21"/>
                      <w:szCs w:val="21"/>
                      <w:highlight w:val="none"/>
                      <w:lang w:val="en-US" w:eastAsia="zh-CN" w:bidi="ar-SA"/>
                    </w:rPr>
                  </w:pPr>
                  <w:r>
                    <w:rPr>
                      <w:rFonts w:hint="default" w:ascii="Times New Roman" w:hAnsi="Times New Roman" w:eastAsia="宋体" w:cs="Times New Roman"/>
                      <w:color w:val="000000"/>
                      <w:kern w:val="0"/>
                      <w:sz w:val="21"/>
                      <w:szCs w:val="21"/>
                      <w:highlight w:val="none"/>
                      <w:lang w:val="en-US" w:eastAsia="zh-CN" w:bidi="ar"/>
                    </w:rPr>
                    <w:t>900-001-S17</w:t>
                  </w:r>
                </w:p>
              </w:tc>
              <w:tc>
                <w:tcPr>
                  <w:tcW w:w="624" w:type="pct"/>
                  <w:noWrap w:val="0"/>
                  <w:vAlign w:val="center"/>
                </w:tcPr>
                <w:p w14:paraId="7CE83182">
                  <w:pPr>
                    <w:keepNext w:val="0"/>
                    <w:keepLines w:val="0"/>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349" w:type="pct"/>
                  <w:noWrap w:val="0"/>
                  <w:vAlign w:val="center"/>
                </w:tcPr>
                <w:p w14:paraId="19B6FE17">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固态</w:t>
                  </w:r>
                </w:p>
              </w:tc>
              <w:tc>
                <w:tcPr>
                  <w:tcW w:w="327" w:type="pct"/>
                  <w:noWrap w:val="0"/>
                  <w:vAlign w:val="center"/>
                </w:tcPr>
                <w:p w14:paraId="4C8CD0A6">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449" w:type="pct"/>
                  <w:noWrap w:val="0"/>
                  <w:vAlign w:val="center"/>
                </w:tcPr>
                <w:p w14:paraId="2D55191C">
                  <w:pPr>
                    <w:keepNext w:val="0"/>
                    <w:keepLines w:val="0"/>
                    <w:suppressLineNumbers w:val="0"/>
                    <w:adjustRightInd w:val="0"/>
                    <w:snapToGrid w:val="0"/>
                    <w:spacing w:before="0" w:beforeAutospacing="0" w:after="0" w:afterAutospacing="0" w:line="280" w:lineRule="exact"/>
                    <w:ind w:left="0" w:right="0"/>
                    <w:jc w:val="center"/>
                    <w:rPr>
                      <w:rFonts w:hint="default" w:cs="宋体"/>
                      <w:bCs/>
                      <w:color w:val="auto"/>
                      <w:sz w:val="21"/>
                      <w:szCs w:val="21"/>
                      <w:highlight w:val="none"/>
                      <w:lang w:val="en-US" w:eastAsia="zh-CN"/>
                    </w:rPr>
                  </w:pPr>
                  <w:r>
                    <w:rPr>
                      <w:rFonts w:hint="eastAsia" w:cs="宋体"/>
                      <w:bCs/>
                      <w:color w:val="auto"/>
                      <w:sz w:val="21"/>
                      <w:szCs w:val="21"/>
                      <w:highlight w:val="none"/>
                      <w:lang w:val="en-US" w:eastAsia="zh-CN"/>
                    </w:rPr>
                    <w:t>150</w:t>
                  </w:r>
                </w:p>
              </w:tc>
              <w:tc>
                <w:tcPr>
                  <w:tcW w:w="342" w:type="pct"/>
                  <w:noWrap w:val="0"/>
                  <w:vAlign w:val="center"/>
                </w:tcPr>
                <w:p w14:paraId="5130E7DA">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continue"/>
                  <w:noWrap w:val="0"/>
                  <w:vAlign w:val="center"/>
                </w:tcPr>
                <w:p w14:paraId="472161D3">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p>
              </w:tc>
            </w:tr>
            <w:tr w14:paraId="2FD7EE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noWrap w:val="0"/>
                  <w:vAlign w:val="center"/>
                </w:tcPr>
                <w:p w14:paraId="68D7A434">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shd w:val="clear" w:color="auto" w:fill="auto"/>
                  <w:noWrap w:val="0"/>
                  <w:vAlign w:val="center"/>
                </w:tcPr>
                <w:p w14:paraId="422A3A00">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铁渣</w:t>
                  </w:r>
                </w:p>
              </w:tc>
              <w:tc>
                <w:tcPr>
                  <w:tcW w:w="389" w:type="pct"/>
                  <w:vMerge w:val="continue"/>
                  <w:noWrap w:val="0"/>
                  <w:vAlign w:val="center"/>
                </w:tcPr>
                <w:p w14:paraId="37E90F91">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shd w:val="clear" w:color="auto" w:fill="auto"/>
                  <w:noWrap w:val="0"/>
                  <w:vAlign w:val="center"/>
                </w:tcPr>
                <w:p w14:paraId="42B4589F">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spacing w:val="-11"/>
                      <w:kern w:val="2"/>
                      <w:sz w:val="21"/>
                      <w:szCs w:val="21"/>
                      <w:highlight w:val="none"/>
                      <w:lang w:val="en-US" w:eastAsia="zh-CN" w:bidi="ar-SA"/>
                    </w:rPr>
                  </w:pPr>
                  <w:r>
                    <w:rPr>
                      <w:rFonts w:hint="default" w:ascii="Times New Roman" w:hAnsi="Times New Roman" w:eastAsia="宋体" w:cs="Times New Roman"/>
                      <w:color w:val="000000"/>
                      <w:kern w:val="0"/>
                      <w:sz w:val="21"/>
                      <w:szCs w:val="21"/>
                      <w:highlight w:val="none"/>
                      <w:lang w:val="en-US" w:eastAsia="zh-CN" w:bidi="ar"/>
                    </w:rPr>
                    <w:t>900-001-S17</w:t>
                  </w:r>
                </w:p>
              </w:tc>
              <w:tc>
                <w:tcPr>
                  <w:tcW w:w="624" w:type="pct"/>
                  <w:shd w:val="clear" w:color="auto" w:fill="auto"/>
                  <w:noWrap w:val="0"/>
                  <w:vAlign w:val="center"/>
                </w:tcPr>
                <w:p w14:paraId="11F1D69A">
                  <w:pPr>
                    <w:keepNext w:val="0"/>
                    <w:keepLines w:val="0"/>
                    <w:suppressLineNumbers w:val="0"/>
                    <w:adjustRightInd w:val="0"/>
                    <w:snapToGrid w:val="0"/>
                    <w:spacing w:before="0" w:beforeAutospacing="0" w:after="0" w:afterAutospacing="0" w:line="280" w:lineRule="exact"/>
                    <w:ind w:left="0" w:leftChars="0" w:right="0" w:rightChars="0"/>
                    <w:jc w:val="center"/>
                    <w:rPr>
                      <w:rFonts w:hint="eastAsia" w:ascii="Times New Roman" w:hAnsi="Times New Roman" w:eastAsia="宋体" w:cs="Times New Roman"/>
                      <w:kern w:val="2"/>
                      <w:sz w:val="21"/>
                      <w:szCs w:val="21"/>
                      <w:highlight w:val="none"/>
                      <w:lang w:val="en-US" w:eastAsia="zh-CN" w:bidi="ar-SA"/>
                    </w:rPr>
                  </w:pPr>
                  <w:r>
                    <w:rPr>
                      <w:rFonts w:hint="eastAsia"/>
                      <w:sz w:val="21"/>
                      <w:szCs w:val="21"/>
                      <w:highlight w:val="none"/>
                    </w:rPr>
                    <w:t>/</w:t>
                  </w:r>
                </w:p>
              </w:tc>
              <w:tc>
                <w:tcPr>
                  <w:tcW w:w="349" w:type="pct"/>
                  <w:shd w:val="clear" w:color="auto" w:fill="auto"/>
                  <w:noWrap w:val="0"/>
                  <w:vAlign w:val="center"/>
                </w:tcPr>
                <w:p w14:paraId="3F3C6E35">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default"/>
                      <w:sz w:val="21"/>
                      <w:szCs w:val="21"/>
                      <w:highlight w:val="none"/>
                    </w:rPr>
                    <w:t>固态</w:t>
                  </w:r>
                </w:p>
              </w:tc>
              <w:tc>
                <w:tcPr>
                  <w:tcW w:w="327" w:type="pct"/>
                  <w:shd w:val="clear" w:color="auto" w:fill="auto"/>
                  <w:noWrap w:val="0"/>
                  <w:vAlign w:val="center"/>
                </w:tcPr>
                <w:p w14:paraId="18625E67">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eastAsia" w:ascii="Times New Roman" w:hAnsi="Times New Roman" w:eastAsia="宋体" w:cs="Times New Roman"/>
                      <w:kern w:val="2"/>
                      <w:sz w:val="21"/>
                      <w:szCs w:val="21"/>
                      <w:highlight w:val="none"/>
                      <w:lang w:val="en-US" w:eastAsia="zh-CN" w:bidi="ar-SA"/>
                    </w:rPr>
                  </w:pPr>
                  <w:r>
                    <w:rPr>
                      <w:rFonts w:hint="eastAsia"/>
                      <w:sz w:val="21"/>
                      <w:szCs w:val="21"/>
                      <w:highlight w:val="none"/>
                    </w:rPr>
                    <w:t>/</w:t>
                  </w:r>
                </w:p>
              </w:tc>
              <w:tc>
                <w:tcPr>
                  <w:tcW w:w="449" w:type="pct"/>
                  <w:shd w:val="clear" w:color="auto" w:fill="auto"/>
                  <w:noWrap w:val="0"/>
                  <w:vAlign w:val="center"/>
                </w:tcPr>
                <w:p w14:paraId="5B2657FF">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宋体"/>
                      <w:bCs/>
                      <w:color w:val="auto"/>
                      <w:kern w:val="2"/>
                      <w:sz w:val="21"/>
                      <w:szCs w:val="21"/>
                      <w:highlight w:val="none"/>
                      <w:lang w:val="en-US" w:eastAsia="zh-CN" w:bidi="ar-SA"/>
                    </w:rPr>
                  </w:pPr>
                  <w:r>
                    <w:rPr>
                      <w:rFonts w:hint="eastAsia" w:cs="宋体"/>
                      <w:bCs/>
                      <w:color w:val="auto"/>
                      <w:sz w:val="21"/>
                      <w:szCs w:val="21"/>
                      <w:highlight w:val="none"/>
                      <w:lang w:val="en-US" w:eastAsia="zh-CN"/>
                    </w:rPr>
                    <w:t>0.8</w:t>
                  </w:r>
                </w:p>
              </w:tc>
              <w:tc>
                <w:tcPr>
                  <w:tcW w:w="342" w:type="pct"/>
                  <w:shd w:val="clear" w:color="auto" w:fill="auto"/>
                  <w:noWrap w:val="0"/>
                  <w:vAlign w:val="center"/>
                </w:tcPr>
                <w:p w14:paraId="2F225FFC">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kern w:val="2"/>
                      <w:sz w:val="21"/>
                      <w:szCs w:val="21"/>
                      <w:highlight w:val="none"/>
                      <w:lang w:val="en-US" w:eastAsia="zh-CN" w:bidi="ar-SA"/>
                    </w:rPr>
                  </w:pPr>
                  <w:r>
                    <w:rPr>
                      <w:rFonts w:hint="default"/>
                      <w:sz w:val="21"/>
                      <w:szCs w:val="21"/>
                      <w:highlight w:val="none"/>
                    </w:rPr>
                    <w:t>袋装</w:t>
                  </w:r>
                </w:p>
              </w:tc>
              <w:tc>
                <w:tcPr>
                  <w:tcW w:w="869" w:type="pct"/>
                  <w:vMerge w:val="restart"/>
                  <w:noWrap w:val="0"/>
                  <w:vAlign w:val="center"/>
                </w:tcPr>
                <w:p w14:paraId="13861243">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r>
                    <w:rPr>
                      <w:rFonts w:hint="eastAsia" w:cs="Times New Roman"/>
                      <w:smallCaps w:val="0"/>
                      <w:color w:val="auto"/>
                      <w:spacing w:val="0"/>
                      <w:szCs w:val="20"/>
                      <w:highlight w:val="none"/>
                      <w:lang w:val="en-US" w:eastAsia="zh-CN"/>
                    </w:rPr>
                    <w:t>外售综合利用</w:t>
                  </w:r>
                </w:p>
              </w:tc>
            </w:tr>
            <w:tr w14:paraId="7F8BE4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restart"/>
                  <w:noWrap w:val="0"/>
                  <w:vAlign w:val="center"/>
                </w:tcPr>
                <w:p w14:paraId="2D5A2E33">
                  <w:pPr>
                    <w:keepNext w:val="0"/>
                    <w:keepLines w:val="0"/>
                    <w:widowControl/>
                    <w:suppressLineNumbers w:val="0"/>
                    <w:adjustRightInd w:val="0"/>
                    <w:snapToGrid w:val="0"/>
                    <w:spacing w:before="0" w:beforeAutospacing="0" w:after="0" w:afterAutospacing="0" w:line="280" w:lineRule="exact"/>
                    <w:ind w:left="0" w:right="0"/>
                    <w:jc w:val="center"/>
                    <w:rPr>
                      <w:rFonts w:hint="default" w:eastAsia="宋体"/>
                      <w:sz w:val="21"/>
                      <w:szCs w:val="21"/>
                      <w:highlight w:val="none"/>
                      <w:lang w:val="en-US" w:eastAsia="zh-CN"/>
                    </w:rPr>
                  </w:pPr>
                  <w:r>
                    <w:rPr>
                      <w:rFonts w:hint="eastAsia"/>
                      <w:sz w:val="21"/>
                      <w:szCs w:val="21"/>
                      <w:highlight w:val="none"/>
                      <w:lang w:val="en-US" w:eastAsia="zh-CN"/>
                    </w:rPr>
                    <w:t>废气治理</w:t>
                  </w:r>
                </w:p>
              </w:tc>
              <w:tc>
                <w:tcPr>
                  <w:tcW w:w="597" w:type="pct"/>
                  <w:noWrap w:val="0"/>
                  <w:vAlign w:val="center"/>
                </w:tcPr>
                <w:p w14:paraId="2412A27A">
                  <w:pPr>
                    <w:keepNext w:val="0"/>
                    <w:keepLines w:val="0"/>
                    <w:widowControl/>
                    <w:suppressLineNumbers w:val="0"/>
                    <w:tabs>
                      <w:tab w:val="left" w:pos="340"/>
                    </w:tabs>
                    <w:adjustRightInd w:val="0"/>
                    <w:snapToGrid w:val="0"/>
                    <w:spacing w:before="0" w:beforeAutospacing="0" w:after="0" w:afterAutospacing="0" w:line="280" w:lineRule="exact"/>
                    <w:ind w:left="0" w:right="0"/>
                    <w:jc w:val="center"/>
                    <w:rPr>
                      <w:rFonts w:hint="eastAsia"/>
                      <w:sz w:val="21"/>
                      <w:szCs w:val="21"/>
                      <w:highlight w:val="none"/>
                      <w:lang w:val="en-US" w:eastAsia="zh-CN"/>
                    </w:rPr>
                  </w:pPr>
                  <w:r>
                    <w:rPr>
                      <w:rFonts w:hint="eastAsia"/>
                      <w:sz w:val="21"/>
                      <w:szCs w:val="21"/>
                      <w:highlight w:val="none"/>
                      <w:lang w:val="en-US" w:eastAsia="zh-CN"/>
                    </w:rPr>
                    <w:t>废布袋</w:t>
                  </w:r>
                </w:p>
              </w:tc>
              <w:tc>
                <w:tcPr>
                  <w:tcW w:w="389" w:type="pct"/>
                  <w:vMerge w:val="continue"/>
                  <w:noWrap w:val="0"/>
                  <w:vAlign w:val="center"/>
                </w:tcPr>
                <w:p w14:paraId="636B8C6C">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noWrap w:val="0"/>
                  <w:vAlign w:val="center"/>
                </w:tcPr>
                <w:p w14:paraId="453DA433">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900-099-S59</w:t>
                  </w:r>
                </w:p>
              </w:tc>
              <w:tc>
                <w:tcPr>
                  <w:tcW w:w="624" w:type="pct"/>
                  <w:noWrap w:val="0"/>
                  <w:vAlign w:val="center"/>
                </w:tcPr>
                <w:p w14:paraId="5754A0EF">
                  <w:pPr>
                    <w:keepNext w:val="0"/>
                    <w:keepLines w:val="0"/>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349" w:type="pct"/>
                  <w:noWrap w:val="0"/>
                  <w:vAlign w:val="center"/>
                </w:tcPr>
                <w:p w14:paraId="08F11B5A">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固态</w:t>
                  </w:r>
                </w:p>
              </w:tc>
              <w:tc>
                <w:tcPr>
                  <w:tcW w:w="327" w:type="pct"/>
                  <w:noWrap w:val="0"/>
                  <w:vAlign w:val="center"/>
                </w:tcPr>
                <w:p w14:paraId="063DCFAA">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449" w:type="pct"/>
                  <w:noWrap w:val="0"/>
                  <w:vAlign w:val="center"/>
                </w:tcPr>
                <w:p w14:paraId="2076DE6C">
                  <w:pPr>
                    <w:keepNext w:val="0"/>
                    <w:keepLines w:val="0"/>
                    <w:suppressLineNumbers w:val="0"/>
                    <w:adjustRightInd w:val="0"/>
                    <w:snapToGrid w:val="0"/>
                    <w:spacing w:before="0" w:beforeAutospacing="0" w:after="0" w:afterAutospacing="0" w:line="280" w:lineRule="exact"/>
                    <w:ind w:left="0" w:right="0"/>
                    <w:jc w:val="center"/>
                    <w:rPr>
                      <w:rFonts w:hint="default" w:cs="宋体"/>
                      <w:bCs/>
                      <w:color w:val="auto"/>
                      <w:sz w:val="21"/>
                      <w:szCs w:val="21"/>
                      <w:highlight w:val="none"/>
                      <w:lang w:val="en-US" w:eastAsia="zh-CN"/>
                    </w:rPr>
                  </w:pPr>
                  <w:r>
                    <w:rPr>
                      <w:rFonts w:hint="eastAsia" w:cs="宋体"/>
                      <w:bCs/>
                      <w:color w:val="auto"/>
                      <w:sz w:val="21"/>
                      <w:szCs w:val="21"/>
                      <w:highlight w:val="none"/>
                      <w:lang w:val="en-US" w:eastAsia="zh-CN"/>
                    </w:rPr>
                    <w:t>0.1</w:t>
                  </w:r>
                </w:p>
              </w:tc>
              <w:tc>
                <w:tcPr>
                  <w:tcW w:w="342" w:type="pct"/>
                  <w:noWrap w:val="0"/>
                  <w:vAlign w:val="center"/>
                </w:tcPr>
                <w:p w14:paraId="2CBC035E">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continue"/>
                  <w:noWrap w:val="0"/>
                  <w:vAlign w:val="center"/>
                </w:tcPr>
                <w:p w14:paraId="0B84E723">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p>
              </w:tc>
            </w:tr>
            <w:tr w14:paraId="670041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7" w:type="pct"/>
                  <w:vMerge w:val="continue"/>
                  <w:noWrap w:val="0"/>
                  <w:vAlign w:val="center"/>
                </w:tcPr>
                <w:p w14:paraId="77E949A5">
                  <w:pPr>
                    <w:keepNext w:val="0"/>
                    <w:keepLines w:val="0"/>
                    <w:widowControl/>
                    <w:suppressLineNumbers w:val="0"/>
                    <w:adjustRightInd w:val="0"/>
                    <w:snapToGrid w:val="0"/>
                    <w:spacing w:before="0" w:beforeAutospacing="0" w:after="0" w:afterAutospacing="0" w:line="280" w:lineRule="exact"/>
                    <w:ind w:left="0" w:right="0"/>
                    <w:jc w:val="center"/>
                    <w:rPr>
                      <w:rFonts w:hint="eastAsia"/>
                      <w:sz w:val="21"/>
                      <w:szCs w:val="21"/>
                      <w:highlight w:val="none"/>
                    </w:rPr>
                  </w:pPr>
                </w:p>
              </w:tc>
              <w:tc>
                <w:tcPr>
                  <w:tcW w:w="597" w:type="pct"/>
                  <w:noWrap w:val="0"/>
                  <w:vAlign w:val="center"/>
                </w:tcPr>
                <w:p w14:paraId="03C7D443">
                  <w:pPr>
                    <w:keepNext w:val="0"/>
                    <w:keepLines w:val="0"/>
                    <w:widowControl/>
                    <w:suppressLineNumbers w:val="0"/>
                    <w:tabs>
                      <w:tab w:val="left" w:pos="340"/>
                    </w:tabs>
                    <w:adjustRightInd w:val="0"/>
                    <w:snapToGrid w:val="0"/>
                    <w:spacing w:before="0" w:beforeAutospacing="0" w:after="0" w:afterAutospacing="0" w:line="280" w:lineRule="exact"/>
                    <w:ind w:left="0" w:right="0"/>
                    <w:jc w:val="center"/>
                    <w:rPr>
                      <w:rFonts w:hint="eastAsia"/>
                      <w:sz w:val="21"/>
                      <w:szCs w:val="21"/>
                      <w:highlight w:val="none"/>
                      <w:lang w:val="en-US" w:eastAsia="zh-CN"/>
                    </w:rPr>
                  </w:pPr>
                  <w:r>
                    <w:rPr>
                      <w:rFonts w:hint="eastAsia"/>
                      <w:sz w:val="21"/>
                      <w:szCs w:val="21"/>
                      <w:highlight w:val="none"/>
                      <w:lang w:val="en-US" w:eastAsia="zh-CN"/>
                    </w:rPr>
                    <w:t>除尘灰</w:t>
                  </w:r>
                </w:p>
              </w:tc>
              <w:tc>
                <w:tcPr>
                  <w:tcW w:w="389" w:type="pct"/>
                  <w:vMerge w:val="continue"/>
                  <w:noWrap w:val="0"/>
                  <w:vAlign w:val="center"/>
                </w:tcPr>
                <w:p w14:paraId="6516A30E">
                  <w:pPr>
                    <w:keepNext w:val="0"/>
                    <w:keepLines w:val="0"/>
                    <w:suppressLineNumbers w:val="0"/>
                    <w:adjustRightInd w:val="0"/>
                    <w:snapToGrid w:val="0"/>
                    <w:spacing w:before="0" w:beforeAutospacing="0" w:after="0" w:afterAutospacing="0" w:line="280" w:lineRule="exact"/>
                    <w:ind w:left="0" w:right="0"/>
                    <w:jc w:val="center"/>
                    <w:rPr>
                      <w:rFonts w:hint="default"/>
                      <w:sz w:val="21"/>
                      <w:szCs w:val="21"/>
                      <w:highlight w:val="none"/>
                    </w:rPr>
                  </w:pPr>
                </w:p>
              </w:tc>
              <w:tc>
                <w:tcPr>
                  <w:tcW w:w="792" w:type="pct"/>
                  <w:noWrap w:val="0"/>
                  <w:vAlign w:val="center"/>
                </w:tcPr>
                <w:p w14:paraId="589C8B48">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kern w:val="0"/>
                      <w:sz w:val="21"/>
                      <w:szCs w:val="21"/>
                      <w:highlight w:val="none"/>
                      <w:lang w:val="en-US" w:eastAsia="zh-CN" w:bidi="ar"/>
                    </w:rPr>
                  </w:pPr>
                  <w:r>
                    <w:rPr>
                      <w:rFonts w:hint="default" w:ascii="Times New Roman" w:hAnsi="Times New Roman" w:eastAsia="宋体" w:cs="Times New Roman"/>
                      <w:color w:val="000000"/>
                      <w:kern w:val="0"/>
                      <w:sz w:val="21"/>
                      <w:szCs w:val="21"/>
                      <w:highlight w:val="none"/>
                      <w:lang w:val="en-US" w:eastAsia="zh-CN" w:bidi="ar"/>
                    </w:rPr>
                    <w:t>900-099-S59</w:t>
                  </w:r>
                </w:p>
              </w:tc>
              <w:tc>
                <w:tcPr>
                  <w:tcW w:w="624" w:type="pct"/>
                  <w:noWrap w:val="0"/>
                  <w:vAlign w:val="center"/>
                </w:tcPr>
                <w:p w14:paraId="1B736D02">
                  <w:pPr>
                    <w:keepNext w:val="0"/>
                    <w:keepLines w:val="0"/>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349" w:type="pct"/>
                  <w:noWrap w:val="0"/>
                  <w:vAlign w:val="center"/>
                </w:tcPr>
                <w:p w14:paraId="3C9FCB86">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固态</w:t>
                  </w:r>
                </w:p>
              </w:tc>
              <w:tc>
                <w:tcPr>
                  <w:tcW w:w="327" w:type="pct"/>
                  <w:noWrap w:val="0"/>
                  <w:vAlign w:val="center"/>
                </w:tcPr>
                <w:p w14:paraId="27BA0420">
                  <w:pPr>
                    <w:keepNext w:val="0"/>
                    <w:keepLines w:val="0"/>
                    <w:widowControl/>
                    <w:suppressLineNumbers w:val="0"/>
                    <w:adjustRightInd w:val="0"/>
                    <w:snapToGrid w:val="0"/>
                    <w:spacing w:before="0" w:beforeAutospacing="0" w:after="0" w:afterAutospacing="0" w:line="280" w:lineRule="exact"/>
                    <w:ind w:left="0" w:leftChars="0" w:right="0" w:rightChars="0"/>
                    <w:jc w:val="center"/>
                    <w:rPr>
                      <w:rFonts w:hint="eastAsia"/>
                      <w:sz w:val="21"/>
                      <w:szCs w:val="21"/>
                      <w:highlight w:val="none"/>
                    </w:rPr>
                  </w:pPr>
                  <w:r>
                    <w:rPr>
                      <w:rFonts w:hint="eastAsia"/>
                      <w:sz w:val="21"/>
                      <w:szCs w:val="21"/>
                      <w:highlight w:val="none"/>
                    </w:rPr>
                    <w:t>/</w:t>
                  </w:r>
                </w:p>
              </w:tc>
              <w:tc>
                <w:tcPr>
                  <w:tcW w:w="449" w:type="pct"/>
                  <w:noWrap w:val="0"/>
                  <w:vAlign w:val="center"/>
                </w:tcPr>
                <w:p w14:paraId="2D9FE6EC">
                  <w:pPr>
                    <w:keepNext w:val="0"/>
                    <w:keepLines w:val="0"/>
                    <w:suppressLineNumbers w:val="0"/>
                    <w:adjustRightInd w:val="0"/>
                    <w:snapToGrid w:val="0"/>
                    <w:spacing w:before="0" w:beforeAutospacing="0" w:after="0" w:afterAutospacing="0" w:line="280" w:lineRule="exact"/>
                    <w:ind w:left="0" w:right="0"/>
                    <w:jc w:val="center"/>
                    <w:rPr>
                      <w:rFonts w:hint="default" w:cs="宋体"/>
                      <w:bCs/>
                      <w:color w:val="auto"/>
                      <w:sz w:val="21"/>
                      <w:szCs w:val="21"/>
                      <w:highlight w:val="none"/>
                      <w:lang w:val="en-US" w:eastAsia="zh-CN"/>
                    </w:rPr>
                  </w:pPr>
                  <w:r>
                    <w:rPr>
                      <w:rFonts w:hint="eastAsia" w:cs="宋体"/>
                      <w:bCs/>
                      <w:color w:val="auto"/>
                      <w:sz w:val="21"/>
                      <w:szCs w:val="21"/>
                      <w:highlight w:val="none"/>
                      <w:lang w:val="en-US" w:eastAsia="zh-CN"/>
                    </w:rPr>
                    <w:t>56.76</w:t>
                  </w:r>
                </w:p>
              </w:tc>
              <w:tc>
                <w:tcPr>
                  <w:tcW w:w="342" w:type="pct"/>
                  <w:noWrap w:val="0"/>
                  <w:vAlign w:val="center"/>
                </w:tcPr>
                <w:p w14:paraId="60774AA4">
                  <w:pPr>
                    <w:keepNext w:val="0"/>
                    <w:keepLines w:val="0"/>
                    <w:suppressLineNumbers w:val="0"/>
                    <w:adjustRightInd w:val="0"/>
                    <w:snapToGrid w:val="0"/>
                    <w:spacing w:before="0" w:beforeAutospacing="0" w:after="0" w:afterAutospacing="0" w:line="280" w:lineRule="exact"/>
                    <w:ind w:left="0" w:leftChars="0" w:right="0" w:rightChars="0"/>
                    <w:jc w:val="center"/>
                    <w:rPr>
                      <w:rFonts w:hint="default"/>
                      <w:sz w:val="21"/>
                      <w:szCs w:val="21"/>
                      <w:highlight w:val="none"/>
                    </w:rPr>
                  </w:pPr>
                  <w:r>
                    <w:rPr>
                      <w:rFonts w:hint="default"/>
                      <w:sz w:val="21"/>
                      <w:szCs w:val="21"/>
                      <w:highlight w:val="none"/>
                    </w:rPr>
                    <w:t>袋装</w:t>
                  </w:r>
                </w:p>
              </w:tc>
              <w:tc>
                <w:tcPr>
                  <w:tcW w:w="869" w:type="pct"/>
                  <w:vMerge w:val="continue"/>
                  <w:noWrap w:val="0"/>
                  <w:vAlign w:val="center"/>
                </w:tcPr>
                <w:p w14:paraId="5E9A1159">
                  <w:pPr>
                    <w:keepNext w:val="0"/>
                    <w:keepLines w:val="0"/>
                    <w:suppressLineNumbers w:val="0"/>
                    <w:adjustRightInd w:val="0"/>
                    <w:snapToGrid w:val="0"/>
                    <w:spacing w:before="0" w:beforeAutospacing="0" w:after="0" w:afterAutospacing="0" w:line="280" w:lineRule="exact"/>
                    <w:ind w:left="0" w:right="0"/>
                    <w:jc w:val="center"/>
                    <w:rPr>
                      <w:rFonts w:hint="eastAsia" w:cs="宋体"/>
                      <w:bCs/>
                      <w:sz w:val="21"/>
                      <w:szCs w:val="21"/>
                      <w:highlight w:val="none"/>
                    </w:rPr>
                  </w:pPr>
                </w:p>
              </w:tc>
            </w:tr>
          </w:tbl>
          <w:p w14:paraId="24B9EF1F">
            <w:pPr>
              <w:pStyle w:val="2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bCs/>
                <w:kern w:val="0"/>
                <w:sz w:val="24"/>
                <w:highlight w:val="none"/>
              </w:rPr>
            </w:pPr>
            <w:r>
              <w:rPr>
                <w:rFonts w:hint="default" w:ascii="Times New Roman" w:hAnsi="Times New Roman"/>
                <w:bCs/>
                <w:kern w:val="0"/>
                <w:sz w:val="24"/>
                <w:highlight w:val="none"/>
              </w:rPr>
              <w:t>①本项目设有一般工业固体废物贮存场所，位于</w:t>
            </w:r>
            <w:r>
              <w:rPr>
                <w:rFonts w:hint="eastAsia" w:ascii="Times New Roman" w:hAnsi="Times New Roman"/>
                <w:bCs/>
                <w:kern w:val="0"/>
                <w:sz w:val="24"/>
                <w:highlight w:val="none"/>
                <w:lang w:val="en-US" w:eastAsia="zh-CN"/>
              </w:rPr>
              <w:t>车间西南角</w:t>
            </w:r>
            <w:r>
              <w:rPr>
                <w:rFonts w:hint="default" w:ascii="Times New Roman" w:hAnsi="Times New Roman"/>
                <w:bCs/>
                <w:kern w:val="0"/>
                <w:sz w:val="24"/>
                <w:highlight w:val="none"/>
              </w:rPr>
              <w:t>，地面采区水泥硬化并做防渗处理，三面建设1m高</w:t>
            </w:r>
            <w:r>
              <w:rPr>
                <w:rFonts w:hint="eastAsia" w:ascii="Times New Roman" w:hAnsi="Times New Roman"/>
                <w:bCs/>
                <w:kern w:val="0"/>
                <w:sz w:val="24"/>
                <w:highlight w:val="none"/>
                <w:lang w:val="en-US" w:eastAsia="zh-CN"/>
              </w:rPr>
              <w:t>围护</w:t>
            </w:r>
            <w:r>
              <w:rPr>
                <w:rFonts w:hint="default" w:ascii="Times New Roman" w:hAnsi="Times New Roman"/>
                <w:bCs/>
                <w:kern w:val="0"/>
                <w:sz w:val="24"/>
                <w:highlight w:val="none"/>
              </w:rPr>
              <w:t>，符合《一般工业固废物贮存和填埋污染控制标准》(GB18599-2020)中的有关规范，确保一般工业固废安全分类贮存。应当采取防晒、防风、防雨、防流失、防渗漏或者其他防止污染环境的措施，不得擅自倾倒、堆放、丢弃、遗撒固体废物。</w:t>
            </w:r>
          </w:p>
          <w:p w14:paraId="6611D3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bCs/>
                <w:kern w:val="0"/>
                <w:sz w:val="24"/>
                <w:szCs w:val="20"/>
                <w:highlight w:val="none"/>
              </w:rPr>
            </w:pPr>
            <w:r>
              <w:rPr>
                <w:rFonts w:hint="default"/>
                <w:bCs/>
                <w:kern w:val="0"/>
                <w:sz w:val="24"/>
                <w:szCs w:val="20"/>
                <w:highlight w:val="none"/>
              </w:rPr>
              <w:t>②建立健全一般工业固体废物产生、收集、贮存、运输、利用、处置全过程的污染环境防治责任制度，建立工业固体废物管理台账，如实记录产生工业固体废物的种类、数量、流向、贮存、利用、处置等信息</w:t>
            </w:r>
            <w:r>
              <w:rPr>
                <w:rFonts w:hint="eastAsia"/>
                <w:bCs/>
                <w:kern w:val="0"/>
                <w:sz w:val="24"/>
                <w:szCs w:val="20"/>
                <w:highlight w:val="none"/>
                <w:lang w:eastAsia="zh-CN"/>
              </w:rPr>
              <w:t>，</w:t>
            </w:r>
            <w:r>
              <w:rPr>
                <w:rFonts w:hint="default"/>
                <w:bCs/>
                <w:kern w:val="0"/>
                <w:sz w:val="24"/>
                <w:szCs w:val="20"/>
                <w:highlight w:val="none"/>
              </w:rPr>
              <w:t>实现工业固体废物可追溯、可查询，并采取防治工业固体废物污染环境的措施。</w:t>
            </w:r>
          </w:p>
          <w:p w14:paraId="6A73C80C">
            <w:pPr>
              <w:pStyle w:val="2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bCs/>
                <w:kern w:val="0"/>
                <w:sz w:val="24"/>
                <w:highlight w:val="none"/>
              </w:rPr>
            </w:pPr>
            <w:r>
              <w:rPr>
                <w:rFonts w:hint="default" w:ascii="Times New Roman" w:hAnsi="Times New Roman"/>
                <w:bCs/>
                <w:kern w:val="0"/>
                <w:sz w:val="24"/>
                <w:highlight w:val="none"/>
              </w:rPr>
              <w:t>③委托他人运输、利用、处置工业固体废物的，应当对受托方的主体资格和技术能力进行核实。依法签订书面合同，在合同中约定污染防治要求，及时清运，不得超期贮存、违规贮存。</w:t>
            </w:r>
          </w:p>
          <w:p w14:paraId="0ACFA8D7">
            <w:pPr>
              <w:pStyle w:val="18"/>
              <w:keepNext w:val="0"/>
              <w:keepLines w:val="0"/>
              <w:pageBreakBefore w:val="0"/>
              <w:widowControl w:val="0"/>
              <w:suppressLineNumbers w:val="0"/>
              <w:kinsoku/>
              <w:wordWrap/>
              <w:overflowPunct/>
              <w:topLinePunct w:val="0"/>
              <w:autoSpaceDE/>
              <w:autoSpaceDN/>
              <w:bidi w:val="0"/>
              <w:adjustRightInd/>
              <w:snapToGrid/>
              <w:spacing w:before="0" w:beforeLines="0" w:after="0" w:afterAutospacing="0" w:line="480" w:lineRule="exact"/>
              <w:ind w:left="0" w:right="0" w:firstLine="480" w:firstLineChars="200"/>
              <w:textAlignment w:val="auto"/>
              <w:rPr>
                <w:rFonts w:hint="default" w:ascii="Times New Roman" w:hAnsi="Times New Roman"/>
                <w:bCs/>
                <w:kern w:val="0"/>
                <w:szCs w:val="20"/>
                <w:highlight w:val="none"/>
              </w:rPr>
            </w:pPr>
            <w:r>
              <w:rPr>
                <w:rFonts w:hint="default" w:ascii="Times New Roman" w:hAnsi="Times New Roman"/>
                <w:bCs/>
                <w:kern w:val="0"/>
                <w:szCs w:val="20"/>
                <w:highlight w:val="none"/>
              </w:rPr>
              <w:t>④受委托方运输、利用、处置工业固</w:t>
            </w:r>
            <w:r>
              <w:rPr>
                <w:rFonts w:hint="eastAsia" w:ascii="Times New Roman" w:hAnsi="Times New Roman"/>
                <w:bCs/>
                <w:kern w:val="0"/>
                <w:szCs w:val="20"/>
                <w:highlight w:val="none"/>
                <w:lang w:val="en-US" w:eastAsia="zh-CN"/>
              </w:rPr>
              <w:t>体</w:t>
            </w:r>
            <w:r>
              <w:rPr>
                <w:rFonts w:hint="default" w:ascii="Times New Roman" w:hAnsi="Times New Roman"/>
                <w:bCs/>
                <w:kern w:val="0"/>
                <w:szCs w:val="20"/>
                <w:highlight w:val="none"/>
              </w:rPr>
              <w:t>废物，应当依照有关法律法规的规定和合同约定履行污染防治要求，并将运输、利用、处置情况告知产生工业固体废物的单位。</w:t>
            </w:r>
          </w:p>
          <w:p w14:paraId="78D83331">
            <w:pPr>
              <w:pStyle w:val="2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kern w:val="0"/>
                <w:sz w:val="24"/>
                <w:highlight w:val="none"/>
                <w:lang w:bidi="ar"/>
              </w:rPr>
            </w:pPr>
            <w:r>
              <w:rPr>
                <w:rFonts w:hint="default" w:ascii="Times New Roman" w:hAnsi="Times New Roman"/>
                <w:bCs/>
                <w:kern w:val="0"/>
                <w:sz w:val="24"/>
                <w:highlight w:val="none"/>
              </w:rPr>
              <w:t>⑤禁止将一般工业固体废物与生活垃圾混合。生活垃圾</w:t>
            </w:r>
            <w:r>
              <w:rPr>
                <w:rFonts w:hint="default" w:ascii="Times New Roman" w:hAnsi="Times New Roman" w:cs="Times New Roman"/>
                <w:bCs/>
                <w:kern w:val="0"/>
                <w:sz w:val="24"/>
                <w:highlight w:val="none"/>
              </w:rPr>
              <w:t>应分类收集，与环卫部门签订清运协议，生活垃圾做到日清日结</w:t>
            </w:r>
            <w:r>
              <w:rPr>
                <w:rFonts w:hint="default" w:ascii="Times New Roman" w:hAnsi="Times New Roman" w:cs="Times New Roman"/>
                <w:kern w:val="0"/>
                <w:sz w:val="24"/>
                <w:highlight w:val="none"/>
                <w:lang w:bidi="ar"/>
              </w:rPr>
              <w:t>。</w:t>
            </w:r>
          </w:p>
          <w:p w14:paraId="461492BB">
            <w:pPr>
              <w:pStyle w:val="2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highlight w:val="none"/>
                <w:lang w:val="en-US" w:eastAsia="zh-CN"/>
              </w:rPr>
            </w:pPr>
            <w:r>
              <w:rPr>
                <w:rFonts w:hint="default" w:ascii="Times New Roman" w:hAnsi="Times New Roman" w:cs="Times New Roman"/>
                <w:sz w:val="24"/>
                <w:highlight w:val="none"/>
              </w:rPr>
              <w:t>综上所述，项目固废均得到合理处置，项目一般固废满足《一般工业固体废物贮存和填埋污染控制标准》（GB18599-2020）的相关规定</w:t>
            </w:r>
            <w:r>
              <w:rPr>
                <w:rFonts w:hint="default"/>
                <w:sz w:val="24"/>
                <w:highlight w:val="none"/>
              </w:rPr>
              <w:t>，</w:t>
            </w:r>
            <w:r>
              <w:rPr>
                <w:rFonts w:hint="default"/>
                <w:kern w:val="24"/>
                <w:sz w:val="24"/>
                <w:highlight w:val="none"/>
              </w:rPr>
              <w:t>不会对周围环境产生影响。</w:t>
            </w:r>
          </w:p>
          <w:p w14:paraId="6B245A84">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highlight w:val="none"/>
                <w:lang w:val="en-US" w:eastAsia="zh-CN"/>
              </w:rPr>
            </w:pPr>
            <w:r>
              <w:rPr>
                <w:rFonts w:hint="eastAsia" w:cs="Times New Roman"/>
                <w:b/>
                <w:bCs/>
                <w:smallCaps w:val="0"/>
                <w:color w:val="auto"/>
                <w:spacing w:val="0"/>
                <w:highlight w:val="none"/>
                <w:lang w:val="en-US" w:eastAsia="zh-CN"/>
              </w:rPr>
              <w:t>4.3 危险废物</w:t>
            </w:r>
          </w:p>
          <w:p w14:paraId="3270C63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sz w:val="24"/>
                <w:szCs w:val="24"/>
                <w:highlight w:val="none"/>
              </w:rPr>
            </w:pPr>
            <w:r>
              <w:rPr>
                <w:rFonts w:hint="eastAsia" w:ascii="宋体" w:hAnsi="宋体" w:eastAsia="宋体" w:cs="宋体"/>
                <w:color w:val="000000"/>
                <w:kern w:val="0"/>
                <w:sz w:val="24"/>
                <w:szCs w:val="24"/>
                <w:highlight w:val="none"/>
                <w:lang w:val="en-US" w:eastAsia="zh-CN" w:bidi="ar"/>
              </w:rPr>
              <w:t>（1）废活性炭：本项目使用碘值为</w:t>
            </w:r>
            <w:r>
              <w:rPr>
                <w:rFonts w:hint="default" w:ascii="Times New Roman" w:hAnsi="Times New Roman" w:eastAsia="宋体" w:cs="Times New Roman"/>
                <w:color w:val="000000"/>
                <w:kern w:val="0"/>
                <w:sz w:val="24"/>
                <w:szCs w:val="24"/>
                <w:highlight w:val="none"/>
                <w:lang w:val="en-US" w:eastAsia="zh-CN" w:bidi="ar"/>
              </w:rPr>
              <w:t>800mg/g</w:t>
            </w:r>
            <w:r>
              <w:rPr>
                <w:rFonts w:hint="eastAsia" w:ascii="宋体" w:hAnsi="宋体" w:eastAsia="宋体" w:cs="宋体"/>
                <w:color w:val="000000"/>
                <w:kern w:val="0"/>
                <w:sz w:val="24"/>
                <w:szCs w:val="24"/>
                <w:highlight w:val="none"/>
                <w:lang w:val="en-US" w:eastAsia="zh-CN" w:bidi="ar"/>
              </w:rPr>
              <w:t>颗粒状活性炭，根据《石家庄市涉</w:t>
            </w:r>
            <w:r>
              <w:rPr>
                <w:rFonts w:hint="default" w:ascii="Times New Roman" w:hAnsi="Times New Roman" w:eastAsia="宋体" w:cs="Times New Roman"/>
                <w:color w:val="000000"/>
                <w:kern w:val="0"/>
                <w:sz w:val="24"/>
                <w:szCs w:val="24"/>
                <w:highlight w:val="none"/>
                <w:lang w:val="en-US" w:eastAsia="zh-CN" w:bidi="ar"/>
              </w:rPr>
              <w:t>VOCs</w:t>
            </w:r>
            <w:r>
              <w:rPr>
                <w:rFonts w:hint="eastAsia" w:ascii="宋体" w:hAnsi="宋体" w:eastAsia="宋体" w:cs="宋体"/>
                <w:color w:val="000000"/>
                <w:kern w:val="0"/>
                <w:sz w:val="24"/>
                <w:szCs w:val="24"/>
                <w:highlight w:val="none"/>
                <w:lang w:val="en-US" w:eastAsia="zh-CN" w:bidi="ar"/>
              </w:rPr>
              <w:t>企业活性炭吸附脱附技术指南》，活性炭吸附装置填充量与废气量体积之比小于</w:t>
            </w:r>
            <w:r>
              <w:rPr>
                <w:rFonts w:hint="default" w:ascii="Times New Roman" w:hAnsi="Times New Roman" w:eastAsia="宋体" w:cs="Times New Roman"/>
                <w:color w:val="000000"/>
                <w:kern w:val="0"/>
                <w:sz w:val="24"/>
                <w:szCs w:val="24"/>
                <w:highlight w:val="none"/>
                <w:lang w:val="en-US" w:eastAsia="zh-CN" w:bidi="ar"/>
              </w:rPr>
              <w:t>1:5000</w:t>
            </w:r>
            <w:r>
              <w:rPr>
                <w:rFonts w:hint="eastAsia" w:ascii="宋体" w:hAnsi="宋体" w:eastAsia="宋体" w:cs="宋体"/>
                <w:color w:val="000000"/>
                <w:kern w:val="0"/>
                <w:sz w:val="24"/>
                <w:szCs w:val="24"/>
                <w:highlight w:val="none"/>
                <w:lang w:val="en-US" w:eastAsia="zh-CN" w:bidi="ar"/>
              </w:rPr>
              <w:t>，活性炭密度以</w:t>
            </w:r>
            <w:r>
              <w:rPr>
                <w:rFonts w:hint="default" w:ascii="Times New Roman" w:hAnsi="Times New Roman" w:eastAsia="宋体" w:cs="Times New Roman"/>
                <w:color w:val="000000"/>
                <w:kern w:val="0"/>
                <w:sz w:val="24"/>
                <w:szCs w:val="24"/>
                <w:highlight w:val="none"/>
                <w:lang w:val="en-US" w:eastAsia="zh-CN" w:bidi="ar"/>
              </w:rPr>
              <w:t>0.5g/cm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eastAsia" w:ascii="宋体" w:hAnsi="宋体" w:eastAsia="宋体" w:cs="宋体"/>
                <w:color w:val="000000"/>
                <w:kern w:val="0"/>
                <w:sz w:val="24"/>
                <w:szCs w:val="24"/>
                <w:highlight w:val="none"/>
                <w:lang w:val="en-US" w:eastAsia="zh-CN" w:bidi="ar"/>
              </w:rPr>
              <w:t>计。其中</w:t>
            </w:r>
            <w:r>
              <w:rPr>
                <w:rFonts w:hint="default" w:ascii="Times New Roman" w:hAnsi="Times New Roman" w:eastAsia="宋体" w:cs="Times New Roman"/>
                <w:color w:val="000000"/>
                <w:kern w:val="0"/>
                <w:sz w:val="24"/>
                <w:szCs w:val="24"/>
                <w:highlight w:val="none"/>
                <w:lang w:val="en-US" w:eastAsia="zh-CN" w:bidi="ar"/>
              </w:rPr>
              <w:t>DA00</w:t>
            </w:r>
            <w:r>
              <w:rPr>
                <w:rFonts w:hint="eastAsia" w:cs="Times New Roman"/>
                <w:color w:val="000000"/>
                <w:kern w:val="0"/>
                <w:sz w:val="24"/>
                <w:szCs w:val="24"/>
                <w:highlight w:val="none"/>
                <w:lang w:val="en-US" w:eastAsia="zh-CN" w:bidi="ar"/>
              </w:rPr>
              <w:t>2</w:t>
            </w:r>
            <w:r>
              <w:rPr>
                <w:rFonts w:hint="eastAsia" w:ascii="宋体" w:hAnsi="宋体" w:eastAsia="宋体" w:cs="宋体"/>
                <w:color w:val="000000"/>
                <w:kern w:val="0"/>
                <w:sz w:val="24"/>
                <w:szCs w:val="24"/>
                <w:highlight w:val="none"/>
                <w:lang w:val="en-US" w:eastAsia="zh-CN" w:bidi="ar"/>
              </w:rPr>
              <w:t>排气筒废气量为</w:t>
            </w:r>
            <w:r>
              <w:rPr>
                <w:rFonts w:hint="eastAsia" w:cs="Times New Roman"/>
                <w:color w:val="000000"/>
                <w:kern w:val="0"/>
                <w:sz w:val="24"/>
                <w:szCs w:val="24"/>
                <w:highlight w:val="none"/>
                <w:lang w:val="en-US" w:eastAsia="zh-CN" w:bidi="ar"/>
              </w:rPr>
              <w:t>15</w:t>
            </w:r>
            <w:r>
              <w:rPr>
                <w:rFonts w:hint="default" w:ascii="Times New Roman" w:hAnsi="Times New Roman" w:eastAsia="宋体" w:cs="Times New Roman"/>
                <w:color w:val="000000"/>
                <w:kern w:val="0"/>
                <w:sz w:val="24"/>
                <w:szCs w:val="24"/>
                <w:highlight w:val="none"/>
                <w:lang w:val="en-US" w:eastAsia="zh-CN" w:bidi="ar"/>
              </w:rPr>
              <w:t>000m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default" w:ascii="Times New Roman" w:hAnsi="Times New Roman" w:eastAsia="宋体" w:cs="Times New Roman"/>
                <w:color w:val="000000"/>
                <w:kern w:val="0"/>
                <w:sz w:val="24"/>
                <w:szCs w:val="24"/>
                <w:highlight w:val="none"/>
                <w:lang w:val="en-US" w:eastAsia="zh-CN" w:bidi="ar"/>
              </w:rPr>
              <w:t>/h</w:t>
            </w:r>
            <w:r>
              <w:rPr>
                <w:rFonts w:hint="eastAsia" w:ascii="宋体" w:hAnsi="宋体" w:eastAsia="宋体" w:cs="宋体"/>
                <w:color w:val="000000"/>
                <w:kern w:val="0"/>
                <w:sz w:val="24"/>
                <w:szCs w:val="24"/>
                <w:highlight w:val="none"/>
                <w:lang w:val="en-US" w:eastAsia="zh-CN" w:bidi="ar"/>
              </w:rPr>
              <w:t>，则活性炭填充量为：</w:t>
            </w:r>
            <w:r>
              <w:rPr>
                <w:rFonts w:hint="eastAsia" w:ascii="Times New Roman" w:hAnsi="Times New Roman" w:eastAsia="宋体" w:cs="Times New Roman"/>
                <w:color w:val="000000"/>
                <w:kern w:val="0"/>
                <w:sz w:val="24"/>
                <w:szCs w:val="24"/>
                <w:highlight w:val="none"/>
                <w:lang w:val="en-US" w:eastAsia="zh-CN" w:bidi="ar"/>
              </w:rPr>
              <w:t>2</w:t>
            </w:r>
            <w:r>
              <w:rPr>
                <w:rFonts w:hint="eastAsia" w:cs="Times New Roman"/>
                <w:color w:val="000000"/>
                <w:kern w:val="0"/>
                <w:sz w:val="24"/>
                <w:szCs w:val="24"/>
                <w:highlight w:val="none"/>
                <w:lang w:val="en-US" w:eastAsia="zh-CN" w:bidi="ar"/>
              </w:rPr>
              <w:t>0</w:t>
            </w:r>
            <w:r>
              <w:rPr>
                <w:rFonts w:hint="default" w:ascii="Times New Roman" w:hAnsi="Times New Roman" w:eastAsia="宋体" w:cs="Times New Roman"/>
                <w:color w:val="000000"/>
                <w:kern w:val="0"/>
                <w:sz w:val="24"/>
                <w:szCs w:val="24"/>
                <w:highlight w:val="none"/>
                <w:lang w:val="en-US" w:eastAsia="zh-CN" w:bidi="ar"/>
              </w:rPr>
              <w:t>000÷5000×0.5g/cm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default" w:ascii="Times New Roman" w:hAnsi="Times New Roman" w:eastAsia="宋体" w:cs="Times New Roman"/>
                <w:color w:val="000000"/>
                <w:kern w:val="0"/>
                <w:sz w:val="24"/>
                <w:szCs w:val="24"/>
                <w:highlight w:val="none"/>
                <w:lang w:val="en-US" w:eastAsia="zh-CN" w:bidi="ar"/>
              </w:rPr>
              <w:t>=</w:t>
            </w:r>
            <w:r>
              <w:rPr>
                <w:rFonts w:hint="eastAsia" w:cs="Times New Roman"/>
                <w:color w:val="000000"/>
                <w:kern w:val="0"/>
                <w:sz w:val="24"/>
                <w:szCs w:val="24"/>
                <w:highlight w:val="none"/>
                <w:lang w:val="en-US" w:eastAsia="zh-CN" w:bidi="ar"/>
              </w:rPr>
              <w:t>1.5</w:t>
            </w:r>
            <w:r>
              <w:rPr>
                <w:rFonts w:hint="eastAsia" w:ascii="Times New Roman" w:hAnsi="Times New Roman" w:eastAsia="宋体" w:cs="Times New Roman"/>
                <w:color w:val="000000"/>
                <w:kern w:val="0"/>
                <w:sz w:val="24"/>
                <w:szCs w:val="24"/>
                <w:highlight w:val="none"/>
                <w:lang w:val="en-US" w:eastAsia="zh-CN" w:bidi="ar"/>
              </w:rPr>
              <w:t>t</w:t>
            </w:r>
            <w:r>
              <w:rPr>
                <w:rFonts w:hint="eastAsia" w:ascii="宋体" w:hAnsi="宋体" w:eastAsia="宋体" w:cs="宋体"/>
                <w:color w:val="000000"/>
                <w:kern w:val="0"/>
                <w:sz w:val="24"/>
                <w:szCs w:val="24"/>
                <w:highlight w:val="none"/>
                <w:lang w:val="en-US" w:eastAsia="zh-CN" w:bidi="ar"/>
              </w:rPr>
              <w:t>。</w:t>
            </w:r>
          </w:p>
          <w:p w14:paraId="151540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根据《关于印发</w:t>
            </w:r>
            <w:r>
              <w:rPr>
                <w:rFonts w:hint="default" w:ascii="Times New Roman" w:hAnsi="Times New Roman" w:eastAsia="宋体" w:cs="Times New Roman"/>
                <w:color w:val="000000"/>
                <w:kern w:val="0"/>
                <w:sz w:val="24"/>
                <w:szCs w:val="24"/>
                <w:highlight w:val="none"/>
                <w:lang w:val="en-US" w:eastAsia="zh-CN" w:bidi="ar"/>
              </w:rPr>
              <w:t>&lt;</w:t>
            </w:r>
            <w:r>
              <w:rPr>
                <w:rFonts w:hint="eastAsia" w:ascii="宋体" w:hAnsi="宋体" w:eastAsia="宋体" w:cs="宋体"/>
                <w:color w:val="000000"/>
                <w:kern w:val="0"/>
                <w:sz w:val="24"/>
                <w:szCs w:val="24"/>
                <w:highlight w:val="none"/>
                <w:lang w:val="en-US" w:eastAsia="zh-CN" w:bidi="ar"/>
              </w:rPr>
              <w:t>河北省涉</w:t>
            </w:r>
            <w:r>
              <w:rPr>
                <w:rFonts w:hint="default" w:ascii="Times New Roman" w:hAnsi="Times New Roman" w:eastAsia="宋体" w:cs="Times New Roman"/>
                <w:color w:val="000000"/>
                <w:kern w:val="0"/>
                <w:sz w:val="24"/>
                <w:szCs w:val="24"/>
                <w:highlight w:val="none"/>
                <w:lang w:val="en-US" w:eastAsia="zh-CN" w:bidi="ar"/>
              </w:rPr>
              <w:t>VOCs</w:t>
            </w:r>
            <w:r>
              <w:rPr>
                <w:rFonts w:hint="eastAsia" w:ascii="宋体" w:hAnsi="宋体" w:eastAsia="宋体" w:cs="宋体"/>
                <w:color w:val="000000"/>
                <w:kern w:val="0"/>
                <w:sz w:val="24"/>
                <w:szCs w:val="24"/>
                <w:highlight w:val="none"/>
                <w:lang w:val="en-US" w:eastAsia="zh-CN" w:bidi="ar"/>
              </w:rPr>
              <w:t>工业企业常用治理技术指南</w:t>
            </w:r>
            <w:r>
              <w:rPr>
                <w:rFonts w:hint="default" w:ascii="Times New Roman" w:hAnsi="Times New Roman" w:eastAsia="宋体" w:cs="Times New Roman"/>
                <w:color w:val="000000"/>
                <w:kern w:val="0"/>
                <w:sz w:val="24"/>
                <w:szCs w:val="24"/>
                <w:highlight w:val="none"/>
                <w:lang w:val="en-US" w:eastAsia="zh-CN" w:bidi="ar"/>
              </w:rPr>
              <w:t>&gt;</w:t>
            </w:r>
            <w:r>
              <w:rPr>
                <w:rFonts w:hint="eastAsia" w:ascii="宋体" w:hAnsi="宋体" w:eastAsia="宋体" w:cs="宋体"/>
                <w:color w:val="000000"/>
                <w:kern w:val="0"/>
                <w:sz w:val="24"/>
                <w:szCs w:val="24"/>
                <w:highlight w:val="none"/>
                <w:lang w:val="en-US" w:eastAsia="zh-CN" w:bidi="ar"/>
              </w:rPr>
              <w:t>的通知》（河北省生态环境厅，冀环应急</w:t>
            </w:r>
            <w:r>
              <w:rPr>
                <w:rFonts w:hint="default" w:ascii="Times New Roman" w:hAnsi="Times New Roman" w:eastAsia="宋体" w:cs="Times New Roman"/>
                <w:color w:val="000000"/>
                <w:kern w:val="0"/>
                <w:sz w:val="24"/>
                <w:szCs w:val="24"/>
                <w:highlight w:val="none"/>
                <w:lang w:val="en-US" w:eastAsia="zh-CN" w:bidi="ar"/>
              </w:rPr>
              <w:t>[2022]140</w:t>
            </w:r>
            <w:r>
              <w:rPr>
                <w:rFonts w:hint="eastAsia" w:ascii="宋体" w:hAnsi="宋体" w:eastAsia="宋体" w:cs="宋体"/>
                <w:color w:val="000000"/>
                <w:kern w:val="0"/>
                <w:sz w:val="24"/>
                <w:szCs w:val="24"/>
                <w:highlight w:val="none"/>
                <w:lang w:val="en-US" w:eastAsia="zh-CN" w:bidi="ar"/>
              </w:rPr>
              <w:t>号）中活性炭更换周期估算公式计算本项目活性炭更换周期。活性炭更换周期估算公式：</w:t>
            </w:r>
          </w:p>
          <w:p w14:paraId="38CDC1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20" w:firstLineChars="200"/>
              <w:jc w:val="left"/>
              <w:rPr>
                <w:rFonts w:hint="eastAsia" w:ascii="宋体" w:hAnsi="宋体" w:eastAsia="宋体" w:cs="宋体"/>
                <w:color w:val="000000"/>
                <w:kern w:val="0"/>
                <w:sz w:val="24"/>
                <w:szCs w:val="24"/>
                <w:highlight w:val="none"/>
                <w:lang w:val="en-US" w:eastAsia="zh-CN" w:bidi="ar"/>
              </w:rPr>
            </w:pPr>
            <w:r>
              <w:rPr>
                <w:rFonts w:hint="default"/>
                <w:szCs w:val="20"/>
                <w:highlight w:val="none"/>
              </w:rPr>
              <w:drawing>
                <wp:anchor distT="0" distB="0" distL="114300" distR="114300" simplePos="0" relativeHeight="251663360" behindDoc="0" locked="0" layoutInCell="1" allowOverlap="1">
                  <wp:simplePos x="0" y="0"/>
                  <wp:positionH relativeFrom="column">
                    <wp:posOffset>1687195</wp:posOffset>
                  </wp:positionH>
                  <wp:positionV relativeFrom="paragraph">
                    <wp:posOffset>84455</wp:posOffset>
                  </wp:positionV>
                  <wp:extent cx="1314450" cy="533400"/>
                  <wp:effectExtent l="0" t="0" r="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7"/>
                          <a:stretch>
                            <a:fillRect/>
                          </a:stretch>
                        </pic:blipFill>
                        <pic:spPr>
                          <a:xfrm>
                            <a:off x="0" y="0"/>
                            <a:ext cx="1314450" cy="533400"/>
                          </a:xfrm>
                          <a:prstGeom prst="rect">
                            <a:avLst/>
                          </a:prstGeom>
                          <a:noFill/>
                          <a:ln>
                            <a:noFill/>
                          </a:ln>
                        </pic:spPr>
                      </pic:pic>
                    </a:graphicData>
                  </a:graphic>
                </wp:anchor>
              </w:drawing>
            </w:r>
          </w:p>
          <w:p w14:paraId="2D9EDC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eastAsia" w:ascii="宋体" w:hAnsi="宋体" w:eastAsia="宋体" w:cs="宋体"/>
                <w:color w:val="000000"/>
                <w:kern w:val="0"/>
                <w:sz w:val="24"/>
                <w:szCs w:val="24"/>
                <w:highlight w:val="none"/>
                <w:lang w:val="en-US" w:eastAsia="zh-CN" w:bidi="ar"/>
              </w:rPr>
            </w:pPr>
          </w:p>
          <w:p w14:paraId="64FABE3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sz w:val="24"/>
                <w:szCs w:val="24"/>
                <w:highlight w:val="none"/>
              </w:rPr>
            </w:pPr>
            <w:r>
              <w:rPr>
                <w:rFonts w:hint="eastAsia" w:ascii="宋体" w:hAnsi="宋体" w:eastAsia="宋体" w:cs="宋体"/>
                <w:color w:val="000000"/>
                <w:kern w:val="0"/>
                <w:sz w:val="24"/>
                <w:szCs w:val="24"/>
                <w:highlight w:val="none"/>
                <w:lang w:val="en-US" w:eastAsia="zh-CN" w:bidi="ar"/>
              </w:rPr>
              <w:t>式中：</w:t>
            </w:r>
            <w:r>
              <w:rPr>
                <w:rFonts w:hint="default" w:ascii="Times New Roman" w:hAnsi="Times New Roman" w:eastAsia="宋体" w:cs="Times New Roman"/>
                <w:color w:val="000000"/>
                <w:kern w:val="0"/>
                <w:sz w:val="24"/>
                <w:szCs w:val="24"/>
                <w:highlight w:val="none"/>
                <w:lang w:val="en-US" w:eastAsia="zh-CN" w:bidi="ar"/>
              </w:rPr>
              <w:t>T—</w:t>
            </w:r>
            <w:r>
              <w:rPr>
                <w:rFonts w:hint="eastAsia" w:ascii="宋体" w:hAnsi="宋体" w:eastAsia="宋体" w:cs="宋体"/>
                <w:color w:val="000000"/>
                <w:kern w:val="0"/>
                <w:sz w:val="24"/>
                <w:szCs w:val="24"/>
                <w:highlight w:val="none"/>
                <w:lang w:val="en-US" w:eastAsia="zh-CN" w:bidi="ar"/>
              </w:rPr>
              <w:t>更换周期，</w:t>
            </w:r>
            <w:r>
              <w:rPr>
                <w:rFonts w:hint="default" w:ascii="Times New Roman" w:hAnsi="Times New Roman" w:eastAsia="宋体" w:cs="Times New Roman"/>
                <w:color w:val="000000"/>
                <w:kern w:val="0"/>
                <w:sz w:val="24"/>
                <w:szCs w:val="24"/>
                <w:highlight w:val="none"/>
                <w:lang w:val="en-US" w:eastAsia="zh-CN" w:bidi="ar"/>
              </w:rPr>
              <w:t>d</w:t>
            </w:r>
            <w:r>
              <w:rPr>
                <w:rFonts w:hint="eastAsia" w:ascii="宋体" w:hAnsi="宋体" w:eastAsia="宋体" w:cs="宋体"/>
                <w:color w:val="000000"/>
                <w:kern w:val="0"/>
                <w:sz w:val="24"/>
                <w:szCs w:val="24"/>
                <w:highlight w:val="none"/>
                <w:lang w:val="en-US" w:eastAsia="zh-CN" w:bidi="ar"/>
              </w:rPr>
              <w:t>；</w:t>
            </w:r>
          </w:p>
          <w:p w14:paraId="48B2DD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sz w:val="24"/>
                <w:szCs w:val="24"/>
                <w:highlight w:val="none"/>
              </w:rPr>
            </w:pPr>
            <w:r>
              <w:rPr>
                <w:rFonts w:hint="default" w:ascii="Times New Roman" w:hAnsi="Times New Roman" w:eastAsia="宋体" w:cs="Times New Roman"/>
                <w:color w:val="000000"/>
                <w:kern w:val="0"/>
                <w:sz w:val="24"/>
                <w:szCs w:val="24"/>
                <w:highlight w:val="none"/>
                <w:lang w:val="en-US" w:eastAsia="zh-CN" w:bidi="ar"/>
              </w:rPr>
              <w:t>G—</w:t>
            </w:r>
            <w:r>
              <w:rPr>
                <w:rFonts w:hint="eastAsia" w:ascii="宋体" w:hAnsi="宋体" w:eastAsia="宋体" w:cs="宋体"/>
                <w:color w:val="000000"/>
                <w:kern w:val="0"/>
                <w:sz w:val="24"/>
                <w:szCs w:val="24"/>
                <w:highlight w:val="none"/>
                <w:lang w:val="en-US" w:eastAsia="zh-CN" w:bidi="ar"/>
              </w:rPr>
              <w:t>活性炭重量，</w:t>
            </w:r>
            <w:r>
              <w:rPr>
                <w:rFonts w:hint="default" w:ascii="Times New Roman" w:hAnsi="Times New Roman" w:eastAsia="宋体" w:cs="Times New Roman"/>
                <w:color w:val="000000"/>
                <w:kern w:val="0"/>
                <w:sz w:val="24"/>
                <w:szCs w:val="24"/>
                <w:highlight w:val="none"/>
                <w:lang w:val="en-US" w:eastAsia="zh-CN" w:bidi="ar"/>
              </w:rPr>
              <w:t>t</w:t>
            </w:r>
            <w:r>
              <w:rPr>
                <w:rFonts w:hint="eastAsia" w:ascii="宋体" w:hAnsi="宋体" w:eastAsia="宋体" w:cs="宋体"/>
                <w:color w:val="000000"/>
                <w:kern w:val="0"/>
                <w:sz w:val="24"/>
                <w:szCs w:val="24"/>
                <w:highlight w:val="none"/>
                <w:lang w:val="en-US" w:eastAsia="zh-CN" w:bidi="ar"/>
              </w:rPr>
              <w:t>，本项目为</w:t>
            </w:r>
            <w:r>
              <w:rPr>
                <w:rFonts w:hint="eastAsia" w:cs="Times New Roman"/>
                <w:color w:val="000000"/>
                <w:kern w:val="0"/>
                <w:sz w:val="24"/>
                <w:szCs w:val="24"/>
                <w:highlight w:val="none"/>
                <w:lang w:val="en-US" w:eastAsia="zh-CN" w:bidi="ar"/>
              </w:rPr>
              <w:t>1.5</w:t>
            </w:r>
            <w:r>
              <w:rPr>
                <w:rFonts w:hint="default" w:ascii="Times New Roman" w:hAnsi="Times New Roman" w:eastAsia="宋体" w:cs="Times New Roman"/>
                <w:color w:val="000000"/>
                <w:kern w:val="0"/>
                <w:sz w:val="24"/>
                <w:szCs w:val="24"/>
                <w:highlight w:val="none"/>
                <w:lang w:val="en-US" w:eastAsia="zh-CN" w:bidi="ar"/>
              </w:rPr>
              <w:t>t</w:t>
            </w:r>
            <w:r>
              <w:rPr>
                <w:rFonts w:hint="eastAsia" w:ascii="宋体" w:hAnsi="宋体" w:eastAsia="宋体" w:cs="宋体"/>
                <w:color w:val="000000"/>
                <w:kern w:val="0"/>
                <w:sz w:val="24"/>
                <w:szCs w:val="24"/>
                <w:highlight w:val="none"/>
                <w:lang w:val="en-US" w:eastAsia="zh-CN" w:bidi="ar"/>
              </w:rPr>
              <w:t>；</w:t>
            </w:r>
          </w:p>
          <w:p w14:paraId="0E535A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sz w:val="24"/>
                <w:szCs w:val="24"/>
                <w:highlight w:val="none"/>
              </w:rPr>
            </w:pPr>
            <w:r>
              <w:rPr>
                <w:rFonts w:hint="default" w:ascii="Times New Roman" w:hAnsi="Times New Roman" w:eastAsia="宋体" w:cs="Times New Roman"/>
                <w:color w:val="000000"/>
                <w:kern w:val="0"/>
                <w:sz w:val="24"/>
                <w:szCs w:val="24"/>
                <w:highlight w:val="none"/>
                <w:lang w:val="en-US" w:eastAsia="zh-CN" w:bidi="ar"/>
              </w:rPr>
              <w:t>C—</w:t>
            </w:r>
            <w:r>
              <w:rPr>
                <w:rFonts w:hint="eastAsia" w:ascii="宋体" w:hAnsi="宋体" w:eastAsia="宋体" w:cs="宋体"/>
                <w:color w:val="000000"/>
                <w:kern w:val="0"/>
                <w:sz w:val="24"/>
                <w:szCs w:val="24"/>
                <w:highlight w:val="none"/>
                <w:lang w:val="en-US" w:eastAsia="zh-CN" w:bidi="ar"/>
              </w:rPr>
              <w:t>废气污染物削减浓度，</w:t>
            </w:r>
            <w:r>
              <w:rPr>
                <w:rFonts w:hint="default" w:ascii="Times New Roman" w:hAnsi="Times New Roman" w:eastAsia="宋体" w:cs="Times New Roman"/>
                <w:color w:val="000000"/>
                <w:kern w:val="0"/>
                <w:sz w:val="24"/>
                <w:szCs w:val="24"/>
                <w:highlight w:val="none"/>
                <w:lang w:val="en-US" w:eastAsia="zh-CN" w:bidi="ar"/>
              </w:rPr>
              <w:t>mg/m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eastAsia" w:ascii="宋体" w:hAnsi="宋体" w:eastAsia="宋体" w:cs="宋体"/>
                <w:color w:val="000000"/>
                <w:kern w:val="0"/>
                <w:sz w:val="24"/>
                <w:szCs w:val="24"/>
                <w:highlight w:val="none"/>
                <w:lang w:val="en-US" w:eastAsia="zh-CN" w:bidi="ar"/>
              </w:rPr>
              <w:t>，本项目为</w:t>
            </w:r>
            <w:r>
              <w:rPr>
                <w:rFonts w:hint="eastAsia" w:cs="Times New Roman"/>
                <w:color w:val="000000"/>
                <w:kern w:val="0"/>
                <w:sz w:val="24"/>
                <w:szCs w:val="24"/>
                <w:highlight w:val="none"/>
                <w:lang w:val="en-US" w:eastAsia="zh-CN" w:bidi="ar"/>
              </w:rPr>
              <w:t>36</w:t>
            </w:r>
            <w:r>
              <w:rPr>
                <w:rFonts w:hint="default" w:ascii="Times New Roman" w:hAnsi="Times New Roman" w:eastAsia="宋体" w:cs="Times New Roman"/>
                <w:color w:val="000000"/>
                <w:kern w:val="0"/>
                <w:sz w:val="24"/>
                <w:szCs w:val="24"/>
                <w:highlight w:val="none"/>
                <w:lang w:val="en-US" w:eastAsia="zh-CN" w:bidi="ar"/>
              </w:rPr>
              <w:t>mg/m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eastAsia" w:ascii="宋体" w:hAnsi="宋体" w:eastAsia="宋体" w:cs="宋体"/>
                <w:color w:val="000000"/>
                <w:kern w:val="0"/>
                <w:sz w:val="24"/>
                <w:szCs w:val="24"/>
                <w:highlight w:val="none"/>
                <w:lang w:val="en-US" w:eastAsia="zh-CN" w:bidi="ar"/>
              </w:rPr>
              <w:t>；</w:t>
            </w:r>
          </w:p>
          <w:p w14:paraId="628148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sz w:val="24"/>
                <w:szCs w:val="24"/>
                <w:highlight w:val="none"/>
              </w:rPr>
            </w:pPr>
            <w:r>
              <w:rPr>
                <w:rFonts w:hint="default" w:ascii="Times New Roman" w:hAnsi="Times New Roman" w:eastAsia="宋体" w:cs="Times New Roman"/>
                <w:color w:val="000000"/>
                <w:kern w:val="0"/>
                <w:sz w:val="24"/>
                <w:szCs w:val="24"/>
                <w:highlight w:val="none"/>
                <w:lang w:val="en-US" w:eastAsia="zh-CN" w:bidi="ar"/>
              </w:rPr>
              <w:t>Q—</w:t>
            </w:r>
            <w:r>
              <w:rPr>
                <w:rFonts w:hint="eastAsia" w:ascii="宋体" w:hAnsi="宋体" w:eastAsia="宋体" w:cs="宋体"/>
                <w:color w:val="000000"/>
                <w:kern w:val="0"/>
                <w:sz w:val="24"/>
                <w:szCs w:val="24"/>
                <w:highlight w:val="none"/>
                <w:lang w:val="en-US" w:eastAsia="zh-CN" w:bidi="ar"/>
              </w:rPr>
              <w:t>风量，</w:t>
            </w:r>
            <w:r>
              <w:rPr>
                <w:rFonts w:hint="default" w:ascii="Times New Roman" w:hAnsi="Times New Roman" w:eastAsia="宋体" w:cs="Times New Roman"/>
                <w:color w:val="000000"/>
                <w:kern w:val="0"/>
                <w:sz w:val="24"/>
                <w:szCs w:val="24"/>
                <w:highlight w:val="none"/>
                <w:lang w:val="en-US" w:eastAsia="zh-CN" w:bidi="ar"/>
              </w:rPr>
              <w:t>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default" w:ascii="Times New Roman" w:hAnsi="Times New Roman" w:eastAsia="宋体" w:cs="Times New Roman"/>
                <w:color w:val="000000"/>
                <w:kern w:val="0"/>
                <w:sz w:val="24"/>
                <w:szCs w:val="24"/>
                <w:highlight w:val="none"/>
                <w:lang w:val="en-US" w:eastAsia="zh-CN" w:bidi="ar"/>
              </w:rPr>
              <w:t>/h</w:t>
            </w:r>
            <w:r>
              <w:rPr>
                <w:rFonts w:hint="eastAsia" w:ascii="宋体" w:hAnsi="宋体" w:eastAsia="宋体" w:cs="宋体"/>
                <w:color w:val="000000"/>
                <w:kern w:val="0"/>
                <w:sz w:val="24"/>
                <w:szCs w:val="24"/>
                <w:highlight w:val="none"/>
                <w:lang w:val="en-US" w:eastAsia="zh-CN" w:bidi="ar"/>
              </w:rPr>
              <w:t>，本项目为</w:t>
            </w:r>
            <w:r>
              <w:rPr>
                <w:rFonts w:hint="eastAsia" w:cs="Times New Roman"/>
                <w:color w:val="000000"/>
                <w:kern w:val="0"/>
                <w:sz w:val="24"/>
                <w:szCs w:val="24"/>
                <w:highlight w:val="none"/>
                <w:lang w:val="en-US" w:eastAsia="zh-CN" w:bidi="ar"/>
              </w:rPr>
              <w:t>15</w:t>
            </w:r>
            <w:r>
              <w:rPr>
                <w:rFonts w:hint="default" w:ascii="Times New Roman" w:hAnsi="Times New Roman" w:eastAsia="宋体" w:cs="Times New Roman"/>
                <w:color w:val="000000"/>
                <w:kern w:val="0"/>
                <w:sz w:val="24"/>
                <w:szCs w:val="24"/>
                <w:highlight w:val="none"/>
                <w:lang w:val="en-US" w:eastAsia="zh-CN" w:bidi="ar"/>
              </w:rPr>
              <w:t>000m</w:t>
            </w:r>
            <w:r>
              <w:rPr>
                <w:rFonts w:hint="default" w:ascii="Times New Roman" w:hAnsi="Times New Roman" w:eastAsia="宋体" w:cs="Times New Roman"/>
                <w:color w:val="000000"/>
                <w:kern w:val="0"/>
                <w:sz w:val="24"/>
                <w:szCs w:val="24"/>
                <w:highlight w:val="none"/>
                <w:vertAlign w:val="superscript"/>
                <w:lang w:val="en-US" w:eastAsia="zh-CN" w:bidi="ar"/>
              </w:rPr>
              <w:t>3</w:t>
            </w:r>
            <w:r>
              <w:rPr>
                <w:rFonts w:hint="default" w:ascii="Times New Roman" w:hAnsi="Times New Roman" w:eastAsia="宋体" w:cs="Times New Roman"/>
                <w:color w:val="000000"/>
                <w:kern w:val="0"/>
                <w:sz w:val="24"/>
                <w:szCs w:val="24"/>
                <w:highlight w:val="none"/>
                <w:lang w:val="en-US" w:eastAsia="zh-CN" w:bidi="ar"/>
              </w:rPr>
              <w:t>/h</w:t>
            </w:r>
            <w:r>
              <w:rPr>
                <w:rFonts w:hint="eastAsia" w:ascii="宋体" w:hAnsi="宋体" w:eastAsia="宋体" w:cs="宋体"/>
                <w:color w:val="000000"/>
                <w:kern w:val="0"/>
                <w:sz w:val="24"/>
                <w:szCs w:val="24"/>
                <w:highlight w:val="none"/>
                <w:lang w:val="en-US" w:eastAsia="zh-CN" w:bidi="ar"/>
              </w:rPr>
              <w:t>；</w:t>
            </w:r>
          </w:p>
          <w:p w14:paraId="0F03D6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sz w:val="24"/>
                <w:szCs w:val="24"/>
                <w:highlight w:val="none"/>
              </w:rPr>
            </w:pPr>
            <w:r>
              <w:rPr>
                <w:rFonts w:hint="default" w:ascii="Times New Roman" w:hAnsi="Times New Roman" w:eastAsia="宋体" w:cs="Times New Roman"/>
                <w:color w:val="000000"/>
                <w:kern w:val="0"/>
                <w:sz w:val="24"/>
                <w:szCs w:val="24"/>
                <w:highlight w:val="none"/>
                <w:lang w:val="en-US" w:eastAsia="zh-CN" w:bidi="ar"/>
              </w:rPr>
              <w:t>T1—</w:t>
            </w:r>
            <w:r>
              <w:rPr>
                <w:rFonts w:hint="eastAsia" w:ascii="宋体" w:hAnsi="宋体" w:eastAsia="宋体" w:cs="宋体"/>
                <w:color w:val="000000"/>
                <w:kern w:val="0"/>
                <w:sz w:val="24"/>
                <w:szCs w:val="24"/>
                <w:highlight w:val="none"/>
                <w:lang w:val="en-US" w:eastAsia="zh-CN" w:bidi="ar"/>
              </w:rPr>
              <w:t>生产时间，</w:t>
            </w:r>
            <w:r>
              <w:rPr>
                <w:rFonts w:hint="default" w:ascii="Times New Roman" w:hAnsi="Times New Roman" w:eastAsia="宋体" w:cs="Times New Roman"/>
                <w:color w:val="000000"/>
                <w:kern w:val="0"/>
                <w:sz w:val="24"/>
                <w:szCs w:val="24"/>
                <w:highlight w:val="none"/>
                <w:lang w:val="en-US" w:eastAsia="zh-CN" w:bidi="ar"/>
              </w:rPr>
              <w:t>h/d</w:t>
            </w:r>
            <w:r>
              <w:rPr>
                <w:rFonts w:hint="eastAsia" w:ascii="宋体" w:hAnsi="宋体" w:eastAsia="宋体" w:cs="宋体"/>
                <w:color w:val="000000"/>
                <w:kern w:val="0"/>
                <w:sz w:val="24"/>
                <w:szCs w:val="24"/>
                <w:highlight w:val="none"/>
                <w:lang w:val="en-US" w:eastAsia="zh-CN" w:bidi="ar"/>
              </w:rPr>
              <w:t>，本项目为</w:t>
            </w:r>
            <w:r>
              <w:rPr>
                <w:rFonts w:hint="eastAsia" w:cs="Times New Roman"/>
                <w:color w:val="000000"/>
                <w:kern w:val="0"/>
                <w:sz w:val="24"/>
                <w:szCs w:val="24"/>
                <w:highlight w:val="none"/>
                <w:lang w:val="en-US" w:eastAsia="zh-CN" w:bidi="ar"/>
              </w:rPr>
              <w:t>4</w:t>
            </w:r>
            <w:r>
              <w:rPr>
                <w:rFonts w:hint="default" w:ascii="Times New Roman" w:hAnsi="Times New Roman" w:eastAsia="宋体" w:cs="Times New Roman"/>
                <w:color w:val="000000"/>
                <w:kern w:val="0"/>
                <w:sz w:val="24"/>
                <w:szCs w:val="24"/>
                <w:highlight w:val="none"/>
                <w:lang w:val="en-US" w:eastAsia="zh-CN" w:bidi="ar"/>
              </w:rPr>
              <w:t>h/d</w:t>
            </w:r>
            <w:r>
              <w:rPr>
                <w:rFonts w:hint="eastAsia" w:ascii="宋体" w:hAnsi="宋体" w:eastAsia="宋体" w:cs="宋体"/>
                <w:color w:val="000000"/>
                <w:kern w:val="0"/>
                <w:sz w:val="24"/>
                <w:szCs w:val="24"/>
                <w:highlight w:val="none"/>
                <w:lang w:val="en-US" w:eastAsia="zh-CN" w:bidi="ar"/>
              </w:rPr>
              <w:t>；</w:t>
            </w:r>
          </w:p>
          <w:p w14:paraId="384AFA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rPr>
                <w:rFonts w:hint="default"/>
                <w:sz w:val="24"/>
                <w:szCs w:val="24"/>
                <w:highlight w:val="none"/>
              </w:rPr>
            </w:pPr>
            <w:r>
              <w:rPr>
                <w:rFonts w:hint="default" w:ascii="Times New Roman" w:hAnsi="Times New Roman" w:eastAsia="宋体" w:cs="Times New Roman"/>
                <w:color w:val="000000"/>
                <w:kern w:val="0"/>
                <w:sz w:val="24"/>
                <w:szCs w:val="24"/>
                <w:highlight w:val="none"/>
                <w:lang w:val="en-US" w:eastAsia="zh-CN" w:bidi="ar"/>
              </w:rPr>
              <w:t>经计算，本项目活性炭更换周期为</w:t>
            </w:r>
            <w:r>
              <w:rPr>
                <w:rFonts w:hint="eastAsia" w:cs="Times New Roman"/>
                <w:color w:val="000000"/>
                <w:kern w:val="0"/>
                <w:sz w:val="24"/>
                <w:szCs w:val="24"/>
                <w:highlight w:val="none"/>
                <w:lang w:val="en-US" w:eastAsia="zh-CN" w:bidi="ar"/>
              </w:rPr>
              <w:t>70</w:t>
            </w:r>
            <w:r>
              <w:rPr>
                <w:rFonts w:hint="default" w:ascii="Times New Roman" w:hAnsi="Times New Roman" w:eastAsia="宋体" w:cs="Times New Roman"/>
                <w:color w:val="000000"/>
                <w:kern w:val="0"/>
                <w:sz w:val="24"/>
                <w:szCs w:val="24"/>
                <w:highlight w:val="none"/>
                <w:lang w:val="en-US" w:eastAsia="zh-CN" w:bidi="ar"/>
              </w:rPr>
              <w:t>d，考虑废气设施的治理效果，按每年更换</w:t>
            </w:r>
            <w:r>
              <w:rPr>
                <w:rFonts w:hint="eastAsia" w:cs="Times New Roman"/>
                <w:color w:val="000000"/>
                <w:kern w:val="0"/>
                <w:sz w:val="24"/>
                <w:szCs w:val="24"/>
                <w:highlight w:val="none"/>
                <w:lang w:val="en-US" w:eastAsia="zh-CN" w:bidi="ar"/>
              </w:rPr>
              <w:t>4</w:t>
            </w:r>
            <w:r>
              <w:rPr>
                <w:rFonts w:hint="default" w:ascii="Times New Roman" w:hAnsi="Times New Roman" w:eastAsia="宋体" w:cs="Times New Roman"/>
                <w:color w:val="000000"/>
                <w:kern w:val="0"/>
                <w:sz w:val="24"/>
                <w:szCs w:val="24"/>
                <w:highlight w:val="none"/>
                <w:lang w:val="en-US" w:eastAsia="zh-CN" w:bidi="ar"/>
              </w:rPr>
              <w:t>次，根据废气污染源分析可知，二级活性炭吸附装置吸附的有机污染物量为</w:t>
            </w:r>
            <w:r>
              <w:rPr>
                <w:rFonts w:hint="eastAsia" w:cs="Times New Roman"/>
                <w:color w:val="000000"/>
                <w:kern w:val="0"/>
                <w:sz w:val="24"/>
                <w:szCs w:val="24"/>
                <w:highlight w:val="none"/>
                <w:lang w:val="en-US" w:eastAsia="zh-CN" w:bidi="ar"/>
              </w:rPr>
              <w:t>0.71</w:t>
            </w:r>
            <w:r>
              <w:rPr>
                <w:rFonts w:hint="default" w:ascii="Times New Roman" w:hAnsi="Times New Roman" w:eastAsia="宋体" w:cs="Times New Roman"/>
                <w:color w:val="000000"/>
                <w:kern w:val="0"/>
                <w:sz w:val="24"/>
                <w:szCs w:val="24"/>
                <w:highlight w:val="none"/>
                <w:lang w:val="en-US" w:eastAsia="zh-CN" w:bidi="ar"/>
              </w:rPr>
              <w:t>t/a，则废活性炭产生量为</w:t>
            </w:r>
            <w:r>
              <w:rPr>
                <w:rFonts w:hint="eastAsia" w:cs="Times New Roman"/>
                <w:color w:val="000000"/>
                <w:kern w:val="0"/>
                <w:sz w:val="24"/>
                <w:szCs w:val="24"/>
                <w:highlight w:val="none"/>
                <w:lang w:val="en-US" w:eastAsia="zh-CN" w:bidi="ar"/>
              </w:rPr>
              <w:t>6.71</w:t>
            </w:r>
            <w:r>
              <w:rPr>
                <w:rFonts w:hint="default" w:ascii="Times New Roman" w:hAnsi="Times New Roman" w:eastAsia="宋体" w:cs="Times New Roman"/>
                <w:color w:val="000000"/>
                <w:kern w:val="0"/>
                <w:sz w:val="24"/>
                <w:szCs w:val="24"/>
                <w:highlight w:val="none"/>
                <w:lang w:val="en-US" w:eastAsia="zh-CN" w:bidi="ar"/>
              </w:rPr>
              <w:t>t/a，</w:t>
            </w:r>
            <w:r>
              <w:rPr>
                <w:rFonts w:hint="eastAsia" w:ascii="宋体" w:hAnsi="宋体" w:eastAsia="宋体" w:cs="宋体"/>
                <w:color w:val="000000"/>
                <w:kern w:val="0"/>
                <w:sz w:val="24"/>
                <w:szCs w:val="24"/>
                <w:highlight w:val="none"/>
                <w:lang w:val="en-US" w:eastAsia="zh-CN" w:bidi="ar"/>
              </w:rPr>
              <w:t>根据《国家危险废物名录</w:t>
            </w:r>
            <w:r>
              <w:rPr>
                <w:rFonts w:hint="default" w:ascii="Times New Roman" w:hAnsi="Times New Roman" w:eastAsia="宋体" w:cs="Times New Roman"/>
                <w:color w:val="000000"/>
                <w:kern w:val="0"/>
                <w:sz w:val="24"/>
                <w:szCs w:val="24"/>
                <w:highlight w:val="none"/>
                <w:lang w:val="en-US" w:eastAsia="zh-CN" w:bidi="ar"/>
              </w:rPr>
              <w:t>(2025</w:t>
            </w:r>
            <w:r>
              <w:rPr>
                <w:rFonts w:hint="eastAsia" w:ascii="宋体" w:hAnsi="宋体" w:eastAsia="宋体" w:cs="宋体"/>
                <w:color w:val="000000"/>
                <w:kern w:val="0"/>
                <w:sz w:val="24"/>
                <w:szCs w:val="24"/>
                <w:highlight w:val="none"/>
                <w:lang w:val="en-US" w:eastAsia="zh-CN" w:bidi="ar"/>
              </w:rPr>
              <w:t>版</w:t>
            </w:r>
            <w:r>
              <w:rPr>
                <w:rFonts w:hint="default" w:ascii="Times New Roman" w:hAnsi="Times New Roman" w:eastAsia="宋体" w:cs="Times New Roman"/>
                <w:color w:val="000000"/>
                <w:kern w:val="0"/>
                <w:sz w:val="24"/>
                <w:szCs w:val="24"/>
                <w:highlight w:val="none"/>
                <w:lang w:val="en-US" w:eastAsia="zh-CN" w:bidi="ar"/>
              </w:rPr>
              <w:t>)</w:t>
            </w:r>
            <w:r>
              <w:rPr>
                <w:rFonts w:hint="eastAsia" w:ascii="宋体" w:hAnsi="宋体" w:eastAsia="宋体" w:cs="宋体"/>
                <w:color w:val="000000"/>
                <w:kern w:val="0"/>
                <w:sz w:val="24"/>
                <w:szCs w:val="24"/>
                <w:highlight w:val="none"/>
                <w:lang w:val="en-US" w:eastAsia="zh-CN" w:bidi="ar"/>
              </w:rPr>
              <w:t>》，废活性炭废物类别为</w:t>
            </w:r>
            <w:r>
              <w:rPr>
                <w:rFonts w:hint="default" w:ascii="Times New Roman" w:hAnsi="Times New Roman" w:eastAsia="宋体" w:cs="Times New Roman"/>
                <w:color w:val="000000"/>
                <w:kern w:val="0"/>
                <w:sz w:val="24"/>
                <w:szCs w:val="24"/>
                <w:highlight w:val="none"/>
                <w:lang w:val="en-US" w:eastAsia="zh-CN" w:bidi="ar"/>
              </w:rPr>
              <w:t>HW49</w:t>
            </w:r>
            <w:r>
              <w:rPr>
                <w:rFonts w:hint="eastAsia" w:ascii="宋体" w:hAnsi="宋体" w:eastAsia="宋体" w:cs="宋体"/>
                <w:color w:val="000000"/>
                <w:kern w:val="0"/>
                <w:sz w:val="24"/>
                <w:szCs w:val="24"/>
                <w:highlight w:val="none"/>
                <w:lang w:val="en-US" w:eastAsia="zh-CN" w:bidi="ar"/>
              </w:rPr>
              <w:t>，危废代码为</w:t>
            </w:r>
            <w:r>
              <w:rPr>
                <w:rFonts w:hint="default" w:ascii="Times New Roman" w:hAnsi="Times New Roman" w:eastAsia="宋体" w:cs="Times New Roman"/>
                <w:color w:val="000000"/>
                <w:kern w:val="0"/>
                <w:sz w:val="24"/>
                <w:szCs w:val="24"/>
                <w:highlight w:val="none"/>
                <w:lang w:val="en-US" w:eastAsia="zh-CN" w:bidi="ar"/>
              </w:rPr>
              <w:t>900-039-49</w:t>
            </w:r>
            <w:r>
              <w:rPr>
                <w:rFonts w:hint="eastAsia" w:ascii="宋体" w:hAnsi="宋体" w:eastAsia="宋体" w:cs="宋体"/>
                <w:color w:val="000000"/>
                <w:kern w:val="0"/>
                <w:sz w:val="24"/>
                <w:szCs w:val="24"/>
                <w:highlight w:val="none"/>
                <w:lang w:val="en-US" w:eastAsia="zh-CN" w:bidi="ar"/>
              </w:rPr>
              <w:t>，更换时危废处置单位到厂收集，做到</w:t>
            </w:r>
            <w:r>
              <w:rPr>
                <w:rFonts w:hint="default" w:ascii="Times New Roman" w:hAnsi="Times New Roman" w:cs="Times New Roman"/>
                <w:color w:val="auto"/>
                <w:sz w:val="24"/>
                <w:szCs w:val="24"/>
                <w:highlight w:val="none"/>
                <w:lang w:val="en-US" w:eastAsia="zh-CN"/>
              </w:rPr>
              <w:t>即产即清</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不在厂区内设置危废间</w:t>
            </w:r>
            <w:r>
              <w:rPr>
                <w:rFonts w:hint="default" w:ascii="Times New Roman" w:hAnsi="Times New Roman" w:cs="Times New Roman"/>
                <w:smallCaps w:val="0"/>
                <w:color w:val="auto"/>
                <w:spacing w:val="0"/>
                <w:sz w:val="24"/>
                <w:szCs w:val="24"/>
                <w:highlight w:val="none"/>
              </w:rPr>
              <w:t>。</w:t>
            </w:r>
          </w:p>
          <w:p w14:paraId="0009EA0C">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rPr>
                <w:rFonts w:hint="default" w:ascii="Times New Roman" w:hAnsi="Times New Roman" w:cs="Times New Roman"/>
                <w:smallCaps w:val="0"/>
                <w:color w:val="auto"/>
                <w:spacing w:val="0"/>
                <w:sz w:val="24"/>
                <w:szCs w:val="24"/>
                <w:highlight w:val="none"/>
                <w:lang w:eastAsia="zh-CN"/>
              </w:rPr>
            </w:pPr>
            <w:r>
              <w:rPr>
                <w:rFonts w:hint="default" w:ascii="Times New Roman" w:hAnsi="Times New Roman" w:cs="Times New Roman"/>
                <w:smallCaps w:val="0"/>
                <w:color w:val="auto"/>
                <w:spacing w:val="0"/>
                <w:sz w:val="24"/>
                <w:szCs w:val="24"/>
                <w:highlight w:val="none"/>
                <w:lang w:eastAsia="zh-CN"/>
              </w:rPr>
              <w:t>（</w:t>
            </w:r>
            <w:r>
              <w:rPr>
                <w:rFonts w:hint="eastAsia" w:cs="Times New Roman"/>
                <w:smallCaps w:val="0"/>
                <w:color w:val="auto"/>
                <w:spacing w:val="0"/>
                <w:sz w:val="24"/>
                <w:szCs w:val="24"/>
                <w:highlight w:val="none"/>
                <w:lang w:val="en-US" w:eastAsia="zh-CN"/>
              </w:rPr>
              <w:t>2</w:t>
            </w:r>
            <w:r>
              <w:rPr>
                <w:rFonts w:hint="default" w:ascii="Times New Roman" w:hAnsi="Times New Roman" w:cs="Times New Roman"/>
                <w:smallCaps w:val="0"/>
                <w:color w:val="auto"/>
                <w:spacing w:val="0"/>
                <w:sz w:val="24"/>
                <w:szCs w:val="24"/>
                <w:highlight w:val="none"/>
                <w:lang w:eastAsia="zh-CN"/>
              </w:rPr>
              <w:t>）</w:t>
            </w:r>
            <w:r>
              <w:rPr>
                <w:rFonts w:hint="default" w:ascii="Times New Roman" w:hAnsi="Times New Roman" w:cs="Times New Roman"/>
                <w:smallCaps w:val="0"/>
                <w:color w:val="auto"/>
                <w:spacing w:val="0"/>
                <w:sz w:val="24"/>
                <w:szCs w:val="24"/>
                <w:highlight w:val="none"/>
                <w:lang w:val="en-US" w:eastAsia="zh-CN"/>
              </w:rPr>
              <w:t>废润滑油、废润滑油桶</w:t>
            </w:r>
          </w:p>
          <w:p w14:paraId="58877210">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rPr>
              <w:t>根据《国家危险废物名录》（202</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年版），设备维护产生的废润滑油（废物类别：HW08废矿物油与含矿物油废物；行业来源：非特定行业；废物代码：900-217-08）、废润滑油桶（废物类别：HW08废矿物油与含矿物油废物；行业来源：非特定行业；废物代码：900-249-08）</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均属于危险废物。</w:t>
            </w:r>
          </w:p>
          <w:p w14:paraId="5E99CD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rPr>
                <w:rFonts w:hint="default" w:ascii="Times New Roman" w:hAnsi="Times New Roman" w:cs="Times New Roman"/>
                <w:smallCaps w:val="0"/>
                <w:color w:val="auto"/>
                <w:spacing w:val="0"/>
                <w:sz w:val="24"/>
                <w:szCs w:val="24"/>
                <w:highlight w:val="none"/>
              </w:rPr>
            </w:pPr>
            <w:r>
              <w:rPr>
                <w:rFonts w:hint="default" w:ascii="Times New Roman" w:hAnsi="Times New Roman" w:cs="Times New Roman"/>
                <w:color w:val="auto"/>
                <w:sz w:val="24"/>
                <w:szCs w:val="24"/>
                <w:highlight w:val="none"/>
              </w:rPr>
              <w:t>设备维护产生的废润滑油产生量为</w:t>
            </w:r>
            <w:r>
              <w:rPr>
                <w:rFonts w:hint="eastAsia" w:cs="Times New Roman"/>
                <w:color w:val="auto"/>
                <w:sz w:val="24"/>
                <w:szCs w:val="24"/>
                <w:highlight w:val="none"/>
                <w:lang w:val="en-US" w:eastAsia="zh-CN"/>
              </w:rPr>
              <w:t>0.1</w:t>
            </w:r>
            <w:r>
              <w:rPr>
                <w:rFonts w:hint="default" w:ascii="Times New Roman" w:hAnsi="Times New Roman" w:cs="Times New Roman"/>
                <w:color w:val="auto"/>
                <w:sz w:val="24"/>
                <w:szCs w:val="24"/>
                <w:highlight w:val="none"/>
              </w:rPr>
              <w:t>t/a，废润滑油桶产生量为</w:t>
            </w:r>
            <w:r>
              <w:rPr>
                <w:rFonts w:hint="eastAsia" w:cs="Times New Roman"/>
                <w:color w:val="auto"/>
                <w:sz w:val="24"/>
                <w:szCs w:val="24"/>
                <w:highlight w:val="none"/>
                <w:lang w:val="en-US" w:eastAsia="zh-CN"/>
              </w:rPr>
              <w:t>0.02</w:t>
            </w:r>
            <w:r>
              <w:rPr>
                <w:rFonts w:hint="default" w:ascii="Times New Roman" w:hAnsi="Times New Roman" w:cs="Times New Roman"/>
                <w:color w:val="auto"/>
                <w:sz w:val="24"/>
                <w:szCs w:val="24"/>
                <w:highlight w:val="none"/>
              </w:rPr>
              <w:t>t/a，</w:t>
            </w:r>
            <w:r>
              <w:rPr>
                <w:rFonts w:hint="default" w:ascii="Times New Roman" w:hAnsi="Times New Roman" w:cs="Times New Roman"/>
                <w:color w:val="auto"/>
                <w:sz w:val="24"/>
                <w:szCs w:val="24"/>
                <w:highlight w:val="none"/>
                <w:lang w:val="en-US" w:eastAsia="zh-CN"/>
              </w:rPr>
              <w:t>即产即清</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eastAsia="zh-CN"/>
              </w:rPr>
              <w:t>交由有危废处置资质单位处置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不在厂区内设置危废间</w:t>
            </w:r>
            <w:r>
              <w:rPr>
                <w:rFonts w:hint="default" w:ascii="Times New Roman" w:hAnsi="Times New Roman" w:cs="Times New Roman"/>
                <w:smallCaps w:val="0"/>
                <w:color w:val="auto"/>
                <w:spacing w:val="0"/>
                <w:sz w:val="24"/>
                <w:szCs w:val="24"/>
                <w:highlight w:val="none"/>
              </w:rPr>
              <w:t>。</w:t>
            </w:r>
          </w:p>
          <w:p w14:paraId="63FEAA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根据《建设项目危险废物环境影响评价指南》要求，项目工程分析中危险废物汇总表见表4-</w:t>
            </w:r>
            <w:r>
              <w:rPr>
                <w:rFonts w:hint="eastAsia" w:cs="Times New Roman"/>
                <w:color w:val="auto"/>
                <w:sz w:val="24"/>
                <w:szCs w:val="24"/>
                <w:highlight w:val="none"/>
                <w:lang w:val="en-US" w:eastAsia="zh-CN"/>
              </w:rPr>
              <w:t>14</w:t>
            </w:r>
            <w:r>
              <w:rPr>
                <w:rFonts w:hint="default" w:ascii="Times New Roman" w:hAnsi="Times New Roman" w:cs="Times New Roman"/>
                <w:color w:val="auto"/>
                <w:sz w:val="24"/>
                <w:szCs w:val="24"/>
                <w:highlight w:val="none"/>
              </w:rPr>
              <w:t>。</w:t>
            </w:r>
          </w:p>
          <w:p w14:paraId="513CF90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center"/>
              <w:textAlignment w:val="baseline"/>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表4-</w:t>
            </w:r>
            <w:r>
              <w:rPr>
                <w:rFonts w:hint="eastAsia" w:cs="Times New Roman"/>
                <w:b/>
                <w:bCs/>
                <w:color w:val="auto"/>
                <w:sz w:val="24"/>
                <w:szCs w:val="24"/>
                <w:highlight w:val="none"/>
                <w:lang w:val="en-US" w:eastAsia="zh-CN"/>
              </w:rPr>
              <w:t xml:space="preserve">14    </w:t>
            </w:r>
            <w:r>
              <w:rPr>
                <w:rFonts w:hint="default" w:ascii="Times New Roman" w:hAnsi="Times New Roman" w:cs="Times New Roman"/>
                <w:b/>
                <w:bCs/>
                <w:color w:val="auto"/>
                <w:sz w:val="24"/>
                <w:szCs w:val="24"/>
                <w:highlight w:val="none"/>
              </w:rPr>
              <w:t>项目工程分析中危险废物汇总表</w:t>
            </w:r>
          </w:p>
          <w:tbl>
            <w:tblPr>
              <w:tblStyle w:val="47"/>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82"/>
              <w:gridCol w:w="708"/>
              <w:gridCol w:w="691"/>
              <w:gridCol w:w="1138"/>
              <w:gridCol w:w="652"/>
              <w:gridCol w:w="646"/>
              <w:gridCol w:w="494"/>
              <w:gridCol w:w="569"/>
              <w:gridCol w:w="602"/>
              <w:gridCol w:w="472"/>
              <w:gridCol w:w="616"/>
              <w:gridCol w:w="961"/>
            </w:tblGrid>
            <w:tr w14:paraId="6E7ED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180" w:type="pct"/>
                  <w:noWrap w:val="0"/>
                  <w:tcMar>
                    <w:top w:w="0" w:type="dxa"/>
                    <w:left w:w="6" w:type="dxa"/>
                    <w:bottom w:w="0" w:type="dxa"/>
                    <w:right w:w="6" w:type="dxa"/>
                  </w:tcMar>
                  <w:vAlign w:val="center"/>
                </w:tcPr>
                <w:p w14:paraId="00B1CE8F">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序号</w:t>
                  </w:r>
                </w:p>
              </w:tc>
              <w:tc>
                <w:tcPr>
                  <w:tcW w:w="452" w:type="pct"/>
                  <w:noWrap w:val="0"/>
                  <w:tcMar>
                    <w:top w:w="0" w:type="dxa"/>
                    <w:left w:w="6" w:type="dxa"/>
                    <w:bottom w:w="0" w:type="dxa"/>
                    <w:right w:w="6" w:type="dxa"/>
                  </w:tcMar>
                  <w:vAlign w:val="center"/>
                </w:tcPr>
                <w:p w14:paraId="48C77F1B">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危险废物名称</w:t>
                  </w:r>
                </w:p>
              </w:tc>
              <w:tc>
                <w:tcPr>
                  <w:tcW w:w="441" w:type="pct"/>
                  <w:noWrap w:val="0"/>
                  <w:tcMar>
                    <w:top w:w="0" w:type="dxa"/>
                    <w:left w:w="6" w:type="dxa"/>
                    <w:bottom w:w="0" w:type="dxa"/>
                    <w:right w:w="6" w:type="dxa"/>
                  </w:tcMar>
                  <w:vAlign w:val="center"/>
                </w:tcPr>
                <w:p w14:paraId="018313CC">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危险废物类别</w:t>
                  </w:r>
                </w:p>
              </w:tc>
              <w:tc>
                <w:tcPr>
                  <w:tcW w:w="726" w:type="pct"/>
                  <w:noWrap w:val="0"/>
                  <w:tcMar>
                    <w:top w:w="0" w:type="dxa"/>
                    <w:left w:w="6" w:type="dxa"/>
                    <w:bottom w:w="0" w:type="dxa"/>
                    <w:right w:w="6" w:type="dxa"/>
                  </w:tcMar>
                  <w:vAlign w:val="center"/>
                </w:tcPr>
                <w:p w14:paraId="4C6E2C74">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危险废物代码</w:t>
                  </w:r>
                </w:p>
              </w:tc>
              <w:tc>
                <w:tcPr>
                  <w:tcW w:w="416" w:type="pct"/>
                  <w:noWrap w:val="0"/>
                  <w:tcMar>
                    <w:top w:w="0" w:type="dxa"/>
                    <w:left w:w="6" w:type="dxa"/>
                    <w:bottom w:w="0" w:type="dxa"/>
                    <w:right w:w="6" w:type="dxa"/>
                  </w:tcMar>
                  <w:vAlign w:val="center"/>
                </w:tcPr>
                <w:p w14:paraId="6220BC79">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产生量t/a</w:t>
                  </w:r>
                </w:p>
              </w:tc>
              <w:tc>
                <w:tcPr>
                  <w:tcW w:w="412" w:type="pct"/>
                  <w:noWrap w:val="0"/>
                  <w:tcMar>
                    <w:top w:w="0" w:type="dxa"/>
                    <w:left w:w="6" w:type="dxa"/>
                    <w:bottom w:w="0" w:type="dxa"/>
                    <w:right w:w="6" w:type="dxa"/>
                  </w:tcMar>
                  <w:vAlign w:val="center"/>
                </w:tcPr>
                <w:p w14:paraId="4D88375A">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产生工序及装置</w:t>
                  </w:r>
                </w:p>
              </w:tc>
              <w:tc>
                <w:tcPr>
                  <w:tcW w:w="315" w:type="pct"/>
                  <w:noWrap w:val="0"/>
                  <w:tcMar>
                    <w:top w:w="0" w:type="dxa"/>
                    <w:left w:w="6" w:type="dxa"/>
                    <w:bottom w:w="0" w:type="dxa"/>
                    <w:right w:w="6" w:type="dxa"/>
                  </w:tcMar>
                  <w:vAlign w:val="center"/>
                </w:tcPr>
                <w:p w14:paraId="3F99CA85">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形态</w:t>
                  </w:r>
                </w:p>
              </w:tc>
              <w:tc>
                <w:tcPr>
                  <w:tcW w:w="363" w:type="pct"/>
                  <w:noWrap w:val="0"/>
                  <w:tcMar>
                    <w:top w:w="0" w:type="dxa"/>
                    <w:left w:w="6" w:type="dxa"/>
                    <w:bottom w:w="0" w:type="dxa"/>
                    <w:right w:w="6" w:type="dxa"/>
                  </w:tcMar>
                  <w:vAlign w:val="center"/>
                </w:tcPr>
                <w:p w14:paraId="09F0B0B1">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主要成分</w:t>
                  </w:r>
                </w:p>
              </w:tc>
              <w:tc>
                <w:tcPr>
                  <w:tcW w:w="384" w:type="pct"/>
                  <w:noWrap w:val="0"/>
                  <w:tcMar>
                    <w:top w:w="0" w:type="dxa"/>
                    <w:left w:w="6" w:type="dxa"/>
                    <w:bottom w:w="0" w:type="dxa"/>
                    <w:right w:w="6" w:type="dxa"/>
                  </w:tcMar>
                  <w:vAlign w:val="center"/>
                </w:tcPr>
                <w:p w14:paraId="33B00C8C">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有害成分</w:t>
                  </w:r>
                </w:p>
              </w:tc>
              <w:tc>
                <w:tcPr>
                  <w:tcW w:w="301" w:type="pct"/>
                  <w:noWrap w:val="0"/>
                  <w:tcMar>
                    <w:top w:w="0" w:type="dxa"/>
                    <w:left w:w="6" w:type="dxa"/>
                    <w:bottom w:w="0" w:type="dxa"/>
                    <w:right w:w="6" w:type="dxa"/>
                  </w:tcMar>
                  <w:vAlign w:val="center"/>
                </w:tcPr>
                <w:p w14:paraId="66D7382F">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产废周期</w:t>
                  </w:r>
                </w:p>
              </w:tc>
              <w:tc>
                <w:tcPr>
                  <w:tcW w:w="393" w:type="pct"/>
                  <w:noWrap w:val="0"/>
                  <w:tcMar>
                    <w:top w:w="0" w:type="dxa"/>
                    <w:left w:w="6" w:type="dxa"/>
                    <w:bottom w:w="0" w:type="dxa"/>
                    <w:right w:w="6" w:type="dxa"/>
                  </w:tcMar>
                  <w:vAlign w:val="center"/>
                </w:tcPr>
                <w:p w14:paraId="0FC70BE0">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危险特性</w:t>
                  </w:r>
                </w:p>
              </w:tc>
              <w:tc>
                <w:tcPr>
                  <w:tcW w:w="613" w:type="pct"/>
                  <w:noWrap w:val="0"/>
                  <w:tcMar>
                    <w:top w:w="0" w:type="dxa"/>
                    <w:left w:w="6" w:type="dxa"/>
                    <w:bottom w:w="0" w:type="dxa"/>
                    <w:right w:w="6" w:type="dxa"/>
                  </w:tcMar>
                  <w:vAlign w:val="center"/>
                </w:tcPr>
                <w:p w14:paraId="5D90CA6F">
                  <w:pPr>
                    <w:keepNext w:val="0"/>
                    <w:keepLines w:val="0"/>
                    <w:suppressLineNumbers w:val="0"/>
                    <w:spacing w:before="0" w:beforeAutospacing="0" w:after="0" w:afterAutospacing="0"/>
                    <w:ind w:left="0" w:right="0"/>
                    <w:jc w:val="center"/>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污染防治措施</w:t>
                  </w:r>
                </w:p>
              </w:tc>
            </w:tr>
            <w:tr w14:paraId="32E5E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80" w:type="pct"/>
                  <w:noWrap w:val="0"/>
                  <w:vAlign w:val="center"/>
                </w:tcPr>
                <w:p w14:paraId="6DDBBF97">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452" w:type="pct"/>
                  <w:noWrap w:val="0"/>
                  <w:vAlign w:val="center"/>
                </w:tcPr>
                <w:p w14:paraId="2BC83084">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废润滑油</w:t>
                  </w:r>
                </w:p>
              </w:tc>
              <w:tc>
                <w:tcPr>
                  <w:tcW w:w="441" w:type="pct"/>
                  <w:noWrap w:val="0"/>
                  <w:vAlign w:val="center"/>
                </w:tcPr>
                <w:p w14:paraId="22EA9430">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HW08</w:t>
                  </w:r>
                </w:p>
              </w:tc>
              <w:tc>
                <w:tcPr>
                  <w:tcW w:w="726" w:type="pct"/>
                  <w:noWrap w:val="0"/>
                  <w:vAlign w:val="center"/>
                </w:tcPr>
                <w:p w14:paraId="223D4A69">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900-217-08</w:t>
                  </w:r>
                </w:p>
              </w:tc>
              <w:tc>
                <w:tcPr>
                  <w:tcW w:w="416" w:type="pct"/>
                  <w:noWrap w:val="0"/>
                  <w:vAlign w:val="center"/>
                </w:tcPr>
                <w:p w14:paraId="1A841D11">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0.1</w:t>
                  </w:r>
                </w:p>
              </w:tc>
              <w:tc>
                <w:tcPr>
                  <w:tcW w:w="412" w:type="pct"/>
                  <w:vMerge w:val="restart"/>
                  <w:noWrap w:val="0"/>
                  <w:vAlign w:val="center"/>
                </w:tcPr>
                <w:p w14:paraId="37676CDD">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设备维护</w:t>
                  </w:r>
                </w:p>
              </w:tc>
              <w:tc>
                <w:tcPr>
                  <w:tcW w:w="315" w:type="pct"/>
                  <w:noWrap w:val="0"/>
                  <w:vAlign w:val="center"/>
                </w:tcPr>
                <w:p w14:paraId="0297827B">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液态</w:t>
                  </w:r>
                </w:p>
              </w:tc>
              <w:tc>
                <w:tcPr>
                  <w:tcW w:w="363" w:type="pct"/>
                  <w:noWrap w:val="0"/>
                  <w:vAlign w:val="center"/>
                </w:tcPr>
                <w:p w14:paraId="56C6FCEB">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润滑油</w:t>
                  </w:r>
                </w:p>
              </w:tc>
              <w:tc>
                <w:tcPr>
                  <w:tcW w:w="384" w:type="pct"/>
                  <w:noWrap w:val="0"/>
                  <w:vAlign w:val="center"/>
                </w:tcPr>
                <w:p w14:paraId="5B2D1CE6">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润滑油</w:t>
                  </w:r>
                </w:p>
              </w:tc>
              <w:tc>
                <w:tcPr>
                  <w:tcW w:w="301" w:type="pct"/>
                  <w:noWrap w:val="0"/>
                  <w:vAlign w:val="center"/>
                </w:tcPr>
                <w:p w14:paraId="362BB8DE">
                  <w:pPr>
                    <w:pStyle w:val="226"/>
                    <w:keepNext w:val="0"/>
                    <w:keepLines w:val="0"/>
                    <w:suppressLineNumbers w:val="0"/>
                    <w:spacing w:beforeAutospacing="0" w:afterAutospacing="0" w:line="240" w:lineRule="auto"/>
                    <w:ind w:left="0" w:right="0"/>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1年/次</w:t>
                  </w:r>
                </w:p>
              </w:tc>
              <w:tc>
                <w:tcPr>
                  <w:tcW w:w="393" w:type="pct"/>
                  <w:noWrap w:val="0"/>
                  <w:vAlign w:val="center"/>
                </w:tcPr>
                <w:p w14:paraId="1B61AF64">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3" w:type="pct"/>
                  <w:vMerge w:val="restart"/>
                  <w:noWrap w:val="0"/>
                  <w:vAlign w:val="center"/>
                </w:tcPr>
                <w:p w14:paraId="08661CD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即产即清，</w:t>
                  </w:r>
                  <w:r>
                    <w:rPr>
                      <w:rFonts w:hint="eastAsia" w:cs="Times New Roman"/>
                      <w:color w:val="auto"/>
                      <w:sz w:val="21"/>
                      <w:szCs w:val="21"/>
                      <w:highlight w:val="none"/>
                      <w:lang w:val="en-US" w:eastAsia="zh-CN"/>
                    </w:rPr>
                    <w:t>交由有危废处置资质单位处置</w:t>
                  </w:r>
                </w:p>
              </w:tc>
            </w:tr>
            <w:tr w14:paraId="41DB3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80" w:type="pct"/>
                  <w:noWrap w:val="0"/>
                  <w:vAlign w:val="center"/>
                </w:tcPr>
                <w:p w14:paraId="0CC475A1">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2</w:t>
                  </w:r>
                </w:p>
              </w:tc>
              <w:tc>
                <w:tcPr>
                  <w:tcW w:w="452" w:type="pct"/>
                  <w:noWrap w:val="0"/>
                  <w:vAlign w:val="center"/>
                </w:tcPr>
                <w:p w14:paraId="745D5F69">
                  <w:pPr>
                    <w:keepNext w:val="0"/>
                    <w:keepLines w:val="0"/>
                    <w:suppressLineNumbers w:val="0"/>
                    <w:tabs>
                      <w:tab w:val="center" w:pos="4153"/>
                      <w:tab w:val="right" w:pos="8306"/>
                    </w:tabs>
                    <w:snapToGrid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废润滑油桶</w:t>
                  </w:r>
                </w:p>
              </w:tc>
              <w:tc>
                <w:tcPr>
                  <w:tcW w:w="441" w:type="pct"/>
                  <w:noWrap w:val="0"/>
                  <w:vAlign w:val="center"/>
                </w:tcPr>
                <w:p w14:paraId="23BD6DE8">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HW08</w:t>
                  </w:r>
                </w:p>
              </w:tc>
              <w:tc>
                <w:tcPr>
                  <w:tcW w:w="726" w:type="pct"/>
                  <w:noWrap w:val="0"/>
                  <w:vAlign w:val="center"/>
                </w:tcPr>
                <w:p w14:paraId="5F57583A">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900-249-08</w:t>
                  </w:r>
                </w:p>
              </w:tc>
              <w:tc>
                <w:tcPr>
                  <w:tcW w:w="416" w:type="pct"/>
                  <w:noWrap w:val="0"/>
                  <w:vAlign w:val="center"/>
                </w:tcPr>
                <w:p w14:paraId="44357795">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0.02</w:t>
                  </w:r>
                </w:p>
              </w:tc>
              <w:tc>
                <w:tcPr>
                  <w:tcW w:w="412" w:type="pct"/>
                  <w:vMerge w:val="continue"/>
                  <w:noWrap w:val="0"/>
                  <w:vAlign w:val="center"/>
                </w:tcPr>
                <w:p w14:paraId="1E322122">
                  <w:pPr>
                    <w:pStyle w:val="38"/>
                    <w:keepNext w:val="0"/>
                    <w:keepLines w:val="0"/>
                    <w:suppressLineNumbers w:val="0"/>
                    <w:spacing w:before="0" w:beforeAutospacing="0" w:after="0" w:afterAutospacing="0" w:line="360" w:lineRule="exact"/>
                    <w:ind w:left="0" w:leftChars="0" w:right="0"/>
                    <w:jc w:val="center"/>
                    <w:rPr>
                      <w:rFonts w:hint="default" w:ascii="Times New Roman" w:hAnsi="Times New Roman" w:cs="Times New Roman"/>
                      <w:smallCaps w:val="0"/>
                      <w:color w:val="auto"/>
                      <w:kern w:val="2"/>
                      <w:sz w:val="21"/>
                      <w:szCs w:val="21"/>
                      <w:highlight w:val="none"/>
                    </w:rPr>
                  </w:pPr>
                </w:p>
              </w:tc>
              <w:tc>
                <w:tcPr>
                  <w:tcW w:w="315" w:type="pct"/>
                  <w:noWrap w:val="0"/>
                  <w:vAlign w:val="center"/>
                </w:tcPr>
                <w:p w14:paraId="41BFF66C">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固态</w:t>
                  </w:r>
                </w:p>
              </w:tc>
              <w:tc>
                <w:tcPr>
                  <w:tcW w:w="363" w:type="pct"/>
                  <w:noWrap w:val="0"/>
                  <w:vAlign w:val="center"/>
                </w:tcPr>
                <w:p w14:paraId="030859EE">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润滑油</w:t>
                  </w:r>
                </w:p>
              </w:tc>
              <w:tc>
                <w:tcPr>
                  <w:tcW w:w="384" w:type="pct"/>
                  <w:noWrap w:val="0"/>
                  <w:vAlign w:val="center"/>
                </w:tcPr>
                <w:p w14:paraId="5B2A66CB">
                  <w:pPr>
                    <w:pStyle w:val="226"/>
                    <w:keepNext w:val="0"/>
                    <w:keepLines w:val="0"/>
                    <w:suppressLineNumbers w:val="0"/>
                    <w:spacing w:beforeAutospacing="0" w:afterAutospacing="0"/>
                    <w:ind w:left="0" w:right="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润滑油</w:t>
                  </w:r>
                </w:p>
              </w:tc>
              <w:tc>
                <w:tcPr>
                  <w:tcW w:w="301" w:type="pct"/>
                  <w:noWrap w:val="0"/>
                  <w:vAlign w:val="center"/>
                </w:tcPr>
                <w:p w14:paraId="3DBF468A">
                  <w:pPr>
                    <w:pStyle w:val="226"/>
                    <w:keepNext w:val="0"/>
                    <w:keepLines w:val="0"/>
                    <w:suppressLineNumbers w:val="0"/>
                    <w:spacing w:beforeAutospacing="0" w:afterAutospacing="0" w:line="240" w:lineRule="auto"/>
                    <w:ind w:left="0" w:right="0"/>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1年/次</w:t>
                  </w:r>
                </w:p>
              </w:tc>
              <w:tc>
                <w:tcPr>
                  <w:tcW w:w="393" w:type="pct"/>
                  <w:noWrap w:val="0"/>
                  <w:vAlign w:val="center"/>
                </w:tcPr>
                <w:p w14:paraId="5909683A">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T，I</w:t>
                  </w:r>
                </w:p>
              </w:tc>
              <w:tc>
                <w:tcPr>
                  <w:tcW w:w="613" w:type="pct"/>
                  <w:vMerge w:val="continue"/>
                  <w:noWrap w:val="0"/>
                  <w:vAlign w:val="center"/>
                </w:tcPr>
                <w:p w14:paraId="4D291E04">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r w14:paraId="59B95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80" w:type="pct"/>
                  <w:noWrap w:val="0"/>
                  <w:vAlign w:val="center"/>
                </w:tcPr>
                <w:p w14:paraId="6DAC00F6">
                  <w:pPr>
                    <w:keepNext w:val="0"/>
                    <w:keepLines w:val="0"/>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452" w:type="pct"/>
                  <w:noWrap w:val="0"/>
                  <w:vAlign w:val="center"/>
                </w:tcPr>
                <w:p w14:paraId="4C6991C0">
                  <w:pPr>
                    <w:keepNext w:val="0"/>
                    <w:keepLines w:val="0"/>
                    <w:suppressLineNumbers w:val="0"/>
                    <w:tabs>
                      <w:tab w:val="center" w:pos="4153"/>
                      <w:tab w:val="right" w:pos="8306"/>
                    </w:tabs>
                    <w:snapToGrid w:val="0"/>
                    <w:spacing w:before="0" w:beforeAutospacing="0" w:after="0" w:afterAutospacing="0"/>
                    <w:ind w:left="0" w:right="0"/>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废活性炭</w:t>
                  </w:r>
                </w:p>
              </w:tc>
              <w:tc>
                <w:tcPr>
                  <w:tcW w:w="441" w:type="pct"/>
                  <w:noWrap w:val="0"/>
                  <w:vAlign w:val="center"/>
                </w:tcPr>
                <w:p w14:paraId="37EB6DD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HW</w:t>
                  </w:r>
                  <w:r>
                    <w:rPr>
                      <w:rFonts w:hint="eastAsia" w:cs="Times New Roman"/>
                      <w:color w:val="auto"/>
                      <w:sz w:val="21"/>
                      <w:szCs w:val="21"/>
                      <w:highlight w:val="none"/>
                      <w:lang w:val="en-US" w:eastAsia="zh-CN"/>
                    </w:rPr>
                    <w:t>49</w:t>
                  </w:r>
                </w:p>
              </w:tc>
              <w:tc>
                <w:tcPr>
                  <w:tcW w:w="726" w:type="pct"/>
                  <w:noWrap w:val="0"/>
                  <w:vAlign w:val="center"/>
                </w:tcPr>
                <w:p w14:paraId="3CE694AD">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900-039-49</w:t>
                  </w:r>
                </w:p>
              </w:tc>
              <w:tc>
                <w:tcPr>
                  <w:tcW w:w="416" w:type="pct"/>
                  <w:noWrap w:val="0"/>
                  <w:vAlign w:val="center"/>
                </w:tcPr>
                <w:p w14:paraId="10DD5F2F">
                  <w:pPr>
                    <w:pStyle w:val="226"/>
                    <w:keepNext w:val="0"/>
                    <w:keepLines w:val="0"/>
                    <w:suppressLineNumbers w:val="0"/>
                    <w:spacing w:beforeAutospacing="0" w:afterAutospacing="0"/>
                    <w:ind w:left="0" w:right="0"/>
                    <w:rPr>
                      <w:rFonts w:hint="default"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6.71</w:t>
                  </w:r>
                </w:p>
              </w:tc>
              <w:tc>
                <w:tcPr>
                  <w:tcW w:w="412" w:type="pct"/>
                  <w:noWrap w:val="0"/>
                  <w:vAlign w:val="center"/>
                </w:tcPr>
                <w:p w14:paraId="25D89B74">
                  <w:pPr>
                    <w:pStyle w:val="38"/>
                    <w:keepNext w:val="0"/>
                    <w:keepLines w:val="0"/>
                    <w:suppressLineNumbers w:val="0"/>
                    <w:spacing w:before="0" w:beforeAutospacing="0" w:after="0" w:afterAutospacing="0" w:line="360" w:lineRule="exact"/>
                    <w:ind w:left="0" w:leftChars="0" w:right="0"/>
                    <w:jc w:val="center"/>
                    <w:rPr>
                      <w:rFonts w:hint="default" w:ascii="Times New Roman" w:hAnsi="Times New Roman" w:eastAsia="宋体" w:cs="Times New Roman"/>
                      <w:smallCaps w:val="0"/>
                      <w:color w:val="auto"/>
                      <w:kern w:val="2"/>
                      <w:sz w:val="21"/>
                      <w:szCs w:val="21"/>
                      <w:highlight w:val="none"/>
                      <w:lang w:val="en-US" w:eastAsia="zh-CN"/>
                    </w:rPr>
                  </w:pPr>
                  <w:r>
                    <w:rPr>
                      <w:rFonts w:hint="eastAsia" w:cs="Times New Roman"/>
                      <w:smallCaps w:val="0"/>
                      <w:color w:val="auto"/>
                      <w:kern w:val="2"/>
                      <w:sz w:val="21"/>
                      <w:szCs w:val="21"/>
                      <w:highlight w:val="none"/>
                      <w:lang w:val="en-US" w:eastAsia="zh-CN"/>
                    </w:rPr>
                    <w:t>废气治理</w:t>
                  </w:r>
                </w:p>
              </w:tc>
              <w:tc>
                <w:tcPr>
                  <w:tcW w:w="315" w:type="pct"/>
                  <w:shd w:val="clear" w:color="auto" w:fill="auto"/>
                  <w:noWrap w:val="0"/>
                  <w:vAlign w:val="center"/>
                </w:tcPr>
                <w:p w14:paraId="565D0099">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固态</w:t>
                  </w:r>
                </w:p>
              </w:tc>
              <w:tc>
                <w:tcPr>
                  <w:tcW w:w="363" w:type="pct"/>
                  <w:shd w:val="clear" w:color="auto" w:fill="auto"/>
                  <w:noWrap w:val="0"/>
                  <w:vAlign w:val="center"/>
                </w:tcPr>
                <w:p w14:paraId="0BB64232">
                  <w:pPr>
                    <w:keepNext w:val="0"/>
                    <w:keepLines w:val="0"/>
                    <w:widowControl/>
                    <w:suppressLineNumbers w:val="0"/>
                    <w:spacing w:before="0" w:beforeAutospacing="0" w:after="0" w:afterAutospacing="0"/>
                    <w:ind w:left="0" w:right="0"/>
                    <w:jc w:val="center"/>
                    <w:rPr>
                      <w:rFonts w:hint="default"/>
                      <w:sz w:val="21"/>
                      <w:szCs w:val="21"/>
                      <w:highlight w:val="none"/>
                    </w:rPr>
                  </w:pPr>
                  <w:r>
                    <w:rPr>
                      <w:rFonts w:hint="eastAsia" w:ascii="宋体" w:hAnsi="宋体" w:eastAsia="宋体" w:cs="宋体"/>
                      <w:color w:val="000000"/>
                      <w:kern w:val="0"/>
                      <w:sz w:val="21"/>
                      <w:szCs w:val="21"/>
                      <w:highlight w:val="none"/>
                      <w:lang w:val="en-US" w:eastAsia="zh-CN" w:bidi="ar"/>
                    </w:rPr>
                    <w:t>非甲烷总烃、甲</w:t>
                  </w:r>
                </w:p>
                <w:p w14:paraId="4A273865">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
                    </w:rPr>
                    <w:t>醛、酚类</w:t>
                  </w:r>
                </w:p>
              </w:tc>
              <w:tc>
                <w:tcPr>
                  <w:tcW w:w="384" w:type="pct"/>
                  <w:shd w:val="clear" w:color="auto" w:fill="auto"/>
                  <w:noWrap w:val="0"/>
                  <w:vAlign w:val="center"/>
                </w:tcPr>
                <w:p w14:paraId="3E7DEE0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Cs/>
                      <w:snapToGrid w:val="0"/>
                      <w:color w:val="auto"/>
                      <w:kern w:val="28"/>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
                    </w:rPr>
                    <w:t>非甲烷总烃、甲醛、酚类</w:t>
                  </w:r>
                </w:p>
              </w:tc>
              <w:tc>
                <w:tcPr>
                  <w:tcW w:w="301" w:type="pct"/>
                  <w:shd w:val="clear" w:color="auto" w:fill="auto"/>
                  <w:noWrap w:val="0"/>
                  <w:vAlign w:val="center"/>
                </w:tcPr>
                <w:p w14:paraId="4C8ED470">
                  <w:pPr>
                    <w:pStyle w:val="226"/>
                    <w:keepNext w:val="0"/>
                    <w:keepLines w:val="0"/>
                    <w:suppressLineNumbers w:val="0"/>
                    <w:spacing w:beforeAutospacing="0" w:afterAutospacing="0" w:line="240" w:lineRule="auto"/>
                    <w:ind w:left="0" w:leftChars="0" w:right="0" w:rightChars="0"/>
                    <w:rPr>
                      <w:rFonts w:hint="default" w:ascii="Times New Roman" w:hAnsi="Times New Roman" w:eastAsia="宋体" w:cs="Times New Roman"/>
                      <w:bCs/>
                      <w:snapToGrid w:val="0"/>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rPr>
                    <w:t>1年/次</w:t>
                  </w:r>
                </w:p>
              </w:tc>
              <w:tc>
                <w:tcPr>
                  <w:tcW w:w="393" w:type="pct"/>
                  <w:shd w:val="clear" w:color="auto" w:fill="auto"/>
                  <w:noWrap w:val="0"/>
                  <w:vAlign w:val="center"/>
                </w:tcPr>
                <w:p w14:paraId="6740626D">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T</w:t>
                  </w:r>
                </w:p>
              </w:tc>
              <w:tc>
                <w:tcPr>
                  <w:tcW w:w="613" w:type="pct"/>
                  <w:vMerge w:val="continue"/>
                  <w:noWrap w:val="0"/>
                  <w:vAlign w:val="center"/>
                </w:tcPr>
                <w:p w14:paraId="69D048FD">
                  <w:pPr>
                    <w:keepNext w:val="0"/>
                    <w:keepLines w:val="0"/>
                    <w:widowControl/>
                    <w:suppressLineNumbers w:val="0"/>
                    <w:spacing w:before="0" w:beforeAutospacing="0" w:after="0" w:afterAutospacing="0"/>
                    <w:ind w:left="0" w:right="0"/>
                    <w:jc w:val="center"/>
                    <w:rPr>
                      <w:rFonts w:hint="default" w:ascii="Times New Roman" w:hAnsi="Times New Roman" w:cs="Times New Roman"/>
                      <w:color w:val="auto"/>
                      <w:sz w:val="21"/>
                      <w:szCs w:val="21"/>
                      <w:highlight w:val="none"/>
                      <w:lang w:val="zh-CN"/>
                    </w:rPr>
                  </w:pPr>
                </w:p>
              </w:tc>
            </w:tr>
          </w:tbl>
          <w:p w14:paraId="5362464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sz w:val="24"/>
                <w:szCs w:val="20"/>
                <w:highlight w:val="none"/>
                <w:lang w:val="en-US" w:eastAsia="zh-CN"/>
              </w:rPr>
            </w:pPr>
            <w:r>
              <w:rPr>
                <w:rFonts w:hint="default" w:ascii="Times New Roman" w:hAnsi="Times New Roman" w:eastAsia="宋体" w:cs="Times New Roman"/>
                <w:color w:val="auto"/>
                <w:sz w:val="24"/>
                <w:szCs w:val="20"/>
                <w:highlight w:val="none"/>
              </w:rPr>
              <w:t>项目</w:t>
            </w:r>
            <w:r>
              <w:rPr>
                <w:rFonts w:hint="eastAsia" w:cs="Times New Roman"/>
                <w:color w:val="auto"/>
                <w:sz w:val="24"/>
                <w:szCs w:val="20"/>
                <w:highlight w:val="none"/>
                <w:lang w:val="en-US" w:eastAsia="zh-CN"/>
              </w:rPr>
              <w:t>位于集中式饮用水水源地准保护区内</w:t>
            </w:r>
            <w:r>
              <w:rPr>
                <w:rFonts w:hint="default" w:ascii="Times New Roman" w:hAnsi="Times New Roman" w:eastAsia="宋体" w:cs="Times New Roman"/>
                <w:color w:val="auto"/>
                <w:sz w:val="24"/>
                <w:szCs w:val="20"/>
                <w:highlight w:val="none"/>
                <w:lang w:val="en-US" w:eastAsia="zh-CN"/>
              </w:rPr>
              <w:t>，根据《集中式饮用水水源地规范化建设环境保护技术要求》(HJ773-2015)中的“6.3.2准保护区内无易溶性、有毒有害废弃物暂存和转运站”，准保护区内不得有易溶性、有毒有害废弃物暂存和转运站，项目不设置</w:t>
            </w:r>
            <w:r>
              <w:rPr>
                <w:rFonts w:hint="default" w:ascii="Times New Roman" w:hAnsi="Times New Roman" w:eastAsia="宋体" w:cs="Times New Roman"/>
                <w:color w:val="auto"/>
                <w:sz w:val="24"/>
                <w:szCs w:val="20"/>
                <w:highlight w:val="none"/>
              </w:rPr>
              <w:t>危险废物</w:t>
            </w:r>
            <w:r>
              <w:rPr>
                <w:rFonts w:hint="default" w:ascii="Times New Roman" w:hAnsi="Times New Roman" w:eastAsia="宋体" w:cs="Times New Roman"/>
                <w:color w:val="auto"/>
                <w:sz w:val="24"/>
                <w:szCs w:val="20"/>
                <w:highlight w:val="none"/>
                <w:lang w:val="en-US" w:eastAsia="zh-CN"/>
              </w:rPr>
              <w:t>暂存场所</w:t>
            </w:r>
            <w:r>
              <w:rPr>
                <w:rFonts w:hint="eastAsia" w:cs="Times New Roman"/>
                <w:color w:val="auto"/>
                <w:sz w:val="24"/>
                <w:szCs w:val="20"/>
                <w:highlight w:val="none"/>
                <w:lang w:val="en-US" w:eastAsia="zh-CN"/>
              </w:rPr>
              <w:t>；本环评要求企业投产前必须签订危废处置协议，</w:t>
            </w:r>
            <w:r>
              <w:rPr>
                <w:rFonts w:hint="eastAsia" w:ascii="Times New Roman" w:hAnsi="Times New Roman" w:eastAsia="宋体" w:cs="Times New Roman"/>
                <w:color w:val="auto"/>
                <w:sz w:val="24"/>
                <w:szCs w:val="20"/>
                <w:highlight w:val="none"/>
                <w:lang w:val="en-US" w:eastAsia="zh-CN"/>
              </w:rPr>
              <w:t>危废处置单位到厂清运，做到</w:t>
            </w:r>
            <w:r>
              <w:rPr>
                <w:rFonts w:hint="default" w:ascii="Times New Roman" w:hAnsi="Times New Roman" w:eastAsia="宋体" w:cs="Times New Roman"/>
                <w:color w:val="auto"/>
                <w:sz w:val="24"/>
                <w:szCs w:val="20"/>
                <w:highlight w:val="none"/>
                <w:lang w:val="en-US" w:eastAsia="zh-CN"/>
              </w:rPr>
              <w:t>即产即清</w:t>
            </w:r>
            <w:r>
              <w:rPr>
                <w:rFonts w:hint="eastAsia" w:ascii="Times New Roman" w:hAnsi="Times New Roman" w:eastAsia="宋体" w:cs="Times New Roman"/>
                <w:color w:val="auto"/>
                <w:sz w:val="24"/>
                <w:szCs w:val="20"/>
                <w:highlight w:val="none"/>
                <w:lang w:val="en-US" w:eastAsia="zh-CN"/>
              </w:rPr>
              <w:t>。</w:t>
            </w:r>
          </w:p>
          <w:p w14:paraId="22BBB4CF">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lang w:eastAsia="zh-CN"/>
              </w:rPr>
            </w:pPr>
            <w:r>
              <w:rPr>
                <w:rFonts w:hint="default" w:ascii="Times New Roman" w:hAnsi="Times New Roman" w:cs="Times New Roman"/>
                <w:smallCaps w:val="0"/>
                <w:color w:val="auto"/>
                <w:spacing w:val="0"/>
                <w:highlight w:val="none"/>
              </w:rPr>
              <w:t>综上</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项目固体废弃物均得到了妥善处理</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不会对周围环境造成明显影响</w:t>
            </w:r>
            <w:r>
              <w:rPr>
                <w:rFonts w:hint="default" w:ascii="Times New Roman" w:hAnsi="Times New Roman" w:cs="Times New Roman"/>
                <w:smallCaps w:val="0"/>
                <w:color w:val="auto"/>
                <w:spacing w:val="0"/>
                <w:highlight w:val="none"/>
                <w:lang w:eastAsia="zh-CN"/>
              </w:rPr>
              <w:t>。</w:t>
            </w:r>
          </w:p>
          <w:p w14:paraId="02F0E4B5">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bCs/>
                <w:smallCaps w:val="0"/>
                <w:color w:val="auto"/>
                <w:spacing w:val="0"/>
                <w:highlight w:val="none"/>
              </w:rPr>
            </w:pPr>
            <w:r>
              <w:rPr>
                <w:rFonts w:hint="eastAsia" w:cs="Times New Roman"/>
                <w:b/>
                <w:bCs/>
                <w:smallCaps w:val="0"/>
                <w:color w:val="auto"/>
                <w:spacing w:val="0"/>
                <w:highlight w:val="none"/>
                <w:lang w:val="en-US" w:eastAsia="zh-CN"/>
              </w:rPr>
              <w:t>五</w:t>
            </w:r>
            <w:r>
              <w:rPr>
                <w:rFonts w:hint="default" w:ascii="Times New Roman" w:hAnsi="Times New Roman" w:cs="Times New Roman"/>
                <w:b/>
                <w:bCs/>
                <w:smallCaps w:val="0"/>
                <w:color w:val="auto"/>
                <w:spacing w:val="0"/>
                <w:highlight w:val="none"/>
              </w:rPr>
              <w:t>、土壤及地下水</w:t>
            </w:r>
          </w:p>
          <w:p w14:paraId="0E3F45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szCs w:val="20"/>
                <w:highlight w:val="none"/>
              </w:rPr>
            </w:pPr>
            <w:r>
              <w:rPr>
                <w:rFonts w:hint="eastAsia" w:ascii="宋体" w:hAnsi="宋体" w:eastAsia="宋体" w:cs="宋体"/>
                <w:color w:val="000000"/>
                <w:kern w:val="0"/>
                <w:sz w:val="24"/>
                <w:szCs w:val="24"/>
                <w:highlight w:val="none"/>
                <w:lang w:val="en-US" w:eastAsia="zh-CN" w:bidi="ar"/>
              </w:rPr>
              <w:t>（</w:t>
            </w:r>
            <w:r>
              <w:rPr>
                <w:rFonts w:hint="default" w:ascii="Times New Roman" w:hAnsi="Times New Roman" w:eastAsia="宋体" w:cs="Times New Roman"/>
                <w:color w:val="000000"/>
                <w:kern w:val="0"/>
                <w:sz w:val="24"/>
                <w:szCs w:val="24"/>
                <w:highlight w:val="none"/>
                <w:lang w:val="en-US" w:eastAsia="zh-CN" w:bidi="ar"/>
              </w:rPr>
              <w:t>1</w:t>
            </w:r>
            <w:r>
              <w:rPr>
                <w:rFonts w:hint="eastAsia" w:ascii="宋体" w:hAnsi="宋体" w:eastAsia="宋体" w:cs="宋体"/>
                <w:color w:val="000000"/>
                <w:kern w:val="0"/>
                <w:sz w:val="24"/>
                <w:szCs w:val="24"/>
                <w:highlight w:val="none"/>
                <w:lang w:val="en-US" w:eastAsia="zh-CN" w:bidi="ar"/>
              </w:rPr>
              <w:t>）本项目废气污染物为颗粒物、非甲烷总烃、甲醛、酚类，处理后达标排放，将通过大气沉降的方式对土壤产生影响；</w:t>
            </w:r>
          </w:p>
          <w:p w14:paraId="69DF61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szCs w:val="20"/>
                <w:highlight w:val="none"/>
              </w:rPr>
            </w:pPr>
            <w:r>
              <w:rPr>
                <w:rFonts w:hint="eastAsia" w:ascii="宋体" w:hAnsi="宋体" w:eastAsia="宋体" w:cs="宋体"/>
                <w:color w:val="000000"/>
                <w:kern w:val="0"/>
                <w:sz w:val="24"/>
                <w:szCs w:val="24"/>
                <w:highlight w:val="none"/>
                <w:lang w:val="en-US" w:eastAsia="zh-CN" w:bidi="ar"/>
              </w:rPr>
              <w:t>（</w:t>
            </w:r>
            <w:r>
              <w:rPr>
                <w:rFonts w:hint="default" w:ascii="Times New Roman" w:hAnsi="Times New Roman" w:eastAsia="宋体" w:cs="Times New Roman"/>
                <w:color w:val="000000"/>
                <w:kern w:val="0"/>
                <w:sz w:val="24"/>
                <w:szCs w:val="24"/>
                <w:highlight w:val="none"/>
                <w:lang w:val="en-US" w:eastAsia="zh-CN" w:bidi="ar"/>
              </w:rPr>
              <w:t>2</w:t>
            </w:r>
            <w:r>
              <w:rPr>
                <w:rFonts w:hint="eastAsia" w:ascii="宋体" w:hAnsi="宋体" w:eastAsia="宋体" w:cs="宋体"/>
                <w:color w:val="000000"/>
                <w:kern w:val="0"/>
                <w:sz w:val="24"/>
                <w:szCs w:val="24"/>
                <w:highlight w:val="none"/>
                <w:lang w:val="en-US" w:eastAsia="zh-CN" w:bidi="ar"/>
              </w:rPr>
              <w:t>）本项目无废水外排，不会对地水水土壤造成明显影响；</w:t>
            </w:r>
          </w:p>
          <w:p w14:paraId="03F854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szCs w:val="20"/>
                <w:highlight w:val="none"/>
              </w:rPr>
            </w:pPr>
            <w:r>
              <w:rPr>
                <w:rFonts w:hint="eastAsia" w:ascii="宋体" w:hAnsi="宋体" w:eastAsia="宋体" w:cs="宋体"/>
                <w:color w:val="000000"/>
                <w:kern w:val="0"/>
                <w:sz w:val="24"/>
                <w:szCs w:val="24"/>
                <w:highlight w:val="none"/>
                <w:lang w:val="en-US" w:eastAsia="zh-CN" w:bidi="ar"/>
              </w:rPr>
              <w:t>（</w:t>
            </w:r>
            <w:r>
              <w:rPr>
                <w:rFonts w:hint="default" w:ascii="Times New Roman" w:hAnsi="Times New Roman" w:eastAsia="宋体" w:cs="Times New Roman"/>
                <w:color w:val="000000"/>
                <w:kern w:val="0"/>
                <w:sz w:val="24"/>
                <w:szCs w:val="24"/>
                <w:highlight w:val="none"/>
                <w:lang w:val="en-US" w:eastAsia="zh-CN" w:bidi="ar"/>
              </w:rPr>
              <w:t>3</w:t>
            </w:r>
            <w:r>
              <w:rPr>
                <w:rFonts w:hint="eastAsia" w:ascii="宋体" w:hAnsi="宋体" w:eastAsia="宋体" w:cs="宋体"/>
                <w:color w:val="000000"/>
                <w:kern w:val="0"/>
                <w:sz w:val="24"/>
                <w:szCs w:val="24"/>
                <w:highlight w:val="none"/>
                <w:lang w:val="en-US" w:eastAsia="zh-CN" w:bidi="ar"/>
              </w:rPr>
              <w:t>）本项目不建设危废暂存间，正常情况下不会对土壤、地下水造成影响，固体废物均可得到妥善处理。</w:t>
            </w:r>
          </w:p>
          <w:p w14:paraId="1E263B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szCs w:val="20"/>
                <w:highlight w:val="none"/>
              </w:rPr>
            </w:pPr>
            <w:r>
              <w:rPr>
                <w:rFonts w:hint="eastAsia" w:ascii="宋体" w:hAnsi="宋体" w:eastAsia="宋体" w:cs="宋体"/>
                <w:color w:val="000000"/>
                <w:kern w:val="0"/>
                <w:sz w:val="24"/>
                <w:szCs w:val="24"/>
                <w:highlight w:val="none"/>
                <w:lang w:val="en-US" w:eastAsia="zh-CN" w:bidi="ar"/>
              </w:rPr>
              <w:t>为防止项目建设对地下水、土壤环境的影响，采取以下分区防渗措施：</w:t>
            </w:r>
          </w:p>
          <w:p w14:paraId="34F76FC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一般</w:t>
            </w:r>
            <w:r>
              <w:rPr>
                <w:rFonts w:hint="default" w:ascii="Times New Roman" w:hAnsi="Times New Roman" w:eastAsia="宋体" w:cs="Times New Roman"/>
                <w:color w:val="000000"/>
                <w:kern w:val="0"/>
                <w:sz w:val="24"/>
                <w:szCs w:val="24"/>
                <w:highlight w:val="none"/>
                <w:lang w:val="en-US" w:eastAsia="zh-CN" w:bidi="ar"/>
              </w:rPr>
              <w:t>防渗区：生产车间进行水泥防渗，铺设人工防渗层，其等效黏土防渗层Mb≥1.5m，渗透系数≤10</w:t>
            </w:r>
            <w:r>
              <w:rPr>
                <w:rFonts w:hint="default" w:ascii="Times New Roman" w:hAnsi="Times New Roman" w:eastAsia="宋体" w:cs="Times New Roman"/>
                <w:color w:val="000000"/>
                <w:kern w:val="0"/>
                <w:sz w:val="24"/>
                <w:szCs w:val="24"/>
                <w:highlight w:val="none"/>
                <w:vertAlign w:val="superscript"/>
                <w:lang w:val="en-US" w:eastAsia="zh-CN" w:bidi="ar"/>
              </w:rPr>
              <w:t>-7</w:t>
            </w:r>
            <w:r>
              <w:rPr>
                <w:rFonts w:hint="default" w:ascii="Times New Roman" w:hAnsi="Times New Roman" w:eastAsia="宋体" w:cs="Times New Roman"/>
                <w:color w:val="000000"/>
                <w:kern w:val="0"/>
                <w:sz w:val="24"/>
                <w:szCs w:val="24"/>
                <w:highlight w:val="none"/>
                <w:lang w:val="en-US" w:eastAsia="zh-CN" w:bidi="ar"/>
              </w:rPr>
              <w:t>cm/s；</w:t>
            </w:r>
          </w:p>
          <w:p w14:paraId="5F59B5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b/>
                <w:smallCaps w:val="0"/>
                <w:color w:val="auto"/>
                <w:spacing w:val="0"/>
                <w:szCs w:val="20"/>
                <w:highlight w:val="none"/>
              </w:rPr>
            </w:pPr>
            <w:r>
              <w:rPr>
                <w:rFonts w:hint="eastAsia" w:ascii="宋体" w:hAnsi="宋体" w:eastAsia="宋体" w:cs="宋体"/>
                <w:color w:val="000000"/>
                <w:kern w:val="0"/>
                <w:sz w:val="24"/>
                <w:szCs w:val="24"/>
                <w:highlight w:val="none"/>
                <w:lang w:val="en-US" w:eastAsia="zh-CN" w:bidi="ar"/>
              </w:rPr>
              <w:t>综上所述，通过采取上述措施后，项目不会对区域地下水及土壤环境造成明显影响。</w:t>
            </w:r>
          </w:p>
          <w:p w14:paraId="112474CC">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六</w:t>
            </w:r>
            <w:r>
              <w:rPr>
                <w:rFonts w:hint="default" w:ascii="Times New Roman" w:hAnsi="Times New Roman" w:cs="Times New Roman"/>
                <w:b/>
                <w:smallCaps w:val="0"/>
                <w:color w:val="auto"/>
                <w:spacing w:val="0"/>
                <w:highlight w:val="none"/>
              </w:rPr>
              <w:t>、生态环境</w:t>
            </w:r>
          </w:p>
          <w:p w14:paraId="7EC66523">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eastAsia" w:cs="Times New Roman"/>
                <w:smallCaps w:val="0"/>
                <w:color w:val="auto"/>
                <w:spacing w:val="0"/>
                <w:highlight w:val="none"/>
                <w:lang w:val="en-US" w:eastAsia="zh-CN"/>
              </w:rPr>
              <w:t>本</w:t>
            </w:r>
            <w:r>
              <w:rPr>
                <w:rFonts w:hint="default" w:ascii="Times New Roman" w:hAnsi="Times New Roman" w:cs="Times New Roman"/>
                <w:smallCaps w:val="0"/>
                <w:color w:val="auto"/>
                <w:spacing w:val="0"/>
                <w:highlight w:val="none"/>
              </w:rPr>
              <w:t>项目</w:t>
            </w:r>
            <w:r>
              <w:rPr>
                <w:rFonts w:hint="default" w:ascii="Times New Roman" w:hAnsi="Times New Roman" w:eastAsia="宋体" w:cs="Times New Roman"/>
                <w:smallCaps w:val="0"/>
                <w:color w:val="auto"/>
                <w:spacing w:val="0"/>
                <w:highlight w:val="none"/>
              </w:rPr>
              <w:t>位于河北省石家庄市井陉矿区鑫鸿产业园</w:t>
            </w:r>
            <w:r>
              <w:rPr>
                <w:rFonts w:hint="eastAsia" w:ascii="Times New Roman" w:hAnsi="Times New Roman" w:eastAsia="宋体" w:cs="Times New Roman"/>
                <w:smallCaps w:val="0"/>
                <w:color w:val="auto"/>
                <w:spacing w:val="0"/>
                <w:highlight w:val="none"/>
                <w:lang w:val="en-US" w:eastAsia="zh-CN"/>
              </w:rPr>
              <w:t>现有厂区内，属于</w:t>
            </w:r>
            <w:r>
              <w:rPr>
                <w:rFonts w:hint="eastAsia" w:ascii="Times New Roman" w:hAnsi="Times New Roman" w:eastAsia="宋体" w:cs="Times New Roman"/>
                <w:smallCaps w:val="0"/>
                <w:color w:val="auto"/>
                <w:spacing w:val="0"/>
                <w:highlight w:val="none"/>
                <w:lang w:eastAsia="zh-CN"/>
              </w:rPr>
              <w:t>石钢片区</w:t>
            </w:r>
            <w:r>
              <w:rPr>
                <w:rFonts w:hint="default" w:ascii="Times New Roman" w:hAnsi="Times New Roman" w:eastAsia="宋体" w:cs="Times New Roman"/>
                <w:smallCaps w:val="0"/>
                <w:color w:val="auto"/>
                <w:spacing w:val="0"/>
                <w:highlight w:val="none"/>
              </w:rPr>
              <w:t>规划范围</w:t>
            </w:r>
            <w:r>
              <w:rPr>
                <w:rFonts w:hint="default" w:ascii="Times New Roman" w:hAnsi="Times New Roman" w:eastAsia="宋体" w:cs="Times New Roman"/>
                <w:smallCaps w:val="0"/>
                <w:color w:val="auto"/>
                <w:spacing w:val="0"/>
                <w:highlight w:val="none"/>
                <w:lang w:eastAsia="zh-CN"/>
              </w:rPr>
              <w:t>内</w:t>
            </w:r>
            <w:r>
              <w:rPr>
                <w:rFonts w:hint="eastAsia" w:ascii="Times New Roman" w:hAnsi="Times New Roman" w:eastAsia="宋体"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不新增占地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不会对生态环境产生影响。</w:t>
            </w:r>
          </w:p>
          <w:p w14:paraId="7922DC81">
            <w:pPr>
              <w:pStyle w:val="171"/>
              <w:keepNext w:val="0"/>
              <w:keepLines w:val="0"/>
              <w:pageBreakBefore w:val="0"/>
              <w:widowControl w:val="0"/>
              <w:suppressLineNumbers w:val="0"/>
              <w:kinsoku/>
              <w:wordWrap/>
              <w:overflowPunct/>
              <w:topLinePunct w:val="0"/>
              <w:bidi w:val="0"/>
              <w:adjustRightInd/>
              <w:snapToGrid/>
              <w:spacing w:before="0" w:beforeAutospacing="0" w:after="0" w:afterAutospacing="0" w:line="480" w:lineRule="exact"/>
              <w:ind w:left="0" w:right="0" w:firstLine="436" w:firstLineChars="1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七</w:t>
            </w:r>
            <w:r>
              <w:rPr>
                <w:rFonts w:hint="default" w:ascii="Times New Roman" w:hAnsi="Times New Roman" w:cs="Times New Roman"/>
                <w:b/>
                <w:smallCaps w:val="0"/>
                <w:color w:val="auto"/>
                <w:spacing w:val="0"/>
                <w:highlight w:val="none"/>
              </w:rPr>
              <w:t>、环境风险</w:t>
            </w:r>
          </w:p>
          <w:p w14:paraId="12A93F5F">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（1）环境风险识别</w:t>
            </w:r>
          </w:p>
          <w:p w14:paraId="41B70EA8">
            <w:pPr>
              <w:keepNext w:val="0"/>
              <w:keepLines w:val="0"/>
              <w:suppressLineNumbers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1）</w:t>
            </w:r>
            <w:r>
              <w:rPr>
                <w:rFonts w:hint="default"/>
                <w:sz w:val="24"/>
                <w:szCs w:val="20"/>
                <w:highlight w:val="none"/>
              </w:rPr>
              <w:t>物质危险性识别</w:t>
            </w:r>
          </w:p>
          <w:p w14:paraId="1634DCA5">
            <w:pPr>
              <w:keepNext w:val="0"/>
              <w:keepLines w:val="0"/>
              <w:suppressLineNumbers w:val="0"/>
              <w:autoSpaceDE w:val="0"/>
              <w:autoSpaceDN w:val="0"/>
              <w:adjustRightInd w:val="0"/>
              <w:snapToGrid w:val="0"/>
              <w:spacing w:before="0" w:beforeAutospacing="0" w:after="0" w:afterAutospacing="0" w:line="480" w:lineRule="exact"/>
              <w:ind w:left="0" w:right="0" w:firstLine="480" w:firstLineChars="200"/>
              <w:rPr>
                <w:rFonts w:hint="default"/>
                <w:kern w:val="0"/>
                <w:sz w:val="24"/>
                <w:szCs w:val="20"/>
                <w:highlight w:val="none"/>
              </w:rPr>
            </w:pPr>
            <w:r>
              <w:rPr>
                <w:rFonts w:hint="default"/>
                <w:sz w:val="24"/>
                <w:szCs w:val="20"/>
                <w:highlight w:val="none"/>
              </w:rPr>
              <w:t>物质危险性识别，包括主要原辅材料、燃料、中间产品、副产品、最终产品、污染物、火灾和爆炸伴生/次生物等，</w:t>
            </w:r>
            <w:r>
              <w:rPr>
                <w:rFonts w:hint="default"/>
                <w:kern w:val="0"/>
                <w:sz w:val="24"/>
                <w:szCs w:val="20"/>
                <w:highlight w:val="none"/>
              </w:rPr>
              <w:t>根据《建设项目环境风险评价技术导则》（HJ169-2018）附录B可知，本项目涉及的风险物质为</w:t>
            </w:r>
            <w:r>
              <w:rPr>
                <w:rFonts w:hint="eastAsia"/>
                <w:kern w:val="0"/>
                <w:sz w:val="24"/>
                <w:szCs w:val="20"/>
                <w:highlight w:val="none"/>
              </w:rPr>
              <w:t>润滑油；废润滑油、废油桶不在厂内存储，更换时由具有危废处置资质的单位及时到厂清运</w:t>
            </w:r>
            <w:r>
              <w:rPr>
                <w:rFonts w:hint="default"/>
                <w:kern w:val="0"/>
                <w:sz w:val="24"/>
                <w:szCs w:val="20"/>
                <w:highlight w:val="none"/>
              </w:rPr>
              <w:t>。</w:t>
            </w:r>
          </w:p>
          <w:p w14:paraId="518BEBC2">
            <w:pPr>
              <w:pStyle w:val="5"/>
              <w:keepNext w:val="0"/>
              <w:keepLines w:val="0"/>
              <w:suppressLineNumbers w:val="0"/>
              <w:spacing w:before="0" w:beforeAutospacing="0" w:after="0" w:afterAutospacing="0" w:line="480" w:lineRule="exact"/>
              <w:ind w:left="0" w:right="0" w:firstLine="480"/>
              <w:rPr>
                <w:rFonts w:hint="default"/>
                <w:sz w:val="24"/>
                <w:szCs w:val="20"/>
                <w:highlight w:val="none"/>
              </w:rPr>
            </w:pPr>
            <w:r>
              <w:rPr>
                <w:rFonts w:hint="default"/>
                <w:kern w:val="0"/>
                <w:sz w:val="24"/>
                <w:szCs w:val="20"/>
                <w:highlight w:val="none"/>
              </w:rPr>
              <w:t>2）</w:t>
            </w:r>
            <w:r>
              <w:rPr>
                <w:rFonts w:hint="default"/>
                <w:sz w:val="24"/>
                <w:szCs w:val="20"/>
                <w:highlight w:val="none"/>
              </w:rPr>
              <w:t>生产系统危险性识别</w:t>
            </w:r>
          </w:p>
          <w:p w14:paraId="40EDC770">
            <w:pPr>
              <w:pStyle w:val="5"/>
              <w:keepNext w:val="0"/>
              <w:keepLines w:val="0"/>
              <w:suppressLineNumbers w:val="0"/>
              <w:spacing w:before="0" w:beforeAutospacing="0" w:after="0" w:afterAutospacing="0" w:line="480" w:lineRule="exact"/>
              <w:ind w:left="0" w:right="0" w:firstLine="480"/>
              <w:rPr>
                <w:rFonts w:hint="default"/>
                <w:sz w:val="24"/>
                <w:szCs w:val="20"/>
                <w:highlight w:val="none"/>
              </w:rPr>
            </w:pPr>
            <w:r>
              <w:rPr>
                <w:rFonts w:hint="default"/>
                <w:sz w:val="24"/>
                <w:szCs w:val="20"/>
                <w:highlight w:val="none"/>
              </w:rPr>
              <w:t>生产系统危险性识别，包括主要生产装置、储运设施、公用工程和辅助生产设施，以及环境保护设施等。项目生产系统危险性识别主要为</w:t>
            </w:r>
            <w:r>
              <w:rPr>
                <w:rFonts w:hint="eastAsia"/>
                <w:sz w:val="24"/>
                <w:szCs w:val="20"/>
                <w:highlight w:val="none"/>
              </w:rPr>
              <w:t>生产车间</w:t>
            </w:r>
            <w:r>
              <w:rPr>
                <w:rFonts w:hint="default"/>
                <w:sz w:val="24"/>
                <w:szCs w:val="20"/>
                <w:highlight w:val="none"/>
              </w:rPr>
              <w:t>。</w:t>
            </w:r>
          </w:p>
          <w:p w14:paraId="731EEC2D">
            <w:pPr>
              <w:pStyle w:val="5"/>
              <w:keepNext w:val="0"/>
              <w:keepLines w:val="0"/>
              <w:suppressLineNumbers w:val="0"/>
              <w:spacing w:before="0" w:beforeAutospacing="0" w:after="0" w:afterAutospacing="0" w:line="480" w:lineRule="exact"/>
              <w:ind w:left="0" w:right="0" w:firstLine="480"/>
              <w:rPr>
                <w:rFonts w:hint="default"/>
                <w:sz w:val="24"/>
                <w:szCs w:val="20"/>
                <w:highlight w:val="none"/>
              </w:rPr>
            </w:pPr>
            <w:r>
              <w:rPr>
                <w:rFonts w:hint="default"/>
                <w:kern w:val="0"/>
                <w:sz w:val="24"/>
                <w:szCs w:val="20"/>
                <w:highlight w:val="none"/>
              </w:rPr>
              <w:t>3）</w:t>
            </w:r>
            <w:r>
              <w:rPr>
                <w:rFonts w:hint="default"/>
                <w:sz w:val="24"/>
                <w:szCs w:val="20"/>
                <w:highlight w:val="none"/>
              </w:rPr>
              <w:t>危险物质向环境转移的途径识别</w:t>
            </w:r>
          </w:p>
          <w:p w14:paraId="0F1F6DA0">
            <w:pPr>
              <w:keepNext w:val="0"/>
              <w:keepLines w:val="0"/>
              <w:suppressLineNumbers w:val="0"/>
              <w:spacing w:before="0" w:beforeAutospacing="0" w:after="0" w:afterAutospacing="0" w:line="480" w:lineRule="exact"/>
              <w:ind w:left="0" w:right="0" w:firstLine="480" w:firstLineChars="200"/>
              <w:rPr>
                <w:rFonts w:hint="eastAsia"/>
                <w:color w:val="000000"/>
                <w:sz w:val="24"/>
                <w:szCs w:val="20"/>
                <w:highlight w:val="none"/>
              </w:rPr>
            </w:pPr>
            <w:r>
              <w:rPr>
                <w:rFonts w:hint="default"/>
                <w:sz w:val="24"/>
                <w:szCs w:val="20"/>
                <w:highlight w:val="none"/>
              </w:rPr>
              <w:t>①</w:t>
            </w:r>
            <w:r>
              <w:rPr>
                <w:rFonts w:hint="eastAsia"/>
                <w:kern w:val="0"/>
                <w:sz w:val="24"/>
                <w:szCs w:val="20"/>
                <w:highlight w:val="none"/>
              </w:rPr>
              <w:t>润滑油</w:t>
            </w:r>
            <w:r>
              <w:rPr>
                <w:rFonts w:hint="eastAsia"/>
                <w:sz w:val="24"/>
                <w:szCs w:val="20"/>
                <w:highlight w:val="none"/>
              </w:rPr>
              <w:t>风险</w:t>
            </w:r>
            <w:r>
              <w:rPr>
                <w:rFonts w:hint="default"/>
                <w:sz w:val="24"/>
                <w:szCs w:val="20"/>
                <w:highlight w:val="none"/>
              </w:rPr>
              <w:t>扩散途径主要为火灾产生的次生污染物向大气扩散。本项目</w:t>
            </w:r>
            <w:r>
              <w:rPr>
                <w:rFonts w:hint="default"/>
                <w:color w:val="000000"/>
                <w:sz w:val="24"/>
                <w:szCs w:val="20"/>
                <w:highlight w:val="none"/>
              </w:rPr>
              <w:t>涉及的风险物质</w:t>
            </w:r>
            <w:r>
              <w:rPr>
                <w:rFonts w:hint="eastAsia"/>
                <w:color w:val="000000"/>
                <w:sz w:val="24"/>
                <w:szCs w:val="20"/>
                <w:highlight w:val="none"/>
              </w:rPr>
              <w:t>如下表所示。</w:t>
            </w:r>
          </w:p>
          <w:p w14:paraId="6D8C929C">
            <w:pPr>
              <w:keepNext w:val="0"/>
              <w:keepLines w:val="0"/>
              <w:suppressLineNumbers w:val="0"/>
              <w:spacing w:before="0" w:beforeAutospacing="0" w:after="0" w:afterAutospacing="0" w:line="480" w:lineRule="exact"/>
              <w:ind w:left="0" w:right="0"/>
              <w:jc w:val="center"/>
              <w:rPr>
                <w:rFonts w:hint="eastAsia"/>
                <w:b/>
                <w:spacing w:val="4"/>
                <w:sz w:val="24"/>
                <w:szCs w:val="20"/>
                <w:highlight w:val="none"/>
              </w:rPr>
            </w:pPr>
            <w:r>
              <w:rPr>
                <w:rFonts w:hint="eastAsia"/>
                <w:b/>
                <w:spacing w:val="4"/>
                <w:sz w:val="24"/>
                <w:szCs w:val="20"/>
                <w:highlight w:val="none"/>
              </w:rPr>
              <w:t>表4-1</w:t>
            </w:r>
            <w:r>
              <w:rPr>
                <w:rFonts w:hint="eastAsia"/>
                <w:b/>
                <w:spacing w:val="4"/>
                <w:sz w:val="24"/>
                <w:szCs w:val="20"/>
                <w:highlight w:val="none"/>
                <w:lang w:val="en-US" w:eastAsia="zh-CN"/>
              </w:rPr>
              <w:t xml:space="preserve">5  </w:t>
            </w:r>
            <w:r>
              <w:rPr>
                <w:rFonts w:hint="eastAsia"/>
                <w:b/>
                <w:spacing w:val="4"/>
                <w:sz w:val="24"/>
                <w:szCs w:val="20"/>
                <w:highlight w:val="none"/>
              </w:rPr>
              <w:t xml:space="preserve">  项目危险物质的数量和分布情况</w:t>
            </w:r>
          </w:p>
          <w:tbl>
            <w:tblPr>
              <w:tblStyle w:val="47"/>
              <w:tblW w:w="4981"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19"/>
              <w:gridCol w:w="1776"/>
              <w:gridCol w:w="1781"/>
              <w:gridCol w:w="1946"/>
            </w:tblGrid>
            <w:tr w14:paraId="252849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82" w:type="pct"/>
                  <w:noWrap w:val="0"/>
                  <w:vAlign w:val="center"/>
                </w:tcPr>
                <w:p w14:paraId="0021EAC7">
                  <w:pPr>
                    <w:keepNext w:val="0"/>
                    <w:keepLines w:val="0"/>
                    <w:suppressLineNumbers w:val="0"/>
                    <w:snapToGrid w:val="0"/>
                    <w:spacing w:before="0" w:beforeAutospacing="0" w:after="0" w:afterAutospacing="0"/>
                    <w:ind w:left="0" w:right="0"/>
                    <w:jc w:val="center"/>
                    <w:rPr>
                      <w:rFonts w:hint="default"/>
                      <w:b/>
                      <w:bCs/>
                      <w:szCs w:val="21"/>
                      <w:highlight w:val="none"/>
                    </w:rPr>
                  </w:pPr>
                  <w:r>
                    <w:rPr>
                      <w:rFonts w:hint="default"/>
                      <w:b/>
                      <w:bCs/>
                      <w:szCs w:val="21"/>
                      <w:highlight w:val="none"/>
                    </w:rPr>
                    <w:t>名称</w:t>
                  </w:r>
                </w:p>
              </w:tc>
              <w:tc>
                <w:tcPr>
                  <w:tcW w:w="1135" w:type="pct"/>
                  <w:noWrap w:val="0"/>
                  <w:vAlign w:val="center"/>
                </w:tcPr>
                <w:p w14:paraId="7B49AF00">
                  <w:pPr>
                    <w:keepNext w:val="0"/>
                    <w:keepLines w:val="0"/>
                    <w:suppressLineNumbers w:val="0"/>
                    <w:snapToGrid w:val="0"/>
                    <w:spacing w:before="0" w:beforeAutospacing="0" w:after="0" w:afterAutospacing="0"/>
                    <w:ind w:left="0" w:right="0"/>
                    <w:jc w:val="center"/>
                    <w:rPr>
                      <w:rFonts w:hint="default"/>
                      <w:b/>
                      <w:bCs/>
                      <w:szCs w:val="21"/>
                      <w:highlight w:val="none"/>
                    </w:rPr>
                  </w:pPr>
                  <w:r>
                    <w:rPr>
                      <w:rFonts w:hint="default"/>
                      <w:b/>
                      <w:bCs/>
                      <w:szCs w:val="21"/>
                      <w:highlight w:val="none"/>
                    </w:rPr>
                    <w:t>储存位置</w:t>
                  </w:r>
                </w:p>
              </w:tc>
              <w:tc>
                <w:tcPr>
                  <w:tcW w:w="1138" w:type="pct"/>
                  <w:noWrap w:val="0"/>
                  <w:vAlign w:val="center"/>
                </w:tcPr>
                <w:p w14:paraId="04E14CC9">
                  <w:pPr>
                    <w:keepNext w:val="0"/>
                    <w:keepLines w:val="0"/>
                    <w:suppressLineNumbers w:val="0"/>
                    <w:snapToGrid w:val="0"/>
                    <w:spacing w:before="0" w:beforeAutospacing="0" w:after="0" w:afterAutospacing="0"/>
                    <w:ind w:left="0" w:right="0"/>
                    <w:jc w:val="center"/>
                    <w:rPr>
                      <w:rFonts w:hint="default"/>
                      <w:b/>
                      <w:bCs/>
                      <w:szCs w:val="21"/>
                      <w:highlight w:val="none"/>
                    </w:rPr>
                  </w:pPr>
                  <w:r>
                    <w:rPr>
                      <w:rFonts w:hint="default"/>
                      <w:b/>
                      <w:bCs/>
                      <w:szCs w:val="21"/>
                      <w:highlight w:val="none"/>
                    </w:rPr>
                    <w:t>CAS号</w:t>
                  </w:r>
                </w:p>
              </w:tc>
              <w:tc>
                <w:tcPr>
                  <w:tcW w:w="1243" w:type="pct"/>
                  <w:noWrap w:val="0"/>
                  <w:vAlign w:val="center"/>
                </w:tcPr>
                <w:p w14:paraId="12154213">
                  <w:pPr>
                    <w:keepNext w:val="0"/>
                    <w:keepLines w:val="0"/>
                    <w:suppressLineNumbers w:val="0"/>
                    <w:snapToGrid w:val="0"/>
                    <w:spacing w:before="0" w:beforeAutospacing="0" w:after="0" w:afterAutospacing="0"/>
                    <w:ind w:left="0" w:right="0"/>
                    <w:jc w:val="center"/>
                    <w:rPr>
                      <w:rFonts w:hint="default"/>
                      <w:b/>
                      <w:bCs/>
                      <w:szCs w:val="21"/>
                      <w:highlight w:val="none"/>
                    </w:rPr>
                  </w:pPr>
                  <w:r>
                    <w:rPr>
                      <w:rFonts w:hint="default"/>
                      <w:b/>
                      <w:bCs/>
                      <w:szCs w:val="21"/>
                      <w:highlight w:val="none"/>
                    </w:rPr>
                    <w:t>最大储存量</w:t>
                  </w:r>
                </w:p>
              </w:tc>
            </w:tr>
            <w:tr w14:paraId="2003263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82" w:type="pct"/>
                  <w:noWrap w:val="0"/>
                  <w:vAlign w:val="center"/>
                </w:tcPr>
                <w:p w14:paraId="383FABEE">
                  <w:pPr>
                    <w:keepNext w:val="0"/>
                    <w:keepLines w:val="0"/>
                    <w:suppressLineNumbers w:val="0"/>
                    <w:snapToGrid w:val="0"/>
                    <w:spacing w:before="0" w:beforeAutospacing="0" w:after="0" w:afterAutospacing="0"/>
                    <w:ind w:left="0" w:right="0"/>
                    <w:jc w:val="center"/>
                    <w:rPr>
                      <w:rFonts w:hint="eastAsia"/>
                      <w:szCs w:val="21"/>
                      <w:highlight w:val="none"/>
                    </w:rPr>
                  </w:pPr>
                  <w:r>
                    <w:rPr>
                      <w:rFonts w:hint="eastAsia"/>
                      <w:szCs w:val="21"/>
                      <w:highlight w:val="none"/>
                    </w:rPr>
                    <w:t>润滑油</w:t>
                  </w:r>
                </w:p>
              </w:tc>
              <w:tc>
                <w:tcPr>
                  <w:tcW w:w="1135" w:type="pct"/>
                  <w:noWrap w:val="0"/>
                  <w:vAlign w:val="center"/>
                </w:tcPr>
                <w:p w14:paraId="2CC31668">
                  <w:pPr>
                    <w:keepNext w:val="0"/>
                    <w:keepLines w:val="0"/>
                    <w:suppressLineNumbers w:val="0"/>
                    <w:snapToGrid w:val="0"/>
                    <w:spacing w:before="0" w:beforeAutospacing="0" w:after="0" w:afterAutospacing="0"/>
                    <w:ind w:left="0" w:right="0"/>
                    <w:jc w:val="center"/>
                    <w:rPr>
                      <w:rFonts w:hint="eastAsia"/>
                      <w:szCs w:val="21"/>
                      <w:highlight w:val="none"/>
                    </w:rPr>
                  </w:pPr>
                  <w:r>
                    <w:rPr>
                      <w:rFonts w:hint="eastAsia"/>
                      <w:szCs w:val="21"/>
                      <w:highlight w:val="none"/>
                    </w:rPr>
                    <w:t>设备</w:t>
                  </w:r>
                </w:p>
              </w:tc>
              <w:tc>
                <w:tcPr>
                  <w:tcW w:w="1138" w:type="pct"/>
                  <w:noWrap w:val="0"/>
                  <w:vAlign w:val="center"/>
                </w:tcPr>
                <w:p w14:paraId="7B9B29ED">
                  <w:pPr>
                    <w:keepNext w:val="0"/>
                    <w:keepLines w:val="0"/>
                    <w:suppressLineNumbers w:val="0"/>
                    <w:snapToGrid w:val="0"/>
                    <w:spacing w:before="0" w:beforeAutospacing="0" w:after="0" w:afterAutospacing="0"/>
                    <w:ind w:left="0" w:right="0"/>
                    <w:jc w:val="center"/>
                    <w:rPr>
                      <w:rFonts w:hint="default"/>
                      <w:szCs w:val="21"/>
                      <w:highlight w:val="none"/>
                    </w:rPr>
                  </w:pPr>
                  <w:r>
                    <w:rPr>
                      <w:rFonts w:hint="default"/>
                      <w:szCs w:val="21"/>
                      <w:highlight w:val="none"/>
                    </w:rPr>
                    <w:t>－－</w:t>
                  </w:r>
                </w:p>
              </w:tc>
              <w:tc>
                <w:tcPr>
                  <w:tcW w:w="1243" w:type="pct"/>
                  <w:noWrap w:val="0"/>
                  <w:vAlign w:val="center"/>
                </w:tcPr>
                <w:p w14:paraId="7DAC6250">
                  <w:pPr>
                    <w:keepNext w:val="0"/>
                    <w:keepLines w:val="0"/>
                    <w:suppressLineNumbers w:val="0"/>
                    <w:snapToGrid w:val="0"/>
                    <w:spacing w:before="0" w:beforeAutospacing="0" w:after="0" w:afterAutospacing="0" w:line="300" w:lineRule="exact"/>
                    <w:ind w:left="0" w:right="0"/>
                    <w:jc w:val="center"/>
                    <w:rPr>
                      <w:rFonts w:hint="default"/>
                      <w:szCs w:val="21"/>
                      <w:highlight w:val="none"/>
                    </w:rPr>
                  </w:pPr>
                  <w:r>
                    <w:rPr>
                      <w:rFonts w:hint="eastAsia"/>
                      <w:szCs w:val="21"/>
                      <w:highlight w:val="none"/>
                    </w:rPr>
                    <w:t>0.0</w:t>
                  </w:r>
                  <w:r>
                    <w:rPr>
                      <w:rFonts w:hint="eastAsia"/>
                      <w:szCs w:val="21"/>
                      <w:highlight w:val="none"/>
                      <w:lang w:val="en-US" w:eastAsia="zh-CN"/>
                    </w:rPr>
                    <w:t>5</w:t>
                  </w:r>
                  <w:r>
                    <w:rPr>
                      <w:rFonts w:hint="default"/>
                      <w:szCs w:val="21"/>
                      <w:highlight w:val="none"/>
                    </w:rPr>
                    <w:t>t/a</w:t>
                  </w:r>
                </w:p>
              </w:tc>
            </w:tr>
          </w:tbl>
          <w:p w14:paraId="593FC08F">
            <w:pPr>
              <w:keepNext w:val="0"/>
              <w:keepLines w:val="0"/>
              <w:suppressLineNumbers w:val="0"/>
              <w:autoSpaceDE w:val="0"/>
              <w:autoSpaceDN w:val="0"/>
              <w:adjustRightInd w:val="0"/>
              <w:snapToGrid w:val="0"/>
              <w:spacing w:before="0" w:beforeAutospacing="0" w:after="0" w:afterAutospacing="0" w:line="480" w:lineRule="exact"/>
              <w:ind w:left="0" w:right="0" w:firstLine="480" w:firstLineChars="200"/>
              <w:rPr>
                <w:rFonts w:hint="default"/>
                <w:kern w:val="0"/>
                <w:sz w:val="24"/>
                <w:szCs w:val="20"/>
                <w:highlight w:val="none"/>
              </w:rPr>
            </w:pPr>
            <w:r>
              <w:rPr>
                <w:rFonts w:hint="default"/>
                <w:kern w:val="0"/>
                <w:sz w:val="24"/>
                <w:szCs w:val="20"/>
                <w:highlight w:val="none"/>
              </w:rPr>
              <w:t>②环境风险潜势初判</w:t>
            </w:r>
          </w:p>
          <w:p w14:paraId="49CF2717">
            <w:pPr>
              <w:keepNext w:val="0"/>
              <w:keepLines w:val="0"/>
              <w:suppressLineNumbers w:val="0"/>
              <w:adjustRightInd w:val="0"/>
              <w:snapToGrid w:val="0"/>
              <w:spacing w:before="0" w:beforeAutospacing="0" w:after="0" w:afterAutospacing="0" w:line="480" w:lineRule="exact"/>
              <w:ind w:left="0" w:right="0" w:firstLine="480" w:firstLineChars="200"/>
              <w:jc w:val="left"/>
              <w:rPr>
                <w:rFonts w:hint="default"/>
                <w:sz w:val="24"/>
                <w:szCs w:val="20"/>
                <w:highlight w:val="none"/>
              </w:rPr>
            </w:pPr>
            <w:r>
              <w:rPr>
                <w:rFonts w:hint="default"/>
                <w:sz w:val="24"/>
                <w:szCs w:val="20"/>
                <w:highlight w:val="none"/>
              </w:rPr>
              <w:t>对照《建设项目环境风险评价技术导则》（HJ169-2018）的规定，项目Q值计算如下：本项目涉及物料Q值确定情况见表4-</w:t>
            </w:r>
            <w:r>
              <w:rPr>
                <w:rFonts w:hint="eastAsia"/>
                <w:sz w:val="24"/>
                <w:szCs w:val="20"/>
                <w:highlight w:val="none"/>
              </w:rPr>
              <w:t>1</w:t>
            </w:r>
            <w:r>
              <w:rPr>
                <w:rFonts w:hint="eastAsia"/>
                <w:sz w:val="24"/>
                <w:szCs w:val="20"/>
                <w:highlight w:val="none"/>
                <w:lang w:val="en-US" w:eastAsia="zh-CN"/>
              </w:rPr>
              <w:t>6</w:t>
            </w:r>
            <w:r>
              <w:rPr>
                <w:rFonts w:hint="default"/>
                <w:sz w:val="24"/>
                <w:szCs w:val="20"/>
                <w:highlight w:val="none"/>
              </w:rPr>
              <w:t>。</w:t>
            </w:r>
          </w:p>
          <w:p w14:paraId="1D18D43F">
            <w:pPr>
              <w:keepNext w:val="0"/>
              <w:keepLines w:val="0"/>
              <w:suppressLineNumbers w:val="0"/>
              <w:spacing w:before="0" w:beforeAutospacing="0" w:after="0" w:afterAutospacing="0" w:line="480" w:lineRule="exact"/>
              <w:ind w:left="0" w:right="0"/>
              <w:jc w:val="center"/>
              <w:rPr>
                <w:rFonts w:hint="eastAsia"/>
                <w:b/>
                <w:color w:val="000000"/>
                <w:spacing w:val="4"/>
                <w:sz w:val="24"/>
                <w:szCs w:val="20"/>
                <w:highlight w:val="none"/>
              </w:rPr>
            </w:pPr>
            <w:r>
              <w:rPr>
                <w:rFonts w:hint="eastAsia"/>
                <w:b/>
                <w:color w:val="000000"/>
                <w:spacing w:val="4"/>
                <w:sz w:val="24"/>
                <w:szCs w:val="20"/>
                <w:highlight w:val="none"/>
              </w:rPr>
              <w:t>表4-</w:t>
            </w:r>
            <w:r>
              <w:rPr>
                <w:rFonts w:hint="eastAsia"/>
                <w:b/>
                <w:color w:val="000000"/>
                <w:spacing w:val="4"/>
                <w:sz w:val="24"/>
                <w:szCs w:val="20"/>
                <w:highlight w:val="none"/>
                <w:lang w:val="en-US" w:eastAsia="zh-CN"/>
              </w:rPr>
              <w:t>16</w:t>
            </w:r>
            <w:r>
              <w:rPr>
                <w:rFonts w:hint="eastAsia"/>
                <w:b/>
                <w:color w:val="000000"/>
                <w:spacing w:val="4"/>
                <w:sz w:val="24"/>
                <w:szCs w:val="20"/>
                <w:highlight w:val="none"/>
              </w:rPr>
              <w:t xml:space="preserve">  </w:t>
            </w:r>
            <w:r>
              <w:rPr>
                <w:rFonts w:hint="eastAsia"/>
                <w:b/>
                <w:color w:val="000000"/>
                <w:spacing w:val="4"/>
                <w:sz w:val="24"/>
                <w:szCs w:val="20"/>
                <w:highlight w:val="none"/>
                <w:lang w:val="en-US" w:eastAsia="zh-CN"/>
              </w:rPr>
              <w:t xml:space="preserve">  </w:t>
            </w:r>
            <w:r>
              <w:rPr>
                <w:rFonts w:hint="eastAsia"/>
                <w:b/>
                <w:color w:val="000000"/>
                <w:spacing w:val="4"/>
                <w:sz w:val="24"/>
                <w:szCs w:val="20"/>
                <w:highlight w:val="none"/>
              </w:rPr>
              <w:t>项目风险潜势确定表</w:t>
            </w:r>
          </w:p>
          <w:tbl>
            <w:tblPr>
              <w:tblStyle w:val="47"/>
              <w:tblW w:w="4994"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
              <w:gridCol w:w="776"/>
              <w:gridCol w:w="1747"/>
              <w:gridCol w:w="1684"/>
              <w:gridCol w:w="1601"/>
              <w:gridCol w:w="2026"/>
            </w:tblGrid>
            <w:tr w14:paraId="69F6F1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gridBefore w:val="1"/>
                <w:wBefore w:w="6" w:type="pct"/>
                <w:trHeight w:val="351" w:hRule="atLeast"/>
                <w:jc w:val="center"/>
              </w:trPr>
              <w:tc>
                <w:tcPr>
                  <w:tcW w:w="494" w:type="pct"/>
                  <w:noWrap w:val="0"/>
                  <w:vAlign w:val="center"/>
                </w:tcPr>
                <w:p w14:paraId="5A6A2C02">
                  <w:pPr>
                    <w:keepNext w:val="0"/>
                    <w:keepLines w:val="0"/>
                    <w:suppressLineNumbers w:val="0"/>
                    <w:snapToGrid w:val="0"/>
                    <w:spacing w:before="0" w:beforeAutospacing="0" w:after="0" w:afterAutospacing="0"/>
                    <w:ind w:left="0" w:right="0"/>
                    <w:jc w:val="center"/>
                    <w:rPr>
                      <w:rFonts w:hint="default"/>
                      <w:b/>
                      <w:bCs/>
                      <w:color w:val="000000"/>
                      <w:kern w:val="0"/>
                      <w:szCs w:val="21"/>
                      <w:highlight w:val="none"/>
                    </w:rPr>
                  </w:pPr>
                  <w:r>
                    <w:rPr>
                      <w:rFonts w:hint="default"/>
                      <w:b/>
                      <w:bCs/>
                      <w:color w:val="000000"/>
                      <w:kern w:val="0"/>
                      <w:szCs w:val="21"/>
                      <w:highlight w:val="none"/>
                    </w:rPr>
                    <w:t>序号</w:t>
                  </w:r>
                </w:p>
              </w:tc>
              <w:tc>
                <w:tcPr>
                  <w:tcW w:w="1113" w:type="pct"/>
                  <w:noWrap w:val="0"/>
                  <w:vAlign w:val="center"/>
                </w:tcPr>
                <w:p w14:paraId="51423D46">
                  <w:pPr>
                    <w:keepNext w:val="0"/>
                    <w:keepLines w:val="0"/>
                    <w:suppressLineNumbers w:val="0"/>
                    <w:snapToGrid w:val="0"/>
                    <w:spacing w:before="0" w:beforeAutospacing="0" w:after="0" w:afterAutospacing="0"/>
                    <w:ind w:left="0" w:right="0"/>
                    <w:jc w:val="center"/>
                    <w:rPr>
                      <w:rFonts w:hint="default"/>
                      <w:b/>
                      <w:bCs/>
                      <w:color w:val="000000"/>
                      <w:kern w:val="0"/>
                      <w:szCs w:val="21"/>
                      <w:highlight w:val="none"/>
                    </w:rPr>
                  </w:pPr>
                  <w:r>
                    <w:rPr>
                      <w:rFonts w:hint="default"/>
                      <w:b/>
                      <w:bCs/>
                      <w:color w:val="000000"/>
                      <w:kern w:val="0"/>
                      <w:szCs w:val="21"/>
                      <w:highlight w:val="none"/>
                    </w:rPr>
                    <w:t>风险物质名称</w:t>
                  </w:r>
                </w:p>
              </w:tc>
              <w:tc>
                <w:tcPr>
                  <w:tcW w:w="1073" w:type="pct"/>
                  <w:noWrap w:val="0"/>
                  <w:vAlign w:val="center"/>
                </w:tcPr>
                <w:p w14:paraId="1EAB632E">
                  <w:pPr>
                    <w:keepNext w:val="0"/>
                    <w:keepLines w:val="0"/>
                    <w:suppressLineNumbers w:val="0"/>
                    <w:snapToGrid w:val="0"/>
                    <w:spacing w:before="0" w:beforeAutospacing="0" w:after="0" w:afterAutospacing="0"/>
                    <w:ind w:left="0" w:right="0"/>
                    <w:jc w:val="center"/>
                    <w:rPr>
                      <w:rFonts w:hint="default"/>
                      <w:b/>
                      <w:bCs/>
                      <w:color w:val="000000"/>
                      <w:kern w:val="0"/>
                      <w:szCs w:val="21"/>
                      <w:highlight w:val="none"/>
                    </w:rPr>
                  </w:pPr>
                  <w:r>
                    <w:rPr>
                      <w:rFonts w:hint="default"/>
                      <w:b/>
                      <w:bCs/>
                      <w:color w:val="000000"/>
                      <w:kern w:val="0"/>
                      <w:szCs w:val="21"/>
                      <w:highlight w:val="none"/>
                    </w:rPr>
                    <w:t>最大存在量/t</w:t>
                  </w:r>
                </w:p>
              </w:tc>
              <w:tc>
                <w:tcPr>
                  <w:tcW w:w="1020" w:type="pct"/>
                  <w:noWrap w:val="0"/>
                  <w:vAlign w:val="center"/>
                </w:tcPr>
                <w:p w14:paraId="602113E1">
                  <w:pPr>
                    <w:keepNext w:val="0"/>
                    <w:keepLines w:val="0"/>
                    <w:suppressLineNumbers w:val="0"/>
                    <w:snapToGrid w:val="0"/>
                    <w:spacing w:before="0" w:beforeAutospacing="0" w:after="0" w:afterAutospacing="0"/>
                    <w:ind w:left="0" w:right="0"/>
                    <w:jc w:val="center"/>
                    <w:rPr>
                      <w:rFonts w:hint="default"/>
                      <w:b/>
                      <w:bCs/>
                      <w:color w:val="000000"/>
                      <w:kern w:val="0"/>
                      <w:szCs w:val="21"/>
                      <w:highlight w:val="none"/>
                    </w:rPr>
                  </w:pPr>
                  <w:r>
                    <w:rPr>
                      <w:rFonts w:hint="default"/>
                      <w:b/>
                      <w:bCs/>
                      <w:color w:val="000000"/>
                      <w:kern w:val="0"/>
                      <w:szCs w:val="21"/>
                      <w:highlight w:val="none"/>
                    </w:rPr>
                    <w:t>临界量Q</w:t>
                  </w:r>
                  <w:r>
                    <w:rPr>
                      <w:rFonts w:hint="default"/>
                      <w:b/>
                      <w:bCs/>
                      <w:color w:val="000000"/>
                      <w:kern w:val="0"/>
                      <w:szCs w:val="21"/>
                      <w:highlight w:val="none"/>
                      <w:vertAlign w:val="subscript"/>
                    </w:rPr>
                    <w:t>n</w:t>
                  </w:r>
                  <w:r>
                    <w:rPr>
                      <w:rFonts w:hint="default"/>
                      <w:b/>
                      <w:bCs/>
                      <w:color w:val="000000"/>
                      <w:kern w:val="0"/>
                      <w:szCs w:val="21"/>
                      <w:highlight w:val="none"/>
                    </w:rPr>
                    <w:t>/t</w:t>
                  </w:r>
                </w:p>
              </w:tc>
              <w:tc>
                <w:tcPr>
                  <w:tcW w:w="1291" w:type="pct"/>
                  <w:noWrap w:val="0"/>
                  <w:vAlign w:val="center"/>
                </w:tcPr>
                <w:p w14:paraId="6F16EE54">
                  <w:pPr>
                    <w:keepNext w:val="0"/>
                    <w:keepLines w:val="0"/>
                    <w:suppressLineNumbers w:val="0"/>
                    <w:snapToGrid w:val="0"/>
                    <w:spacing w:before="0" w:beforeAutospacing="0" w:after="0" w:afterAutospacing="0"/>
                    <w:ind w:left="0" w:right="0"/>
                    <w:jc w:val="center"/>
                    <w:rPr>
                      <w:rFonts w:hint="default"/>
                      <w:b/>
                      <w:bCs/>
                      <w:color w:val="000000"/>
                      <w:kern w:val="0"/>
                      <w:szCs w:val="21"/>
                      <w:highlight w:val="none"/>
                    </w:rPr>
                  </w:pPr>
                  <w:r>
                    <w:rPr>
                      <w:rFonts w:hint="default"/>
                      <w:b/>
                      <w:bCs/>
                      <w:color w:val="000000"/>
                      <w:kern w:val="0"/>
                      <w:szCs w:val="21"/>
                      <w:highlight w:val="none"/>
                    </w:rPr>
                    <w:t>风险物质Q值</w:t>
                  </w:r>
                </w:p>
              </w:tc>
            </w:tr>
            <w:tr w14:paraId="5BE965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62" w:hRule="atLeast"/>
                <w:jc w:val="center"/>
              </w:trPr>
              <w:tc>
                <w:tcPr>
                  <w:tcW w:w="501" w:type="pct"/>
                  <w:gridSpan w:val="2"/>
                  <w:noWrap w:val="0"/>
                  <w:vAlign w:val="center"/>
                </w:tcPr>
                <w:p w14:paraId="797497CE">
                  <w:pPr>
                    <w:keepNext w:val="0"/>
                    <w:keepLines w:val="0"/>
                    <w:suppressLineNumbers w:val="0"/>
                    <w:snapToGrid w:val="0"/>
                    <w:spacing w:before="0" w:beforeAutospacing="0" w:after="0" w:afterAutospacing="0"/>
                    <w:ind w:left="0" w:right="0"/>
                    <w:jc w:val="center"/>
                    <w:rPr>
                      <w:rFonts w:hint="default"/>
                      <w:color w:val="000000"/>
                      <w:kern w:val="0"/>
                      <w:szCs w:val="21"/>
                      <w:highlight w:val="none"/>
                    </w:rPr>
                  </w:pPr>
                  <w:r>
                    <w:rPr>
                      <w:rFonts w:hint="default"/>
                      <w:color w:val="000000"/>
                      <w:kern w:val="0"/>
                      <w:szCs w:val="21"/>
                      <w:highlight w:val="none"/>
                    </w:rPr>
                    <w:t>1</w:t>
                  </w:r>
                </w:p>
              </w:tc>
              <w:tc>
                <w:tcPr>
                  <w:tcW w:w="1113" w:type="pct"/>
                  <w:noWrap w:val="0"/>
                  <w:vAlign w:val="center"/>
                </w:tcPr>
                <w:p w14:paraId="04D93657">
                  <w:pPr>
                    <w:keepNext w:val="0"/>
                    <w:keepLines w:val="0"/>
                    <w:suppressLineNumbers w:val="0"/>
                    <w:snapToGrid w:val="0"/>
                    <w:spacing w:before="0" w:beforeAutospacing="0" w:after="0" w:afterAutospacing="0"/>
                    <w:ind w:left="0" w:right="0"/>
                    <w:jc w:val="center"/>
                    <w:rPr>
                      <w:rFonts w:hint="default"/>
                      <w:color w:val="000000"/>
                      <w:szCs w:val="21"/>
                      <w:highlight w:val="none"/>
                    </w:rPr>
                  </w:pPr>
                  <w:r>
                    <w:rPr>
                      <w:rFonts w:hint="default"/>
                      <w:color w:val="000000"/>
                      <w:szCs w:val="21"/>
                      <w:highlight w:val="none"/>
                    </w:rPr>
                    <w:t>润滑油</w:t>
                  </w:r>
                </w:p>
              </w:tc>
              <w:tc>
                <w:tcPr>
                  <w:tcW w:w="1073" w:type="pct"/>
                  <w:noWrap w:val="0"/>
                  <w:vAlign w:val="center"/>
                </w:tcPr>
                <w:p w14:paraId="4E6EB5BF">
                  <w:pPr>
                    <w:keepNext w:val="0"/>
                    <w:keepLines w:val="0"/>
                    <w:suppressLineNumbers w:val="0"/>
                    <w:snapToGrid w:val="0"/>
                    <w:spacing w:before="0" w:beforeAutospacing="0" w:after="0" w:afterAutospacing="0" w:line="300" w:lineRule="exact"/>
                    <w:ind w:left="0" w:right="0"/>
                    <w:jc w:val="center"/>
                    <w:rPr>
                      <w:rFonts w:hint="default"/>
                      <w:color w:val="000000"/>
                      <w:szCs w:val="21"/>
                      <w:highlight w:val="none"/>
                    </w:rPr>
                  </w:pPr>
                  <w:r>
                    <w:rPr>
                      <w:rFonts w:hint="default"/>
                      <w:color w:val="000000"/>
                      <w:szCs w:val="21"/>
                      <w:highlight w:val="none"/>
                    </w:rPr>
                    <w:t>0.</w:t>
                  </w:r>
                  <w:r>
                    <w:rPr>
                      <w:rFonts w:hint="eastAsia"/>
                      <w:color w:val="000000"/>
                      <w:szCs w:val="21"/>
                      <w:highlight w:val="none"/>
                    </w:rPr>
                    <w:t>0</w:t>
                  </w:r>
                  <w:r>
                    <w:rPr>
                      <w:rFonts w:hint="eastAsia"/>
                      <w:color w:val="000000"/>
                      <w:szCs w:val="21"/>
                      <w:highlight w:val="none"/>
                      <w:lang w:val="en-US" w:eastAsia="zh-CN"/>
                    </w:rPr>
                    <w:t>5</w:t>
                  </w:r>
                  <w:r>
                    <w:rPr>
                      <w:rFonts w:hint="default"/>
                      <w:color w:val="000000"/>
                      <w:szCs w:val="21"/>
                      <w:highlight w:val="none"/>
                    </w:rPr>
                    <w:t>t/a</w:t>
                  </w:r>
                </w:p>
              </w:tc>
              <w:tc>
                <w:tcPr>
                  <w:tcW w:w="1020" w:type="pct"/>
                  <w:noWrap w:val="0"/>
                  <w:vAlign w:val="center"/>
                </w:tcPr>
                <w:p w14:paraId="0557AD3F">
                  <w:pPr>
                    <w:keepNext w:val="0"/>
                    <w:keepLines w:val="0"/>
                    <w:suppressLineNumbers w:val="0"/>
                    <w:snapToGrid w:val="0"/>
                    <w:spacing w:before="0" w:beforeAutospacing="0" w:after="0" w:afterAutospacing="0"/>
                    <w:ind w:left="0" w:right="0"/>
                    <w:jc w:val="center"/>
                    <w:rPr>
                      <w:rFonts w:hint="default"/>
                      <w:color w:val="000000"/>
                      <w:kern w:val="0"/>
                      <w:szCs w:val="21"/>
                      <w:highlight w:val="none"/>
                    </w:rPr>
                  </w:pPr>
                  <w:r>
                    <w:rPr>
                      <w:rFonts w:hint="eastAsia"/>
                      <w:color w:val="000000"/>
                      <w:kern w:val="0"/>
                      <w:szCs w:val="21"/>
                      <w:highlight w:val="none"/>
                    </w:rPr>
                    <w:t>2500</w:t>
                  </w:r>
                </w:p>
              </w:tc>
              <w:tc>
                <w:tcPr>
                  <w:tcW w:w="1291" w:type="pct"/>
                  <w:noWrap w:val="0"/>
                  <w:vAlign w:val="center"/>
                </w:tcPr>
                <w:p w14:paraId="6DFD71FB">
                  <w:pPr>
                    <w:keepNext w:val="0"/>
                    <w:keepLines w:val="0"/>
                    <w:widowControl/>
                    <w:suppressLineNumbers w:val="0"/>
                    <w:snapToGrid w:val="0"/>
                    <w:spacing w:before="0" w:beforeAutospacing="0" w:after="0" w:afterAutospacing="0"/>
                    <w:ind w:left="0" w:right="0"/>
                    <w:jc w:val="center"/>
                    <w:rPr>
                      <w:rFonts w:hint="eastAsia" w:eastAsia="宋体"/>
                      <w:color w:val="000000"/>
                      <w:kern w:val="0"/>
                      <w:szCs w:val="21"/>
                      <w:highlight w:val="none"/>
                      <w:lang w:eastAsia="zh-CN" w:bidi="ar"/>
                    </w:rPr>
                  </w:pPr>
                  <w:r>
                    <w:rPr>
                      <w:rFonts w:hint="eastAsia"/>
                      <w:color w:val="000000"/>
                      <w:kern w:val="0"/>
                      <w:szCs w:val="21"/>
                      <w:highlight w:val="none"/>
                      <w:lang w:bidi="ar"/>
                    </w:rPr>
                    <w:t>0.0000</w:t>
                  </w:r>
                  <w:r>
                    <w:rPr>
                      <w:rFonts w:hint="eastAsia"/>
                      <w:color w:val="000000"/>
                      <w:kern w:val="0"/>
                      <w:szCs w:val="21"/>
                      <w:highlight w:val="none"/>
                      <w:lang w:val="en-US" w:eastAsia="zh-CN" w:bidi="ar"/>
                    </w:rPr>
                    <w:t>2</w:t>
                  </w:r>
                </w:p>
              </w:tc>
            </w:tr>
            <w:tr w14:paraId="3285C2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92" w:hRule="atLeast"/>
                <w:jc w:val="center"/>
              </w:trPr>
              <w:tc>
                <w:tcPr>
                  <w:tcW w:w="3708" w:type="pct"/>
                  <w:gridSpan w:val="5"/>
                  <w:noWrap w:val="0"/>
                  <w:vAlign w:val="center"/>
                </w:tcPr>
                <w:p w14:paraId="02AFA841">
                  <w:pPr>
                    <w:keepNext w:val="0"/>
                    <w:keepLines w:val="0"/>
                    <w:suppressLineNumbers w:val="0"/>
                    <w:snapToGrid w:val="0"/>
                    <w:spacing w:before="0" w:beforeAutospacing="0" w:after="0" w:afterAutospacing="0"/>
                    <w:ind w:left="0" w:right="0"/>
                    <w:jc w:val="center"/>
                    <w:rPr>
                      <w:rFonts w:hint="default"/>
                      <w:color w:val="000000"/>
                      <w:kern w:val="0"/>
                      <w:szCs w:val="21"/>
                      <w:highlight w:val="none"/>
                    </w:rPr>
                  </w:pPr>
                  <w:r>
                    <w:rPr>
                      <w:rFonts w:hint="default"/>
                      <w:color w:val="000000"/>
                      <w:kern w:val="0"/>
                      <w:szCs w:val="21"/>
                      <w:highlight w:val="none"/>
                    </w:rPr>
                    <w:t>项目Q值Σ</w:t>
                  </w:r>
                </w:p>
              </w:tc>
              <w:tc>
                <w:tcPr>
                  <w:tcW w:w="1291" w:type="pct"/>
                  <w:noWrap w:val="0"/>
                  <w:vAlign w:val="center"/>
                </w:tcPr>
                <w:p w14:paraId="021F2FBF">
                  <w:pPr>
                    <w:keepNext w:val="0"/>
                    <w:keepLines w:val="0"/>
                    <w:widowControl/>
                    <w:suppressLineNumbers w:val="0"/>
                    <w:snapToGrid w:val="0"/>
                    <w:spacing w:before="0" w:beforeAutospacing="0" w:after="0" w:afterAutospacing="0"/>
                    <w:ind w:left="0" w:right="0"/>
                    <w:jc w:val="center"/>
                    <w:rPr>
                      <w:rFonts w:hint="eastAsia" w:eastAsia="宋体"/>
                      <w:color w:val="000000"/>
                      <w:kern w:val="0"/>
                      <w:szCs w:val="21"/>
                      <w:highlight w:val="none"/>
                      <w:lang w:eastAsia="zh-CN"/>
                    </w:rPr>
                  </w:pPr>
                  <w:r>
                    <w:rPr>
                      <w:rFonts w:hint="eastAsia"/>
                      <w:color w:val="000000"/>
                      <w:kern w:val="0"/>
                      <w:szCs w:val="21"/>
                      <w:highlight w:val="none"/>
                    </w:rPr>
                    <w:t>0.0000</w:t>
                  </w:r>
                  <w:r>
                    <w:rPr>
                      <w:rFonts w:hint="eastAsia"/>
                      <w:color w:val="000000"/>
                      <w:kern w:val="0"/>
                      <w:szCs w:val="21"/>
                      <w:highlight w:val="none"/>
                      <w:lang w:val="en-US" w:eastAsia="zh-CN"/>
                    </w:rPr>
                    <w:t>2</w:t>
                  </w:r>
                </w:p>
              </w:tc>
            </w:tr>
          </w:tbl>
          <w:p w14:paraId="6CB48CCD">
            <w:pPr>
              <w:keepNext w:val="0"/>
              <w:keepLines w:val="0"/>
              <w:suppressLineNumbers w:val="0"/>
              <w:autoSpaceDE w:val="0"/>
              <w:autoSpaceDN w:val="0"/>
              <w:adjustRightInd w:val="0"/>
              <w:snapToGrid w:val="0"/>
              <w:spacing w:before="0" w:beforeAutospacing="0" w:after="0" w:afterAutospacing="0" w:line="480" w:lineRule="exact"/>
              <w:ind w:left="0" w:right="0" w:firstLine="480" w:firstLineChars="200"/>
              <w:rPr>
                <w:rFonts w:hint="default"/>
                <w:color w:val="000000"/>
                <w:kern w:val="0"/>
                <w:sz w:val="24"/>
                <w:szCs w:val="20"/>
                <w:highlight w:val="none"/>
              </w:rPr>
            </w:pPr>
            <w:r>
              <w:rPr>
                <w:rFonts w:hint="default"/>
                <w:color w:val="000000"/>
                <w:kern w:val="0"/>
                <w:sz w:val="24"/>
                <w:szCs w:val="20"/>
                <w:highlight w:val="none"/>
              </w:rPr>
              <w:t>项目Q=0.000</w:t>
            </w:r>
            <w:r>
              <w:rPr>
                <w:rFonts w:hint="eastAsia"/>
                <w:color w:val="000000"/>
                <w:kern w:val="0"/>
                <w:sz w:val="24"/>
                <w:szCs w:val="20"/>
                <w:highlight w:val="none"/>
              </w:rPr>
              <w:t>0</w:t>
            </w:r>
            <w:r>
              <w:rPr>
                <w:rFonts w:hint="eastAsia"/>
                <w:color w:val="000000"/>
                <w:kern w:val="0"/>
                <w:sz w:val="24"/>
                <w:szCs w:val="20"/>
                <w:highlight w:val="none"/>
                <w:lang w:val="en-US" w:eastAsia="zh-CN"/>
              </w:rPr>
              <w:t>2</w:t>
            </w:r>
            <w:r>
              <w:rPr>
                <w:rFonts w:hint="default"/>
                <w:color w:val="000000"/>
                <w:kern w:val="0"/>
                <w:sz w:val="24"/>
                <w:szCs w:val="20"/>
                <w:highlight w:val="none"/>
              </w:rPr>
              <w:t>＜1。</w:t>
            </w:r>
          </w:p>
          <w:p w14:paraId="0E11629C">
            <w:pPr>
              <w:keepNext w:val="0"/>
              <w:keepLines w:val="0"/>
              <w:suppressLineNumbers w:val="0"/>
              <w:spacing w:before="0" w:beforeAutospacing="0" w:after="0" w:afterAutospacing="0" w:line="480" w:lineRule="exact"/>
              <w:ind w:left="0" w:right="0" w:firstLine="480" w:firstLineChars="200"/>
              <w:jc w:val="left"/>
              <w:rPr>
                <w:rFonts w:hint="default"/>
                <w:sz w:val="24"/>
                <w:szCs w:val="22"/>
                <w:highlight w:val="none"/>
              </w:rPr>
            </w:pPr>
            <w:r>
              <w:rPr>
                <w:rFonts w:hint="default"/>
                <w:kern w:val="0"/>
                <w:sz w:val="24"/>
                <w:szCs w:val="20"/>
                <w:highlight w:val="none"/>
              </w:rPr>
              <w:t>（2）</w:t>
            </w:r>
            <w:r>
              <w:rPr>
                <w:rFonts w:hint="default"/>
                <w:sz w:val="24"/>
                <w:szCs w:val="22"/>
                <w:highlight w:val="none"/>
              </w:rPr>
              <w:t>风险源分析</w:t>
            </w:r>
          </w:p>
          <w:p w14:paraId="4A3D32E3">
            <w:pPr>
              <w:keepNext w:val="0"/>
              <w:keepLines w:val="0"/>
              <w:suppressLineNumbers w:val="0"/>
              <w:spacing w:before="0" w:beforeAutospacing="0" w:after="0" w:afterAutospacing="0" w:line="480" w:lineRule="exact"/>
              <w:ind w:left="0" w:right="0" w:firstLine="480" w:firstLineChars="200"/>
              <w:jc w:val="both"/>
              <w:rPr>
                <w:rFonts w:hint="default"/>
                <w:sz w:val="24"/>
                <w:szCs w:val="22"/>
                <w:highlight w:val="none"/>
              </w:rPr>
            </w:pPr>
            <w:r>
              <w:rPr>
                <w:rFonts w:hint="default"/>
                <w:sz w:val="24"/>
                <w:szCs w:val="22"/>
                <w:highlight w:val="none"/>
              </w:rPr>
              <w:t>项目</w:t>
            </w:r>
            <w:r>
              <w:rPr>
                <w:rFonts w:hint="eastAsia"/>
                <w:sz w:val="24"/>
                <w:szCs w:val="22"/>
                <w:highlight w:val="none"/>
              </w:rPr>
              <w:t>风险物质</w:t>
            </w:r>
            <w:r>
              <w:rPr>
                <w:rFonts w:hint="default"/>
                <w:sz w:val="24"/>
                <w:szCs w:val="22"/>
                <w:highlight w:val="none"/>
              </w:rPr>
              <w:t>发生泄露后，会污染土壤和地下水</w:t>
            </w:r>
            <w:r>
              <w:rPr>
                <w:rFonts w:hint="eastAsia"/>
                <w:sz w:val="24"/>
                <w:szCs w:val="22"/>
                <w:highlight w:val="none"/>
              </w:rPr>
              <w:t>；物质</w:t>
            </w:r>
            <w:r>
              <w:rPr>
                <w:rFonts w:hint="default"/>
                <w:sz w:val="24"/>
                <w:szCs w:val="22"/>
                <w:highlight w:val="none"/>
              </w:rPr>
              <w:t>为易燃</w:t>
            </w:r>
            <w:r>
              <w:rPr>
                <w:rFonts w:hint="eastAsia"/>
                <w:sz w:val="24"/>
                <w:szCs w:val="22"/>
                <w:highlight w:val="none"/>
              </w:rPr>
              <w:t>液体或</w:t>
            </w:r>
            <w:r>
              <w:rPr>
                <w:rFonts w:hint="default"/>
                <w:sz w:val="24"/>
                <w:szCs w:val="22"/>
                <w:highlight w:val="none"/>
              </w:rPr>
              <w:t>固体，泄漏后遇明火和高热会发生火灾爆炸事故，在不完全燃烧的情况下会引发次生污染物 CO，CO在空气中的浓度高低会直接影响人体的健康</w:t>
            </w:r>
            <w:r>
              <w:rPr>
                <w:rFonts w:hint="eastAsia"/>
                <w:sz w:val="24"/>
                <w:szCs w:val="22"/>
                <w:highlight w:val="none"/>
              </w:rPr>
              <w:t>，</w:t>
            </w:r>
            <w:r>
              <w:rPr>
                <w:rFonts w:hint="default"/>
                <w:sz w:val="24"/>
                <w:szCs w:val="22"/>
                <w:highlight w:val="none"/>
              </w:rPr>
              <w:t>当事故发生后，根据风向进行疏散并启动应急预案，对人体健康影响不大，不会发生人员中毒死亡等严重后果。</w:t>
            </w:r>
          </w:p>
          <w:p w14:paraId="5E2F2821">
            <w:pPr>
              <w:keepNext w:val="0"/>
              <w:keepLines w:val="0"/>
              <w:suppressLineNumbers w:val="0"/>
              <w:spacing w:before="0" w:beforeAutospacing="0" w:after="0" w:afterAutospacing="0" w:line="480" w:lineRule="exact"/>
              <w:ind w:left="0" w:right="0" w:firstLine="480" w:firstLineChars="200"/>
              <w:jc w:val="left"/>
              <w:rPr>
                <w:rFonts w:hint="default"/>
                <w:sz w:val="24"/>
                <w:szCs w:val="22"/>
                <w:highlight w:val="none"/>
              </w:rPr>
            </w:pPr>
            <w:r>
              <w:rPr>
                <w:rFonts w:hint="default"/>
                <w:sz w:val="24"/>
                <w:szCs w:val="22"/>
                <w:highlight w:val="none"/>
              </w:rPr>
              <w:t>（3）可能影响环境的途径</w:t>
            </w:r>
          </w:p>
          <w:p w14:paraId="04F31532">
            <w:pPr>
              <w:keepNext w:val="0"/>
              <w:keepLines w:val="0"/>
              <w:suppressLineNumbers w:val="0"/>
              <w:spacing w:before="0" w:beforeAutospacing="0" w:after="0" w:afterAutospacing="0" w:line="480" w:lineRule="exact"/>
              <w:ind w:left="0" w:right="0" w:firstLine="480" w:firstLineChars="200"/>
              <w:jc w:val="both"/>
              <w:rPr>
                <w:rFonts w:hint="default"/>
                <w:sz w:val="24"/>
                <w:szCs w:val="22"/>
                <w:highlight w:val="none"/>
              </w:rPr>
            </w:pPr>
            <w:r>
              <w:rPr>
                <w:rFonts w:hint="default"/>
                <w:sz w:val="24"/>
                <w:szCs w:val="22"/>
                <w:highlight w:val="none"/>
              </w:rPr>
              <w:t>本项目</w:t>
            </w:r>
            <w:r>
              <w:rPr>
                <w:rFonts w:hint="eastAsia"/>
                <w:sz w:val="24"/>
                <w:szCs w:val="22"/>
                <w:highlight w:val="none"/>
              </w:rPr>
              <w:t>润滑油</w:t>
            </w:r>
            <w:r>
              <w:rPr>
                <w:rFonts w:hint="default"/>
                <w:sz w:val="24"/>
                <w:szCs w:val="22"/>
                <w:highlight w:val="none"/>
              </w:rPr>
              <w:t>发生破损泄漏，泄漏物污染土壤和地下水，泄漏后遇明火、高热等情况发生火灾、爆炸等事故，会引发伴生/次生污染，主要为不完全燃烧产生的CO在大气中扩散和消防废水对周围水环境产生影响。</w:t>
            </w:r>
          </w:p>
          <w:p w14:paraId="23799D4A">
            <w:pPr>
              <w:pStyle w:val="240"/>
              <w:keepNext w:val="0"/>
              <w:keepLines w:val="0"/>
              <w:widowControl/>
              <w:suppressLineNumbers w:val="0"/>
              <w:spacing w:before="0" w:beforeAutospacing="0" w:after="0" w:afterAutospacing="0" w:line="480" w:lineRule="exact"/>
              <w:ind w:left="0" w:right="0"/>
              <w:rPr>
                <w:rFonts w:hint="default"/>
                <w:bCs w:val="0"/>
                <w:color w:val="auto"/>
                <w:szCs w:val="24"/>
                <w:highlight w:val="none"/>
              </w:rPr>
            </w:pPr>
            <w:r>
              <w:rPr>
                <w:rFonts w:hint="default"/>
                <w:bCs w:val="0"/>
                <w:color w:val="auto"/>
                <w:kern w:val="0"/>
                <w:szCs w:val="24"/>
                <w:highlight w:val="none"/>
              </w:rPr>
              <w:t>（4）</w:t>
            </w:r>
            <w:r>
              <w:rPr>
                <w:rFonts w:hint="default"/>
                <w:bCs w:val="0"/>
                <w:color w:val="auto"/>
                <w:szCs w:val="24"/>
                <w:highlight w:val="none"/>
              </w:rPr>
              <w:t>风险防范措施</w:t>
            </w:r>
          </w:p>
          <w:p w14:paraId="1D7F6370">
            <w:pPr>
              <w:pStyle w:val="240"/>
              <w:keepNext w:val="0"/>
              <w:keepLines w:val="0"/>
              <w:widowControl/>
              <w:suppressLineNumbers w:val="0"/>
              <w:spacing w:before="0" w:beforeAutospacing="0" w:after="0" w:afterAutospacing="0" w:line="480" w:lineRule="exact"/>
              <w:ind w:left="0" w:right="0"/>
              <w:rPr>
                <w:rFonts w:hint="default"/>
                <w:bCs w:val="0"/>
                <w:color w:val="auto"/>
                <w:szCs w:val="24"/>
                <w:highlight w:val="none"/>
              </w:rPr>
            </w:pPr>
            <w:r>
              <w:rPr>
                <w:rFonts w:hint="default"/>
                <w:bCs w:val="0"/>
                <w:color w:val="auto"/>
                <w:szCs w:val="24"/>
                <w:highlight w:val="none"/>
              </w:rPr>
              <w:t>本项目风险源</w:t>
            </w:r>
            <w:r>
              <w:rPr>
                <w:rFonts w:hint="eastAsia"/>
                <w:bCs w:val="0"/>
                <w:color w:val="auto"/>
                <w:szCs w:val="24"/>
                <w:highlight w:val="none"/>
              </w:rPr>
              <w:t>主要为生产车间</w:t>
            </w:r>
            <w:r>
              <w:rPr>
                <w:rFonts w:hint="default"/>
                <w:bCs w:val="0"/>
                <w:color w:val="auto"/>
                <w:szCs w:val="24"/>
                <w:highlight w:val="none"/>
              </w:rPr>
              <w:t>，主要采取以下风险防范措施：</w:t>
            </w:r>
          </w:p>
          <w:p w14:paraId="51188C52">
            <w:pPr>
              <w:pStyle w:val="240"/>
              <w:keepNext w:val="0"/>
              <w:keepLines w:val="0"/>
              <w:widowControl/>
              <w:suppressLineNumbers w:val="0"/>
              <w:spacing w:before="0" w:beforeAutospacing="0" w:after="0" w:afterAutospacing="0" w:line="480" w:lineRule="exact"/>
              <w:ind w:left="0" w:right="0"/>
              <w:rPr>
                <w:rFonts w:hint="default"/>
                <w:bCs w:val="0"/>
                <w:color w:val="auto"/>
                <w:szCs w:val="24"/>
                <w:highlight w:val="none"/>
              </w:rPr>
            </w:pPr>
            <w:r>
              <w:rPr>
                <w:rFonts w:hint="eastAsia"/>
                <w:bCs w:val="0"/>
                <w:color w:val="auto"/>
                <w:szCs w:val="24"/>
                <w:highlight w:val="none"/>
              </w:rPr>
              <w:t>润滑油</w:t>
            </w:r>
            <w:r>
              <w:rPr>
                <w:rFonts w:hint="default"/>
                <w:bCs w:val="0"/>
                <w:color w:val="auto"/>
                <w:szCs w:val="24"/>
                <w:highlight w:val="none"/>
              </w:rPr>
              <w:t>使用时</w:t>
            </w:r>
            <w:r>
              <w:rPr>
                <w:rFonts w:hint="eastAsia"/>
                <w:bCs w:val="0"/>
                <w:color w:val="auto"/>
                <w:szCs w:val="24"/>
                <w:highlight w:val="none"/>
              </w:rPr>
              <w:t>直接加入设备内，不在厂内存储，并</w:t>
            </w:r>
            <w:r>
              <w:rPr>
                <w:rFonts w:hint="default"/>
                <w:bCs w:val="0"/>
                <w:color w:val="auto"/>
                <w:szCs w:val="24"/>
                <w:highlight w:val="none"/>
              </w:rPr>
              <w:t>准备相应的消防应急物资，砂土、灭火器等配备齐全。</w:t>
            </w:r>
          </w:p>
          <w:p w14:paraId="3AE0A409">
            <w:pPr>
              <w:keepNext w:val="0"/>
              <w:keepLines w:val="0"/>
              <w:suppressLineNumbers w:val="0"/>
              <w:spacing w:before="0" w:beforeAutospacing="0" w:after="0" w:afterAutospacing="0" w:line="480" w:lineRule="exact"/>
              <w:ind w:left="0" w:right="0" w:firstLine="480" w:firstLineChars="200"/>
              <w:rPr>
                <w:rFonts w:hint="default"/>
                <w:sz w:val="24"/>
                <w:szCs w:val="20"/>
                <w:highlight w:val="none"/>
              </w:rPr>
            </w:pPr>
            <w:r>
              <w:rPr>
                <w:rFonts w:hint="default"/>
                <w:sz w:val="24"/>
                <w:szCs w:val="20"/>
                <w:highlight w:val="none"/>
              </w:rPr>
              <w:t>采用以上措施后，可有效降低风险源处存在的潜在风险，项目在加强操作、</w:t>
            </w:r>
            <w:r>
              <w:rPr>
                <w:rFonts w:hint="eastAsia"/>
                <w:sz w:val="24"/>
                <w:szCs w:val="20"/>
                <w:highlight w:val="none"/>
              </w:rPr>
              <w:t>车间</w:t>
            </w:r>
            <w:r>
              <w:rPr>
                <w:rFonts w:hint="default"/>
                <w:sz w:val="24"/>
                <w:szCs w:val="20"/>
                <w:highlight w:val="none"/>
              </w:rPr>
              <w:t>管理，配置应急物资等措施后环境风险事故发生概率较低，对周围环境影响较小，环境风险可</w:t>
            </w:r>
            <w:r>
              <w:rPr>
                <w:rFonts w:hint="eastAsia"/>
                <w:sz w:val="24"/>
                <w:szCs w:val="20"/>
                <w:highlight w:val="none"/>
              </w:rPr>
              <w:t>控</w:t>
            </w:r>
            <w:r>
              <w:rPr>
                <w:rFonts w:hint="default"/>
                <w:sz w:val="24"/>
                <w:szCs w:val="20"/>
                <w:highlight w:val="none"/>
              </w:rPr>
              <w:t>。</w:t>
            </w:r>
          </w:p>
          <w:p w14:paraId="57028DC3">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2"/>
              <w:textAlignment w:val="auto"/>
              <w:rPr>
                <w:rFonts w:hint="default" w:ascii="Times New Roman" w:hAnsi="Times New Roman" w:cs="Times New Roman"/>
                <w:b/>
                <w:smallCaps w:val="0"/>
                <w:color w:val="auto"/>
                <w:spacing w:val="0"/>
                <w:highlight w:val="none"/>
              </w:rPr>
            </w:pPr>
            <w:r>
              <w:rPr>
                <w:rFonts w:hint="eastAsia" w:cs="Times New Roman"/>
                <w:b/>
                <w:smallCaps w:val="0"/>
                <w:color w:val="auto"/>
                <w:spacing w:val="0"/>
                <w:highlight w:val="none"/>
                <w:lang w:val="en-US" w:eastAsia="zh-CN"/>
              </w:rPr>
              <w:t>八</w:t>
            </w:r>
            <w:r>
              <w:rPr>
                <w:rFonts w:hint="default" w:ascii="Times New Roman" w:hAnsi="Times New Roman" w:cs="Times New Roman"/>
                <w:b/>
                <w:smallCaps w:val="0"/>
                <w:color w:val="auto"/>
                <w:spacing w:val="0"/>
                <w:highlight w:val="none"/>
              </w:rPr>
              <w:t>、电磁辐射</w:t>
            </w:r>
          </w:p>
          <w:p w14:paraId="6FABC560">
            <w:pPr>
              <w:pStyle w:val="171"/>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本项目不涉及电磁辐射。</w:t>
            </w:r>
          </w:p>
          <w:p w14:paraId="7082527B">
            <w:pPr>
              <w:pStyle w:val="171"/>
              <w:keepNext w:val="0"/>
              <w:keepLines w:val="0"/>
              <w:suppressLineNumbers w:val="0"/>
              <w:spacing w:before="0" w:beforeAutospacing="0" w:after="0" w:afterAutospacing="0"/>
              <w:ind w:left="0" w:right="0" w:firstLine="480"/>
              <w:rPr>
                <w:rFonts w:hint="eastAsia" w:cs="Times New Roman"/>
                <w:color w:val="auto"/>
                <w:spacing w:val="-1"/>
                <w:kern w:val="2"/>
                <w:sz w:val="24"/>
                <w:szCs w:val="24"/>
                <w:highlight w:val="none"/>
                <w:lang w:val="en-US" w:eastAsia="zh-CN" w:bidi="ar-SA"/>
              </w:rPr>
            </w:pPr>
          </w:p>
          <w:p w14:paraId="66AA4E48">
            <w:pPr>
              <w:pStyle w:val="171"/>
              <w:keepNext w:val="0"/>
              <w:keepLines w:val="0"/>
              <w:suppressLineNumbers w:val="0"/>
              <w:spacing w:before="0" w:beforeAutospacing="0" w:after="0" w:afterAutospacing="0"/>
              <w:ind w:left="0" w:right="0" w:firstLine="480"/>
              <w:rPr>
                <w:rFonts w:hint="eastAsia" w:cs="Times New Roman"/>
                <w:color w:val="auto"/>
                <w:spacing w:val="-1"/>
                <w:kern w:val="2"/>
                <w:sz w:val="24"/>
                <w:szCs w:val="24"/>
                <w:highlight w:val="none"/>
                <w:lang w:val="en-US" w:eastAsia="zh-CN" w:bidi="ar-SA"/>
              </w:rPr>
            </w:pPr>
          </w:p>
          <w:p w14:paraId="5352D631">
            <w:pPr>
              <w:pStyle w:val="171"/>
              <w:keepNext w:val="0"/>
              <w:keepLines w:val="0"/>
              <w:suppressLineNumbers w:val="0"/>
              <w:spacing w:before="0" w:beforeAutospacing="0" w:after="0" w:afterAutospacing="0"/>
              <w:ind w:left="0" w:right="0" w:firstLine="480"/>
              <w:rPr>
                <w:rFonts w:hint="eastAsia" w:cs="Times New Roman"/>
                <w:color w:val="auto"/>
                <w:spacing w:val="-1"/>
                <w:kern w:val="2"/>
                <w:sz w:val="24"/>
                <w:szCs w:val="24"/>
                <w:highlight w:val="none"/>
                <w:lang w:val="en-US" w:eastAsia="zh-CN" w:bidi="ar-SA"/>
              </w:rPr>
            </w:pPr>
          </w:p>
          <w:p w14:paraId="68046DBD">
            <w:pPr>
              <w:keepNext w:val="0"/>
              <w:keepLines w:val="0"/>
              <w:suppressLineNumbers w:val="0"/>
              <w:bidi w:val="0"/>
              <w:spacing w:before="0" w:beforeAutospacing="0" w:after="0" w:afterAutospacing="0"/>
              <w:ind w:left="0" w:right="0"/>
              <w:jc w:val="left"/>
              <w:rPr>
                <w:rFonts w:hint="default"/>
                <w:color w:val="auto"/>
                <w:szCs w:val="20"/>
                <w:highlight w:val="none"/>
                <w:lang w:val="en-US" w:eastAsia="zh-CN"/>
              </w:rPr>
            </w:pPr>
          </w:p>
        </w:tc>
      </w:tr>
    </w:tbl>
    <w:p w14:paraId="51B0D7C6">
      <w:pPr>
        <w:pStyle w:val="5"/>
        <w:ind w:left="0" w:leftChars="0" w:firstLine="0" w:firstLineChars="0"/>
        <w:rPr>
          <w:rFonts w:hint="default" w:ascii="Times New Roman" w:hAnsi="Times New Roman" w:cs="Times New Roman"/>
          <w:color w:val="auto"/>
        </w:rPr>
      </w:pPr>
    </w:p>
    <w:p w14:paraId="124337F4">
      <w:pPr>
        <w:pStyle w:val="41"/>
        <w:pageBreakBefore/>
        <w:jc w:val="center"/>
        <w:outlineLvl w:val="0"/>
        <w:rPr>
          <w:rFonts w:hint="default" w:ascii="Times New Roman" w:hAnsi="Times New Roman" w:eastAsia="黑体" w:cs="Times New Roman"/>
          <w:smallCaps w:val="0"/>
          <w:snapToGrid w:val="0"/>
          <w:color w:val="auto"/>
          <w:spacing w:val="0"/>
          <w:sz w:val="30"/>
          <w:szCs w:val="30"/>
          <w:highlight w:val="none"/>
        </w:rPr>
      </w:pPr>
      <w:r>
        <w:rPr>
          <w:rFonts w:hint="default" w:ascii="Times New Roman" w:hAnsi="Times New Roman" w:eastAsia="黑体" w:cs="Times New Roman"/>
          <w:smallCaps w:val="0"/>
          <w:snapToGrid w:val="0"/>
          <w:color w:val="auto"/>
          <w:spacing w:val="0"/>
          <w:sz w:val="30"/>
          <w:szCs w:val="30"/>
          <w:highlight w:val="none"/>
        </w:rPr>
        <w:t>五、</w:t>
      </w:r>
      <w:bookmarkStart w:id="16" w:name="_Hlk54167917"/>
      <w:r>
        <w:rPr>
          <w:rFonts w:hint="default" w:ascii="Times New Roman" w:hAnsi="Times New Roman" w:eastAsia="黑体" w:cs="Times New Roman"/>
          <w:smallCaps w:val="0"/>
          <w:snapToGrid w:val="0"/>
          <w:color w:val="auto"/>
          <w:spacing w:val="0"/>
          <w:sz w:val="30"/>
          <w:szCs w:val="30"/>
          <w:highlight w:val="none"/>
        </w:rPr>
        <w:t>环境保护措施监督检查清单</w:t>
      </w:r>
      <w:bookmarkEnd w:id="12"/>
      <w:bookmarkEnd w:id="16"/>
    </w:p>
    <w:tbl>
      <w:tblPr>
        <w:tblStyle w:val="47"/>
        <w:tblW w:w="883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342"/>
        <w:gridCol w:w="1367"/>
        <w:gridCol w:w="2067"/>
        <w:gridCol w:w="3102"/>
      </w:tblGrid>
      <w:tr w14:paraId="5545A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59" w:type="dxa"/>
            <w:tcBorders>
              <w:tl2br w:val="single" w:color="auto" w:sz="4" w:space="0"/>
            </w:tcBorders>
            <w:noWrap w:val="0"/>
            <w:vAlign w:val="top"/>
          </w:tcPr>
          <w:p w14:paraId="148271B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188" w:firstLineChars="100"/>
              <w:textAlignment w:val="auto"/>
              <w:rPr>
                <w:rFonts w:hint="default"/>
                <w:b/>
                <w:bCs/>
                <w:spacing w:val="-11"/>
                <w:szCs w:val="21"/>
                <w:highlight w:val="none"/>
              </w:rPr>
            </w:pPr>
            <w:r>
              <w:rPr>
                <w:rFonts w:hint="default"/>
                <w:b/>
                <w:bCs/>
                <w:spacing w:val="-11"/>
                <w:szCs w:val="21"/>
                <w:highlight w:val="none"/>
              </w:rPr>
              <w:t>内容</w:t>
            </w:r>
          </w:p>
          <w:p w14:paraId="0DBA2F1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textAlignment w:val="auto"/>
              <w:rPr>
                <w:rFonts w:hint="default"/>
                <w:b/>
                <w:bCs/>
                <w:spacing w:val="-11"/>
                <w:szCs w:val="21"/>
                <w:highlight w:val="none"/>
              </w:rPr>
            </w:pPr>
            <w:r>
              <w:rPr>
                <w:rFonts w:hint="default"/>
                <w:b/>
                <w:bCs/>
                <w:spacing w:val="-11"/>
                <w:szCs w:val="21"/>
                <w:highlight w:val="none"/>
              </w:rPr>
              <w:t>要素</w:t>
            </w:r>
          </w:p>
        </w:tc>
        <w:tc>
          <w:tcPr>
            <w:tcW w:w="1342" w:type="dxa"/>
            <w:noWrap w:val="0"/>
            <w:vAlign w:val="center"/>
          </w:tcPr>
          <w:p w14:paraId="2491682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b/>
                <w:bCs/>
                <w:spacing w:val="-11"/>
                <w:szCs w:val="21"/>
                <w:highlight w:val="none"/>
              </w:rPr>
            </w:pPr>
            <w:r>
              <w:rPr>
                <w:rFonts w:hint="default"/>
                <w:b/>
                <w:bCs/>
                <w:spacing w:val="-11"/>
                <w:szCs w:val="21"/>
                <w:highlight w:val="none"/>
              </w:rPr>
              <w:t>排放口(编号、</w:t>
            </w:r>
          </w:p>
          <w:p w14:paraId="77C0A20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b/>
                <w:bCs/>
                <w:spacing w:val="-11"/>
                <w:szCs w:val="21"/>
                <w:highlight w:val="none"/>
              </w:rPr>
            </w:pPr>
            <w:r>
              <w:rPr>
                <w:rFonts w:hint="default"/>
                <w:b/>
                <w:bCs/>
                <w:spacing w:val="-11"/>
                <w:szCs w:val="21"/>
                <w:highlight w:val="none"/>
              </w:rPr>
              <w:t>名称)/污染源</w:t>
            </w:r>
          </w:p>
        </w:tc>
        <w:tc>
          <w:tcPr>
            <w:tcW w:w="1367" w:type="dxa"/>
            <w:noWrap w:val="0"/>
            <w:vAlign w:val="center"/>
          </w:tcPr>
          <w:p w14:paraId="3525C1A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b/>
                <w:bCs/>
                <w:spacing w:val="-11"/>
                <w:szCs w:val="21"/>
                <w:highlight w:val="none"/>
              </w:rPr>
            </w:pPr>
            <w:r>
              <w:rPr>
                <w:rFonts w:hint="default"/>
                <w:b/>
                <w:bCs/>
                <w:spacing w:val="-11"/>
                <w:szCs w:val="21"/>
                <w:highlight w:val="none"/>
              </w:rPr>
              <w:t>污染物项目</w:t>
            </w:r>
          </w:p>
        </w:tc>
        <w:tc>
          <w:tcPr>
            <w:tcW w:w="2067" w:type="dxa"/>
            <w:noWrap w:val="0"/>
            <w:vAlign w:val="center"/>
          </w:tcPr>
          <w:p w14:paraId="2D150C2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b/>
                <w:bCs/>
                <w:spacing w:val="-11"/>
                <w:szCs w:val="21"/>
                <w:highlight w:val="none"/>
              </w:rPr>
            </w:pPr>
            <w:r>
              <w:rPr>
                <w:rFonts w:hint="default"/>
                <w:b/>
                <w:bCs/>
                <w:spacing w:val="-11"/>
                <w:szCs w:val="21"/>
                <w:highlight w:val="none"/>
              </w:rPr>
              <w:t>环境保护措施</w:t>
            </w:r>
          </w:p>
        </w:tc>
        <w:tc>
          <w:tcPr>
            <w:tcW w:w="3102" w:type="dxa"/>
            <w:noWrap w:val="0"/>
            <w:vAlign w:val="center"/>
          </w:tcPr>
          <w:p w14:paraId="603678C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b/>
                <w:bCs/>
                <w:spacing w:val="-11"/>
                <w:szCs w:val="21"/>
                <w:highlight w:val="none"/>
              </w:rPr>
            </w:pPr>
            <w:r>
              <w:rPr>
                <w:rFonts w:hint="default"/>
                <w:b/>
                <w:bCs/>
                <w:spacing w:val="-11"/>
                <w:szCs w:val="21"/>
                <w:highlight w:val="none"/>
              </w:rPr>
              <w:t>执行标准</w:t>
            </w:r>
          </w:p>
        </w:tc>
      </w:tr>
      <w:tr w14:paraId="764081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restart"/>
            <w:noWrap w:val="0"/>
            <w:vAlign w:val="center"/>
          </w:tcPr>
          <w:p w14:paraId="66D62DB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大气环境</w:t>
            </w:r>
          </w:p>
        </w:tc>
        <w:tc>
          <w:tcPr>
            <w:tcW w:w="1342" w:type="dxa"/>
            <w:noWrap w:val="0"/>
            <w:vAlign w:val="center"/>
          </w:tcPr>
          <w:p w14:paraId="074EEEF9">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有组织排放口</w:t>
            </w:r>
            <w:r>
              <w:rPr>
                <w:rFonts w:hint="eastAsia"/>
                <w:sz w:val="21"/>
                <w:szCs w:val="21"/>
                <w:highlight w:val="none"/>
                <w:lang w:val="en-US" w:eastAsia="zh-CN"/>
              </w:rPr>
              <w:t>DA001</w:t>
            </w:r>
          </w:p>
        </w:tc>
        <w:tc>
          <w:tcPr>
            <w:tcW w:w="1367" w:type="dxa"/>
            <w:noWrap w:val="0"/>
            <w:vAlign w:val="center"/>
          </w:tcPr>
          <w:p w14:paraId="2A1390EF">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eastAsia="宋体"/>
                <w:szCs w:val="21"/>
                <w:highlight w:val="none"/>
                <w:lang w:val="en-US" w:eastAsia="zh-CN"/>
              </w:rPr>
            </w:pPr>
            <w:r>
              <w:rPr>
                <w:rFonts w:hint="default" w:ascii="Times New Roman" w:hAnsi="Times New Roman" w:cs="Times New Roman"/>
                <w:snapToGrid w:val="0"/>
                <w:color w:val="auto"/>
                <w:kern w:val="0"/>
                <w:sz w:val="21"/>
                <w:szCs w:val="21"/>
                <w:highlight w:val="none"/>
                <w:lang w:val="en-US" w:eastAsia="zh-CN" w:bidi="ar-SA"/>
              </w:rPr>
              <w:t>颗粒物</w:t>
            </w:r>
          </w:p>
        </w:tc>
        <w:tc>
          <w:tcPr>
            <w:tcW w:w="2067" w:type="dxa"/>
            <w:tcBorders>
              <w:top w:val="single" w:color="auto" w:sz="4" w:space="0"/>
            </w:tcBorders>
            <w:noWrap w:val="0"/>
            <w:vAlign w:val="center"/>
          </w:tcPr>
          <w:p w14:paraId="286B9F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eastAsia="宋体"/>
                <w:kern w:val="2"/>
                <w:sz w:val="21"/>
                <w:szCs w:val="21"/>
                <w:highlight w:val="none"/>
                <w:lang w:val="en-US" w:eastAsia="zh-CN" w:bidi="ar-SA"/>
              </w:rPr>
            </w:pPr>
            <w:r>
              <w:rPr>
                <w:rFonts w:hint="default" w:ascii="Times New Roman" w:hAnsi="Times New Roman" w:eastAsia="宋体" w:cs="Times New Roman"/>
                <w:color w:val="000000"/>
                <w:kern w:val="0"/>
                <w:sz w:val="21"/>
                <w:szCs w:val="21"/>
                <w:highlight w:val="none"/>
                <w:lang w:val="en-US" w:eastAsia="zh-CN"/>
              </w:rPr>
              <w:t>项目电炉熔化、注砂</w:t>
            </w:r>
            <w:r>
              <w:rPr>
                <w:rFonts w:hint="default" w:ascii="Times New Roman" w:hAnsi="Times New Roman" w:cs="Times New Roman"/>
                <w:color w:val="000000"/>
                <w:kern w:val="0"/>
                <w:sz w:val="21"/>
                <w:szCs w:val="21"/>
                <w:highlight w:val="none"/>
                <w:lang w:val="en-US" w:eastAsia="zh-CN"/>
              </w:rPr>
              <w:t>落砂</w:t>
            </w:r>
            <w:r>
              <w:rPr>
                <w:rFonts w:hint="default" w:ascii="Times New Roman" w:hAnsi="Times New Roman" w:eastAsia="宋体" w:cs="Times New Roman"/>
                <w:color w:val="000000"/>
                <w:kern w:val="0"/>
                <w:sz w:val="21"/>
                <w:szCs w:val="21"/>
                <w:highlight w:val="none"/>
                <w:lang w:val="en-US" w:eastAsia="zh-CN"/>
              </w:rPr>
              <w:t>废气，经收集引至1套布袋除尘器处理后，通过</w:t>
            </w:r>
            <w:r>
              <w:rPr>
                <w:rFonts w:hint="eastAsia" w:ascii="Times New Roman" w:hAnsi="Times New Roman" w:eastAsia="宋体" w:cs="Times New Roman"/>
                <w:color w:val="000000"/>
                <w:kern w:val="0"/>
                <w:sz w:val="21"/>
                <w:szCs w:val="21"/>
                <w:highlight w:val="none"/>
                <w:lang w:val="en-US" w:eastAsia="zh-CN"/>
              </w:rPr>
              <w:t>2</w:t>
            </w:r>
            <w:r>
              <w:rPr>
                <w:rFonts w:hint="default" w:ascii="Times New Roman" w:hAnsi="Times New Roman" w:eastAsia="宋体" w:cs="Times New Roman"/>
                <w:color w:val="000000"/>
                <w:kern w:val="0"/>
                <w:sz w:val="21"/>
                <w:szCs w:val="21"/>
                <w:highlight w:val="none"/>
                <w:lang w:val="en-US" w:eastAsia="zh-CN"/>
              </w:rPr>
              <w:t>5m排气筒DA001排放</w:t>
            </w:r>
          </w:p>
        </w:tc>
        <w:tc>
          <w:tcPr>
            <w:tcW w:w="3102" w:type="dxa"/>
            <w:shd w:val="clear" w:color="auto" w:fill="auto"/>
            <w:noWrap w:val="0"/>
            <w:vAlign w:val="center"/>
          </w:tcPr>
          <w:p w14:paraId="69B29396">
            <w:pPr>
              <w:keepNext w:val="0"/>
              <w:keepLines w:val="0"/>
              <w:pageBreakBefore w:val="0"/>
              <w:widowControl w:val="0"/>
              <w:suppressLineNumbers w:val="0"/>
              <w:kinsoku/>
              <w:wordWrap/>
              <w:overflowPunct/>
              <w:topLinePunct w:val="0"/>
              <w:bidi w:val="0"/>
              <w:spacing w:before="0" w:beforeAutospacing="0" w:after="0" w:afterAutospacing="0" w:line="280" w:lineRule="exact"/>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《铸造工业大气污染物排放标准》（GB39726-2020），同时需满足《重污染天气重点行业应急减排措施制定技术指南（2021年修订版）》中表6-1铸造企业B级标准要求</w:t>
            </w:r>
          </w:p>
        </w:tc>
      </w:tr>
      <w:tr w14:paraId="531F1B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59" w:type="dxa"/>
            <w:vMerge w:val="continue"/>
            <w:noWrap w:val="0"/>
            <w:vAlign w:val="center"/>
          </w:tcPr>
          <w:p w14:paraId="2B42BD82">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restart"/>
            <w:noWrap w:val="0"/>
            <w:vAlign w:val="center"/>
          </w:tcPr>
          <w:p w14:paraId="5F3FC81A">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kern w:val="2"/>
                <w:sz w:val="21"/>
                <w:szCs w:val="21"/>
                <w:highlight w:val="none"/>
                <w:lang w:val="en-US" w:eastAsia="zh-CN" w:bidi="ar-SA"/>
              </w:rPr>
            </w:pPr>
            <w:r>
              <w:rPr>
                <w:rFonts w:hint="default"/>
                <w:szCs w:val="21"/>
                <w:highlight w:val="none"/>
              </w:rPr>
              <w:t>有组织排放口</w:t>
            </w:r>
            <w:r>
              <w:rPr>
                <w:rFonts w:hint="eastAsia"/>
                <w:sz w:val="21"/>
                <w:szCs w:val="21"/>
                <w:highlight w:val="none"/>
                <w:lang w:val="en-US" w:eastAsia="zh-CN"/>
              </w:rPr>
              <w:t>DA002</w:t>
            </w:r>
          </w:p>
        </w:tc>
        <w:tc>
          <w:tcPr>
            <w:tcW w:w="1367" w:type="dxa"/>
            <w:noWrap w:val="0"/>
            <w:vAlign w:val="center"/>
          </w:tcPr>
          <w:p w14:paraId="7E002CF0">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kern w:val="2"/>
                <w:sz w:val="21"/>
                <w:szCs w:val="21"/>
                <w:highlight w:val="none"/>
                <w:lang w:val="en-US" w:eastAsia="zh-CN" w:bidi="ar-SA"/>
              </w:rPr>
            </w:pPr>
            <w:r>
              <w:rPr>
                <w:rFonts w:hint="default" w:ascii="Times New Roman" w:hAnsi="Times New Roman" w:cs="Times New Roman"/>
                <w:snapToGrid w:val="0"/>
                <w:color w:val="auto"/>
                <w:kern w:val="0"/>
                <w:sz w:val="21"/>
                <w:szCs w:val="21"/>
                <w:highlight w:val="none"/>
                <w:lang w:val="en-US" w:eastAsia="zh-CN" w:bidi="ar-SA"/>
              </w:rPr>
              <w:t>颗粒物</w:t>
            </w:r>
          </w:p>
        </w:tc>
        <w:tc>
          <w:tcPr>
            <w:tcW w:w="2067" w:type="dxa"/>
            <w:vMerge w:val="restart"/>
            <w:noWrap w:val="0"/>
            <w:vAlign w:val="center"/>
          </w:tcPr>
          <w:p w14:paraId="7FEF69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eastAsia"/>
                <w:sz w:val="21"/>
                <w:szCs w:val="21"/>
                <w:highlight w:val="none"/>
                <w:lang w:val="en-US" w:eastAsia="zh-CN"/>
              </w:rPr>
            </w:pPr>
            <w:r>
              <w:rPr>
                <w:rFonts w:hint="eastAsia" w:ascii="Times New Roman" w:hAnsi="Times New Roman" w:eastAsia="宋体" w:cs="Times New Roman"/>
                <w:color w:val="000000"/>
                <w:kern w:val="0"/>
                <w:sz w:val="21"/>
                <w:szCs w:val="21"/>
                <w:highlight w:val="none"/>
                <w:lang w:val="en-US" w:eastAsia="zh-CN"/>
              </w:rPr>
              <w:t>项目制壳、浇注废气经收集引至1套“布袋除尘器+</w:t>
            </w:r>
            <w:r>
              <w:rPr>
                <w:rFonts w:hint="eastAsia" w:cs="Times New Roman"/>
                <w:color w:val="000000"/>
                <w:kern w:val="0"/>
                <w:sz w:val="21"/>
                <w:szCs w:val="21"/>
                <w:highlight w:val="none"/>
                <w:lang w:val="en-US" w:eastAsia="zh-CN"/>
              </w:rPr>
              <w:t>二级</w:t>
            </w:r>
            <w:r>
              <w:rPr>
                <w:rFonts w:hint="eastAsia" w:ascii="Times New Roman" w:hAnsi="Times New Roman" w:eastAsia="宋体" w:cs="Times New Roman"/>
                <w:color w:val="000000"/>
                <w:kern w:val="0"/>
                <w:sz w:val="21"/>
                <w:szCs w:val="21"/>
                <w:highlight w:val="none"/>
                <w:lang w:val="en-US" w:eastAsia="zh-CN"/>
              </w:rPr>
              <w:t>活性炭吸附装置”处理后，通过2</w:t>
            </w:r>
            <w:r>
              <w:rPr>
                <w:rFonts w:hint="default" w:ascii="Times New Roman" w:hAnsi="Times New Roman" w:eastAsia="宋体" w:cs="Times New Roman"/>
                <w:color w:val="000000"/>
                <w:kern w:val="0"/>
                <w:sz w:val="21"/>
                <w:szCs w:val="21"/>
                <w:highlight w:val="none"/>
                <w:lang w:val="en-US" w:eastAsia="zh-CN"/>
              </w:rPr>
              <w:t>5m排气筒</w:t>
            </w:r>
            <w:r>
              <w:rPr>
                <w:rFonts w:hint="eastAsia" w:ascii="Times New Roman" w:hAnsi="Times New Roman" w:eastAsia="宋体" w:cs="Times New Roman"/>
                <w:color w:val="000000"/>
                <w:kern w:val="0"/>
                <w:sz w:val="21"/>
                <w:szCs w:val="21"/>
                <w:highlight w:val="none"/>
                <w:lang w:val="en-US" w:eastAsia="zh-CN"/>
              </w:rPr>
              <w:t>DA002</w:t>
            </w:r>
            <w:r>
              <w:rPr>
                <w:rFonts w:hint="default" w:ascii="Times New Roman" w:hAnsi="Times New Roman" w:eastAsia="宋体" w:cs="Times New Roman"/>
                <w:color w:val="000000"/>
                <w:kern w:val="0"/>
                <w:sz w:val="21"/>
                <w:szCs w:val="21"/>
                <w:highlight w:val="none"/>
                <w:lang w:val="en-US" w:eastAsia="zh-CN"/>
              </w:rPr>
              <w:t>排放</w:t>
            </w:r>
          </w:p>
        </w:tc>
        <w:tc>
          <w:tcPr>
            <w:tcW w:w="3102" w:type="dxa"/>
            <w:shd w:val="clear" w:color="auto" w:fill="auto"/>
            <w:noWrap w:val="0"/>
            <w:vAlign w:val="center"/>
          </w:tcPr>
          <w:p w14:paraId="112E2865">
            <w:pPr>
              <w:keepNext w:val="0"/>
              <w:keepLines w:val="0"/>
              <w:pageBreakBefore w:val="0"/>
              <w:widowControl w:val="0"/>
              <w:suppressLineNumbers w:val="0"/>
              <w:kinsoku/>
              <w:wordWrap/>
              <w:overflowPunct/>
              <w:topLinePunct w:val="0"/>
              <w:bidi w:val="0"/>
              <w:spacing w:before="0" w:beforeAutospacing="0" w:after="0" w:afterAutospacing="0" w:line="280" w:lineRule="exact"/>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《铸造工业大气污染物排放标准》（GB39726-2020），同时需满足《重污染天气重点行业应急减排措施制定技术指南（2021年修订版）》中表6-1铸造企业B级标准要求</w:t>
            </w:r>
          </w:p>
        </w:tc>
      </w:tr>
      <w:tr w14:paraId="6B1225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959" w:type="dxa"/>
            <w:vMerge w:val="continue"/>
            <w:noWrap w:val="0"/>
            <w:vAlign w:val="center"/>
          </w:tcPr>
          <w:p w14:paraId="0406857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33E173D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19C905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baseline"/>
              <w:rPr>
                <w:rFonts w:hint="default"/>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非甲烷总烃</w:t>
            </w:r>
          </w:p>
        </w:tc>
        <w:tc>
          <w:tcPr>
            <w:tcW w:w="2067" w:type="dxa"/>
            <w:vMerge w:val="continue"/>
            <w:noWrap w:val="0"/>
            <w:vAlign w:val="center"/>
          </w:tcPr>
          <w:p w14:paraId="3FEACD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sz w:val="21"/>
                <w:szCs w:val="21"/>
                <w:highlight w:val="none"/>
                <w:lang w:val="en-US" w:eastAsia="zh-CN"/>
              </w:rPr>
            </w:pPr>
          </w:p>
        </w:tc>
        <w:tc>
          <w:tcPr>
            <w:tcW w:w="3102" w:type="dxa"/>
            <w:shd w:val="clear" w:color="auto" w:fill="auto"/>
            <w:noWrap w:val="0"/>
            <w:vAlign w:val="center"/>
          </w:tcPr>
          <w:p w14:paraId="2B159780">
            <w:pPr>
              <w:keepNext w:val="0"/>
              <w:keepLines w:val="0"/>
              <w:pageBreakBefore w:val="0"/>
              <w:widowControl w:val="0"/>
              <w:suppressLineNumbers w:val="0"/>
              <w:kinsoku/>
              <w:wordWrap/>
              <w:overflowPunct/>
              <w:topLinePunct w:val="0"/>
              <w:bidi w:val="0"/>
              <w:spacing w:before="0" w:beforeAutospacing="0" w:after="0" w:afterAutospacing="0" w:line="280" w:lineRule="exact"/>
              <w:ind w:left="0" w:leftChars="0" w:right="0" w:rightChars="0"/>
              <w:jc w:val="center"/>
              <w:rPr>
                <w:rFonts w:hint="default" w:ascii="Times New Roman" w:hAnsi="Times New Roman" w:eastAsia="宋体" w:cs="Times New Roman"/>
                <w:color w:val="auto"/>
                <w:kern w:val="2"/>
                <w:sz w:val="21"/>
                <w:szCs w:val="21"/>
                <w:highlight w:val="none"/>
                <w:lang w:val="en-US" w:eastAsia="zh-CN" w:bidi="zh-CN"/>
              </w:rPr>
            </w:pPr>
            <w:r>
              <w:rPr>
                <w:rFonts w:hint="default" w:ascii="Times New Roman" w:hAnsi="Times New Roman" w:eastAsia="宋体" w:cs="Times New Roman"/>
                <w:sz w:val="21"/>
                <w:szCs w:val="21"/>
                <w:highlight w:val="none"/>
                <w:lang w:val="en-US" w:eastAsia="zh-CN"/>
              </w:rPr>
              <w:t>《工业企业挥发性有机物排放控制标准》（DB13/2322-20</w:t>
            </w:r>
            <w:r>
              <w:rPr>
                <w:rFonts w:hint="default" w:ascii="Times New Roman" w:hAnsi="Times New Roman" w:cs="Times New Roman"/>
                <w:sz w:val="21"/>
                <w:szCs w:val="21"/>
                <w:highlight w:val="none"/>
                <w:lang w:val="en-US" w:eastAsia="zh-CN"/>
              </w:rPr>
              <w:t>25</w:t>
            </w:r>
            <w:r>
              <w:rPr>
                <w:rFonts w:hint="default" w:ascii="Times New Roman" w:hAnsi="Times New Roman" w:eastAsia="宋体" w:cs="Times New Roman"/>
                <w:sz w:val="21"/>
                <w:szCs w:val="21"/>
                <w:highlight w:val="none"/>
                <w:lang w:val="en-US" w:eastAsia="zh-CN"/>
              </w:rPr>
              <w:t>）表1其他行业标准，同时需满足《重污染天气重点行业应急减排措施制定技术指南（2021年修订版）》中表6-1铸造企业B级标准要求</w:t>
            </w:r>
          </w:p>
        </w:tc>
      </w:tr>
      <w:tr w14:paraId="62B2D1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6" w:hRule="atLeast"/>
          <w:jc w:val="center"/>
        </w:trPr>
        <w:tc>
          <w:tcPr>
            <w:tcW w:w="959" w:type="dxa"/>
            <w:vMerge w:val="continue"/>
            <w:noWrap w:val="0"/>
            <w:vAlign w:val="center"/>
          </w:tcPr>
          <w:p w14:paraId="6DFED8D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02E5D24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4AE93CD9">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kern w:val="2"/>
                <w:sz w:val="21"/>
                <w:szCs w:val="21"/>
                <w:highlight w:val="none"/>
                <w:lang w:val="en-US" w:eastAsia="zh-CN" w:bidi="ar-SA"/>
              </w:rPr>
            </w:pPr>
            <w:r>
              <w:rPr>
                <w:rFonts w:hint="eastAsia" w:ascii="Times New Roman" w:hAnsi="Times New Roman" w:cs="Times New Roman"/>
                <w:snapToGrid w:val="0"/>
                <w:color w:val="auto"/>
                <w:kern w:val="0"/>
                <w:sz w:val="21"/>
                <w:szCs w:val="21"/>
                <w:highlight w:val="none"/>
                <w:lang w:val="en-US" w:eastAsia="zh-CN" w:bidi="ar-SA"/>
              </w:rPr>
              <w:t>甲醛</w:t>
            </w:r>
          </w:p>
        </w:tc>
        <w:tc>
          <w:tcPr>
            <w:tcW w:w="2067" w:type="dxa"/>
            <w:vMerge w:val="continue"/>
            <w:noWrap w:val="0"/>
            <w:vAlign w:val="center"/>
          </w:tcPr>
          <w:p w14:paraId="62C252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sz w:val="21"/>
                <w:szCs w:val="21"/>
                <w:highlight w:val="none"/>
                <w:lang w:val="en-US" w:eastAsia="zh-CN"/>
              </w:rPr>
            </w:pPr>
          </w:p>
        </w:tc>
        <w:tc>
          <w:tcPr>
            <w:tcW w:w="3102" w:type="dxa"/>
            <w:vMerge w:val="restart"/>
            <w:noWrap w:val="0"/>
            <w:vAlign w:val="center"/>
          </w:tcPr>
          <w:p w14:paraId="42287345">
            <w:pPr>
              <w:keepNext w:val="0"/>
              <w:keepLines w:val="0"/>
              <w:pageBreakBefore w:val="0"/>
              <w:widowControl w:val="0"/>
              <w:suppressLineNumbers w:val="0"/>
              <w:kinsoku/>
              <w:wordWrap/>
              <w:overflowPunct/>
              <w:topLinePunct w:val="0"/>
              <w:bidi w:val="0"/>
              <w:spacing w:before="0" w:beforeAutospacing="0" w:after="0" w:afterAutospacing="0" w:line="280" w:lineRule="exact"/>
              <w:ind w:left="0" w:leftChars="0" w:right="0" w:rightChars="0"/>
              <w:jc w:val="center"/>
              <w:rPr>
                <w:rFonts w:hint="default"/>
                <w:szCs w:val="21"/>
                <w:highlight w:val="none"/>
              </w:rPr>
            </w:pPr>
            <w:r>
              <w:rPr>
                <w:rFonts w:hint="default" w:ascii="Times New Roman" w:hAnsi="Times New Roman" w:eastAsia="宋体" w:cs="Times New Roman"/>
                <w:sz w:val="21"/>
                <w:szCs w:val="21"/>
                <w:highlight w:val="none"/>
                <w:lang w:val="en-US" w:eastAsia="zh-CN"/>
              </w:rPr>
              <w:t>《大气污染物综合排放标准》（GB16297-1996）表2中相关标准要求执行</w:t>
            </w:r>
          </w:p>
        </w:tc>
      </w:tr>
      <w:tr w14:paraId="6ECA68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959" w:type="dxa"/>
            <w:vMerge w:val="continue"/>
            <w:noWrap w:val="0"/>
            <w:vAlign w:val="center"/>
          </w:tcPr>
          <w:p w14:paraId="6980A59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6EDB12EE">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2A1E5C4F">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kern w:val="2"/>
                <w:sz w:val="21"/>
                <w:szCs w:val="21"/>
                <w:highlight w:val="none"/>
                <w:lang w:val="en-US" w:eastAsia="zh-CN" w:bidi="ar-SA"/>
              </w:rPr>
            </w:pPr>
            <w:r>
              <w:rPr>
                <w:rFonts w:hint="eastAsia" w:ascii="Times New Roman" w:hAnsi="Times New Roman" w:cs="Times New Roman"/>
                <w:snapToGrid w:val="0"/>
                <w:color w:val="auto"/>
                <w:kern w:val="0"/>
                <w:sz w:val="21"/>
                <w:szCs w:val="21"/>
                <w:highlight w:val="none"/>
                <w:lang w:val="en-US" w:eastAsia="zh-CN" w:bidi="ar-SA"/>
              </w:rPr>
              <w:t>酚类</w:t>
            </w:r>
          </w:p>
        </w:tc>
        <w:tc>
          <w:tcPr>
            <w:tcW w:w="2067" w:type="dxa"/>
            <w:vMerge w:val="continue"/>
            <w:noWrap w:val="0"/>
            <w:vAlign w:val="center"/>
          </w:tcPr>
          <w:p w14:paraId="175CBA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sz w:val="21"/>
                <w:szCs w:val="21"/>
                <w:highlight w:val="none"/>
                <w:lang w:val="en-US" w:eastAsia="zh-CN"/>
              </w:rPr>
            </w:pPr>
          </w:p>
        </w:tc>
        <w:tc>
          <w:tcPr>
            <w:tcW w:w="3102" w:type="dxa"/>
            <w:vMerge w:val="continue"/>
            <w:noWrap w:val="0"/>
            <w:vAlign w:val="center"/>
          </w:tcPr>
          <w:p w14:paraId="4667135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zCs w:val="21"/>
                <w:highlight w:val="none"/>
              </w:rPr>
            </w:pPr>
          </w:p>
        </w:tc>
      </w:tr>
      <w:tr w14:paraId="54A75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6" w:hRule="atLeast"/>
          <w:jc w:val="center"/>
        </w:trPr>
        <w:tc>
          <w:tcPr>
            <w:tcW w:w="959" w:type="dxa"/>
            <w:vMerge w:val="continue"/>
            <w:noWrap w:val="0"/>
            <w:vAlign w:val="center"/>
          </w:tcPr>
          <w:p w14:paraId="5DC4679D">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noWrap w:val="0"/>
            <w:vAlign w:val="center"/>
          </w:tcPr>
          <w:p w14:paraId="49A0E0B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有组织排放口</w:t>
            </w:r>
            <w:r>
              <w:rPr>
                <w:rFonts w:hint="eastAsia"/>
                <w:sz w:val="21"/>
                <w:szCs w:val="21"/>
                <w:highlight w:val="none"/>
                <w:lang w:val="en-US" w:eastAsia="zh-CN"/>
              </w:rPr>
              <w:t>DA003</w:t>
            </w:r>
          </w:p>
        </w:tc>
        <w:tc>
          <w:tcPr>
            <w:tcW w:w="1367" w:type="dxa"/>
            <w:noWrap w:val="0"/>
            <w:vAlign w:val="center"/>
          </w:tcPr>
          <w:p w14:paraId="08D1C68C">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kern w:val="2"/>
                <w:sz w:val="21"/>
                <w:szCs w:val="21"/>
                <w:highlight w:val="none"/>
                <w:lang w:val="en-US" w:eastAsia="zh-CN" w:bidi="ar-SA"/>
              </w:rPr>
            </w:pPr>
            <w:r>
              <w:rPr>
                <w:rFonts w:hint="default" w:ascii="Times New Roman" w:hAnsi="Times New Roman" w:cs="Times New Roman"/>
                <w:snapToGrid w:val="0"/>
                <w:color w:val="auto"/>
                <w:kern w:val="0"/>
                <w:sz w:val="21"/>
                <w:szCs w:val="21"/>
                <w:highlight w:val="none"/>
                <w:lang w:val="en-US" w:eastAsia="zh-CN" w:bidi="ar-SA"/>
              </w:rPr>
              <w:t>颗粒物</w:t>
            </w:r>
          </w:p>
        </w:tc>
        <w:tc>
          <w:tcPr>
            <w:tcW w:w="2067" w:type="dxa"/>
            <w:noWrap w:val="0"/>
            <w:vAlign w:val="center"/>
          </w:tcPr>
          <w:p w14:paraId="13246CA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eastAsia"/>
                <w:sz w:val="21"/>
                <w:szCs w:val="21"/>
                <w:highlight w:val="none"/>
                <w:lang w:val="en-US" w:eastAsia="zh-CN"/>
              </w:rPr>
            </w:pPr>
            <w:r>
              <w:rPr>
                <w:rFonts w:hint="default" w:ascii="Times New Roman" w:hAnsi="Times New Roman" w:cs="Times New Roman"/>
                <w:sz w:val="21"/>
                <w:szCs w:val="21"/>
                <w:highlight w:val="none"/>
                <w:lang w:val="en-US" w:eastAsia="zh-CN"/>
              </w:rPr>
              <w:t>项目打磨废气经收集引至1套“布袋除尘器”处理后，通过</w:t>
            </w:r>
            <w:r>
              <w:rPr>
                <w:rFonts w:hint="eastAsia" w:ascii="Times New Roman" w:hAnsi="Times New Roman" w:cs="Times New Roman"/>
                <w:sz w:val="21"/>
                <w:szCs w:val="21"/>
                <w:highlight w:val="none"/>
                <w:lang w:val="en-US" w:eastAsia="zh-CN"/>
              </w:rPr>
              <w:t>2</w:t>
            </w:r>
            <w:r>
              <w:rPr>
                <w:rFonts w:hint="default" w:ascii="Times New Roman" w:hAnsi="Times New Roman" w:cs="Times New Roman"/>
                <w:sz w:val="21"/>
                <w:szCs w:val="21"/>
                <w:highlight w:val="none"/>
                <w:lang w:val="en-US" w:eastAsia="zh-CN"/>
              </w:rPr>
              <w:t>5m排气筒DA003排放</w:t>
            </w:r>
          </w:p>
        </w:tc>
        <w:tc>
          <w:tcPr>
            <w:tcW w:w="3102" w:type="dxa"/>
            <w:shd w:val="clear" w:color="auto" w:fill="auto"/>
            <w:noWrap w:val="0"/>
            <w:vAlign w:val="center"/>
          </w:tcPr>
          <w:p w14:paraId="3F6D4E03">
            <w:pPr>
              <w:keepNext w:val="0"/>
              <w:keepLines w:val="0"/>
              <w:pageBreakBefore w:val="0"/>
              <w:widowControl w:val="0"/>
              <w:suppressLineNumbers w:val="0"/>
              <w:kinsoku/>
              <w:wordWrap/>
              <w:overflowPunct/>
              <w:topLinePunct w:val="0"/>
              <w:bidi w:val="0"/>
              <w:spacing w:before="0" w:beforeAutospacing="0" w:after="0" w:afterAutospacing="0" w:line="280" w:lineRule="exact"/>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《铸造工业大气污染物排放标准》（GB39726-2020），同时需满足《重污染天气重点行业应急减排措施制定技术指南（2021年修订版）》中表6-1铸造企业B级标准要求</w:t>
            </w:r>
          </w:p>
        </w:tc>
      </w:tr>
      <w:tr w14:paraId="289973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959" w:type="dxa"/>
            <w:vMerge w:val="continue"/>
            <w:noWrap w:val="0"/>
            <w:vAlign w:val="center"/>
          </w:tcPr>
          <w:p w14:paraId="2DE4572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restart"/>
            <w:noWrap w:val="0"/>
            <w:vAlign w:val="center"/>
          </w:tcPr>
          <w:p w14:paraId="6939556B">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eastAsia"/>
                <w:szCs w:val="21"/>
                <w:highlight w:val="none"/>
                <w:lang w:val="en-US" w:eastAsia="zh-CN"/>
              </w:rPr>
              <w:t>厂界</w:t>
            </w:r>
            <w:r>
              <w:rPr>
                <w:rFonts w:hint="default"/>
                <w:szCs w:val="21"/>
                <w:highlight w:val="none"/>
              </w:rPr>
              <w:t>无组织排放</w:t>
            </w:r>
          </w:p>
        </w:tc>
        <w:tc>
          <w:tcPr>
            <w:tcW w:w="1367" w:type="dxa"/>
            <w:noWrap w:val="0"/>
            <w:vAlign w:val="center"/>
          </w:tcPr>
          <w:p w14:paraId="1E867B65">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颗粒物</w:t>
            </w:r>
          </w:p>
        </w:tc>
        <w:tc>
          <w:tcPr>
            <w:tcW w:w="2067" w:type="dxa"/>
            <w:vMerge w:val="restart"/>
            <w:noWrap w:val="0"/>
            <w:vAlign w:val="center"/>
          </w:tcPr>
          <w:p w14:paraId="20AAD0D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eastAsia="宋体"/>
                <w:szCs w:val="21"/>
                <w:highlight w:val="none"/>
                <w:lang w:val="en-US" w:eastAsia="zh-CN"/>
              </w:rPr>
            </w:pPr>
            <w:r>
              <w:rPr>
                <w:rFonts w:hint="eastAsia"/>
                <w:szCs w:val="21"/>
                <w:highlight w:val="none"/>
              </w:rPr>
              <w:t>雾炮抑尘，</w:t>
            </w:r>
            <w:r>
              <w:rPr>
                <w:rFonts w:hint="eastAsia"/>
                <w:szCs w:val="21"/>
                <w:highlight w:val="none"/>
                <w:lang w:val="en-US" w:eastAsia="zh-CN"/>
              </w:rPr>
              <w:t>原料苫盖、</w:t>
            </w:r>
            <w:r>
              <w:rPr>
                <w:rFonts w:hint="default"/>
                <w:szCs w:val="21"/>
                <w:highlight w:val="none"/>
              </w:rPr>
              <w:t>厂房</w:t>
            </w:r>
            <w:r>
              <w:rPr>
                <w:rFonts w:hint="eastAsia"/>
                <w:szCs w:val="21"/>
                <w:highlight w:val="none"/>
                <w:lang w:val="en-US" w:eastAsia="zh-CN"/>
              </w:rPr>
              <w:t>密闭等</w:t>
            </w:r>
          </w:p>
        </w:tc>
        <w:tc>
          <w:tcPr>
            <w:tcW w:w="3102" w:type="dxa"/>
            <w:vMerge w:val="restart"/>
            <w:shd w:val="clear" w:color="auto" w:fill="auto"/>
            <w:noWrap w:val="0"/>
            <w:vAlign w:val="center"/>
          </w:tcPr>
          <w:p w14:paraId="3C3635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52" w:leftChars="-25" w:right="-52" w:rightChars="-25"/>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sz w:val="21"/>
                <w:szCs w:val="21"/>
                <w:highlight w:val="none"/>
                <w:lang w:val="en-US" w:eastAsia="zh-CN"/>
              </w:rPr>
              <w:t>《大气污染物综合排放标准》（GB16297-1996）表2无组织排放浓度监控浓度</w:t>
            </w:r>
            <w:r>
              <w:rPr>
                <w:rFonts w:hint="eastAsia" w:cs="Times New Roman"/>
                <w:sz w:val="21"/>
                <w:szCs w:val="21"/>
                <w:highlight w:val="none"/>
                <w:lang w:val="en-US" w:eastAsia="zh-CN"/>
              </w:rPr>
              <w:t>限值</w:t>
            </w:r>
          </w:p>
        </w:tc>
      </w:tr>
      <w:tr w14:paraId="714A3B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vMerge w:val="continue"/>
            <w:noWrap w:val="0"/>
            <w:vAlign w:val="center"/>
          </w:tcPr>
          <w:p w14:paraId="3D05FE0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437472F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szCs w:val="21"/>
                <w:highlight w:val="none"/>
                <w:lang w:val="en-US" w:eastAsia="zh-CN"/>
              </w:rPr>
            </w:pPr>
          </w:p>
        </w:tc>
        <w:tc>
          <w:tcPr>
            <w:tcW w:w="1367" w:type="dxa"/>
            <w:noWrap w:val="0"/>
            <w:vAlign w:val="center"/>
          </w:tcPr>
          <w:p w14:paraId="27B2BA4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eastAsia="宋体"/>
                <w:szCs w:val="21"/>
                <w:highlight w:val="none"/>
                <w:lang w:val="en-US" w:eastAsia="zh-CN"/>
              </w:rPr>
            </w:pPr>
            <w:r>
              <w:rPr>
                <w:rFonts w:hint="eastAsia"/>
                <w:szCs w:val="21"/>
                <w:highlight w:val="none"/>
                <w:lang w:val="en-US" w:eastAsia="zh-CN"/>
              </w:rPr>
              <w:t>非甲烷总烃</w:t>
            </w:r>
          </w:p>
        </w:tc>
        <w:tc>
          <w:tcPr>
            <w:tcW w:w="2067" w:type="dxa"/>
            <w:vMerge w:val="continue"/>
            <w:noWrap w:val="0"/>
            <w:vAlign w:val="center"/>
          </w:tcPr>
          <w:p w14:paraId="0FC72B5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szCs w:val="21"/>
                <w:highlight w:val="none"/>
              </w:rPr>
            </w:pPr>
          </w:p>
        </w:tc>
        <w:tc>
          <w:tcPr>
            <w:tcW w:w="3102" w:type="dxa"/>
            <w:vMerge w:val="continue"/>
            <w:shd w:val="clear" w:color="auto" w:fill="auto"/>
            <w:noWrap w:val="0"/>
            <w:vAlign w:val="center"/>
          </w:tcPr>
          <w:p w14:paraId="0216F4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52" w:leftChars="-25" w:right="-52" w:rightChars="-25"/>
              <w:jc w:val="center"/>
              <w:textAlignment w:val="auto"/>
              <w:rPr>
                <w:rFonts w:hint="eastAsia" w:ascii="Times New Roman" w:hAnsi="Times New Roman" w:eastAsia="宋体" w:cs="Times New Roman"/>
                <w:sz w:val="21"/>
                <w:szCs w:val="21"/>
                <w:highlight w:val="none"/>
                <w:lang w:val="en-US" w:eastAsia="zh-CN"/>
              </w:rPr>
            </w:pPr>
          </w:p>
        </w:tc>
      </w:tr>
      <w:tr w14:paraId="5F8DBF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3EAF13B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47CB884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1AFCBE40">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szCs w:val="21"/>
                <w:highlight w:val="none"/>
              </w:rPr>
            </w:pPr>
            <w:r>
              <w:rPr>
                <w:rFonts w:hint="eastAsia" w:ascii="Times New Roman" w:hAnsi="Times New Roman" w:cs="Times New Roman"/>
                <w:snapToGrid w:val="0"/>
                <w:color w:val="auto"/>
                <w:kern w:val="0"/>
                <w:sz w:val="21"/>
                <w:szCs w:val="21"/>
                <w:highlight w:val="none"/>
                <w:lang w:val="en-US" w:eastAsia="zh-CN" w:bidi="ar-SA"/>
              </w:rPr>
              <w:t>甲醛</w:t>
            </w:r>
          </w:p>
        </w:tc>
        <w:tc>
          <w:tcPr>
            <w:tcW w:w="2067" w:type="dxa"/>
            <w:vMerge w:val="continue"/>
            <w:noWrap w:val="0"/>
            <w:vAlign w:val="center"/>
          </w:tcPr>
          <w:p w14:paraId="45AB0F10">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szCs w:val="21"/>
                <w:highlight w:val="none"/>
              </w:rPr>
            </w:pPr>
          </w:p>
        </w:tc>
        <w:tc>
          <w:tcPr>
            <w:tcW w:w="3102" w:type="dxa"/>
            <w:vMerge w:val="restart"/>
            <w:noWrap w:val="0"/>
            <w:vAlign w:val="center"/>
          </w:tcPr>
          <w:p w14:paraId="4B298E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52" w:leftChars="-25" w:right="-52" w:rightChars="-25"/>
              <w:jc w:val="center"/>
              <w:textAlignment w:val="auto"/>
              <w:rPr>
                <w:rFonts w:hint="default"/>
                <w:szCs w:val="21"/>
                <w:highlight w:val="none"/>
              </w:rPr>
            </w:pPr>
            <w:r>
              <w:rPr>
                <w:rFonts w:hint="eastAsia" w:ascii="Times New Roman" w:hAnsi="Times New Roman" w:eastAsia="宋体" w:cs="Times New Roman"/>
                <w:sz w:val="21"/>
                <w:szCs w:val="21"/>
                <w:highlight w:val="none"/>
                <w:lang w:val="en-US" w:eastAsia="zh-CN"/>
              </w:rPr>
              <w:t>《工业企业挥发性有机物排放控制标准》（DB13/2322-20</w:t>
            </w:r>
            <w:r>
              <w:rPr>
                <w:rFonts w:hint="eastAsia" w:cs="Times New Roman"/>
                <w:sz w:val="21"/>
                <w:szCs w:val="21"/>
                <w:highlight w:val="none"/>
                <w:lang w:val="en-US" w:eastAsia="zh-CN"/>
              </w:rPr>
              <w:t>25</w:t>
            </w:r>
            <w:r>
              <w:rPr>
                <w:rFonts w:hint="eastAsia" w:ascii="Times New Roman" w:hAnsi="Times New Roman" w:eastAsia="宋体" w:cs="Times New Roman"/>
                <w:sz w:val="21"/>
                <w:szCs w:val="21"/>
                <w:highlight w:val="none"/>
                <w:lang w:val="en-US" w:eastAsia="zh-CN"/>
              </w:rPr>
              <w:t>）</w:t>
            </w:r>
            <w:r>
              <w:rPr>
                <w:rFonts w:hint="eastAsia" w:cs="Times New Roman"/>
                <w:sz w:val="21"/>
                <w:szCs w:val="21"/>
                <w:highlight w:val="none"/>
                <w:lang w:val="en-US" w:eastAsia="zh-CN"/>
              </w:rPr>
              <w:t>表3 企业边界挥发性有机物浓度限值要求</w:t>
            </w:r>
          </w:p>
        </w:tc>
      </w:tr>
      <w:tr w14:paraId="6AC03E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959" w:type="dxa"/>
            <w:vMerge w:val="continue"/>
            <w:noWrap w:val="0"/>
            <w:vAlign w:val="center"/>
          </w:tcPr>
          <w:p w14:paraId="75A01B7D">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02966EF2">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39D1453C">
            <w:pPr>
              <w:keepNext w:val="0"/>
              <w:keepLines w:val="0"/>
              <w:pageBreakBefore w:val="0"/>
              <w:widowControl w:val="0"/>
              <w:suppressLineNumbers w:val="0"/>
              <w:tabs>
                <w:tab w:val="left" w:pos="930"/>
              </w:tabs>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auto"/>
              <w:rPr>
                <w:rFonts w:hint="default"/>
                <w:szCs w:val="21"/>
                <w:highlight w:val="none"/>
              </w:rPr>
            </w:pPr>
            <w:r>
              <w:rPr>
                <w:rFonts w:hint="eastAsia" w:ascii="Times New Roman" w:hAnsi="Times New Roman" w:cs="Times New Roman"/>
                <w:snapToGrid w:val="0"/>
                <w:color w:val="auto"/>
                <w:kern w:val="0"/>
                <w:sz w:val="21"/>
                <w:szCs w:val="21"/>
                <w:highlight w:val="none"/>
                <w:lang w:val="en-US" w:eastAsia="zh-CN" w:bidi="ar-SA"/>
              </w:rPr>
              <w:t>酚类</w:t>
            </w:r>
          </w:p>
        </w:tc>
        <w:tc>
          <w:tcPr>
            <w:tcW w:w="2067" w:type="dxa"/>
            <w:vMerge w:val="continue"/>
            <w:noWrap w:val="0"/>
            <w:vAlign w:val="center"/>
          </w:tcPr>
          <w:p w14:paraId="4B6A5982">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szCs w:val="21"/>
                <w:highlight w:val="none"/>
              </w:rPr>
            </w:pPr>
          </w:p>
        </w:tc>
        <w:tc>
          <w:tcPr>
            <w:tcW w:w="3102" w:type="dxa"/>
            <w:vMerge w:val="continue"/>
            <w:noWrap w:val="0"/>
            <w:vAlign w:val="center"/>
          </w:tcPr>
          <w:p w14:paraId="4D07DF5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zCs w:val="21"/>
                <w:highlight w:val="none"/>
              </w:rPr>
            </w:pPr>
          </w:p>
        </w:tc>
      </w:tr>
      <w:tr w14:paraId="40E985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959" w:type="dxa"/>
            <w:vMerge w:val="continue"/>
            <w:noWrap w:val="0"/>
            <w:vAlign w:val="center"/>
          </w:tcPr>
          <w:p w14:paraId="7F98D1EC">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noWrap w:val="0"/>
            <w:vAlign w:val="center"/>
          </w:tcPr>
          <w:p w14:paraId="4B661AB9">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eastAsia="宋体"/>
                <w:szCs w:val="21"/>
                <w:highlight w:val="none"/>
                <w:lang w:val="en-US" w:eastAsia="zh-CN"/>
              </w:rPr>
            </w:pPr>
            <w:r>
              <w:rPr>
                <w:rFonts w:hint="eastAsia"/>
                <w:szCs w:val="21"/>
                <w:highlight w:val="none"/>
                <w:lang w:val="en-US" w:eastAsia="zh-CN"/>
              </w:rPr>
              <w:t>厂房外</w:t>
            </w:r>
          </w:p>
        </w:tc>
        <w:tc>
          <w:tcPr>
            <w:tcW w:w="1367" w:type="dxa"/>
            <w:noWrap w:val="0"/>
            <w:vAlign w:val="center"/>
          </w:tcPr>
          <w:p w14:paraId="1B4481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jc w:val="center"/>
              <w:textAlignment w:val="baseline"/>
              <w:rPr>
                <w:rFonts w:hint="eastAsia" w:ascii="Times New Roman" w:hAnsi="Times New Roman" w:cs="Times New Roman"/>
                <w:snapToGrid w:val="0"/>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非甲烷总烃</w:t>
            </w:r>
          </w:p>
        </w:tc>
        <w:tc>
          <w:tcPr>
            <w:tcW w:w="2067" w:type="dxa"/>
            <w:vMerge w:val="continue"/>
            <w:noWrap w:val="0"/>
            <w:vAlign w:val="center"/>
          </w:tcPr>
          <w:p w14:paraId="3C54090C">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szCs w:val="21"/>
                <w:highlight w:val="none"/>
              </w:rPr>
            </w:pPr>
          </w:p>
        </w:tc>
        <w:tc>
          <w:tcPr>
            <w:tcW w:w="3102" w:type="dxa"/>
            <w:shd w:val="clear" w:color="auto" w:fill="auto"/>
            <w:noWrap w:val="0"/>
            <w:vAlign w:val="center"/>
          </w:tcPr>
          <w:p w14:paraId="6FAE861C">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sz w:val="21"/>
                <w:szCs w:val="21"/>
                <w:highlight w:val="none"/>
                <w:lang w:val="en-US" w:eastAsia="zh-CN"/>
              </w:rPr>
              <w:t>《工业企业挥发性有机物排放控制标准》（DB13/2322-20</w:t>
            </w:r>
            <w:r>
              <w:rPr>
                <w:rFonts w:hint="eastAsia" w:cs="Times New Roman"/>
                <w:sz w:val="21"/>
                <w:szCs w:val="21"/>
                <w:highlight w:val="none"/>
                <w:lang w:val="en-US" w:eastAsia="zh-CN"/>
              </w:rPr>
              <w:t>25</w:t>
            </w:r>
            <w:r>
              <w:rPr>
                <w:rFonts w:hint="eastAsia" w:ascii="Times New Roman" w:hAnsi="Times New Roman" w:eastAsia="宋体" w:cs="Times New Roman"/>
                <w:sz w:val="21"/>
                <w:szCs w:val="21"/>
                <w:highlight w:val="none"/>
                <w:lang w:val="en-US" w:eastAsia="zh-CN"/>
              </w:rPr>
              <w:t>）中</w:t>
            </w:r>
            <w:r>
              <w:rPr>
                <w:rFonts w:hint="eastAsia" w:cs="Times New Roman"/>
                <w:sz w:val="21"/>
                <w:szCs w:val="21"/>
                <w:highlight w:val="none"/>
                <w:lang w:val="en-US" w:eastAsia="zh-CN"/>
              </w:rPr>
              <w:t>表2厂区内挥发性有机物无组织排放限值</w:t>
            </w:r>
            <w:r>
              <w:rPr>
                <w:rFonts w:hint="eastAsia" w:ascii="Times New Roman" w:hAnsi="Times New Roman" w:eastAsia="宋体" w:cs="Times New Roman"/>
                <w:sz w:val="21"/>
                <w:szCs w:val="21"/>
                <w:highlight w:val="none"/>
                <w:lang w:val="en-US" w:eastAsia="zh-CN"/>
              </w:rPr>
              <w:t>要求</w:t>
            </w:r>
          </w:p>
        </w:tc>
      </w:tr>
      <w:tr w14:paraId="0614B9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59" w:type="dxa"/>
            <w:noWrap w:val="0"/>
            <w:vAlign w:val="center"/>
          </w:tcPr>
          <w:p w14:paraId="1CB4519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地表水环境</w:t>
            </w:r>
          </w:p>
        </w:tc>
        <w:tc>
          <w:tcPr>
            <w:tcW w:w="1342" w:type="dxa"/>
            <w:noWrap w:val="0"/>
            <w:vAlign w:val="center"/>
          </w:tcPr>
          <w:p w14:paraId="6725460E">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bCs/>
                <w:iCs/>
                <w:szCs w:val="21"/>
                <w:highlight w:val="none"/>
                <w:lang w:bidi="ar"/>
              </w:rPr>
              <w:t xml:space="preserve">生活污水 </w:t>
            </w:r>
          </w:p>
        </w:tc>
        <w:tc>
          <w:tcPr>
            <w:tcW w:w="1367" w:type="dxa"/>
            <w:noWrap w:val="0"/>
            <w:vAlign w:val="center"/>
          </w:tcPr>
          <w:p w14:paraId="4478B05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0"/>
                <w:highlight w:val="none"/>
              </w:rPr>
            </w:pPr>
            <w:r>
              <w:rPr>
                <w:rFonts w:hint="default"/>
                <w:szCs w:val="20"/>
                <w:highlight w:val="none"/>
              </w:rPr>
              <w:t>pH、COD、BOD</w:t>
            </w:r>
            <w:r>
              <w:rPr>
                <w:rFonts w:hint="default"/>
                <w:szCs w:val="20"/>
                <w:highlight w:val="none"/>
                <w:vertAlign w:val="subscript"/>
              </w:rPr>
              <w:t>5</w:t>
            </w:r>
            <w:r>
              <w:rPr>
                <w:rFonts w:hint="default"/>
                <w:szCs w:val="20"/>
                <w:highlight w:val="none"/>
              </w:rPr>
              <w:t>、SS、NH</w:t>
            </w:r>
            <w:r>
              <w:rPr>
                <w:rFonts w:hint="default"/>
                <w:szCs w:val="20"/>
                <w:highlight w:val="none"/>
                <w:vertAlign w:val="subscript"/>
              </w:rPr>
              <w:t>3</w:t>
            </w:r>
            <w:r>
              <w:rPr>
                <w:rFonts w:hint="default"/>
                <w:szCs w:val="20"/>
                <w:highlight w:val="none"/>
              </w:rPr>
              <w:t>-N、TN、TP</w:t>
            </w:r>
          </w:p>
        </w:tc>
        <w:tc>
          <w:tcPr>
            <w:tcW w:w="2067" w:type="dxa"/>
            <w:noWrap w:val="0"/>
            <w:vAlign w:val="center"/>
          </w:tcPr>
          <w:p w14:paraId="4EC9138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eastAsia" w:eastAsia="宋体"/>
                <w:bCs/>
                <w:szCs w:val="21"/>
                <w:highlight w:val="none"/>
                <w:lang w:val="zh-CN" w:eastAsia="zh-CN"/>
              </w:rPr>
            </w:pPr>
            <w:r>
              <w:rPr>
                <w:rFonts w:hint="eastAsia"/>
                <w:bCs/>
                <w:szCs w:val="21"/>
                <w:highlight w:val="none"/>
                <w:lang w:val="en-US" w:eastAsia="zh-CN"/>
              </w:rPr>
              <w:t xml:space="preserve">排入防渗旱厕，定期清掏，不外排 </w:t>
            </w:r>
          </w:p>
        </w:tc>
        <w:tc>
          <w:tcPr>
            <w:tcW w:w="3102" w:type="dxa"/>
            <w:noWrap w:val="0"/>
            <w:vAlign w:val="center"/>
          </w:tcPr>
          <w:p w14:paraId="32F03F4A">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不外排</w:t>
            </w:r>
          </w:p>
        </w:tc>
      </w:tr>
      <w:tr w14:paraId="042A99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959" w:type="dxa"/>
            <w:noWrap w:val="0"/>
            <w:vAlign w:val="center"/>
          </w:tcPr>
          <w:p w14:paraId="5386C58D">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声环境</w:t>
            </w:r>
          </w:p>
        </w:tc>
        <w:tc>
          <w:tcPr>
            <w:tcW w:w="1342" w:type="dxa"/>
            <w:noWrap w:val="0"/>
            <w:vAlign w:val="center"/>
          </w:tcPr>
          <w:p w14:paraId="6E916B9B">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生产设备</w:t>
            </w:r>
          </w:p>
        </w:tc>
        <w:tc>
          <w:tcPr>
            <w:tcW w:w="1367" w:type="dxa"/>
            <w:noWrap w:val="0"/>
            <w:vAlign w:val="center"/>
          </w:tcPr>
          <w:p w14:paraId="16170A9C">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等效连续A声级</w:t>
            </w:r>
          </w:p>
        </w:tc>
        <w:tc>
          <w:tcPr>
            <w:tcW w:w="2067" w:type="dxa"/>
            <w:noWrap w:val="0"/>
            <w:vAlign w:val="center"/>
          </w:tcPr>
          <w:p w14:paraId="12A9C0E5">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基础减振、厂房隔声、距离衰减</w:t>
            </w:r>
          </w:p>
        </w:tc>
        <w:tc>
          <w:tcPr>
            <w:tcW w:w="3102" w:type="dxa"/>
            <w:noWrap w:val="0"/>
            <w:vAlign w:val="center"/>
          </w:tcPr>
          <w:p w14:paraId="2EB01DFE">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pacing w:val="-6"/>
                <w:sz w:val="21"/>
                <w:szCs w:val="21"/>
                <w:highlight w:val="none"/>
              </w:rPr>
            </w:pPr>
            <w:r>
              <w:rPr>
                <w:rFonts w:hint="default"/>
                <w:spacing w:val="-6"/>
                <w:sz w:val="21"/>
                <w:szCs w:val="21"/>
                <w:highlight w:val="none"/>
              </w:rPr>
              <w:t>《工业企业厂界环境噪声排放标准》(GB12348-2008)中</w:t>
            </w:r>
            <w:r>
              <w:rPr>
                <w:rFonts w:hint="eastAsia"/>
                <w:spacing w:val="-6"/>
                <w:sz w:val="21"/>
                <w:szCs w:val="21"/>
                <w:highlight w:val="none"/>
                <w:lang w:val="en-US" w:eastAsia="zh-CN"/>
              </w:rPr>
              <w:t>3</w:t>
            </w:r>
            <w:r>
              <w:rPr>
                <w:rFonts w:hint="default"/>
                <w:spacing w:val="-6"/>
                <w:sz w:val="21"/>
                <w:szCs w:val="21"/>
                <w:highlight w:val="none"/>
              </w:rPr>
              <w:t>类标准</w:t>
            </w:r>
          </w:p>
        </w:tc>
      </w:tr>
      <w:tr w14:paraId="572AA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59" w:type="dxa"/>
            <w:noWrap w:val="0"/>
            <w:vAlign w:val="center"/>
          </w:tcPr>
          <w:p w14:paraId="5606D2A9">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电磁辐射</w:t>
            </w:r>
          </w:p>
        </w:tc>
        <w:tc>
          <w:tcPr>
            <w:tcW w:w="7878" w:type="dxa"/>
            <w:gridSpan w:val="4"/>
            <w:noWrap w:val="0"/>
            <w:vAlign w:val="center"/>
          </w:tcPr>
          <w:p w14:paraId="680F98D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无</w:t>
            </w:r>
          </w:p>
        </w:tc>
      </w:tr>
      <w:tr w14:paraId="76DB0A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restart"/>
            <w:noWrap w:val="0"/>
            <w:vAlign w:val="center"/>
          </w:tcPr>
          <w:p w14:paraId="50D5701D">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固体废物</w:t>
            </w:r>
          </w:p>
        </w:tc>
        <w:tc>
          <w:tcPr>
            <w:tcW w:w="1342" w:type="dxa"/>
            <w:vMerge w:val="restart"/>
            <w:noWrap w:val="0"/>
            <w:vAlign w:val="center"/>
          </w:tcPr>
          <w:p w14:paraId="253A875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生产</w:t>
            </w:r>
          </w:p>
        </w:tc>
        <w:tc>
          <w:tcPr>
            <w:tcW w:w="1367" w:type="dxa"/>
            <w:noWrap w:val="0"/>
            <w:vAlign w:val="center"/>
          </w:tcPr>
          <w:p w14:paraId="5300E7D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eastAsia" w:eastAsia="宋体"/>
                <w:szCs w:val="21"/>
                <w:highlight w:val="none"/>
                <w:lang w:val="en-US" w:eastAsia="zh-CN"/>
              </w:rPr>
            </w:pPr>
            <w:r>
              <w:rPr>
                <w:rFonts w:hint="eastAsia"/>
                <w:sz w:val="21"/>
                <w:szCs w:val="21"/>
                <w:highlight w:val="none"/>
                <w:lang w:val="en-US" w:eastAsia="zh-CN"/>
              </w:rPr>
              <w:t>不合格壳芯</w:t>
            </w:r>
          </w:p>
        </w:tc>
        <w:tc>
          <w:tcPr>
            <w:tcW w:w="2067" w:type="dxa"/>
            <w:vMerge w:val="restart"/>
            <w:noWrap w:val="0"/>
            <w:vAlign w:val="center"/>
          </w:tcPr>
          <w:p w14:paraId="57B1B1C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zCs w:val="21"/>
                <w:highlight w:val="none"/>
              </w:rPr>
            </w:pPr>
            <w:r>
              <w:rPr>
                <w:rFonts w:hint="eastAsia" w:ascii="Times New Roman" w:hAnsi="Times New Roman" w:eastAsia="宋体" w:cs="Times New Roman"/>
                <w:smallCaps w:val="0"/>
                <w:color w:val="auto"/>
                <w:spacing w:val="0"/>
                <w:szCs w:val="20"/>
                <w:highlight w:val="none"/>
                <w:lang w:val="en-US" w:eastAsia="zh-CN"/>
              </w:rPr>
              <w:t>交厂家回收再生利用</w:t>
            </w:r>
          </w:p>
        </w:tc>
        <w:tc>
          <w:tcPr>
            <w:tcW w:w="3102" w:type="dxa"/>
            <w:vMerge w:val="restart"/>
            <w:noWrap w:val="0"/>
            <w:vAlign w:val="center"/>
          </w:tcPr>
          <w:p w14:paraId="24C6BDAA">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《一般工业固体废物贮存和填埋污染控制标准》（GB18599-2020）</w:t>
            </w:r>
          </w:p>
        </w:tc>
      </w:tr>
      <w:tr w14:paraId="5E6499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2535710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520250B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1B2FB19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szCs w:val="21"/>
                <w:highlight w:val="none"/>
              </w:rPr>
            </w:pPr>
            <w:r>
              <w:rPr>
                <w:rFonts w:hint="eastAsia"/>
                <w:sz w:val="21"/>
                <w:szCs w:val="21"/>
                <w:highlight w:val="none"/>
                <w:lang w:val="en-US" w:eastAsia="zh-CN"/>
              </w:rPr>
              <w:t>废砂</w:t>
            </w:r>
          </w:p>
        </w:tc>
        <w:tc>
          <w:tcPr>
            <w:tcW w:w="2067" w:type="dxa"/>
            <w:vMerge w:val="continue"/>
            <w:noWrap w:val="0"/>
            <w:vAlign w:val="center"/>
          </w:tcPr>
          <w:p w14:paraId="1359BE1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zCs w:val="20"/>
                <w:highlight w:val="none"/>
              </w:rPr>
            </w:pPr>
          </w:p>
        </w:tc>
        <w:tc>
          <w:tcPr>
            <w:tcW w:w="3102" w:type="dxa"/>
            <w:vMerge w:val="continue"/>
            <w:noWrap w:val="0"/>
            <w:vAlign w:val="center"/>
          </w:tcPr>
          <w:p w14:paraId="53B6F3C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3F7E51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64F0D792">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47AAA79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21DE394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szCs w:val="21"/>
                <w:highlight w:val="none"/>
              </w:rPr>
            </w:pPr>
            <w:r>
              <w:rPr>
                <w:rFonts w:hint="eastAsia"/>
                <w:sz w:val="21"/>
                <w:szCs w:val="21"/>
                <w:highlight w:val="none"/>
                <w:lang w:val="en-US" w:eastAsia="zh-CN"/>
              </w:rPr>
              <w:t>浇注废渣</w:t>
            </w:r>
          </w:p>
        </w:tc>
        <w:tc>
          <w:tcPr>
            <w:tcW w:w="2067" w:type="dxa"/>
            <w:vMerge w:val="restart"/>
            <w:noWrap w:val="0"/>
            <w:vAlign w:val="center"/>
          </w:tcPr>
          <w:p w14:paraId="4B1E808A">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eastAsia" w:ascii="Times New Roman" w:hAnsi="Times New Roman" w:eastAsia="宋体" w:cs="Times New Roman"/>
                <w:smallCaps w:val="0"/>
                <w:color w:val="auto"/>
                <w:spacing w:val="0"/>
                <w:szCs w:val="20"/>
                <w:highlight w:val="none"/>
                <w:lang w:val="en-US" w:eastAsia="zh-CN"/>
              </w:rPr>
              <w:t>重新回到中频炉利用</w:t>
            </w:r>
          </w:p>
        </w:tc>
        <w:tc>
          <w:tcPr>
            <w:tcW w:w="3102" w:type="dxa"/>
            <w:vMerge w:val="continue"/>
            <w:noWrap w:val="0"/>
            <w:vAlign w:val="center"/>
          </w:tcPr>
          <w:p w14:paraId="1C7590AA">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18D53C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418E477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0479ED61">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56159D1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eastAsia"/>
                <w:szCs w:val="21"/>
                <w:highlight w:val="none"/>
              </w:rPr>
            </w:pPr>
            <w:r>
              <w:rPr>
                <w:rFonts w:hint="eastAsia"/>
                <w:sz w:val="21"/>
                <w:szCs w:val="21"/>
                <w:highlight w:val="none"/>
                <w:lang w:val="en-US" w:eastAsia="zh-CN"/>
              </w:rPr>
              <w:t>浇冒口</w:t>
            </w:r>
          </w:p>
        </w:tc>
        <w:tc>
          <w:tcPr>
            <w:tcW w:w="2067" w:type="dxa"/>
            <w:vMerge w:val="continue"/>
            <w:noWrap w:val="0"/>
            <w:vAlign w:val="center"/>
          </w:tcPr>
          <w:p w14:paraId="1A495365">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3102" w:type="dxa"/>
            <w:vMerge w:val="continue"/>
            <w:noWrap w:val="0"/>
            <w:vAlign w:val="center"/>
          </w:tcPr>
          <w:p w14:paraId="47409EA8">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2DA029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59" w:type="dxa"/>
            <w:vMerge w:val="continue"/>
            <w:noWrap w:val="0"/>
            <w:vAlign w:val="center"/>
          </w:tcPr>
          <w:p w14:paraId="7A6F946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4349DD12">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10FB70E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szCs w:val="21"/>
                <w:highlight w:val="none"/>
              </w:rPr>
            </w:pPr>
            <w:r>
              <w:rPr>
                <w:rFonts w:hint="eastAsia" w:ascii="Times New Roman" w:hAnsi="Times New Roman" w:eastAsia="宋体" w:cs="Times New Roman"/>
                <w:smallCaps w:val="0"/>
                <w:color w:val="auto"/>
                <w:spacing w:val="0"/>
                <w:szCs w:val="20"/>
                <w:highlight w:val="none"/>
                <w:lang w:val="en-US" w:eastAsia="zh-CN"/>
              </w:rPr>
              <w:t>不合格品</w:t>
            </w:r>
          </w:p>
        </w:tc>
        <w:tc>
          <w:tcPr>
            <w:tcW w:w="2067" w:type="dxa"/>
            <w:vMerge w:val="continue"/>
            <w:noWrap w:val="0"/>
            <w:vAlign w:val="center"/>
          </w:tcPr>
          <w:p w14:paraId="49A60F8E">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3102" w:type="dxa"/>
            <w:vMerge w:val="continue"/>
            <w:noWrap w:val="0"/>
            <w:vAlign w:val="center"/>
          </w:tcPr>
          <w:p w14:paraId="65A4BA01">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1C00AF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959" w:type="dxa"/>
            <w:vMerge w:val="continue"/>
            <w:noWrap w:val="0"/>
            <w:vAlign w:val="center"/>
          </w:tcPr>
          <w:p w14:paraId="0E92F2D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7236363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6106787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ascii="Times New Roman" w:hAnsi="Times New Roman" w:eastAsia="宋体" w:cs="Times New Roman"/>
                <w:smallCaps w:val="0"/>
                <w:color w:val="auto"/>
                <w:spacing w:val="0"/>
                <w:szCs w:val="20"/>
                <w:highlight w:val="none"/>
                <w:lang w:val="en-US" w:eastAsia="zh-CN"/>
              </w:rPr>
            </w:pPr>
            <w:r>
              <w:rPr>
                <w:rFonts w:hint="eastAsia" w:cs="Times New Roman"/>
                <w:smallCaps w:val="0"/>
                <w:color w:val="auto"/>
                <w:spacing w:val="0"/>
                <w:szCs w:val="20"/>
                <w:highlight w:val="none"/>
                <w:lang w:val="en-US" w:eastAsia="zh-CN"/>
              </w:rPr>
              <w:t>铁渣</w:t>
            </w:r>
          </w:p>
        </w:tc>
        <w:tc>
          <w:tcPr>
            <w:tcW w:w="2067" w:type="dxa"/>
            <w:vMerge w:val="restart"/>
            <w:noWrap w:val="0"/>
            <w:vAlign w:val="center"/>
          </w:tcPr>
          <w:p w14:paraId="1F19D90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szCs w:val="21"/>
                <w:highlight w:val="none"/>
              </w:rPr>
            </w:pPr>
            <w:r>
              <w:rPr>
                <w:rFonts w:hint="eastAsia" w:cs="Times New Roman"/>
                <w:smallCaps w:val="0"/>
                <w:color w:val="auto"/>
                <w:spacing w:val="0"/>
                <w:szCs w:val="20"/>
                <w:highlight w:val="none"/>
                <w:lang w:val="en-US" w:eastAsia="zh-CN"/>
              </w:rPr>
              <w:t>外售综合利用</w:t>
            </w:r>
          </w:p>
        </w:tc>
        <w:tc>
          <w:tcPr>
            <w:tcW w:w="3102" w:type="dxa"/>
            <w:vMerge w:val="continue"/>
            <w:noWrap w:val="0"/>
            <w:vAlign w:val="center"/>
          </w:tcPr>
          <w:p w14:paraId="0A4FB418">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257488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1" w:hRule="atLeast"/>
          <w:jc w:val="center"/>
        </w:trPr>
        <w:tc>
          <w:tcPr>
            <w:tcW w:w="959" w:type="dxa"/>
            <w:vMerge w:val="continue"/>
            <w:noWrap w:val="0"/>
            <w:vAlign w:val="center"/>
          </w:tcPr>
          <w:p w14:paraId="3C5A4CD8">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4A5A433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727AF24C">
            <w:pPr>
              <w:keepNext w:val="0"/>
              <w:keepLines w:val="0"/>
              <w:pageBreakBefore w:val="0"/>
              <w:widowControl/>
              <w:suppressLineNumbers w:val="0"/>
              <w:tabs>
                <w:tab w:val="left" w:pos="340"/>
              </w:tabs>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eastAsia" w:ascii="Times New Roman" w:hAnsi="Times New Roman" w:eastAsia="宋体" w:cs="Times New Roman"/>
                <w:smallCaps w:val="0"/>
                <w:color w:val="auto"/>
                <w:spacing w:val="0"/>
                <w:szCs w:val="20"/>
                <w:highlight w:val="none"/>
                <w:lang w:val="en-US" w:eastAsia="zh-CN"/>
              </w:rPr>
            </w:pPr>
            <w:r>
              <w:rPr>
                <w:rFonts w:hint="eastAsia"/>
                <w:sz w:val="21"/>
                <w:szCs w:val="21"/>
                <w:highlight w:val="none"/>
                <w:lang w:val="en-US" w:eastAsia="zh-CN"/>
              </w:rPr>
              <w:t>废布袋</w:t>
            </w:r>
          </w:p>
        </w:tc>
        <w:tc>
          <w:tcPr>
            <w:tcW w:w="2067" w:type="dxa"/>
            <w:vMerge w:val="continue"/>
            <w:noWrap w:val="0"/>
            <w:vAlign w:val="center"/>
          </w:tcPr>
          <w:p w14:paraId="6C68E355">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default"/>
                <w:szCs w:val="21"/>
                <w:highlight w:val="none"/>
              </w:rPr>
            </w:pPr>
          </w:p>
        </w:tc>
        <w:tc>
          <w:tcPr>
            <w:tcW w:w="3102" w:type="dxa"/>
            <w:vMerge w:val="continue"/>
            <w:noWrap w:val="0"/>
            <w:vAlign w:val="center"/>
          </w:tcPr>
          <w:p w14:paraId="4BDE7011">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6B413E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9" w:hRule="atLeast"/>
          <w:jc w:val="center"/>
        </w:trPr>
        <w:tc>
          <w:tcPr>
            <w:tcW w:w="959" w:type="dxa"/>
            <w:vMerge w:val="continue"/>
            <w:noWrap w:val="0"/>
            <w:vAlign w:val="center"/>
          </w:tcPr>
          <w:p w14:paraId="7F6C6CF1">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42" w:type="dxa"/>
            <w:vMerge w:val="continue"/>
            <w:noWrap w:val="0"/>
            <w:vAlign w:val="center"/>
          </w:tcPr>
          <w:p w14:paraId="7A011B3B">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576AB64C">
            <w:pPr>
              <w:keepNext w:val="0"/>
              <w:keepLines w:val="0"/>
              <w:pageBreakBefore w:val="0"/>
              <w:widowControl/>
              <w:suppressLineNumbers w:val="0"/>
              <w:tabs>
                <w:tab w:val="left" w:pos="340"/>
              </w:tabs>
              <w:kinsoku/>
              <w:wordWrap/>
              <w:overflowPunct/>
              <w:topLinePunct w:val="0"/>
              <w:autoSpaceDE/>
              <w:autoSpaceDN/>
              <w:bidi w:val="0"/>
              <w:adjustRightInd w:val="0"/>
              <w:snapToGrid w:val="0"/>
              <w:spacing w:before="0" w:beforeAutospacing="0" w:after="0" w:afterAutospacing="0" w:line="280" w:lineRule="exact"/>
              <w:ind w:left="0" w:leftChars="0" w:right="0" w:rightChars="0"/>
              <w:jc w:val="center"/>
              <w:rPr>
                <w:rFonts w:hint="eastAsia" w:ascii="Times New Roman" w:hAnsi="Times New Roman" w:eastAsia="宋体" w:cs="Times New Roman"/>
                <w:smallCaps w:val="0"/>
                <w:color w:val="auto"/>
                <w:spacing w:val="0"/>
                <w:szCs w:val="20"/>
                <w:highlight w:val="none"/>
                <w:lang w:val="en-US" w:eastAsia="zh-CN"/>
              </w:rPr>
            </w:pPr>
            <w:r>
              <w:rPr>
                <w:rFonts w:hint="eastAsia"/>
                <w:sz w:val="21"/>
                <w:szCs w:val="21"/>
                <w:highlight w:val="none"/>
                <w:lang w:val="en-US" w:eastAsia="zh-CN"/>
              </w:rPr>
              <w:t>除尘灰</w:t>
            </w:r>
          </w:p>
        </w:tc>
        <w:tc>
          <w:tcPr>
            <w:tcW w:w="2067" w:type="dxa"/>
            <w:vMerge w:val="continue"/>
            <w:noWrap w:val="0"/>
            <w:vAlign w:val="center"/>
          </w:tcPr>
          <w:p w14:paraId="31990C55">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3102" w:type="dxa"/>
            <w:vMerge w:val="continue"/>
            <w:noWrap w:val="0"/>
            <w:vAlign w:val="center"/>
          </w:tcPr>
          <w:p w14:paraId="0412222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r>
      <w:tr w14:paraId="28885E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7289FBB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pacing w:val="-11"/>
                <w:szCs w:val="21"/>
                <w:highlight w:val="none"/>
              </w:rPr>
            </w:pPr>
          </w:p>
        </w:tc>
        <w:tc>
          <w:tcPr>
            <w:tcW w:w="1342" w:type="dxa"/>
            <w:vMerge w:val="continue"/>
            <w:noWrap w:val="0"/>
            <w:vAlign w:val="center"/>
          </w:tcPr>
          <w:p w14:paraId="68225199">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p>
        </w:tc>
        <w:tc>
          <w:tcPr>
            <w:tcW w:w="1367" w:type="dxa"/>
            <w:noWrap w:val="0"/>
            <w:vAlign w:val="center"/>
          </w:tcPr>
          <w:p w14:paraId="6F111EE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eastAsia"/>
                <w:szCs w:val="21"/>
                <w:highlight w:val="none"/>
                <w:lang w:val="en-US" w:eastAsia="zh-CN"/>
              </w:rPr>
              <w:t>废活性炭、</w:t>
            </w:r>
            <w:r>
              <w:rPr>
                <w:rFonts w:hint="eastAsia"/>
                <w:szCs w:val="21"/>
                <w:highlight w:val="none"/>
              </w:rPr>
              <w:t>废润滑油及废油桶</w:t>
            </w:r>
          </w:p>
        </w:tc>
        <w:tc>
          <w:tcPr>
            <w:tcW w:w="2067" w:type="dxa"/>
            <w:noWrap w:val="0"/>
            <w:vAlign w:val="center"/>
          </w:tcPr>
          <w:p w14:paraId="1156E446">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kern w:val="2"/>
                <w:sz w:val="21"/>
                <w:szCs w:val="21"/>
                <w:highlight w:val="none"/>
                <w:lang w:val="en-US" w:eastAsia="zh-CN" w:bidi="ar-SA"/>
              </w:rPr>
            </w:pPr>
            <w:r>
              <w:rPr>
                <w:rFonts w:hint="eastAsia"/>
                <w:kern w:val="0"/>
                <w:szCs w:val="21"/>
                <w:highlight w:val="none"/>
              </w:rPr>
              <w:t>不在厂内存储，更换时由具有危废处置资质的单位及时到厂清运</w:t>
            </w:r>
          </w:p>
        </w:tc>
        <w:tc>
          <w:tcPr>
            <w:tcW w:w="3102" w:type="dxa"/>
            <w:noWrap w:val="0"/>
            <w:vAlign w:val="center"/>
          </w:tcPr>
          <w:p w14:paraId="15430229">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color w:val="000000"/>
                <w:szCs w:val="21"/>
                <w:highlight w:val="none"/>
              </w:rPr>
              <w:t>《危险废物贮存污染控制标准》（GB18597-20</w:t>
            </w:r>
            <w:r>
              <w:rPr>
                <w:rFonts w:hint="eastAsia"/>
                <w:color w:val="000000"/>
                <w:szCs w:val="21"/>
                <w:highlight w:val="none"/>
              </w:rPr>
              <w:t>23</w:t>
            </w:r>
            <w:r>
              <w:rPr>
                <w:rFonts w:hint="default"/>
                <w:color w:val="000000"/>
                <w:szCs w:val="21"/>
                <w:highlight w:val="none"/>
              </w:rPr>
              <w:t>）</w:t>
            </w:r>
          </w:p>
        </w:tc>
      </w:tr>
      <w:tr w14:paraId="47F2E5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vMerge w:val="continue"/>
            <w:noWrap w:val="0"/>
            <w:vAlign w:val="center"/>
          </w:tcPr>
          <w:p w14:paraId="3FE05C5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jc w:val="center"/>
              <w:textAlignment w:val="auto"/>
              <w:rPr>
                <w:rFonts w:hint="default"/>
                <w:spacing w:val="-11"/>
                <w:szCs w:val="21"/>
                <w:highlight w:val="none"/>
              </w:rPr>
            </w:pPr>
          </w:p>
        </w:tc>
        <w:tc>
          <w:tcPr>
            <w:tcW w:w="1342" w:type="dxa"/>
            <w:noWrap w:val="0"/>
            <w:vAlign w:val="center"/>
          </w:tcPr>
          <w:p w14:paraId="4F9EBC6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职工生活</w:t>
            </w:r>
          </w:p>
        </w:tc>
        <w:tc>
          <w:tcPr>
            <w:tcW w:w="1367" w:type="dxa"/>
            <w:noWrap w:val="0"/>
            <w:vAlign w:val="center"/>
          </w:tcPr>
          <w:p w14:paraId="72AC713E">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生活垃圾</w:t>
            </w:r>
          </w:p>
        </w:tc>
        <w:tc>
          <w:tcPr>
            <w:tcW w:w="2067" w:type="dxa"/>
            <w:noWrap w:val="0"/>
            <w:vAlign w:val="center"/>
          </w:tcPr>
          <w:p w14:paraId="70C1F6D3">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集中收集定期运至环卫部门指定地点</w:t>
            </w:r>
          </w:p>
        </w:tc>
        <w:tc>
          <w:tcPr>
            <w:tcW w:w="3102" w:type="dxa"/>
            <w:noWrap w:val="0"/>
            <w:vAlign w:val="center"/>
          </w:tcPr>
          <w:p w14:paraId="2CC0C8B7">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eastAsia" w:eastAsia="宋体"/>
                <w:szCs w:val="21"/>
                <w:highlight w:val="none"/>
                <w:lang w:val="en-US" w:eastAsia="zh-CN"/>
              </w:rPr>
            </w:pPr>
            <w:r>
              <w:rPr>
                <w:rFonts w:hint="eastAsia"/>
                <w:szCs w:val="21"/>
                <w:highlight w:val="none"/>
                <w:lang w:val="en-US" w:eastAsia="zh-CN"/>
              </w:rPr>
              <w:t>/</w:t>
            </w:r>
          </w:p>
        </w:tc>
      </w:tr>
      <w:tr w14:paraId="655529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59" w:type="dxa"/>
            <w:noWrap w:val="0"/>
            <w:vAlign w:val="center"/>
          </w:tcPr>
          <w:p w14:paraId="4255D88B">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土壤及地下水污染防治措施</w:t>
            </w:r>
          </w:p>
        </w:tc>
        <w:tc>
          <w:tcPr>
            <w:tcW w:w="7878" w:type="dxa"/>
            <w:gridSpan w:val="4"/>
            <w:noWrap w:val="0"/>
            <w:vAlign w:val="center"/>
          </w:tcPr>
          <w:p w14:paraId="145D4BCE">
            <w:pPr>
              <w:keepNext w:val="0"/>
              <w:keepLines w:val="0"/>
              <w:pageBreakBefore w:val="0"/>
              <w:widowControl w:val="0"/>
              <w:suppressLineNumbers w:val="0"/>
              <w:kinsoku/>
              <w:wordWrap/>
              <w:overflowPunct/>
              <w:topLinePunct w:val="0"/>
              <w:autoSpaceDE/>
              <w:autoSpaceDN/>
              <w:bidi w:val="0"/>
              <w:adjustRightInd/>
              <w:spacing w:before="0" w:beforeAutospacing="0" w:after="0" w:afterAutospacing="0" w:line="280" w:lineRule="exact"/>
              <w:ind w:left="0" w:right="0" w:firstLine="420" w:firstLineChars="200"/>
              <w:jc w:val="left"/>
              <w:textAlignment w:val="auto"/>
              <w:rPr>
                <w:rFonts w:hint="eastAsia" w:eastAsia="TimesNewRomanPSMT"/>
                <w:szCs w:val="21"/>
                <w:highlight w:val="none"/>
                <w:lang w:eastAsia="zh-CN"/>
              </w:rPr>
            </w:pPr>
            <w:r>
              <w:rPr>
                <w:rFonts w:hint="default"/>
                <w:sz w:val="21"/>
                <w:szCs w:val="21"/>
                <w:highlight w:val="none"/>
              </w:rPr>
              <w:t>一般防渗区：</w:t>
            </w:r>
            <w:r>
              <w:rPr>
                <w:rFonts w:hint="eastAsia"/>
                <w:sz w:val="21"/>
                <w:szCs w:val="21"/>
                <w:highlight w:val="none"/>
                <w:lang w:val="en-US" w:eastAsia="zh-CN"/>
              </w:rPr>
              <w:t>生产车间</w:t>
            </w:r>
            <w:r>
              <w:rPr>
                <w:rFonts w:hint="default"/>
                <w:sz w:val="21"/>
                <w:szCs w:val="21"/>
                <w:highlight w:val="none"/>
              </w:rPr>
              <w:t>进行水泥防渗，铺设人工防渗层，其等效黏土防渗层</w:t>
            </w:r>
            <w:r>
              <w:rPr>
                <w:rFonts w:hint="default" w:eastAsia="TimesNewRomanPSMT"/>
                <w:sz w:val="21"/>
                <w:szCs w:val="21"/>
                <w:highlight w:val="none"/>
              </w:rPr>
              <w:t>Mb</w:t>
            </w:r>
            <w:r>
              <w:rPr>
                <w:rFonts w:hint="default"/>
                <w:sz w:val="21"/>
                <w:szCs w:val="21"/>
                <w:highlight w:val="none"/>
              </w:rPr>
              <w:t>≥</w:t>
            </w:r>
            <w:r>
              <w:rPr>
                <w:rFonts w:hint="default" w:eastAsia="TimesNewRomanPSMT"/>
                <w:sz w:val="21"/>
                <w:szCs w:val="21"/>
                <w:highlight w:val="none"/>
              </w:rPr>
              <w:t>1.5m</w:t>
            </w:r>
            <w:r>
              <w:rPr>
                <w:rFonts w:hint="default"/>
                <w:sz w:val="21"/>
                <w:szCs w:val="21"/>
                <w:highlight w:val="none"/>
              </w:rPr>
              <w:t>，渗透系数≤</w:t>
            </w:r>
            <w:r>
              <w:rPr>
                <w:rFonts w:hint="default" w:eastAsia="TimesNewRomanPSMT"/>
                <w:sz w:val="21"/>
                <w:szCs w:val="21"/>
                <w:highlight w:val="none"/>
              </w:rPr>
              <w:t>10</w:t>
            </w:r>
            <w:r>
              <w:rPr>
                <w:rFonts w:hint="default" w:eastAsia="TimesNewRomanPSMT"/>
                <w:sz w:val="21"/>
                <w:szCs w:val="21"/>
                <w:highlight w:val="none"/>
                <w:vertAlign w:val="superscript"/>
              </w:rPr>
              <w:t>-7</w:t>
            </w:r>
            <w:r>
              <w:rPr>
                <w:rFonts w:hint="default" w:eastAsia="TimesNewRomanPSMT"/>
                <w:sz w:val="21"/>
                <w:szCs w:val="21"/>
                <w:highlight w:val="none"/>
              </w:rPr>
              <w:t>cm/s</w:t>
            </w:r>
            <w:r>
              <w:rPr>
                <w:rFonts w:hint="eastAsia" w:eastAsia="TimesNewRomanPSMT"/>
                <w:sz w:val="21"/>
                <w:szCs w:val="21"/>
                <w:highlight w:val="none"/>
                <w:lang w:eastAsia="zh-CN"/>
              </w:rPr>
              <w:t>。</w:t>
            </w:r>
          </w:p>
        </w:tc>
      </w:tr>
      <w:tr w14:paraId="21A89F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noWrap w:val="0"/>
            <w:vAlign w:val="center"/>
          </w:tcPr>
          <w:p w14:paraId="491DC0E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生态保护措施</w:t>
            </w:r>
          </w:p>
        </w:tc>
        <w:tc>
          <w:tcPr>
            <w:tcW w:w="7878" w:type="dxa"/>
            <w:gridSpan w:val="4"/>
            <w:noWrap w:val="0"/>
            <w:vAlign w:val="center"/>
          </w:tcPr>
          <w:p w14:paraId="4FC0277F">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无</w:t>
            </w:r>
          </w:p>
        </w:tc>
      </w:tr>
      <w:tr w14:paraId="48260C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9" w:type="dxa"/>
            <w:noWrap w:val="0"/>
            <w:vAlign w:val="center"/>
          </w:tcPr>
          <w:p w14:paraId="6A345934">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szCs w:val="21"/>
                <w:highlight w:val="none"/>
              </w:rPr>
            </w:pPr>
            <w:r>
              <w:rPr>
                <w:rFonts w:hint="default"/>
                <w:szCs w:val="21"/>
                <w:highlight w:val="none"/>
              </w:rPr>
              <w:t>环境风险防范措施</w:t>
            </w:r>
          </w:p>
        </w:tc>
        <w:tc>
          <w:tcPr>
            <w:tcW w:w="7878" w:type="dxa"/>
            <w:gridSpan w:val="4"/>
            <w:noWrap w:val="0"/>
            <w:vAlign w:val="center"/>
          </w:tcPr>
          <w:p w14:paraId="4BE0B17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420" w:firstLineChars="200"/>
              <w:textAlignment w:val="auto"/>
              <w:rPr>
                <w:rFonts w:hint="default"/>
                <w:szCs w:val="21"/>
                <w:highlight w:val="none"/>
              </w:rPr>
            </w:pPr>
            <w:r>
              <w:rPr>
                <w:rFonts w:hint="eastAsia"/>
                <w:szCs w:val="20"/>
                <w:highlight w:val="none"/>
              </w:rPr>
              <w:t>润滑油</w:t>
            </w:r>
            <w:r>
              <w:rPr>
                <w:rFonts w:hint="default"/>
                <w:szCs w:val="20"/>
                <w:highlight w:val="none"/>
              </w:rPr>
              <w:t>使用时</w:t>
            </w:r>
            <w:r>
              <w:rPr>
                <w:rFonts w:hint="eastAsia"/>
                <w:szCs w:val="20"/>
                <w:highlight w:val="none"/>
              </w:rPr>
              <w:t>直接加入设备内，不在厂内存储，并</w:t>
            </w:r>
            <w:r>
              <w:rPr>
                <w:rFonts w:hint="default"/>
                <w:szCs w:val="20"/>
                <w:highlight w:val="none"/>
              </w:rPr>
              <w:t>准备相应的消防应急物资，砂土、灭火器等配备齐全。</w:t>
            </w:r>
          </w:p>
        </w:tc>
      </w:tr>
      <w:tr w14:paraId="55AE42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28" w:hRule="atLeast"/>
          <w:jc w:val="center"/>
        </w:trPr>
        <w:tc>
          <w:tcPr>
            <w:tcW w:w="959" w:type="dxa"/>
            <w:noWrap w:val="0"/>
            <w:vAlign w:val="center"/>
          </w:tcPr>
          <w:p w14:paraId="11CA628B">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szCs w:val="21"/>
                <w:highlight w:val="none"/>
              </w:rPr>
            </w:pPr>
            <w:r>
              <w:rPr>
                <w:rFonts w:hint="default" w:ascii="Times New Roman" w:hAnsi="Times New Roman" w:eastAsia="宋体" w:cs="Times New Roman"/>
                <w:b w:val="0"/>
                <w:bCs w:val="0"/>
                <w:color w:val="auto"/>
                <w:szCs w:val="21"/>
                <w:highlight w:val="none"/>
                <w:lang w:val="en-US" w:eastAsia="zh-CN"/>
              </w:rPr>
              <w:t>其他环境管理要求</w:t>
            </w:r>
          </w:p>
        </w:tc>
        <w:tc>
          <w:tcPr>
            <w:tcW w:w="7878" w:type="dxa"/>
            <w:gridSpan w:val="4"/>
            <w:noWrap w:val="0"/>
            <w:vAlign w:val="center"/>
          </w:tcPr>
          <w:p w14:paraId="2ABC50ED">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eastAsia="宋体" w:cs="Times New Roman"/>
                <w:b w:val="0"/>
                <w:bCs w:val="0"/>
                <w:color w:val="auto"/>
                <w:szCs w:val="21"/>
                <w:highlight w:val="none"/>
                <w:lang w:val="en-US" w:eastAsia="zh-CN"/>
              </w:rPr>
            </w:pPr>
            <w:r>
              <w:rPr>
                <w:rFonts w:hint="default" w:ascii="Times New Roman" w:hAnsi="Times New Roman" w:eastAsia="宋体" w:cs="Times New Roman"/>
                <w:b w:val="0"/>
                <w:bCs w:val="0"/>
                <w:color w:val="auto"/>
                <w:szCs w:val="21"/>
                <w:highlight w:val="none"/>
                <w:lang w:val="en-US" w:eastAsia="zh-CN"/>
              </w:rPr>
              <w:t>a.按照《排污许可管理条例》</w:t>
            </w:r>
            <w:r>
              <w:rPr>
                <w:rFonts w:hint="eastAsia" w:ascii="Times New Roman" w:hAnsi="Times New Roman" w:eastAsia="宋体" w:cs="Times New Roman"/>
                <w:b w:val="0"/>
                <w:bCs w:val="0"/>
                <w:color w:val="auto"/>
                <w:szCs w:val="21"/>
                <w:highlight w:val="none"/>
                <w:lang w:val="en-US" w:eastAsia="zh-CN"/>
              </w:rPr>
              <w:t>（中华人民共和国第736号文）要求</w:t>
            </w:r>
            <w:r>
              <w:rPr>
                <w:rFonts w:hint="default" w:ascii="Times New Roman" w:hAnsi="Times New Roman" w:eastAsia="宋体" w:cs="Times New Roman"/>
                <w:b w:val="0"/>
                <w:bCs w:val="0"/>
                <w:color w:val="auto"/>
                <w:szCs w:val="21"/>
                <w:highlight w:val="none"/>
                <w:lang w:val="en-US" w:eastAsia="zh-CN"/>
              </w:rPr>
              <w:t>及时申请排污许可证</w:t>
            </w:r>
            <w:r>
              <w:rPr>
                <w:rFonts w:hint="eastAsia" w:ascii="Times New Roman" w:hAnsi="Times New Roman" w:eastAsia="宋体" w:cs="Times New Roman"/>
                <w:b w:val="0"/>
                <w:bCs w:val="0"/>
                <w:color w:val="auto"/>
                <w:szCs w:val="21"/>
                <w:highlight w:val="none"/>
                <w:lang w:val="en-US" w:eastAsia="zh-CN"/>
              </w:rPr>
              <w:t>；按照《建设项目竣工环境保护验收技术指南 污染影响类》及时编制竣工环境保护验收报告。</w:t>
            </w:r>
          </w:p>
          <w:p w14:paraId="02980185">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eastAsia="宋体" w:cs="Times New Roman"/>
                <w:b w:val="0"/>
                <w:bCs w:val="0"/>
                <w:color w:val="auto"/>
                <w:szCs w:val="21"/>
                <w:highlight w:val="none"/>
                <w:lang w:val="en-US" w:eastAsia="zh-CN"/>
              </w:rPr>
            </w:pPr>
            <w:r>
              <w:rPr>
                <w:rFonts w:hint="default" w:ascii="Times New Roman" w:hAnsi="Times New Roman" w:eastAsia="宋体" w:cs="Times New Roman"/>
                <w:b w:val="0"/>
                <w:bCs w:val="0"/>
                <w:color w:val="auto"/>
                <w:szCs w:val="21"/>
                <w:highlight w:val="none"/>
                <w:lang w:val="en-US" w:eastAsia="zh-CN"/>
              </w:rPr>
              <w:t>b.排污口规范化：严格按照《排污口规范化整治技术要求（试行）》建立规范化排污口，设检测孔及监测平台，设排污口标</w:t>
            </w:r>
            <w:r>
              <w:rPr>
                <w:rFonts w:hint="eastAsia" w:cs="Times New Roman"/>
                <w:b w:val="0"/>
                <w:bCs w:val="0"/>
                <w:color w:val="auto"/>
                <w:szCs w:val="21"/>
                <w:highlight w:val="none"/>
                <w:lang w:val="en-US" w:eastAsia="zh-CN"/>
              </w:rPr>
              <w:t>识</w:t>
            </w:r>
            <w:r>
              <w:rPr>
                <w:rFonts w:hint="default" w:ascii="Times New Roman" w:hAnsi="Times New Roman" w:eastAsia="宋体" w:cs="Times New Roman"/>
                <w:b w:val="0"/>
                <w:bCs w:val="0"/>
                <w:color w:val="auto"/>
                <w:szCs w:val="21"/>
                <w:highlight w:val="none"/>
                <w:lang w:val="en-US" w:eastAsia="zh-CN"/>
              </w:rPr>
              <w:t>牌，建立规范化排污口档案；</w:t>
            </w:r>
          </w:p>
          <w:p w14:paraId="3B6F59C9">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eastAsia="宋体" w:cs="Times New Roman"/>
                <w:b w:val="0"/>
                <w:bCs w:val="0"/>
                <w:color w:val="auto"/>
                <w:szCs w:val="21"/>
                <w:highlight w:val="none"/>
                <w:lang w:val="en-US" w:eastAsia="zh-CN"/>
              </w:rPr>
            </w:pPr>
            <w:r>
              <w:rPr>
                <w:rFonts w:hint="default" w:ascii="Times New Roman" w:hAnsi="Times New Roman" w:eastAsia="宋体" w:cs="Times New Roman"/>
                <w:b w:val="0"/>
                <w:bCs w:val="0"/>
                <w:color w:val="auto"/>
                <w:szCs w:val="21"/>
                <w:highlight w:val="none"/>
                <w:lang w:val="en-US" w:eastAsia="zh-CN"/>
              </w:rPr>
              <w:t xml:space="preserve">c.监测计划：按照《排污许可证申请与核发技术规范 </w:t>
            </w:r>
            <w:r>
              <w:rPr>
                <w:rFonts w:hint="eastAsia" w:ascii="Times New Roman" w:hAnsi="Times New Roman" w:eastAsia="宋体" w:cs="Times New Roman"/>
                <w:b w:val="0"/>
                <w:bCs w:val="0"/>
                <w:color w:val="auto"/>
                <w:szCs w:val="21"/>
                <w:highlight w:val="none"/>
                <w:lang w:val="en-US" w:eastAsia="zh-CN"/>
              </w:rPr>
              <w:t>金属铸造工业</w:t>
            </w:r>
            <w:r>
              <w:rPr>
                <w:rFonts w:hint="default" w:ascii="Times New Roman" w:hAnsi="Times New Roman" w:eastAsia="宋体" w:cs="Times New Roman"/>
                <w:b w:val="0"/>
                <w:bCs w:val="0"/>
                <w:color w:val="auto"/>
                <w:szCs w:val="21"/>
                <w:highlight w:val="none"/>
                <w:lang w:val="en-US" w:eastAsia="zh-CN"/>
              </w:rPr>
              <w:t>》（HJ1251—2022）等文件要求及环保要求进行自行监测。</w:t>
            </w:r>
          </w:p>
          <w:p w14:paraId="1C164D7D">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ascii="Times New Roman" w:hAnsi="Times New Roman" w:eastAsia="宋体" w:cs="Times New Roman"/>
                <w:b w:val="0"/>
                <w:bCs w:val="0"/>
                <w:color w:val="auto"/>
                <w:szCs w:val="21"/>
                <w:highlight w:val="none"/>
                <w:lang w:val="en-US" w:eastAsia="zh-CN"/>
              </w:rPr>
            </w:pPr>
            <w:r>
              <w:rPr>
                <w:rFonts w:hint="default" w:ascii="Times New Roman" w:hAnsi="Times New Roman" w:eastAsia="宋体" w:cs="Times New Roman"/>
                <w:b w:val="0"/>
                <w:bCs w:val="0"/>
                <w:color w:val="auto"/>
                <w:szCs w:val="21"/>
                <w:highlight w:val="none"/>
                <w:lang w:val="en-US" w:eastAsia="zh-CN"/>
              </w:rPr>
              <w:t>d.落实防治环境污染措施，</w:t>
            </w:r>
            <w:r>
              <w:rPr>
                <w:rFonts w:hint="eastAsia" w:ascii="Times New Roman" w:hAnsi="Times New Roman" w:eastAsia="宋体" w:cs="Times New Roman"/>
                <w:b w:val="0"/>
                <w:bCs w:val="0"/>
                <w:color w:val="auto"/>
                <w:szCs w:val="21"/>
                <w:highlight w:val="none"/>
                <w:lang w:val="en-US" w:eastAsia="zh-CN"/>
              </w:rPr>
              <w:t>按照相关法律法规建立</w:t>
            </w:r>
            <w:r>
              <w:rPr>
                <w:rFonts w:hint="default" w:ascii="Times New Roman" w:hAnsi="Times New Roman" w:eastAsia="宋体" w:cs="Times New Roman"/>
                <w:b w:val="0"/>
                <w:bCs w:val="0"/>
                <w:color w:val="auto"/>
                <w:szCs w:val="21"/>
                <w:highlight w:val="none"/>
                <w:lang w:val="en-US" w:eastAsia="zh-CN"/>
              </w:rPr>
              <w:t>环境管理台账。</w:t>
            </w:r>
          </w:p>
          <w:p w14:paraId="0B2AF6B8">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280" w:lineRule="exact"/>
              <w:ind w:left="0" w:right="0"/>
              <w:jc w:val="left"/>
              <w:textAlignment w:val="auto"/>
              <w:rPr>
                <w:rFonts w:hint="default"/>
                <w:szCs w:val="21"/>
                <w:highlight w:val="none"/>
              </w:rPr>
            </w:pPr>
            <w:r>
              <w:rPr>
                <w:rFonts w:hint="eastAsia" w:ascii="Times New Roman" w:hAnsi="Times New Roman" w:eastAsia="宋体" w:cs="Times New Roman"/>
                <w:b w:val="0"/>
                <w:bCs w:val="0"/>
                <w:color w:val="auto"/>
                <w:szCs w:val="21"/>
                <w:highlight w:val="none"/>
                <w:lang w:val="en-US" w:eastAsia="zh-CN"/>
              </w:rPr>
              <w:t>e.</w:t>
            </w:r>
            <w:r>
              <w:rPr>
                <w:rFonts w:hint="default" w:ascii="Times New Roman" w:hAnsi="Times New Roman" w:eastAsia="宋体" w:cs="Times New Roman"/>
                <w:b w:val="0"/>
                <w:bCs w:val="0"/>
                <w:color w:val="auto"/>
                <w:szCs w:val="21"/>
                <w:highlight w:val="none"/>
                <w:lang w:val="en-US" w:eastAsia="zh-CN"/>
              </w:rPr>
              <w:t>按照《企业环境信息依法披露管理办法》依法披露环境信息。</w:t>
            </w:r>
          </w:p>
        </w:tc>
      </w:tr>
    </w:tbl>
    <w:p w14:paraId="0A702910">
      <w:pPr>
        <w:pStyle w:val="41"/>
        <w:jc w:val="center"/>
        <w:outlineLvl w:val="0"/>
        <w:rPr>
          <w:rFonts w:hint="default" w:ascii="Times New Roman" w:hAnsi="Times New Roman" w:eastAsia="黑体" w:cs="Times New Roman"/>
          <w:smallCaps w:val="0"/>
          <w:snapToGrid w:val="0"/>
          <w:color w:val="auto"/>
          <w:spacing w:val="0"/>
          <w:sz w:val="30"/>
          <w:szCs w:val="30"/>
          <w:highlight w:val="none"/>
        </w:rPr>
      </w:pPr>
      <w:r>
        <w:rPr>
          <w:rFonts w:hint="default" w:ascii="Times New Roman" w:hAnsi="Times New Roman" w:cs="Times New Roman"/>
          <w:smallCaps w:val="0"/>
          <w:snapToGrid w:val="0"/>
          <w:color w:val="auto"/>
          <w:spacing w:val="0"/>
          <w:highlight w:val="none"/>
        </w:rPr>
        <w:br w:type="page"/>
      </w:r>
      <w:bookmarkStart w:id="17" w:name="_Toc27138"/>
      <w:r>
        <w:rPr>
          <w:rFonts w:hint="default" w:ascii="Times New Roman" w:hAnsi="Times New Roman" w:eastAsia="黑体" w:cs="Times New Roman"/>
          <w:smallCaps w:val="0"/>
          <w:snapToGrid w:val="0"/>
          <w:color w:val="auto"/>
          <w:spacing w:val="0"/>
          <w:sz w:val="30"/>
          <w:szCs w:val="30"/>
          <w:highlight w:val="none"/>
        </w:rPr>
        <w:t>六、结论</w:t>
      </w:r>
      <w:bookmarkEnd w:id="17"/>
    </w:p>
    <w:tbl>
      <w:tblPr>
        <w:tblStyle w:val="4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6B8FB5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53B4D161">
            <w:pPr>
              <w:pStyle w:val="171"/>
              <w:keepNext w:val="0"/>
              <w:keepLines w:val="0"/>
              <w:suppressLineNumbers w:val="0"/>
              <w:spacing w:before="0" w:beforeAutospacing="0" w:after="0" w:afterAutospacing="0"/>
              <w:ind w:left="0" w:right="0" w:firstLine="480"/>
              <w:rPr>
                <w:rFonts w:hint="default" w:ascii="Times New Roman" w:hAnsi="Times New Roman" w:cs="Times New Roman"/>
                <w:smallCaps w:val="0"/>
                <w:color w:val="auto"/>
                <w:spacing w:val="0"/>
                <w:highlight w:val="none"/>
              </w:rPr>
            </w:pPr>
            <w:r>
              <w:rPr>
                <w:rFonts w:hint="default" w:ascii="Times New Roman" w:hAnsi="Times New Roman" w:cs="Times New Roman"/>
                <w:smallCaps w:val="0"/>
                <w:color w:val="auto"/>
                <w:spacing w:val="0"/>
                <w:highlight w:val="none"/>
              </w:rPr>
              <w:t>综上所述</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本项目符合国家和地方的相关产业政策</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lang w:val="en-US" w:eastAsia="zh-CN"/>
              </w:rPr>
              <w:t>符合园区规划</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选址符合“三线一单”要求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所采用的污染防治措施合理可行</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可确保污染物稳定达标排放；项目污染物的排放量符合控制要求</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处理达标后的各项污染物对周围环境的影响较小</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不会改变当地环境功能区划</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项目的环境风险较小且可以接受。在落实本报告表提出的各项污染防治措施、严格执行“环境保护措施监督检查清单”的情况下</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从环保角度分析</w:t>
            </w:r>
            <w:r>
              <w:rPr>
                <w:rFonts w:hint="default" w:ascii="Times New Roman" w:hAnsi="Times New Roman" w:cs="Times New Roman"/>
                <w:smallCaps w:val="0"/>
                <w:color w:val="auto"/>
                <w:spacing w:val="0"/>
                <w:highlight w:val="none"/>
                <w:lang w:eastAsia="zh-CN"/>
              </w:rPr>
              <w:t>，</w:t>
            </w:r>
            <w:r>
              <w:rPr>
                <w:rFonts w:hint="default" w:ascii="Times New Roman" w:hAnsi="Times New Roman" w:cs="Times New Roman"/>
                <w:smallCaps w:val="0"/>
                <w:color w:val="auto"/>
                <w:spacing w:val="0"/>
                <w:highlight w:val="none"/>
              </w:rPr>
              <w:t>项目在拟建地的建设具备环境可行性。</w:t>
            </w:r>
          </w:p>
        </w:tc>
      </w:tr>
    </w:tbl>
    <w:p w14:paraId="63A6640F">
      <w:pPr>
        <w:pStyle w:val="21"/>
        <w:rPr>
          <w:rFonts w:hint="default" w:ascii="Times New Roman" w:hAnsi="Times New Roman" w:cs="Times New Roman"/>
          <w:smallCaps w:val="0"/>
          <w:color w:val="auto"/>
          <w:spacing w:val="0"/>
          <w:highlight w:val="none"/>
        </w:rPr>
        <w:sectPr>
          <w:pgSz w:w="11907" w:h="16840"/>
          <w:pgMar w:top="1440" w:right="1800" w:bottom="1440" w:left="1800" w:header="851" w:footer="992" w:gutter="0"/>
          <w:cols w:space="720" w:num="1"/>
          <w:docGrid w:type="linesAndChars" w:linePitch="319" w:charSpace="0"/>
        </w:sectPr>
      </w:pPr>
    </w:p>
    <w:p w14:paraId="2FD504C4">
      <w:pPr>
        <w:pStyle w:val="41"/>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641"/>
        <w:textAlignment w:val="auto"/>
        <w:outlineLvl w:val="0"/>
        <w:rPr>
          <w:rFonts w:hint="default" w:ascii="Times New Roman" w:hAnsi="Times New Roman" w:eastAsia="黑体" w:cs="Times New Roman"/>
          <w:snapToGrid w:val="0"/>
          <w:color w:val="auto"/>
          <w:sz w:val="32"/>
          <w:szCs w:val="32"/>
          <w:highlight w:val="none"/>
        </w:rPr>
      </w:pPr>
      <w:bookmarkStart w:id="18" w:name="_Toc10899"/>
      <w:bookmarkStart w:id="19" w:name="_Toc27219"/>
      <w:r>
        <w:rPr>
          <w:rFonts w:hint="default" w:ascii="Times New Roman" w:hAnsi="Times New Roman" w:eastAsia="黑体" w:cs="Times New Roman"/>
          <w:snapToGrid w:val="0"/>
          <w:color w:val="auto"/>
          <w:sz w:val="32"/>
          <w:szCs w:val="32"/>
          <w:highlight w:val="none"/>
        </w:rPr>
        <w:t>附表</w:t>
      </w:r>
      <w:bookmarkEnd w:id="18"/>
      <w:bookmarkEnd w:id="19"/>
    </w:p>
    <w:p w14:paraId="7BF76DA2">
      <w:pPr>
        <w:pStyle w:val="41"/>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760"/>
        <w:jc w:val="center"/>
        <w:textAlignment w:val="auto"/>
        <w:outlineLvl w:val="0"/>
        <w:rPr>
          <w:rFonts w:hint="default" w:ascii="Times New Roman" w:hAnsi="Times New Roman" w:eastAsia="方正小标宋_GBK" w:cs="Times New Roman"/>
          <w:snapToGrid w:val="0"/>
          <w:color w:val="auto"/>
          <w:sz w:val="38"/>
          <w:szCs w:val="38"/>
          <w:highlight w:val="none"/>
        </w:rPr>
      </w:pPr>
      <w:bookmarkStart w:id="20" w:name="_Toc21880"/>
      <w:bookmarkStart w:id="21" w:name="_Toc5395"/>
      <w:r>
        <w:rPr>
          <w:rFonts w:hint="default" w:ascii="Times New Roman" w:hAnsi="Times New Roman" w:eastAsia="方正小标宋_GBK" w:cs="Times New Roman"/>
          <w:snapToGrid w:val="0"/>
          <w:color w:val="auto"/>
          <w:sz w:val="38"/>
          <w:szCs w:val="38"/>
          <w:highlight w:val="none"/>
        </w:rPr>
        <w:t>建设项目污染物排放量汇总表</w:t>
      </w:r>
      <w:bookmarkEnd w:id="20"/>
      <w:bookmarkEnd w:id="21"/>
    </w:p>
    <w:tbl>
      <w:tblPr>
        <w:tblStyle w:val="47"/>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766"/>
        <w:gridCol w:w="1019"/>
      </w:tblGrid>
      <w:tr w14:paraId="06A9A4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tcBorders>
              <w:tl2br w:val="single" w:color="auto" w:sz="4" w:space="0"/>
            </w:tcBorders>
            <w:noWrap w:val="0"/>
            <w:tcMar>
              <w:left w:w="28" w:type="dxa"/>
              <w:right w:w="28" w:type="dxa"/>
            </w:tcMar>
            <w:vAlign w:val="center"/>
          </w:tcPr>
          <w:p w14:paraId="0E3B0C42">
            <w:pPr>
              <w:pStyle w:val="59"/>
              <w:keepNext w:val="0"/>
              <w:keepLines w:val="0"/>
              <w:suppressLineNumbers w:val="0"/>
              <w:tabs>
                <w:tab w:val="left" w:pos="6521"/>
              </w:tabs>
              <w:spacing w:before="0" w:beforeLines="0" w:beforeAutospacing="0" w:after="0" w:afterLines="0" w:afterAutospacing="0" w:line="240" w:lineRule="auto"/>
              <w:ind w:left="0" w:right="0"/>
              <w:jc w:val="righ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项目</w:t>
            </w:r>
          </w:p>
          <w:p w14:paraId="0F517B8D">
            <w:pPr>
              <w:pStyle w:val="59"/>
              <w:keepNext w:val="0"/>
              <w:keepLines w:val="0"/>
              <w:suppressLineNumbers w:val="0"/>
              <w:tabs>
                <w:tab w:val="left" w:pos="6521"/>
              </w:tabs>
              <w:spacing w:before="0" w:beforeLines="0" w:beforeAutospacing="0" w:after="0" w:afterLines="0" w:afterAutospacing="0" w:line="240" w:lineRule="auto"/>
              <w:ind w:left="0" w:right="0"/>
              <w:jc w:val="lef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分类</w:t>
            </w:r>
          </w:p>
        </w:tc>
        <w:tc>
          <w:tcPr>
            <w:tcW w:w="1417" w:type="dxa"/>
            <w:noWrap w:val="0"/>
            <w:tcMar>
              <w:left w:w="28" w:type="dxa"/>
              <w:right w:w="28" w:type="dxa"/>
            </w:tcMar>
            <w:vAlign w:val="center"/>
          </w:tcPr>
          <w:p w14:paraId="2FD6F706">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污染物名称</w:t>
            </w:r>
          </w:p>
        </w:tc>
        <w:tc>
          <w:tcPr>
            <w:tcW w:w="1701" w:type="dxa"/>
            <w:noWrap w:val="0"/>
            <w:tcMar>
              <w:left w:w="28" w:type="dxa"/>
              <w:right w:w="28" w:type="dxa"/>
            </w:tcMar>
            <w:vAlign w:val="center"/>
          </w:tcPr>
          <w:p w14:paraId="5E14AA6D">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5A203DB4">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1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①</w:t>
            </w:r>
            <w:r>
              <w:rPr>
                <w:rFonts w:hint="default" w:ascii="Times New Roman" w:hAnsi="Times New Roman" w:eastAsia="黑体" w:cs="Times New Roman"/>
                <w:snapToGrid w:val="0"/>
                <w:color w:val="auto"/>
                <w:spacing w:val="-6"/>
                <w:kern w:val="21"/>
                <w:szCs w:val="21"/>
                <w:highlight w:val="none"/>
              </w:rPr>
              <w:fldChar w:fldCharType="end"/>
            </w:r>
          </w:p>
        </w:tc>
        <w:tc>
          <w:tcPr>
            <w:tcW w:w="1276" w:type="dxa"/>
            <w:noWrap w:val="0"/>
            <w:tcMar>
              <w:left w:w="28" w:type="dxa"/>
              <w:right w:w="28" w:type="dxa"/>
            </w:tcMar>
            <w:vAlign w:val="center"/>
          </w:tcPr>
          <w:p w14:paraId="17E82D71">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48143915">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许可排放量</w:t>
            </w:r>
          </w:p>
          <w:p w14:paraId="444FAD0C">
            <w:pPr>
              <w:pStyle w:val="59"/>
              <w:keepNext w:val="0"/>
              <w:keepLines w:val="0"/>
              <w:suppressLineNumbers w:val="0"/>
              <w:tabs>
                <w:tab w:val="left" w:pos="6521"/>
              </w:tabs>
              <w:spacing w:before="0" w:beforeLines="0" w:beforeAutospacing="0" w:after="0" w:afterLines="0" w:afterAutospacing="0"/>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2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snapToGrid w:val="0"/>
                <w:color w:val="auto"/>
                <w:spacing w:val="-6"/>
                <w:kern w:val="21"/>
                <w:szCs w:val="21"/>
                <w:highlight w:val="none"/>
              </w:rPr>
              <w:t>②</w:t>
            </w:r>
            <w:r>
              <w:rPr>
                <w:rFonts w:hint="default" w:ascii="Times New Roman" w:hAnsi="Times New Roman" w:eastAsia="黑体" w:cs="Times New Roman"/>
                <w:snapToGrid w:val="0"/>
                <w:color w:val="auto"/>
                <w:spacing w:val="-6"/>
                <w:kern w:val="21"/>
                <w:szCs w:val="21"/>
                <w:highlight w:val="none"/>
              </w:rPr>
              <w:fldChar w:fldCharType="end"/>
            </w:r>
          </w:p>
          <w:p w14:paraId="1EC6F129">
            <w:pPr>
              <w:pStyle w:val="59"/>
              <w:keepNext w:val="0"/>
              <w:keepLines w:val="0"/>
              <w:suppressLineNumbers w:val="0"/>
              <w:tabs>
                <w:tab w:val="left" w:pos="6521"/>
              </w:tabs>
              <w:spacing w:before="0" w:beforeLines="0" w:beforeAutospacing="0" w:after="0" w:afterLines="0" w:afterAutospacing="0"/>
              <w:ind w:left="0" w:right="0"/>
              <w:rPr>
                <w:rFonts w:hint="eastAsia" w:ascii="Times New Roman" w:hAnsi="Times New Roman" w:eastAsia="黑体" w:cs="Times New Roman"/>
                <w:snapToGrid w:val="0"/>
                <w:color w:val="auto"/>
                <w:spacing w:val="-6"/>
                <w:kern w:val="21"/>
                <w:szCs w:val="21"/>
                <w:highlight w:val="none"/>
                <w:lang w:val="en-US" w:eastAsia="zh-CN"/>
              </w:rPr>
            </w:pPr>
            <w:r>
              <w:rPr>
                <w:rFonts w:hint="eastAsia" w:eastAsia="黑体" w:cs="Times New Roman"/>
                <w:snapToGrid w:val="0"/>
                <w:color w:val="auto"/>
                <w:spacing w:val="-6"/>
                <w:kern w:val="21"/>
                <w:szCs w:val="21"/>
                <w:highlight w:val="none"/>
                <w:lang w:val="en-US" w:eastAsia="zh-CN"/>
              </w:rPr>
              <w:t>总量控制指标</w:t>
            </w:r>
          </w:p>
        </w:tc>
        <w:tc>
          <w:tcPr>
            <w:tcW w:w="1701" w:type="dxa"/>
            <w:noWrap w:val="0"/>
            <w:tcMar>
              <w:left w:w="28" w:type="dxa"/>
              <w:right w:w="28" w:type="dxa"/>
            </w:tcMar>
            <w:vAlign w:val="center"/>
          </w:tcPr>
          <w:p w14:paraId="2ED8F103">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在建工程</w:t>
            </w:r>
          </w:p>
          <w:p w14:paraId="199E8321">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3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③</w:t>
            </w:r>
            <w:r>
              <w:rPr>
                <w:rFonts w:hint="default" w:ascii="Times New Roman" w:hAnsi="Times New Roman" w:eastAsia="黑体" w:cs="Times New Roman"/>
                <w:snapToGrid w:val="0"/>
                <w:color w:val="auto"/>
                <w:spacing w:val="-6"/>
                <w:kern w:val="21"/>
                <w:szCs w:val="21"/>
                <w:highlight w:val="none"/>
              </w:rPr>
              <w:fldChar w:fldCharType="end"/>
            </w:r>
          </w:p>
        </w:tc>
        <w:tc>
          <w:tcPr>
            <w:tcW w:w="1559" w:type="dxa"/>
            <w:noWrap w:val="0"/>
            <w:tcMar>
              <w:left w:w="28" w:type="dxa"/>
              <w:right w:w="28" w:type="dxa"/>
            </w:tcMar>
            <w:vAlign w:val="center"/>
          </w:tcPr>
          <w:p w14:paraId="4127DA36">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本项目</w:t>
            </w:r>
          </w:p>
          <w:p w14:paraId="5DD59A58">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4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④</w:t>
            </w:r>
            <w:r>
              <w:rPr>
                <w:rFonts w:hint="default" w:ascii="Times New Roman" w:hAnsi="Times New Roman" w:eastAsia="黑体" w:cs="Times New Roman"/>
                <w:snapToGrid w:val="0"/>
                <w:color w:val="auto"/>
                <w:spacing w:val="-6"/>
                <w:kern w:val="21"/>
                <w:szCs w:val="21"/>
                <w:highlight w:val="none"/>
              </w:rPr>
              <w:fldChar w:fldCharType="end"/>
            </w:r>
          </w:p>
        </w:tc>
        <w:tc>
          <w:tcPr>
            <w:tcW w:w="1761" w:type="dxa"/>
            <w:noWrap w:val="0"/>
            <w:tcMar>
              <w:left w:w="28" w:type="dxa"/>
              <w:right w:w="28" w:type="dxa"/>
            </w:tcMar>
            <w:vAlign w:val="center"/>
          </w:tcPr>
          <w:p w14:paraId="31A13879">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w:t>
            </w:r>
          </w:p>
          <w:p w14:paraId="52B5EA84">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1766" w:type="dxa"/>
            <w:noWrap w:val="0"/>
            <w:tcMar>
              <w:left w:w="28" w:type="dxa"/>
              <w:right w:w="28" w:type="dxa"/>
            </w:tcMar>
            <w:vAlign w:val="center"/>
          </w:tcPr>
          <w:p w14:paraId="62D52D29">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w:t>
            </w:r>
          </w:p>
          <w:p w14:paraId="496F5C39">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019" w:type="dxa"/>
            <w:noWrap w:val="0"/>
            <w:tcMar>
              <w:left w:w="28" w:type="dxa"/>
              <w:right w:w="28" w:type="dxa"/>
            </w:tcMar>
            <w:vAlign w:val="center"/>
          </w:tcPr>
          <w:p w14:paraId="62310203">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p>
          <w:p w14:paraId="2A6957F4">
            <w:pPr>
              <w:pStyle w:val="59"/>
              <w:keepNext w:val="0"/>
              <w:keepLines w:val="0"/>
              <w:suppressLineNumbers w:val="0"/>
              <w:tabs>
                <w:tab w:val="left" w:pos="6521"/>
              </w:tabs>
              <w:spacing w:before="0" w:beforeLines="0" w:beforeAutospacing="0" w:after="0" w:afterLines="0" w:afterAutospacing="0" w:line="240" w:lineRule="auto"/>
              <w:ind w:left="0" w:right="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40AFF6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restart"/>
            <w:noWrap w:val="0"/>
            <w:vAlign w:val="center"/>
          </w:tcPr>
          <w:p w14:paraId="6AC137BF">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废气</w:t>
            </w:r>
          </w:p>
        </w:tc>
        <w:tc>
          <w:tcPr>
            <w:tcW w:w="1417" w:type="dxa"/>
            <w:noWrap w:val="0"/>
            <w:vAlign w:val="center"/>
          </w:tcPr>
          <w:p w14:paraId="3A23FF36">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default" w:ascii="Times New Roman" w:hAnsi="Times New Roman" w:eastAsia="宋体" w:cs="Times New Roman"/>
                <w:smallCaps w:val="0"/>
                <w:color w:val="auto"/>
                <w:spacing w:val="0"/>
                <w:sz w:val="21"/>
                <w:szCs w:val="21"/>
                <w:highlight w:val="none"/>
                <w:lang w:val="en-US" w:eastAsia="zh-CN"/>
              </w:rPr>
              <w:t>颗粒物</w:t>
            </w:r>
          </w:p>
        </w:tc>
        <w:tc>
          <w:tcPr>
            <w:tcW w:w="1701" w:type="dxa"/>
            <w:noWrap w:val="0"/>
            <w:vAlign w:val="center"/>
          </w:tcPr>
          <w:p w14:paraId="641DEE5B">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52723281">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AF6E94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2FCBA376">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0.573t/a</w:t>
            </w:r>
          </w:p>
        </w:tc>
        <w:tc>
          <w:tcPr>
            <w:tcW w:w="1761" w:type="dxa"/>
            <w:noWrap w:val="0"/>
            <w:vAlign w:val="center"/>
          </w:tcPr>
          <w:p w14:paraId="0AE4E28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1A468FC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0.573t/a</w:t>
            </w:r>
          </w:p>
        </w:tc>
        <w:tc>
          <w:tcPr>
            <w:tcW w:w="1019" w:type="dxa"/>
            <w:noWrap w:val="0"/>
            <w:vAlign w:val="center"/>
          </w:tcPr>
          <w:p w14:paraId="248DEAC4">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540041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400E45F7">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DCDFB09">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非甲烷总烃</w:t>
            </w:r>
          </w:p>
        </w:tc>
        <w:tc>
          <w:tcPr>
            <w:tcW w:w="1701" w:type="dxa"/>
            <w:noWrap w:val="0"/>
            <w:vAlign w:val="center"/>
          </w:tcPr>
          <w:p w14:paraId="0236920C">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168F174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7300C2F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337C9DAD">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0.162t/a</w:t>
            </w:r>
          </w:p>
        </w:tc>
        <w:tc>
          <w:tcPr>
            <w:tcW w:w="1761" w:type="dxa"/>
            <w:noWrap w:val="0"/>
            <w:vAlign w:val="center"/>
          </w:tcPr>
          <w:p w14:paraId="3F8826AB">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49F697E0">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0.162t/a</w:t>
            </w:r>
          </w:p>
        </w:tc>
        <w:tc>
          <w:tcPr>
            <w:tcW w:w="1019" w:type="dxa"/>
            <w:noWrap w:val="0"/>
            <w:vAlign w:val="center"/>
          </w:tcPr>
          <w:p w14:paraId="76407DF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5F5BAC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88" w:type="dxa"/>
            <w:vMerge w:val="continue"/>
            <w:noWrap w:val="0"/>
            <w:vAlign w:val="center"/>
          </w:tcPr>
          <w:p w14:paraId="5956CD05">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C2051F1">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bCs/>
                <w:smallCaps w:val="0"/>
                <w:color w:val="auto"/>
                <w:spacing w:val="0"/>
                <w:kern w:val="0"/>
                <w:sz w:val="21"/>
                <w:szCs w:val="21"/>
                <w:highlight w:val="none"/>
                <w:lang w:val="en-US" w:eastAsia="zh-CN" w:bidi="ar-SA"/>
              </w:rPr>
              <w:t>甲醛</w:t>
            </w:r>
          </w:p>
        </w:tc>
        <w:tc>
          <w:tcPr>
            <w:tcW w:w="1701" w:type="dxa"/>
            <w:noWrap w:val="0"/>
            <w:vAlign w:val="center"/>
          </w:tcPr>
          <w:p w14:paraId="7D56F7AA">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1C0D1EAC">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50670F28">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3A617030">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0.008t/a</w:t>
            </w:r>
          </w:p>
        </w:tc>
        <w:tc>
          <w:tcPr>
            <w:tcW w:w="1761" w:type="dxa"/>
            <w:noWrap w:val="0"/>
            <w:vAlign w:val="center"/>
          </w:tcPr>
          <w:p w14:paraId="5E47E945">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5ECFFAB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bCs/>
                <w:smallCaps w:val="0"/>
                <w:color w:val="auto"/>
                <w:spacing w:val="0"/>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0.008t/a</w:t>
            </w:r>
          </w:p>
        </w:tc>
        <w:tc>
          <w:tcPr>
            <w:tcW w:w="1019" w:type="dxa"/>
            <w:noWrap w:val="0"/>
            <w:vAlign w:val="center"/>
          </w:tcPr>
          <w:p w14:paraId="65659DC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743F2B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4C5B997B">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2F3832C3">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酚类</w:t>
            </w:r>
          </w:p>
        </w:tc>
        <w:tc>
          <w:tcPr>
            <w:tcW w:w="1701" w:type="dxa"/>
            <w:noWrap w:val="0"/>
            <w:vAlign w:val="center"/>
          </w:tcPr>
          <w:p w14:paraId="6EFA7589">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cs="Times New Roman"/>
                <w:smallCaps w:val="0"/>
                <w:color w:val="auto"/>
                <w:spacing w:val="0"/>
                <w:sz w:val="21"/>
                <w:szCs w:val="21"/>
                <w:highlight w:val="none"/>
                <w:lang w:val="en-US" w:eastAsia="zh-CN"/>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38C2A694">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7ADBDB6C">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58235361">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0.008t/a</w:t>
            </w:r>
          </w:p>
        </w:tc>
        <w:tc>
          <w:tcPr>
            <w:tcW w:w="1761" w:type="dxa"/>
            <w:noWrap w:val="0"/>
            <w:vAlign w:val="center"/>
          </w:tcPr>
          <w:p w14:paraId="7E43CDA4">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37D483FC">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mallCaps w:val="0"/>
                <w:color w:val="auto"/>
                <w:spacing w:val="0"/>
                <w:sz w:val="21"/>
                <w:szCs w:val="21"/>
                <w:highlight w:val="none"/>
                <w:lang w:val="en-US" w:eastAsia="zh-CN"/>
              </w:rPr>
            </w:pPr>
            <w:r>
              <w:rPr>
                <w:rFonts w:hint="eastAsia" w:cs="Times New Roman"/>
                <w:snapToGrid w:val="0"/>
                <w:color w:val="auto"/>
                <w:kern w:val="21"/>
                <w:sz w:val="21"/>
                <w:szCs w:val="21"/>
                <w:highlight w:val="none"/>
                <w:lang w:val="en-US" w:eastAsia="zh-CN"/>
              </w:rPr>
              <w:t>0.008t/a</w:t>
            </w:r>
          </w:p>
        </w:tc>
        <w:tc>
          <w:tcPr>
            <w:tcW w:w="1019" w:type="dxa"/>
            <w:noWrap w:val="0"/>
            <w:vAlign w:val="center"/>
          </w:tcPr>
          <w:p w14:paraId="49EA7BD2">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47AC83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88" w:type="dxa"/>
            <w:vMerge w:val="restart"/>
            <w:noWrap w:val="0"/>
            <w:vAlign w:val="center"/>
          </w:tcPr>
          <w:p w14:paraId="18300139">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废水</w:t>
            </w:r>
          </w:p>
        </w:tc>
        <w:tc>
          <w:tcPr>
            <w:tcW w:w="1417" w:type="dxa"/>
            <w:noWrap w:val="0"/>
            <w:vAlign w:val="center"/>
          </w:tcPr>
          <w:p w14:paraId="2BA2889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lang w:val="en-US" w:eastAsia="zh-CN"/>
              </w:rPr>
              <w:t>化学需氧量</w:t>
            </w:r>
          </w:p>
        </w:tc>
        <w:tc>
          <w:tcPr>
            <w:tcW w:w="1701" w:type="dxa"/>
            <w:noWrap w:val="0"/>
            <w:vAlign w:val="center"/>
          </w:tcPr>
          <w:p w14:paraId="2A30F678">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60E8463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2A03B1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2979CBDB">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eastAsia"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0t/a</w:t>
            </w:r>
          </w:p>
        </w:tc>
        <w:tc>
          <w:tcPr>
            <w:tcW w:w="1761" w:type="dxa"/>
            <w:noWrap w:val="0"/>
            <w:vAlign w:val="center"/>
          </w:tcPr>
          <w:p w14:paraId="662A3D9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28893491">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0t/a</w:t>
            </w:r>
          </w:p>
        </w:tc>
        <w:tc>
          <w:tcPr>
            <w:tcW w:w="1019" w:type="dxa"/>
            <w:noWrap w:val="0"/>
            <w:vAlign w:val="center"/>
          </w:tcPr>
          <w:p w14:paraId="741A441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eastAsia" w:ascii="Times New Roman" w:hAnsi="Times New Roman" w:eastAsia="宋体"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2CAEAE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4223AFF0">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3EAD668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氨氮</w:t>
            </w:r>
          </w:p>
        </w:tc>
        <w:tc>
          <w:tcPr>
            <w:tcW w:w="1701" w:type="dxa"/>
            <w:noWrap w:val="0"/>
            <w:vAlign w:val="center"/>
          </w:tcPr>
          <w:p w14:paraId="5FE4F3B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259056B4">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7AED09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2BF6AED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0t/a</w:t>
            </w:r>
          </w:p>
        </w:tc>
        <w:tc>
          <w:tcPr>
            <w:tcW w:w="1761" w:type="dxa"/>
            <w:noWrap w:val="0"/>
            <w:vAlign w:val="center"/>
          </w:tcPr>
          <w:p w14:paraId="1930607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5E79904B">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0t/a</w:t>
            </w:r>
          </w:p>
        </w:tc>
        <w:tc>
          <w:tcPr>
            <w:tcW w:w="1019" w:type="dxa"/>
            <w:noWrap w:val="0"/>
            <w:vAlign w:val="center"/>
          </w:tcPr>
          <w:p w14:paraId="3D23C7F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7F8B5F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restart"/>
            <w:noWrap w:val="0"/>
            <w:vAlign w:val="center"/>
          </w:tcPr>
          <w:p w14:paraId="542C10EB">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一般工业</w:t>
            </w:r>
          </w:p>
          <w:p w14:paraId="2CE56776">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固体废物</w:t>
            </w:r>
          </w:p>
        </w:tc>
        <w:tc>
          <w:tcPr>
            <w:tcW w:w="1417" w:type="dxa"/>
            <w:noWrap w:val="0"/>
            <w:vAlign w:val="center"/>
          </w:tcPr>
          <w:p w14:paraId="32672F3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不合格壳芯</w:t>
            </w:r>
          </w:p>
        </w:tc>
        <w:tc>
          <w:tcPr>
            <w:tcW w:w="1701" w:type="dxa"/>
            <w:noWrap w:val="0"/>
            <w:vAlign w:val="center"/>
          </w:tcPr>
          <w:p w14:paraId="5D1725B6">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5478904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162CAF26">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3E63F20C">
            <w:pPr>
              <w:pStyle w:val="59"/>
              <w:keepNext w:val="0"/>
              <w:keepLines w:val="0"/>
              <w:pageBreakBefore w:val="0"/>
              <w:widowControl w:val="0"/>
              <w:suppressLineNumbers w:val="0"/>
              <w:tabs>
                <w:tab w:val="left" w:pos="6521"/>
              </w:tabs>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10t/a</w:t>
            </w:r>
          </w:p>
        </w:tc>
        <w:tc>
          <w:tcPr>
            <w:tcW w:w="1761" w:type="dxa"/>
            <w:noWrap w:val="0"/>
            <w:vAlign w:val="center"/>
          </w:tcPr>
          <w:p w14:paraId="6E4EDA9A">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3295F42D">
            <w:pPr>
              <w:pStyle w:val="59"/>
              <w:keepNext w:val="0"/>
              <w:keepLines w:val="0"/>
              <w:pageBreakBefore w:val="0"/>
              <w:widowControl w:val="0"/>
              <w:suppressLineNumbers w:val="0"/>
              <w:tabs>
                <w:tab w:val="left" w:pos="6521"/>
              </w:tabs>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10t/a</w:t>
            </w:r>
          </w:p>
        </w:tc>
        <w:tc>
          <w:tcPr>
            <w:tcW w:w="1019" w:type="dxa"/>
            <w:noWrap w:val="0"/>
            <w:vAlign w:val="center"/>
          </w:tcPr>
          <w:p w14:paraId="4BAA3804">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666C00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1588" w:type="dxa"/>
            <w:vMerge w:val="continue"/>
            <w:noWrap w:val="0"/>
            <w:vAlign w:val="center"/>
          </w:tcPr>
          <w:p w14:paraId="25BC06F4">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267F8EC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废砂</w:t>
            </w:r>
          </w:p>
        </w:tc>
        <w:tc>
          <w:tcPr>
            <w:tcW w:w="1701" w:type="dxa"/>
            <w:noWrap w:val="0"/>
            <w:vAlign w:val="center"/>
          </w:tcPr>
          <w:p w14:paraId="3D2C4622">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24696AA3">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7E6FBB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721BA52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leftChars="0" w:right="0" w:rightChars="0"/>
              <w:jc w:val="center"/>
              <w:textAlignment w:val="auto"/>
              <w:rPr>
                <w:rFonts w:hint="default"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238t/a</w:t>
            </w:r>
          </w:p>
        </w:tc>
        <w:tc>
          <w:tcPr>
            <w:tcW w:w="1761" w:type="dxa"/>
            <w:noWrap w:val="0"/>
            <w:vAlign w:val="center"/>
          </w:tcPr>
          <w:p w14:paraId="19C66C75">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16F3EF2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leftChars="0" w:right="0" w:right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238t/a</w:t>
            </w:r>
          </w:p>
        </w:tc>
        <w:tc>
          <w:tcPr>
            <w:tcW w:w="1019" w:type="dxa"/>
            <w:noWrap w:val="0"/>
            <w:vAlign w:val="center"/>
          </w:tcPr>
          <w:p w14:paraId="03C4E316">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778724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36E01C3A">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6C229D3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浇注废渣</w:t>
            </w:r>
          </w:p>
        </w:tc>
        <w:tc>
          <w:tcPr>
            <w:tcW w:w="1701" w:type="dxa"/>
            <w:noWrap w:val="0"/>
            <w:vAlign w:val="center"/>
          </w:tcPr>
          <w:p w14:paraId="1598942C">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165B353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6376AA03">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0022AF0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leftChars="0" w:right="0" w:rightChars="0"/>
              <w:jc w:val="center"/>
              <w:textAlignment w:val="auto"/>
              <w:rPr>
                <w:rFonts w:hint="default" w:ascii="Times New Roman" w:hAnsi="Times New Roman" w:eastAsia="宋体" w:cs="Times New Roman"/>
                <w:smallCaps w:val="0"/>
                <w:color w:val="auto"/>
                <w:spacing w:val="0"/>
                <w:kern w:val="2"/>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50t/a</w:t>
            </w:r>
          </w:p>
        </w:tc>
        <w:tc>
          <w:tcPr>
            <w:tcW w:w="1761" w:type="dxa"/>
            <w:noWrap w:val="0"/>
            <w:vAlign w:val="center"/>
          </w:tcPr>
          <w:p w14:paraId="0A76C3A3">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414FFF5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leftChars="0" w:right="0" w:right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kern w:val="2"/>
                <w:sz w:val="21"/>
                <w:szCs w:val="21"/>
                <w:highlight w:val="none"/>
                <w:lang w:val="en-US" w:eastAsia="zh-CN" w:bidi="ar-SA"/>
              </w:rPr>
              <w:t>50t/a</w:t>
            </w:r>
          </w:p>
        </w:tc>
        <w:tc>
          <w:tcPr>
            <w:tcW w:w="1019" w:type="dxa"/>
            <w:noWrap w:val="0"/>
            <w:vAlign w:val="center"/>
          </w:tcPr>
          <w:p w14:paraId="4ADD7CFC">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79C5BC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0C00F5ED">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75A098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浇冒口</w:t>
            </w:r>
          </w:p>
        </w:tc>
        <w:tc>
          <w:tcPr>
            <w:tcW w:w="1701" w:type="dxa"/>
            <w:noWrap w:val="0"/>
            <w:vAlign w:val="center"/>
          </w:tcPr>
          <w:p w14:paraId="28CA3957">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1154E62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247CEFB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2DDB8CB4">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300</w:t>
            </w:r>
            <w:r>
              <w:rPr>
                <w:rFonts w:hint="eastAsia" w:cs="Times New Roman"/>
                <w:smallCaps w:val="0"/>
                <w:color w:val="auto"/>
                <w:spacing w:val="0"/>
                <w:kern w:val="2"/>
                <w:sz w:val="21"/>
                <w:szCs w:val="21"/>
                <w:highlight w:val="none"/>
                <w:lang w:val="en-US" w:eastAsia="zh-CN" w:bidi="ar-SA"/>
              </w:rPr>
              <w:t>t/a</w:t>
            </w:r>
          </w:p>
        </w:tc>
        <w:tc>
          <w:tcPr>
            <w:tcW w:w="1761" w:type="dxa"/>
            <w:noWrap w:val="0"/>
            <w:vAlign w:val="center"/>
          </w:tcPr>
          <w:p w14:paraId="70EC1984">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7B79DA5A">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300</w:t>
            </w:r>
            <w:r>
              <w:rPr>
                <w:rFonts w:hint="eastAsia" w:cs="Times New Roman"/>
                <w:smallCaps w:val="0"/>
                <w:color w:val="auto"/>
                <w:spacing w:val="0"/>
                <w:kern w:val="2"/>
                <w:sz w:val="21"/>
                <w:szCs w:val="21"/>
                <w:highlight w:val="none"/>
                <w:lang w:val="en-US" w:eastAsia="zh-CN" w:bidi="ar-SA"/>
              </w:rPr>
              <w:t>t/a</w:t>
            </w:r>
          </w:p>
        </w:tc>
        <w:tc>
          <w:tcPr>
            <w:tcW w:w="1019" w:type="dxa"/>
            <w:noWrap w:val="0"/>
            <w:vAlign w:val="center"/>
          </w:tcPr>
          <w:p w14:paraId="672DB261">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1566D8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2E22CDD4">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06A40A9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不合格品</w:t>
            </w:r>
          </w:p>
        </w:tc>
        <w:tc>
          <w:tcPr>
            <w:tcW w:w="1701" w:type="dxa"/>
            <w:noWrap w:val="0"/>
            <w:vAlign w:val="center"/>
          </w:tcPr>
          <w:p w14:paraId="2BDCFF43">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378F6FC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10F2494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1D5575D9">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150</w:t>
            </w:r>
            <w:r>
              <w:rPr>
                <w:rFonts w:hint="eastAsia" w:cs="Times New Roman"/>
                <w:smallCaps w:val="0"/>
                <w:color w:val="auto"/>
                <w:spacing w:val="0"/>
                <w:kern w:val="2"/>
                <w:sz w:val="21"/>
                <w:szCs w:val="21"/>
                <w:highlight w:val="none"/>
                <w:lang w:val="en-US" w:eastAsia="zh-CN" w:bidi="ar-SA"/>
              </w:rPr>
              <w:t>t/a</w:t>
            </w:r>
          </w:p>
        </w:tc>
        <w:tc>
          <w:tcPr>
            <w:tcW w:w="1761" w:type="dxa"/>
            <w:noWrap w:val="0"/>
            <w:vAlign w:val="center"/>
          </w:tcPr>
          <w:p w14:paraId="7651B4D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5092FCF0">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150</w:t>
            </w:r>
            <w:r>
              <w:rPr>
                <w:rFonts w:hint="eastAsia" w:cs="Times New Roman"/>
                <w:smallCaps w:val="0"/>
                <w:color w:val="auto"/>
                <w:spacing w:val="0"/>
                <w:kern w:val="2"/>
                <w:sz w:val="21"/>
                <w:szCs w:val="21"/>
                <w:highlight w:val="none"/>
                <w:lang w:val="en-US" w:eastAsia="zh-CN" w:bidi="ar-SA"/>
              </w:rPr>
              <w:t>t/a</w:t>
            </w:r>
          </w:p>
        </w:tc>
        <w:tc>
          <w:tcPr>
            <w:tcW w:w="1019" w:type="dxa"/>
            <w:noWrap w:val="0"/>
            <w:vAlign w:val="center"/>
          </w:tcPr>
          <w:p w14:paraId="663DAB42">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r>
      <w:tr w14:paraId="153E4D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88" w:type="dxa"/>
            <w:vMerge w:val="continue"/>
            <w:noWrap w:val="0"/>
            <w:vAlign w:val="center"/>
          </w:tcPr>
          <w:p w14:paraId="21014CDD">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DADDE2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废布袋</w:t>
            </w:r>
          </w:p>
        </w:tc>
        <w:tc>
          <w:tcPr>
            <w:tcW w:w="1701" w:type="dxa"/>
            <w:noWrap w:val="0"/>
            <w:vAlign w:val="center"/>
          </w:tcPr>
          <w:p w14:paraId="735462D1">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1474EB39">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65CC7828">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15063A7D">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0.1</w:t>
            </w:r>
            <w:r>
              <w:rPr>
                <w:rFonts w:hint="eastAsia" w:cs="Times New Roman"/>
                <w:smallCaps w:val="0"/>
                <w:color w:val="auto"/>
                <w:spacing w:val="0"/>
                <w:kern w:val="2"/>
                <w:sz w:val="21"/>
                <w:szCs w:val="21"/>
                <w:highlight w:val="none"/>
                <w:lang w:val="en-US" w:eastAsia="zh-CN" w:bidi="ar-SA"/>
              </w:rPr>
              <w:t>t/a</w:t>
            </w:r>
          </w:p>
        </w:tc>
        <w:tc>
          <w:tcPr>
            <w:tcW w:w="1761" w:type="dxa"/>
            <w:noWrap w:val="0"/>
            <w:vAlign w:val="center"/>
          </w:tcPr>
          <w:p w14:paraId="680AB183">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417372DC">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eastAsia" w:cs="Times New Roman"/>
                <w:color w:val="auto"/>
                <w:kern w:val="0"/>
                <w:szCs w:val="21"/>
                <w:highlight w:val="none"/>
                <w:lang w:val="en-US" w:eastAsia="zh-CN"/>
              </w:rPr>
            </w:pPr>
            <w:r>
              <w:rPr>
                <w:rFonts w:hint="eastAsia" w:cs="Times New Roman"/>
                <w:smallCaps w:val="0"/>
                <w:snapToGrid w:val="0"/>
                <w:color w:val="auto"/>
                <w:spacing w:val="0"/>
                <w:kern w:val="21"/>
                <w:sz w:val="21"/>
                <w:szCs w:val="21"/>
                <w:highlight w:val="none"/>
                <w:lang w:val="en-US" w:eastAsia="zh-CN" w:bidi="ar-SA"/>
              </w:rPr>
              <w:t>0.1</w:t>
            </w:r>
            <w:r>
              <w:rPr>
                <w:rFonts w:hint="eastAsia" w:cs="Times New Roman"/>
                <w:smallCaps w:val="0"/>
                <w:color w:val="auto"/>
                <w:spacing w:val="0"/>
                <w:kern w:val="2"/>
                <w:sz w:val="21"/>
                <w:szCs w:val="21"/>
                <w:highlight w:val="none"/>
                <w:lang w:val="en-US" w:eastAsia="zh-CN" w:bidi="ar-SA"/>
              </w:rPr>
              <w:t>t/a</w:t>
            </w:r>
          </w:p>
        </w:tc>
        <w:tc>
          <w:tcPr>
            <w:tcW w:w="1019" w:type="dxa"/>
            <w:noWrap w:val="0"/>
            <w:vAlign w:val="center"/>
          </w:tcPr>
          <w:p w14:paraId="2D41D3E8">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mallCaps w:val="0"/>
                <w:color w:val="auto"/>
                <w:spacing w:val="0"/>
                <w:sz w:val="21"/>
                <w:szCs w:val="21"/>
                <w:highlight w:val="none"/>
                <w:lang w:val="en-US" w:eastAsia="zh-CN"/>
              </w:rPr>
              <w:t>/</w:t>
            </w:r>
          </w:p>
        </w:tc>
      </w:tr>
      <w:tr w14:paraId="2E2D61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588" w:type="dxa"/>
            <w:vMerge w:val="continue"/>
            <w:noWrap w:val="0"/>
            <w:vAlign w:val="center"/>
          </w:tcPr>
          <w:p w14:paraId="500412F2">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1C63AF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default" w:ascii="Times New Roman" w:hAnsi="Times New Roman" w:eastAsia="宋体" w:cs="Times New Roman"/>
                <w:bCs/>
                <w:color w:val="auto"/>
                <w:sz w:val="21"/>
                <w:szCs w:val="21"/>
                <w:lang w:val="en-US" w:eastAsia="zh-CN"/>
              </w:rPr>
            </w:pPr>
            <w:r>
              <w:rPr>
                <w:rFonts w:hint="eastAsia"/>
                <w:szCs w:val="20"/>
              </w:rPr>
              <w:t>除尘灰</w:t>
            </w:r>
          </w:p>
        </w:tc>
        <w:tc>
          <w:tcPr>
            <w:tcW w:w="1701" w:type="dxa"/>
            <w:noWrap w:val="0"/>
            <w:vAlign w:val="center"/>
          </w:tcPr>
          <w:p w14:paraId="4DE55404">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197FB315">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5C457BF7">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4362D048">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56.76</w:t>
            </w:r>
            <w:r>
              <w:rPr>
                <w:rFonts w:hint="eastAsia" w:cs="Times New Roman"/>
                <w:smallCaps w:val="0"/>
                <w:color w:val="auto"/>
                <w:spacing w:val="0"/>
                <w:kern w:val="2"/>
                <w:sz w:val="21"/>
                <w:szCs w:val="21"/>
                <w:highlight w:val="none"/>
                <w:lang w:val="en-US" w:eastAsia="zh-CN" w:bidi="ar-SA"/>
              </w:rPr>
              <w:t>t/a</w:t>
            </w:r>
          </w:p>
        </w:tc>
        <w:tc>
          <w:tcPr>
            <w:tcW w:w="1761" w:type="dxa"/>
            <w:noWrap w:val="0"/>
            <w:vAlign w:val="center"/>
          </w:tcPr>
          <w:p w14:paraId="353DABF7">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5166616B">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eastAsia" w:cs="Times New Roman"/>
                <w:color w:val="auto"/>
                <w:kern w:val="0"/>
                <w:szCs w:val="21"/>
                <w:highlight w:val="none"/>
                <w:lang w:val="en-US" w:eastAsia="zh-CN"/>
              </w:rPr>
            </w:pPr>
            <w:r>
              <w:rPr>
                <w:rFonts w:hint="eastAsia" w:cs="Times New Roman"/>
                <w:smallCaps w:val="0"/>
                <w:snapToGrid w:val="0"/>
                <w:color w:val="auto"/>
                <w:spacing w:val="0"/>
                <w:kern w:val="21"/>
                <w:sz w:val="21"/>
                <w:szCs w:val="21"/>
                <w:highlight w:val="none"/>
                <w:lang w:val="en-US" w:eastAsia="zh-CN" w:bidi="ar-SA"/>
              </w:rPr>
              <w:t>56.76</w:t>
            </w:r>
            <w:r>
              <w:rPr>
                <w:rFonts w:hint="eastAsia" w:cs="Times New Roman"/>
                <w:smallCaps w:val="0"/>
                <w:color w:val="auto"/>
                <w:spacing w:val="0"/>
                <w:kern w:val="2"/>
                <w:sz w:val="21"/>
                <w:szCs w:val="21"/>
                <w:highlight w:val="none"/>
                <w:lang w:val="en-US" w:eastAsia="zh-CN" w:bidi="ar-SA"/>
              </w:rPr>
              <w:t>t/a</w:t>
            </w:r>
          </w:p>
        </w:tc>
        <w:tc>
          <w:tcPr>
            <w:tcW w:w="1019" w:type="dxa"/>
            <w:noWrap w:val="0"/>
            <w:vAlign w:val="center"/>
          </w:tcPr>
          <w:p w14:paraId="63F076D2">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mallCaps w:val="0"/>
                <w:color w:val="auto"/>
                <w:spacing w:val="0"/>
                <w:sz w:val="21"/>
                <w:szCs w:val="21"/>
                <w:highlight w:val="none"/>
                <w:lang w:val="en-US" w:eastAsia="zh-CN"/>
              </w:rPr>
              <w:t>/</w:t>
            </w:r>
          </w:p>
        </w:tc>
      </w:tr>
      <w:tr w14:paraId="2D3A81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588" w:type="dxa"/>
            <w:vMerge w:val="continue"/>
            <w:noWrap w:val="0"/>
            <w:vAlign w:val="center"/>
          </w:tcPr>
          <w:p w14:paraId="002AFD1F">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1F92EEA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exact"/>
              <w:ind w:left="0" w:right="0"/>
              <w:jc w:val="center"/>
              <w:textAlignment w:val="auto"/>
              <w:rPr>
                <w:rFonts w:hint="eastAsia" w:eastAsia="宋体"/>
                <w:szCs w:val="20"/>
                <w:lang w:val="en-US" w:eastAsia="zh-CN"/>
              </w:rPr>
            </w:pPr>
            <w:r>
              <w:rPr>
                <w:rFonts w:hint="eastAsia"/>
                <w:szCs w:val="20"/>
                <w:lang w:val="en-US" w:eastAsia="zh-CN"/>
              </w:rPr>
              <w:t>铁渣</w:t>
            </w:r>
          </w:p>
        </w:tc>
        <w:tc>
          <w:tcPr>
            <w:tcW w:w="1701" w:type="dxa"/>
            <w:noWrap w:val="0"/>
            <w:vAlign w:val="center"/>
          </w:tcPr>
          <w:p w14:paraId="774833E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73ACAAD2">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B1653E5">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71056C95">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eastAsia"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0.8</w:t>
            </w:r>
            <w:r>
              <w:rPr>
                <w:rFonts w:hint="eastAsia" w:cs="Times New Roman"/>
                <w:smallCaps w:val="0"/>
                <w:color w:val="auto"/>
                <w:spacing w:val="0"/>
                <w:kern w:val="2"/>
                <w:sz w:val="21"/>
                <w:szCs w:val="21"/>
                <w:highlight w:val="none"/>
                <w:lang w:val="en-US" w:eastAsia="zh-CN" w:bidi="ar-SA"/>
              </w:rPr>
              <w:t>t/a</w:t>
            </w:r>
          </w:p>
        </w:tc>
        <w:tc>
          <w:tcPr>
            <w:tcW w:w="1761" w:type="dxa"/>
            <w:noWrap w:val="0"/>
            <w:vAlign w:val="center"/>
          </w:tcPr>
          <w:p w14:paraId="2C036BD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7BE2A062">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eastAsia"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0.8</w:t>
            </w:r>
            <w:r>
              <w:rPr>
                <w:rFonts w:hint="eastAsia" w:cs="Times New Roman"/>
                <w:smallCaps w:val="0"/>
                <w:color w:val="auto"/>
                <w:spacing w:val="0"/>
                <w:kern w:val="2"/>
                <w:sz w:val="21"/>
                <w:szCs w:val="21"/>
                <w:highlight w:val="none"/>
                <w:lang w:val="en-US" w:eastAsia="zh-CN" w:bidi="ar-SA"/>
              </w:rPr>
              <w:t>t/a</w:t>
            </w:r>
          </w:p>
        </w:tc>
        <w:tc>
          <w:tcPr>
            <w:tcW w:w="1019" w:type="dxa"/>
            <w:noWrap w:val="0"/>
            <w:vAlign w:val="center"/>
          </w:tcPr>
          <w:p w14:paraId="403D59DE">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eastAsia"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r>
      <w:tr w14:paraId="59B450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1588" w:type="dxa"/>
            <w:noWrap w:val="0"/>
            <w:vAlign w:val="center"/>
          </w:tcPr>
          <w:p w14:paraId="6C2E673C">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300" w:lineRule="exact"/>
              <w:ind w:left="0" w:right="0"/>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rPr>
              <w:t>职工生活垃圾</w:t>
            </w:r>
          </w:p>
        </w:tc>
        <w:tc>
          <w:tcPr>
            <w:tcW w:w="1417" w:type="dxa"/>
            <w:noWrap w:val="0"/>
            <w:vAlign w:val="center"/>
          </w:tcPr>
          <w:p w14:paraId="77EA0FD3">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生活垃圾</w:t>
            </w:r>
          </w:p>
        </w:tc>
        <w:tc>
          <w:tcPr>
            <w:tcW w:w="1701" w:type="dxa"/>
            <w:noWrap w:val="0"/>
            <w:vAlign w:val="center"/>
          </w:tcPr>
          <w:p w14:paraId="11196E3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276" w:type="dxa"/>
            <w:noWrap w:val="0"/>
            <w:vAlign w:val="center"/>
          </w:tcPr>
          <w:p w14:paraId="35A402DD">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cs="Times New Roman"/>
                <w:snapToGrid w:val="0"/>
                <w:color w:val="auto"/>
                <w:kern w:val="21"/>
                <w:sz w:val="21"/>
                <w:szCs w:val="21"/>
                <w:highlight w:val="none"/>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37B066FA">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35CA3042">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0.9t/a</w:t>
            </w:r>
          </w:p>
        </w:tc>
        <w:tc>
          <w:tcPr>
            <w:tcW w:w="1761" w:type="dxa"/>
            <w:noWrap w:val="0"/>
            <w:vAlign w:val="center"/>
          </w:tcPr>
          <w:p w14:paraId="2425CEFF">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766" w:type="dxa"/>
            <w:noWrap w:val="0"/>
            <w:vAlign w:val="center"/>
          </w:tcPr>
          <w:p w14:paraId="0AB42E3A">
            <w:pPr>
              <w:keepNext w:val="0"/>
              <w:keepLines w:val="0"/>
              <w:pageBreakBefore w:val="0"/>
              <w:widowControl w:val="0"/>
              <w:suppressLineNumbers w:val="0"/>
              <w:kinsoku/>
              <w:wordWrap/>
              <w:overflowPunct/>
              <w:bidi w:val="0"/>
              <w:spacing w:before="0" w:beforeAutospacing="0" w:after="0" w:afterAutospacing="0" w:line="30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0.9t/a</w:t>
            </w:r>
          </w:p>
        </w:tc>
        <w:tc>
          <w:tcPr>
            <w:tcW w:w="1019" w:type="dxa"/>
            <w:noWrap w:val="0"/>
            <w:vAlign w:val="center"/>
          </w:tcPr>
          <w:p w14:paraId="32145F88">
            <w:pPr>
              <w:keepNext w:val="0"/>
              <w:keepLines w:val="0"/>
              <w:pageBreakBefore w:val="0"/>
              <w:widowControl w:val="0"/>
              <w:suppressLineNumbers w:val="0"/>
              <w:kinsoku/>
              <w:wordWrap/>
              <w:overflowPunct/>
              <w:bidi w:val="0"/>
              <w:adjustRightInd w:val="0"/>
              <w:snapToGrid w:val="0"/>
              <w:spacing w:before="0" w:beforeAutospacing="0" w:after="0" w:afterAutospacing="0" w:line="30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r>
      <w:tr w14:paraId="1831EA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1588" w:type="dxa"/>
            <w:vMerge w:val="restart"/>
            <w:noWrap w:val="0"/>
            <w:vAlign w:val="center"/>
          </w:tcPr>
          <w:p w14:paraId="3C41A696">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80" w:lineRule="exact"/>
              <w:ind w:left="0" w:right="0"/>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危险废物</w:t>
            </w:r>
          </w:p>
        </w:tc>
        <w:tc>
          <w:tcPr>
            <w:tcW w:w="1417" w:type="dxa"/>
            <w:noWrap w:val="0"/>
            <w:vAlign w:val="center"/>
          </w:tcPr>
          <w:p w14:paraId="6E6E6B29">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废润滑油</w:t>
            </w:r>
          </w:p>
        </w:tc>
        <w:tc>
          <w:tcPr>
            <w:tcW w:w="1701" w:type="dxa"/>
            <w:noWrap w:val="0"/>
            <w:vAlign w:val="center"/>
          </w:tcPr>
          <w:p w14:paraId="5D442F84">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noWrap w:val="0"/>
            <w:vAlign w:val="center"/>
          </w:tcPr>
          <w:p w14:paraId="24A0B5D6">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701" w:type="dxa"/>
            <w:noWrap w:val="0"/>
            <w:vAlign w:val="center"/>
          </w:tcPr>
          <w:p w14:paraId="7C6FE972">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noWrap w:val="0"/>
            <w:vAlign w:val="center"/>
          </w:tcPr>
          <w:p w14:paraId="206E9FDC">
            <w:pPr>
              <w:pStyle w:val="226"/>
              <w:keepNext w:val="0"/>
              <w:keepLines w:val="0"/>
              <w:pageBreakBefore w:val="0"/>
              <w:widowControl w:val="0"/>
              <w:suppressLineNumbers w:val="0"/>
              <w:kinsoku/>
              <w:wordWrap/>
              <w:overflowPunct/>
              <w:bidi w:val="0"/>
              <w:adjustRightInd w:val="0"/>
              <w:snapToGrid w:val="0"/>
              <w:spacing w:beforeAutospacing="0" w:afterAutospacing="0" w:line="240" w:lineRule="exact"/>
              <w:ind w:left="0" w:leftChars="0" w:right="0" w:rightChars="0"/>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eastAsia="宋体" w:cs="Times New Roman"/>
                <w:color w:val="auto"/>
                <w:sz w:val="21"/>
                <w:szCs w:val="21"/>
                <w:lang w:val="en-US" w:eastAsia="zh-CN"/>
              </w:rPr>
              <w:t>0.1</w:t>
            </w:r>
            <w:r>
              <w:rPr>
                <w:rFonts w:hint="default" w:ascii="Times New Roman" w:hAnsi="Times New Roman" w:cs="Times New Roman"/>
                <w:color w:val="auto"/>
                <w:kern w:val="0"/>
                <w:szCs w:val="21"/>
                <w:highlight w:val="none"/>
              </w:rPr>
              <w:t>t/a</w:t>
            </w:r>
          </w:p>
        </w:tc>
        <w:tc>
          <w:tcPr>
            <w:tcW w:w="1761" w:type="dxa"/>
            <w:noWrap w:val="0"/>
            <w:vAlign w:val="center"/>
          </w:tcPr>
          <w:p w14:paraId="0251F43D">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noWrap w:val="0"/>
            <w:vAlign w:val="center"/>
          </w:tcPr>
          <w:p w14:paraId="779DF567">
            <w:pPr>
              <w:pStyle w:val="226"/>
              <w:keepNext w:val="0"/>
              <w:keepLines w:val="0"/>
              <w:pageBreakBefore w:val="0"/>
              <w:widowControl w:val="0"/>
              <w:suppressLineNumbers w:val="0"/>
              <w:kinsoku/>
              <w:wordWrap/>
              <w:overflowPunct/>
              <w:bidi w:val="0"/>
              <w:adjustRightInd w:val="0"/>
              <w:snapToGrid w:val="0"/>
              <w:spacing w:beforeAutospacing="0" w:afterAutospacing="0" w:line="240" w:lineRule="exact"/>
              <w:ind w:left="0" w:leftChars="0" w:right="0" w:rightChars="0"/>
              <w:rPr>
                <w:rFonts w:hint="default" w:ascii="Times New Roman" w:hAnsi="Times New Roman" w:eastAsia="宋体" w:cs="Times New Roman"/>
                <w:color w:val="auto"/>
                <w:kern w:val="0"/>
                <w:sz w:val="21"/>
                <w:szCs w:val="21"/>
                <w:highlight w:val="none"/>
                <w:lang w:val="en-US" w:eastAsia="zh-CN" w:bidi="ar-SA"/>
              </w:rPr>
            </w:pPr>
            <w:r>
              <w:rPr>
                <w:rFonts w:hint="eastAsia" w:eastAsia="宋体" w:cs="Times New Roman"/>
                <w:color w:val="auto"/>
                <w:sz w:val="21"/>
                <w:szCs w:val="21"/>
                <w:lang w:val="en-US" w:eastAsia="zh-CN"/>
              </w:rPr>
              <w:t>0.1</w:t>
            </w:r>
            <w:r>
              <w:rPr>
                <w:rFonts w:hint="default" w:ascii="Times New Roman" w:hAnsi="Times New Roman" w:cs="Times New Roman"/>
                <w:color w:val="auto"/>
                <w:kern w:val="0"/>
                <w:szCs w:val="21"/>
                <w:highlight w:val="none"/>
              </w:rPr>
              <w:t>t/a</w:t>
            </w:r>
          </w:p>
        </w:tc>
        <w:tc>
          <w:tcPr>
            <w:tcW w:w="1019" w:type="dxa"/>
            <w:noWrap w:val="0"/>
            <w:vAlign w:val="center"/>
          </w:tcPr>
          <w:p w14:paraId="6614B483">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307A73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1588" w:type="dxa"/>
            <w:vMerge w:val="continue"/>
          </w:tcPr>
          <w:p w14:paraId="2329A91A">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80" w:lineRule="exact"/>
              <w:ind w:left="0" w:right="0"/>
              <w:rPr>
                <w:rFonts w:hint="default" w:ascii="Times New Roman" w:hAnsi="Times New Roman" w:cs="Times New Roman"/>
                <w:snapToGrid w:val="0"/>
                <w:color w:val="auto"/>
                <w:kern w:val="21"/>
                <w:sz w:val="21"/>
                <w:szCs w:val="21"/>
                <w:highlight w:val="none"/>
              </w:rPr>
            </w:pPr>
          </w:p>
        </w:tc>
        <w:tc>
          <w:tcPr>
            <w:tcW w:w="0" w:type="auto"/>
            <w:vAlign w:val="center"/>
          </w:tcPr>
          <w:p w14:paraId="54103E6D">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right="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废润滑油桶</w:t>
            </w:r>
          </w:p>
        </w:tc>
        <w:tc>
          <w:tcPr>
            <w:tcW w:w="1701" w:type="dxa"/>
            <w:vAlign w:val="center"/>
          </w:tcPr>
          <w:p w14:paraId="095200E5">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vAlign w:val="center"/>
          </w:tcPr>
          <w:p w14:paraId="39E29CE3">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701" w:type="dxa"/>
            <w:vAlign w:val="center"/>
          </w:tcPr>
          <w:p w14:paraId="5EFDCC07">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vAlign w:val="center"/>
          </w:tcPr>
          <w:p w14:paraId="07D66AFC">
            <w:pPr>
              <w:pStyle w:val="226"/>
              <w:keepNext w:val="0"/>
              <w:keepLines w:val="0"/>
              <w:pageBreakBefore w:val="0"/>
              <w:widowControl w:val="0"/>
              <w:suppressLineNumbers w:val="0"/>
              <w:kinsoku/>
              <w:wordWrap/>
              <w:overflowPunct/>
              <w:bidi w:val="0"/>
              <w:adjustRightInd w:val="0"/>
              <w:snapToGrid w:val="0"/>
              <w:spacing w:beforeAutospacing="0" w:afterAutospacing="0" w:line="240" w:lineRule="exact"/>
              <w:ind w:left="0" w:leftChars="0" w:right="0" w:rightChars="0"/>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eastAsia="宋体" w:cs="Times New Roman"/>
                <w:color w:val="auto"/>
                <w:sz w:val="21"/>
                <w:szCs w:val="21"/>
                <w:lang w:val="en-US" w:eastAsia="zh-CN"/>
              </w:rPr>
              <w:t>0.02</w:t>
            </w:r>
            <w:r>
              <w:rPr>
                <w:rFonts w:hint="default" w:ascii="Times New Roman" w:hAnsi="Times New Roman" w:cs="Times New Roman"/>
                <w:color w:val="auto"/>
                <w:kern w:val="0"/>
                <w:szCs w:val="21"/>
                <w:highlight w:val="none"/>
              </w:rPr>
              <w:t>t/a</w:t>
            </w:r>
          </w:p>
        </w:tc>
        <w:tc>
          <w:tcPr>
            <w:tcW w:w="1761" w:type="dxa"/>
            <w:vAlign w:val="center"/>
          </w:tcPr>
          <w:p w14:paraId="29E3CAE6">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vAlign w:val="center"/>
          </w:tcPr>
          <w:p w14:paraId="1D9B52C5">
            <w:pPr>
              <w:pStyle w:val="226"/>
              <w:keepNext w:val="0"/>
              <w:keepLines w:val="0"/>
              <w:pageBreakBefore w:val="0"/>
              <w:widowControl w:val="0"/>
              <w:suppressLineNumbers w:val="0"/>
              <w:kinsoku/>
              <w:wordWrap/>
              <w:overflowPunct/>
              <w:bidi w:val="0"/>
              <w:adjustRightInd w:val="0"/>
              <w:snapToGrid w:val="0"/>
              <w:spacing w:beforeAutospacing="0" w:afterAutospacing="0" w:line="240" w:lineRule="exact"/>
              <w:ind w:left="0" w:leftChars="0" w:right="0" w:rightChars="0"/>
              <w:rPr>
                <w:rFonts w:hint="default" w:ascii="Times New Roman" w:hAnsi="Times New Roman" w:eastAsia="宋体" w:cs="Times New Roman"/>
                <w:color w:val="auto"/>
                <w:kern w:val="0"/>
                <w:sz w:val="21"/>
                <w:szCs w:val="21"/>
                <w:highlight w:val="none"/>
                <w:lang w:val="en-US" w:eastAsia="zh-CN" w:bidi="ar-SA"/>
              </w:rPr>
            </w:pPr>
            <w:r>
              <w:rPr>
                <w:rFonts w:hint="eastAsia" w:eastAsia="宋体" w:cs="Times New Roman"/>
                <w:color w:val="auto"/>
                <w:sz w:val="21"/>
                <w:szCs w:val="21"/>
                <w:lang w:val="en-US" w:eastAsia="zh-CN"/>
              </w:rPr>
              <w:t>0.02</w:t>
            </w:r>
            <w:r>
              <w:rPr>
                <w:rFonts w:hint="default" w:ascii="Times New Roman" w:hAnsi="Times New Roman" w:cs="Times New Roman"/>
                <w:color w:val="auto"/>
                <w:kern w:val="0"/>
                <w:szCs w:val="21"/>
                <w:highlight w:val="none"/>
              </w:rPr>
              <w:t>t/a</w:t>
            </w:r>
          </w:p>
        </w:tc>
        <w:tc>
          <w:tcPr>
            <w:tcW w:w="1019" w:type="dxa"/>
            <w:vAlign w:val="center"/>
          </w:tcPr>
          <w:p w14:paraId="29633D84">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r w14:paraId="1F3756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1588" w:type="dxa"/>
            <w:vMerge w:val="continue"/>
          </w:tcPr>
          <w:p w14:paraId="14DAF684">
            <w:pPr>
              <w:pStyle w:val="59"/>
              <w:keepNext w:val="0"/>
              <w:keepLines w:val="0"/>
              <w:pageBreakBefore w:val="0"/>
              <w:widowControl w:val="0"/>
              <w:suppressLineNumbers w:val="0"/>
              <w:tabs>
                <w:tab w:val="left" w:pos="6521"/>
              </w:tabs>
              <w:kinsoku/>
              <w:wordWrap/>
              <w:overflowPunct/>
              <w:bidi w:val="0"/>
              <w:adjustRightInd w:val="0"/>
              <w:snapToGrid w:val="0"/>
              <w:spacing w:before="0" w:beforeAutospacing="0" w:after="0" w:afterAutospacing="0" w:line="280" w:lineRule="exact"/>
              <w:ind w:left="0" w:right="0"/>
              <w:rPr>
                <w:rFonts w:hint="default" w:ascii="Times New Roman" w:hAnsi="Times New Roman" w:cs="Times New Roman"/>
                <w:snapToGrid w:val="0"/>
                <w:color w:val="auto"/>
                <w:kern w:val="21"/>
                <w:sz w:val="21"/>
                <w:szCs w:val="21"/>
                <w:highlight w:val="none"/>
              </w:rPr>
            </w:pPr>
          </w:p>
        </w:tc>
        <w:tc>
          <w:tcPr>
            <w:tcW w:w="0" w:type="auto"/>
            <w:vAlign w:val="center"/>
          </w:tcPr>
          <w:p w14:paraId="7059F73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废</w:t>
            </w:r>
            <w:r>
              <w:rPr>
                <w:rFonts w:hint="eastAsia" w:cs="Times New Roman"/>
                <w:color w:val="auto"/>
                <w:sz w:val="21"/>
                <w:szCs w:val="21"/>
                <w:lang w:val="en-US" w:eastAsia="zh-CN"/>
              </w:rPr>
              <w:t>活性炭</w:t>
            </w:r>
          </w:p>
        </w:tc>
        <w:tc>
          <w:tcPr>
            <w:tcW w:w="1701" w:type="dxa"/>
            <w:vAlign w:val="center"/>
          </w:tcPr>
          <w:p w14:paraId="5F6BB5E9">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276" w:type="dxa"/>
            <w:vAlign w:val="center"/>
          </w:tcPr>
          <w:p w14:paraId="152A173A">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cs="Times New Roman"/>
                <w:snapToGrid w:val="0"/>
                <w:color w:val="auto"/>
                <w:kern w:val="21"/>
                <w:sz w:val="21"/>
                <w:szCs w:val="21"/>
                <w:highlight w:val="none"/>
                <w:lang w:val="en-US" w:eastAsia="zh-CN"/>
              </w:rPr>
            </w:pPr>
            <w:r>
              <w:rPr>
                <w:rFonts w:hint="eastAsia" w:cs="Times New Roman"/>
                <w:snapToGrid w:val="0"/>
                <w:color w:val="auto"/>
                <w:kern w:val="21"/>
                <w:sz w:val="21"/>
                <w:szCs w:val="21"/>
                <w:highlight w:val="none"/>
                <w:lang w:val="en-US" w:eastAsia="zh-CN"/>
              </w:rPr>
              <w:t>/</w:t>
            </w:r>
          </w:p>
        </w:tc>
        <w:tc>
          <w:tcPr>
            <w:tcW w:w="1701" w:type="dxa"/>
            <w:vAlign w:val="center"/>
          </w:tcPr>
          <w:p w14:paraId="0530F296">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napToGrid w:val="0"/>
                <w:color w:val="auto"/>
                <w:kern w:val="21"/>
                <w:sz w:val="21"/>
                <w:szCs w:val="21"/>
                <w:highlight w:val="none"/>
                <w:lang w:val="en-US" w:eastAsia="zh-CN"/>
              </w:rPr>
              <w:t>/</w:t>
            </w:r>
          </w:p>
        </w:tc>
        <w:tc>
          <w:tcPr>
            <w:tcW w:w="1559" w:type="dxa"/>
            <w:vAlign w:val="center"/>
          </w:tcPr>
          <w:p w14:paraId="6BC5F478">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cs="Times New Roman"/>
                <w:smallCaps w:val="0"/>
                <w:snapToGrid w:val="0"/>
                <w:color w:val="auto"/>
                <w:spacing w:val="0"/>
                <w:kern w:val="21"/>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6.71t/a</w:t>
            </w:r>
          </w:p>
        </w:tc>
        <w:tc>
          <w:tcPr>
            <w:tcW w:w="1761" w:type="dxa"/>
            <w:vAlign w:val="center"/>
          </w:tcPr>
          <w:p w14:paraId="36ACCAF6">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c>
          <w:tcPr>
            <w:tcW w:w="1766" w:type="dxa"/>
            <w:vAlign w:val="center"/>
          </w:tcPr>
          <w:p w14:paraId="2D3C3C0E">
            <w:pPr>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smallCaps w:val="0"/>
                <w:snapToGrid w:val="0"/>
                <w:color w:val="auto"/>
                <w:spacing w:val="0"/>
                <w:kern w:val="21"/>
                <w:sz w:val="21"/>
                <w:szCs w:val="21"/>
                <w:highlight w:val="none"/>
                <w:lang w:val="en-US" w:eastAsia="zh-CN" w:bidi="ar-SA"/>
              </w:rPr>
              <w:t>6.71t/a</w:t>
            </w:r>
          </w:p>
        </w:tc>
        <w:tc>
          <w:tcPr>
            <w:tcW w:w="1019" w:type="dxa"/>
            <w:vAlign w:val="center"/>
          </w:tcPr>
          <w:p w14:paraId="18F96AD7">
            <w:pPr>
              <w:pStyle w:val="173"/>
              <w:keepNext w:val="0"/>
              <w:keepLines w:val="0"/>
              <w:pageBreakBefore w:val="0"/>
              <w:widowControl w:val="0"/>
              <w:suppressLineNumbers w:val="0"/>
              <w:kinsoku/>
              <w:wordWrap/>
              <w:overflowPunct/>
              <w:bidi w:val="0"/>
              <w:adjustRightInd w:val="0"/>
              <w:snapToGrid w:val="0"/>
              <w:spacing w:before="0" w:beforeAutospacing="0" w:after="0" w:afterAutospacing="0" w:line="240" w:lineRule="exact"/>
              <w:ind w:left="0" w:leftChars="0" w:right="0" w:rightChars="0"/>
              <w:jc w:val="center"/>
              <w:rPr>
                <w:rFonts w:hint="default" w:ascii="Times New Roman" w:hAnsi="Times New Roman" w:eastAsia="宋体" w:cs="Times New Roman"/>
                <w:smallCaps w:val="0"/>
                <w:snapToGrid w:val="0"/>
                <w:color w:val="auto"/>
                <w:spacing w:val="0"/>
                <w:kern w:val="21"/>
                <w:sz w:val="21"/>
                <w:szCs w:val="21"/>
                <w:highlight w:val="none"/>
                <w:lang w:val="en-US" w:eastAsia="zh-CN" w:bidi="ar-SA"/>
              </w:rPr>
            </w:pPr>
            <w:r>
              <w:rPr>
                <w:rFonts w:hint="eastAsia" w:cs="Times New Roman"/>
                <w:smallCaps w:val="0"/>
                <w:color w:val="auto"/>
                <w:spacing w:val="0"/>
                <w:sz w:val="21"/>
                <w:szCs w:val="21"/>
                <w:highlight w:val="none"/>
                <w:lang w:val="en-US" w:eastAsia="zh-CN"/>
              </w:rPr>
              <w:t>/</w:t>
            </w:r>
          </w:p>
        </w:tc>
      </w:tr>
    </w:tbl>
    <w:p w14:paraId="6AACFF6D">
      <w:pPr>
        <w:pStyle w:val="59"/>
        <w:tabs>
          <w:tab w:val="left" w:pos="6521"/>
        </w:tabs>
        <w:spacing w:before="192" w:beforeLines="80" w:after="24"/>
        <w:ind w:firstLine="480"/>
        <w:jc w:val="left"/>
        <w:rPr>
          <w:rFonts w:hint="default" w:ascii="Times New Roman" w:hAnsi="Times New Roman" w:cs="Times New Roman"/>
          <w:smallCaps w:val="0"/>
          <w:color w:val="auto"/>
          <w:spacing w:val="0"/>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sectPr>
      <w:footerReference r:id="rId6" w:type="default"/>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ourier">
    <w:altName w:val="Courier New"/>
    <w:panose1 w:val="02070409020205020404"/>
    <w:charset w:val="00"/>
    <w:family w:val="modern"/>
    <w:pitch w:val="default"/>
    <w:sig w:usb0="00000000" w:usb1="00000000" w:usb2="00000000" w:usb3="00000000" w:csb0="00000001" w:csb1="0000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Helvetica">
    <w:altName w:val="Arial"/>
    <w:panose1 w:val="00000000000000000000"/>
    <w:charset w:val="00"/>
    <w:family w:val="auto"/>
    <w:pitch w:val="default"/>
    <w:sig w:usb0="00000000" w:usb1="00000000" w:usb2="00000000" w:usb3="00000000" w:csb0="00000000" w:csb1="00000000"/>
  </w:font>
  <w:font w:name="TimesNewRomanPSMT">
    <w:altName w:val="等线"/>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ADB4B">
    <w:pPr>
      <w:pStyle w:val="30"/>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65A33">
    <w:pPr>
      <w:pStyle w:val="30"/>
      <w:framePr w:wrap="around" w:vAnchor="text" w:hAnchor="margin" w:xAlign="center" w:y="1"/>
      <w:rPr>
        <w:rStyle w:val="52"/>
      </w:rPr>
    </w:pPr>
    <w:r>
      <w:fldChar w:fldCharType="begin"/>
    </w:r>
    <w:r>
      <w:rPr>
        <w:rStyle w:val="52"/>
      </w:rPr>
      <w:instrText xml:space="preserve">PAGE  </w:instrText>
    </w:r>
    <w:r>
      <w:fldChar w:fldCharType="end"/>
    </w:r>
  </w:p>
  <w:p w14:paraId="0DCDC6FC">
    <w:pPr>
      <w:pStyle w:val="3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0001520"/>
    </w:sdtPr>
    <w:sdtContent>
      <w:p w14:paraId="00DE141C">
        <w:pPr>
          <w:pStyle w:val="30"/>
          <w:jc w:val="center"/>
        </w:pPr>
        <w:r>
          <w:fldChar w:fldCharType="begin"/>
        </w:r>
        <w:r>
          <w:instrText xml:space="preserve">PAGE   \* MERGEFORMAT</w:instrText>
        </w:r>
        <w:r>
          <w:fldChar w:fldCharType="separate"/>
        </w:r>
        <w:r>
          <w:rPr>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74309">
    <w:pPr>
      <w:pStyle w:val="30"/>
      <w:ind w:right="360"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D036543">
                          <w:pPr>
                            <w:pStyle w:val="30"/>
                            <w:ind w:firstLine="360"/>
                          </w:pPr>
                          <w:r>
                            <w:fldChar w:fldCharType="begin"/>
                          </w:r>
                          <w:r>
                            <w:instrText xml:space="preserve"> PAGE  \* MERGEFORMAT </w:instrText>
                          </w:r>
                          <w:r>
                            <w:fldChar w:fldCharType="separate"/>
                          </w:r>
                          <w:r>
                            <w:t>55</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KDQKckBAACb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X2DkjhuceLnnz/Ovx7PD98J&#10;+lCgPkCNeXcBM9Pw3g+4NrMf0Jl5Dyra/EVGBOOIdbrIK4dERH60Wq5WFYYExuYL4rOn5yFC+iC9&#10;JdloaMT5FVn58ROkMXVOydWcv9XGlBka95cDMbOH5d7HHrOVht0wEdr59oR8ehx9Qx1uOiXmo0Nl&#10;sb80G3E2drNxCFHvu7JGuR6Ed4eETZTecoURdiqMMyvspv3KS/HnvWQ9/VOb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NApyQEAAJsDAAAOAAAAAAAAAAEAIAAAAB4BAABkcnMvZTJvRG9j&#10;LnhtbFBLBQYAAAAABgAGAFkBAABZBQAAAAA=&#10;">
              <v:fill on="f" focussize="0,0"/>
              <v:stroke on="f"/>
              <v:imagedata o:title=""/>
              <o:lock v:ext="edit" aspectratio="f"/>
              <v:textbox inset="0mm,0mm,0mm,0mm" style="mso-fit-shape-to-text:t;">
                <w:txbxContent>
                  <w:p w14:paraId="2D036543">
                    <w:pPr>
                      <w:pStyle w:val="30"/>
                      <w:ind w:firstLine="360"/>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9862E1"/>
    <w:multiLevelType w:val="singleLevel"/>
    <w:tmpl w:val="F19862E1"/>
    <w:lvl w:ilvl="0" w:tentative="0">
      <w:start w:val="1"/>
      <w:numFmt w:val="decimal"/>
      <w:suff w:val="nothing"/>
      <w:lvlText w:val="%1、"/>
      <w:lvlJc w:val="left"/>
    </w:lvl>
  </w:abstractNum>
  <w:abstractNum w:abstractNumId="1">
    <w:nsid w:val="24952AB3"/>
    <w:multiLevelType w:val="singleLevel"/>
    <w:tmpl w:val="24952AB3"/>
    <w:lvl w:ilvl="0" w:tentative="0">
      <w:start w:val="1"/>
      <w:numFmt w:val="bullet"/>
      <w:pStyle w:val="25"/>
      <w:lvlText w:val=""/>
      <w:lvlJc w:val="left"/>
      <w:pPr>
        <w:tabs>
          <w:tab w:val="left" w:pos="2040"/>
        </w:tabs>
        <w:ind w:left="2040" w:hanging="360"/>
      </w:pPr>
      <w:rPr>
        <w:rFonts w:hint="default" w:ascii="Wingdings" w:hAnsi="Wingdings"/>
      </w:rPr>
    </w:lvl>
  </w:abstractNum>
  <w:abstractNum w:abstractNumId="2">
    <w:nsid w:val="3AC32E36"/>
    <w:multiLevelType w:val="singleLevel"/>
    <w:tmpl w:val="3AC32E36"/>
    <w:lvl w:ilvl="0" w:tentative="0">
      <w:start w:val="1"/>
      <w:numFmt w:val="decimal"/>
      <w:suff w:val="nothing"/>
      <w:lvlText w:val="（%1）"/>
      <w:lvlJc w:val="left"/>
    </w:lvl>
  </w:abstractNum>
  <w:abstractNum w:abstractNumId="3">
    <w:nsid w:val="4B733353"/>
    <w:multiLevelType w:val="multilevel"/>
    <w:tmpl w:val="4B733353"/>
    <w:lvl w:ilvl="0" w:tentative="0">
      <w:start w:val="1"/>
      <w:numFmt w:val="decimal"/>
      <w:pStyle w:val="141"/>
      <w:lvlText w:val="%1、"/>
      <w:lvlJc w:val="left"/>
      <w:pPr>
        <w:tabs>
          <w:tab w:val="left" w:pos="1203"/>
        </w:tabs>
        <w:ind w:left="1203" w:hanging="765"/>
      </w:pPr>
      <w:rPr>
        <w:rFonts w:hint="default"/>
      </w:rPr>
    </w:lvl>
    <w:lvl w:ilvl="1" w:tentative="0">
      <w:start w:val="1"/>
      <w:numFmt w:val="lowerLetter"/>
      <w:pStyle w:val="138"/>
      <w:lvlText w:val="%2)"/>
      <w:lvlJc w:val="left"/>
      <w:pPr>
        <w:tabs>
          <w:tab w:val="left" w:pos="1278"/>
        </w:tabs>
        <w:ind w:left="1278" w:hanging="420"/>
      </w:pPr>
    </w:lvl>
    <w:lvl w:ilvl="2" w:tentative="0">
      <w:start w:val="1"/>
      <w:numFmt w:val="lowerRoman"/>
      <w:lvlText w:val="%3."/>
      <w:lvlJc w:val="right"/>
      <w:pPr>
        <w:tabs>
          <w:tab w:val="left" w:pos="1698"/>
        </w:tabs>
        <w:ind w:left="1698" w:hanging="420"/>
      </w:pPr>
    </w:lvl>
    <w:lvl w:ilvl="3" w:tentative="0">
      <w:start w:val="1"/>
      <w:numFmt w:val="decimal"/>
      <w:lvlText w:val="%4."/>
      <w:lvlJc w:val="left"/>
      <w:pPr>
        <w:tabs>
          <w:tab w:val="left" w:pos="2118"/>
        </w:tabs>
        <w:ind w:left="2118" w:hanging="420"/>
      </w:pPr>
    </w:lvl>
    <w:lvl w:ilvl="4" w:tentative="0">
      <w:start w:val="1"/>
      <w:numFmt w:val="lowerLetter"/>
      <w:lvlText w:val="%5)"/>
      <w:lvlJc w:val="left"/>
      <w:pPr>
        <w:tabs>
          <w:tab w:val="left" w:pos="2538"/>
        </w:tabs>
        <w:ind w:left="2538" w:hanging="420"/>
      </w:pPr>
    </w:lvl>
    <w:lvl w:ilvl="5" w:tentative="0">
      <w:start w:val="1"/>
      <w:numFmt w:val="lowerRoman"/>
      <w:lvlText w:val="%6."/>
      <w:lvlJc w:val="right"/>
      <w:pPr>
        <w:tabs>
          <w:tab w:val="left" w:pos="2958"/>
        </w:tabs>
        <w:ind w:left="2958" w:hanging="420"/>
      </w:pPr>
    </w:lvl>
    <w:lvl w:ilvl="6" w:tentative="0">
      <w:start w:val="1"/>
      <w:numFmt w:val="decimal"/>
      <w:lvlText w:val="%7."/>
      <w:lvlJc w:val="left"/>
      <w:pPr>
        <w:tabs>
          <w:tab w:val="left" w:pos="3378"/>
        </w:tabs>
        <w:ind w:left="3378" w:hanging="420"/>
      </w:pPr>
    </w:lvl>
    <w:lvl w:ilvl="7" w:tentative="0">
      <w:start w:val="1"/>
      <w:numFmt w:val="lowerLetter"/>
      <w:lvlText w:val="%8)"/>
      <w:lvlJc w:val="left"/>
      <w:pPr>
        <w:tabs>
          <w:tab w:val="left" w:pos="3798"/>
        </w:tabs>
        <w:ind w:left="3798" w:hanging="420"/>
      </w:pPr>
    </w:lvl>
    <w:lvl w:ilvl="8" w:tentative="0">
      <w:start w:val="1"/>
      <w:numFmt w:val="lowerRoman"/>
      <w:lvlText w:val="%9."/>
      <w:lvlJc w:val="right"/>
      <w:pPr>
        <w:tabs>
          <w:tab w:val="left" w:pos="4218"/>
        </w:tabs>
        <w:ind w:left="4218" w:hanging="420"/>
      </w:pPr>
    </w:lvl>
  </w:abstractNum>
  <w:abstractNum w:abstractNumId="4">
    <w:nsid w:val="4ED537B4"/>
    <w:multiLevelType w:val="singleLevel"/>
    <w:tmpl w:val="4ED537B4"/>
    <w:lvl w:ilvl="0" w:tentative="0">
      <w:start w:val="3"/>
      <w:numFmt w:val="decimal"/>
      <w:suff w:val="nothing"/>
      <w:lvlText w:val="（%1）"/>
      <w:lvlJc w:val="left"/>
    </w:lvl>
  </w:abstractNum>
  <w:abstractNum w:abstractNumId="5">
    <w:nsid w:val="5335DEEB"/>
    <w:multiLevelType w:val="singleLevel"/>
    <w:tmpl w:val="5335DEEB"/>
    <w:lvl w:ilvl="0" w:tentative="0">
      <w:start w:val="5"/>
      <w:numFmt w:val="decimal"/>
      <w:suff w:val="nothing"/>
      <w:lvlText w:val="（%1）"/>
      <w:lvlJc w:val="left"/>
    </w:lvl>
  </w:abstractNum>
  <w:abstractNum w:abstractNumId="6">
    <w:nsid w:val="5F27000B"/>
    <w:multiLevelType w:val="singleLevel"/>
    <w:tmpl w:val="5F27000B"/>
    <w:lvl w:ilvl="0" w:tentative="0">
      <w:start w:val="2"/>
      <w:numFmt w:val="decimal"/>
      <w:suff w:val="nothing"/>
      <w:lvlText w:val="（%1）"/>
      <w:lvlJc w:val="left"/>
    </w:lvl>
  </w:abstractNum>
  <w:abstractNum w:abstractNumId="7">
    <w:nsid w:val="7BEA3083"/>
    <w:multiLevelType w:val="singleLevel"/>
    <w:tmpl w:val="7BEA3083"/>
    <w:lvl w:ilvl="0" w:tentative="0">
      <w:start w:val="1"/>
      <w:numFmt w:val="decimal"/>
      <w:suff w:val="nothing"/>
      <w:lvlText w:val="%1、"/>
      <w:lvlJc w:val="left"/>
    </w:lvl>
  </w:abstractNum>
  <w:num w:numId="1">
    <w:abstractNumId w:val="1"/>
  </w:num>
  <w:num w:numId="2">
    <w:abstractNumId w:val="3"/>
  </w:num>
  <w:num w:numId="3">
    <w:abstractNumId w:val="7"/>
  </w:num>
  <w:num w:numId="4">
    <w:abstractNumId w:val="0"/>
  </w:num>
  <w:num w:numId="5">
    <w:abstractNumId w:val="5"/>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drawingGridHorizontalSpacing w:val="105"/>
  <w:drawingGridVerticalSpacing w:val="3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kYzU3NDA5NGQxYzZlNmZjOWJkMWRlMDM5YTAyZmEifQ=="/>
  </w:docVars>
  <w:rsids>
    <w:rsidRoot w:val="00CC611A"/>
    <w:rsid w:val="000006C4"/>
    <w:rsid w:val="00000DF0"/>
    <w:rsid w:val="00000E55"/>
    <w:rsid w:val="0000116F"/>
    <w:rsid w:val="00001672"/>
    <w:rsid w:val="000016C9"/>
    <w:rsid w:val="000019D5"/>
    <w:rsid w:val="00001D9D"/>
    <w:rsid w:val="000020E1"/>
    <w:rsid w:val="00002552"/>
    <w:rsid w:val="000028DE"/>
    <w:rsid w:val="00002CE9"/>
    <w:rsid w:val="00002D5C"/>
    <w:rsid w:val="0000381C"/>
    <w:rsid w:val="00003E00"/>
    <w:rsid w:val="00003E79"/>
    <w:rsid w:val="00003FF1"/>
    <w:rsid w:val="000041B1"/>
    <w:rsid w:val="00004202"/>
    <w:rsid w:val="00004249"/>
    <w:rsid w:val="0000431F"/>
    <w:rsid w:val="00004526"/>
    <w:rsid w:val="00004B50"/>
    <w:rsid w:val="00004C97"/>
    <w:rsid w:val="00004F28"/>
    <w:rsid w:val="00004F3E"/>
    <w:rsid w:val="00004F75"/>
    <w:rsid w:val="0000514B"/>
    <w:rsid w:val="00005169"/>
    <w:rsid w:val="000057FD"/>
    <w:rsid w:val="00005837"/>
    <w:rsid w:val="00005F06"/>
    <w:rsid w:val="00005F34"/>
    <w:rsid w:val="00006524"/>
    <w:rsid w:val="00006FDE"/>
    <w:rsid w:val="00010412"/>
    <w:rsid w:val="0001082D"/>
    <w:rsid w:val="000113CB"/>
    <w:rsid w:val="00012950"/>
    <w:rsid w:val="00012AAE"/>
    <w:rsid w:val="0001365E"/>
    <w:rsid w:val="00013809"/>
    <w:rsid w:val="0001399D"/>
    <w:rsid w:val="00013C18"/>
    <w:rsid w:val="0001461B"/>
    <w:rsid w:val="0001468C"/>
    <w:rsid w:val="000146C5"/>
    <w:rsid w:val="00014900"/>
    <w:rsid w:val="00014998"/>
    <w:rsid w:val="000154E2"/>
    <w:rsid w:val="00015593"/>
    <w:rsid w:val="000159A2"/>
    <w:rsid w:val="00015C1D"/>
    <w:rsid w:val="00015F3B"/>
    <w:rsid w:val="00015F54"/>
    <w:rsid w:val="0001613A"/>
    <w:rsid w:val="000166D6"/>
    <w:rsid w:val="0001672C"/>
    <w:rsid w:val="00016CFA"/>
    <w:rsid w:val="0002032C"/>
    <w:rsid w:val="00020821"/>
    <w:rsid w:val="00020B90"/>
    <w:rsid w:val="0002117A"/>
    <w:rsid w:val="000214DB"/>
    <w:rsid w:val="000221AF"/>
    <w:rsid w:val="000222AA"/>
    <w:rsid w:val="0002250F"/>
    <w:rsid w:val="0002290B"/>
    <w:rsid w:val="00023D90"/>
    <w:rsid w:val="00024435"/>
    <w:rsid w:val="00024573"/>
    <w:rsid w:val="00025402"/>
    <w:rsid w:val="000256B2"/>
    <w:rsid w:val="000257DD"/>
    <w:rsid w:val="000264F7"/>
    <w:rsid w:val="00026785"/>
    <w:rsid w:val="00026F4C"/>
    <w:rsid w:val="000272A4"/>
    <w:rsid w:val="000273C2"/>
    <w:rsid w:val="000274A3"/>
    <w:rsid w:val="0002756A"/>
    <w:rsid w:val="000275B7"/>
    <w:rsid w:val="00027954"/>
    <w:rsid w:val="00027AF5"/>
    <w:rsid w:val="00027E0E"/>
    <w:rsid w:val="00027F88"/>
    <w:rsid w:val="00030249"/>
    <w:rsid w:val="00030480"/>
    <w:rsid w:val="00030AC7"/>
    <w:rsid w:val="00030B17"/>
    <w:rsid w:val="00030CB0"/>
    <w:rsid w:val="00032083"/>
    <w:rsid w:val="00032723"/>
    <w:rsid w:val="000327B1"/>
    <w:rsid w:val="00032B08"/>
    <w:rsid w:val="000331B3"/>
    <w:rsid w:val="000338C2"/>
    <w:rsid w:val="00033D6E"/>
    <w:rsid w:val="00034405"/>
    <w:rsid w:val="00034BD3"/>
    <w:rsid w:val="000351A3"/>
    <w:rsid w:val="00035733"/>
    <w:rsid w:val="00035D14"/>
    <w:rsid w:val="00035E00"/>
    <w:rsid w:val="00036B60"/>
    <w:rsid w:val="00036ED3"/>
    <w:rsid w:val="00037A2B"/>
    <w:rsid w:val="00037C68"/>
    <w:rsid w:val="000407F5"/>
    <w:rsid w:val="0004102D"/>
    <w:rsid w:val="000413DD"/>
    <w:rsid w:val="0004192D"/>
    <w:rsid w:val="000422D9"/>
    <w:rsid w:val="00042343"/>
    <w:rsid w:val="00042E34"/>
    <w:rsid w:val="000430F9"/>
    <w:rsid w:val="0004378C"/>
    <w:rsid w:val="0004387A"/>
    <w:rsid w:val="00043905"/>
    <w:rsid w:val="00043A6F"/>
    <w:rsid w:val="00044115"/>
    <w:rsid w:val="000441ED"/>
    <w:rsid w:val="000445F0"/>
    <w:rsid w:val="000448F3"/>
    <w:rsid w:val="00044BDE"/>
    <w:rsid w:val="00044EBA"/>
    <w:rsid w:val="00044EE0"/>
    <w:rsid w:val="00044FA2"/>
    <w:rsid w:val="000454C0"/>
    <w:rsid w:val="0004559B"/>
    <w:rsid w:val="00045C9E"/>
    <w:rsid w:val="00045D3F"/>
    <w:rsid w:val="00046BC0"/>
    <w:rsid w:val="00046EBA"/>
    <w:rsid w:val="00047550"/>
    <w:rsid w:val="0004773E"/>
    <w:rsid w:val="0004797E"/>
    <w:rsid w:val="00050099"/>
    <w:rsid w:val="0005013F"/>
    <w:rsid w:val="000509FB"/>
    <w:rsid w:val="00050B4D"/>
    <w:rsid w:val="00050C1F"/>
    <w:rsid w:val="00050EE1"/>
    <w:rsid w:val="00051817"/>
    <w:rsid w:val="00051839"/>
    <w:rsid w:val="00051D62"/>
    <w:rsid w:val="00052011"/>
    <w:rsid w:val="0005271A"/>
    <w:rsid w:val="00052EEF"/>
    <w:rsid w:val="00053AF0"/>
    <w:rsid w:val="00053E4A"/>
    <w:rsid w:val="00054146"/>
    <w:rsid w:val="00055A41"/>
    <w:rsid w:val="0005629D"/>
    <w:rsid w:val="00056D7C"/>
    <w:rsid w:val="00057272"/>
    <w:rsid w:val="000574E1"/>
    <w:rsid w:val="00057BD5"/>
    <w:rsid w:val="00057BF7"/>
    <w:rsid w:val="00057CEA"/>
    <w:rsid w:val="000602EC"/>
    <w:rsid w:val="00060469"/>
    <w:rsid w:val="00060567"/>
    <w:rsid w:val="00060D9B"/>
    <w:rsid w:val="000619E2"/>
    <w:rsid w:val="000628E9"/>
    <w:rsid w:val="0006383E"/>
    <w:rsid w:val="000641FA"/>
    <w:rsid w:val="000647FD"/>
    <w:rsid w:val="00064D35"/>
    <w:rsid w:val="00064DA4"/>
    <w:rsid w:val="00064F85"/>
    <w:rsid w:val="00065781"/>
    <w:rsid w:val="000658C1"/>
    <w:rsid w:val="000660BB"/>
    <w:rsid w:val="00066769"/>
    <w:rsid w:val="00066B7A"/>
    <w:rsid w:val="00067105"/>
    <w:rsid w:val="00067452"/>
    <w:rsid w:val="00067C7F"/>
    <w:rsid w:val="00070484"/>
    <w:rsid w:val="00070516"/>
    <w:rsid w:val="00070A3A"/>
    <w:rsid w:val="00070FC3"/>
    <w:rsid w:val="00071297"/>
    <w:rsid w:val="00071644"/>
    <w:rsid w:val="00071A1F"/>
    <w:rsid w:val="0007213E"/>
    <w:rsid w:val="000722EA"/>
    <w:rsid w:val="00072839"/>
    <w:rsid w:val="00073469"/>
    <w:rsid w:val="000735CB"/>
    <w:rsid w:val="00073684"/>
    <w:rsid w:val="0007393B"/>
    <w:rsid w:val="00073ABD"/>
    <w:rsid w:val="00073FB1"/>
    <w:rsid w:val="000740E2"/>
    <w:rsid w:val="00074484"/>
    <w:rsid w:val="0007495C"/>
    <w:rsid w:val="00074FB2"/>
    <w:rsid w:val="0007523E"/>
    <w:rsid w:val="000755D9"/>
    <w:rsid w:val="000756CB"/>
    <w:rsid w:val="0007597C"/>
    <w:rsid w:val="00075E8C"/>
    <w:rsid w:val="0007642F"/>
    <w:rsid w:val="000766AE"/>
    <w:rsid w:val="00076AA6"/>
    <w:rsid w:val="00077384"/>
    <w:rsid w:val="00077594"/>
    <w:rsid w:val="0007765F"/>
    <w:rsid w:val="000777D8"/>
    <w:rsid w:val="000800A1"/>
    <w:rsid w:val="00080244"/>
    <w:rsid w:val="0008034C"/>
    <w:rsid w:val="000804F2"/>
    <w:rsid w:val="00080C6D"/>
    <w:rsid w:val="00080F71"/>
    <w:rsid w:val="000813DC"/>
    <w:rsid w:val="0008150E"/>
    <w:rsid w:val="00081721"/>
    <w:rsid w:val="00081A54"/>
    <w:rsid w:val="00081C03"/>
    <w:rsid w:val="00081E2C"/>
    <w:rsid w:val="000821D8"/>
    <w:rsid w:val="00082A76"/>
    <w:rsid w:val="00083024"/>
    <w:rsid w:val="00083603"/>
    <w:rsid w:val="000838F8"/>
    <w:rsid w:val="00083A2F"/>
    <w:rsid w:val="00083C03"/>
    <w:rsid w:val="00084065"/>
    <w:rsid w:val="00084B94"/>
    <w:rsid w:val="00085095"/>
    <w:rsid w:val="0008618A"/>
    <w:rsid w:val="000861C8"/>
    <w:rsid w:val="0008623E"/>
    <w:rsid w:val="00086801"/>
    <w:rsid w:val="00086B3D"/>
    <w:rsid w:val="000871BD"/>
    <w:rsid w:val="000873C9"/>
    <w:rsid w:val="000874E2"/>
    <w:rsid w:val="000875FC"/>
    <w:rsid w:val="0008782A"/>
    <w:rsid w:val="00090C69"/>
    <w:rsid w:val="00091501"/>
    <w:rsid w:val="00091980"/>
    <w:rsid w:val="00091DF6"/>
    <w:rsid w:val="00091F6F"/>
    <w:rsid w:val="00092333"/>
    <w:rsid w:val="00092A90"/>
    <w:rsid w:val="00092CB0"/>
    <w:rsid w:val="00092ED1"/>
    <w:rsid w:val="0009339E"/>
    <w:rsid w:val="0009380C"/>
    <w:rsid w:val="00093B01"/>
    <w:rsid w:val="00093D40"/>
    <w:rsid w:val="000940FC"/>
    <w:rsid w:val="00094390"/>
    <w:rsid w:val="00094DE5"/>
    <w:rsid w:val="000958D6"/>
    <w:rsid w:val="00095C21"/>
    <w:rsid w:val="00095E87"/>
    <w:rsid w:val="00095F40"/>
    <w:rsid w:val="0009601D"/>
    <w:rsid w:val="000972E1"/>
    <w:rsid w:val="000977A5"/>
    <w:rsid w:val="000A0124"/>
    <w:rsid w:val="000A1079"/>
    <w:rsid w:val="000A131E"/>
    <w:rsid w:val="000A1391"/>
    <w:rsid w:val="000A1407"/>
    <w:rsid w:val="000A187A"/>
    <w:rsid w:val="000A1BC9"/>
    <w:rsid w:val="000A22C3"/>
    <w:rsid w:val="000A2647"/>
    <w:rsid w:val="000A2BF6"/>
    <w:rsid w:val="000A3191"/>
    <w:rsid w:val="000A4278"/>
    <w:rsid w:val="000A4349"/>
    <w:rsid w:val="000A531D"/>
    <w:rsid w:val="000A569E"/>
    <w:rsid w:val="000A5E33"/>
    <w:rsid w:val="000A6102"/>
    <w:rsid w:val="000A616E"/>
    <w:rsid w:val="000A6309"/>
    <w:rsid w:val="000A679B"/>
    <w:rsid w:val="000A67A4"/>
    <w:rsid w:val="000A6BF7"/>
    <w:rsid w:val="000A6D35"/>
    <w:rsid w:val="000A6E6D"/>
    <w:rsid w:val="000A7444"/>
    <w:rsid w:val="000A7525"/>
    <w:rsid w:val="000B19C6"/>
    <w:rsid w:val="000B1FC5"/>
    <w:rsid w:val="000B2328"/>
    <w:rsid w:val="000B26FA"/>
    <w:rsid w:val="000B2740"/>
    <w:rsid w:val="000B2EF9"/>
    <w:rsid w:val="000B30C7"/>
    <w:rsid w:val="000B329A"/>
    <w:rsid w:val="000B3DCA"/>
    <w:rsid w:val="000B3E40"/>
    <w:rsid w:val="000B4031"/>
    <w:rsid w:val="000B41B8"/>
    <w:rsid w:val="000B43A0"/>
    <w:rsid w:val="000B4BFB"/>
    <w:rsid w:val="000B5337"/>
    <w:rsid w:val="000B54ED"/>
    <w:rsid w:val="000B559B"/>
    <w:rsid w:val="000B5648"/>
    <w:rsid w:val="000B5A06"/>
    <w:rsid w:val="000B5D9B"/>
    <w:rsid w:val="000B5DD9"/>
    <w:rsid w:val="000B5F97"/>
    <w:rsid w:val="000B6654"/>
    <w:rsid w:val="000B683B"/>
    <w:rsid w:val="000B6910"/>
    <w:rsid w:val="000B6A54"/>
    <w:rsid w:val="000B701C"/>
    <w:rsid w:val="000B7609"/>
    <w:rsid w:val="000B78C8"/>
    <w:rsid w:val="000B78DD"/>
    <w:rsid w:val="000C0120"/>
    <w:rsid w:val="000C0786"/>
    <w:rsid w:val="000C0D4A"/>
    <w:rsid w:val="000C10E5"/>
    <w:rsid w:val="000C164A"/>
    <w:rsid w:val="000C185C"/>
    <w:rsid w:val="000C19C5"/>
    <w:rsid w:val="000C1A6F"/>
    <w:rsid w:val="000C1B47"/>
    <w:rsid w:val="000C1DD1"/>
    <w:rsid w:val="000C2279"/>
    <w:rsid w:val="000C3077"/>
    <w:rsid w:val="000C3D8F"/>
    <w:rsid w:val="000C4313"/>
    <w:rsid w:val="000C478F"/>
    <w:rsid w:val="000C47C0"/>
    <w:rsid w:val="000C48C7"/>
    <w:rsid w:val="000C49B6"/>
    <w:rsid w:val="000C5F0E"/>
    <w:rsid w:val="000C64F4"/>
    <w:rsid w:val="000C694C"/>
    <w:rsid w:val="000C7432"/>
    <w:rsid w:val="000C7CD1"/>
    <w:rsid w:val="000C7F7C"/>
    <w:rsid w:val="000D0314"/>
    <w:rsid w:val="000D0C1A"/>
    <w:rsid w:val="000D1518"/>
    <w:rsid w:val="000D1615"/>
    <w:rsid w:val="000D1DB6"/>
    <w:rsid w:val="000D1F42"/>
    <w:rsid w:val="000D21D1"/>
    <w:rsid w:val="000D225B"/>
    <w:rsid w:val="000D26D2"/>
    <w:rsid w:val="000D2766"/>
    <w:rsid w:val="000D2929"/>
    <w:rsid w:val="000D3562"/>
    <w:rsid w:val="000D35D4"/>
    <w:rsid w:val="000D3740"/>
    <w:rsid w:val="000D38AC"/>
    <w:rsid w:val="000D3940"/>
    <w:rsid w:val="000D3AD7"/>
    <w:rsid w:val="000D4125"/>
    <w:rsid w:val="000D42A6"/>
    <w:rsid w:val="000D42BE"/>
    <w:rsid w:val="000D4710"/>
    <w:rsid w:val="000D4DD2"/>
    <w:rsid w:val="000D4F6F"/>
    <w:rsid w:val="000D54FE"/>
    <w:rsid w:val="000D574D"/>
    <w:rsid w:val="000D5AB1"/>
    <w:rsid w:val="000D5BBB"/>
    <w:rsid w:val="000D5F32"/>
    <w:rsid w:val="000D5F94"/>
    <w:rsid w:val="000D60D7"/>
    <w:rsid w:val="000D698E"/>
    <w:rsid w:val="000D6B50"/>
    <w:rsid w:val="000D6BBE"/>
    <w:rsid w:val="000D7409"/>
    <w:rsid w:val="000D774B"/>
    <w:rsid w:val="000E019A"/>
    <w:rsid w:val="000E0988"/>
    <w:rsid w:val="000E1302"/>
    <w:rsid w:val="000E159E"/>
    <w:rsid w:val="000E17FB"/>
    <w:rsid w:val="000E1B2B"/>
    <w:rsid w:val="000E2347"/>
    <w:rsid w:val="000E24DE"/>
    <w:rsid w:val="000E2622"/>
    <w:rsid w:val="000E2731"/>
    <w:rsid w:val="000E2A41"/>
    <w:rsid w:val="000E2B70"/>
    <w:rsid w:val="000E3981"/>
    <w:rsid w:val="000E419F"/>
    <w:rsid w:val="000E490E"/>
    <w:rsid w:val="000E49BD"/>
    <w:rsid w:val="000E4C0F"/>
    <w:rsid w:val="000E4DF8"/>
    <w:rsid w:val="000E50D0"/>
    <w:rsid w:val="000E53CF"/>
    <w:rsid w:val="000E592F"/>
    <w:rsid w:val="000E60A0"/>
    <w:rsid w:val="000E6587"/>
    <w:rsid w:val="000E6D4C"/>
    <w:rsid w:val="000E70AA"/>
    <w:rsid w:val="000E760C"/>
    <w:rsid w:val="000E761A"/>
    <w:rsid w:val="000E78F0"/>
    <w:rsid w:val="000E7927"/>
    <w:rsid w:val="000E7F7F"/>
    <w:rsid w:val="000E7F94"/>
    <w:rsid w:val="000F05D9"/>
    <w:rsid w:val="000F07CF"/>
    <w:rsid w:val="000F0AB7"/>
    <w:rsid w:val="000F0B40"/>
    <w:rsid w:val="000F0B99"/>
    <w:rsid w:val="000F0BE8"/>
    <w:rsid w:val="000F0F9F"/>
    <w:rsid w:val="000F1000"/>
    <w:rsid w:val="000F101E"/>
    <w:rsid w:val="000F1529"/>
    <w:rsid w:val="000F18D8"/>
    <w:rsid w:val="000F1A69"/>
    <w:rsid w:val="000F23CD"/>
    <w:rsid w:val="000F2672"/>
    <w:rsid w:val="000F3203"/>
    <w:rsid w:val="000F378C"/>
    <w:rsid w:val="000F3E9C"/>
    <w:rsid w:val="000F3ED7"/>
    <w:rsid w:val="000F4374"/>
    <w:rsid w:val="000F45BE"/>
    <w:rsid w:val="000F46BE"/>
    <w:rsid w:val="000F4B64"/>
    <w:rsid w:val="000F4F33"/>
    <w:rsid w:val="000F4F54"/>
    <w:rsid w:val="000F50C7"/>
    <w:rsid w:val="000F5A29"/>
    <w:rsid w:val="000F5C9D"/>
    <w:rsid w:val="000F661D"/>
    <w:rsid w:val="000F661E"/>
    <w:rsid w:val="000F73C6"/>
    <w:rsid w:val="000F7820"/>
    <w:rsid w:val="000F79BD"/>
    <w:rsid w:val="000F7C22"/>
    <w:rsid w:val="000F7E73"/>
    <w:rsid w:val="000F7E75"/>
    <w:rsid w:val="0010028A"/>
    <w:rsid w:val="00100798"/>
    <w:rsid w:val="001008F7"/>
    <w:rsid w:val="00101181"/>
    <w:rsid w:val="00101F0E"/>
    <w:rsid w:val="00102497"/>
    <w:rsid w:val="00102524"/>
    <w:rsid w:val="001038F5"/>
    <w:rsid w:val="0010433F"/>
    <w:rsid w:val="0010542E"/>
    <w:rsid w:val="0010558F"/>
    <w:rsid w:val="0010596C"/>
    <w:rsid w:val="00105B3E"/>
    <w:rsid w:val="00105F37"/>
    <w:rsid w:val="001061BF"/>
    <w:rsid w:val="001068FD"/>
    <w:rsid w:val="00106B85"/>
    <w:rsid w:val="00106E01"/>
    <w:rsid w:val="00107357"/>
    <w:rsid w:val="00107434"/>
    <w:rsid w:val="0010747A"/>
    <w:rsid w:val="001074B6"/>
    <w:rsid w:val="0010753F"/>
    <w:rsid w:val="001078E3"/>
    <w:rsid w:val="00107B70"/>
    <w:rsid w:val="00107D49"/>
    <w:rsid w:val="001106B4"/>
    <w:rsid w:val="00110927"/>
    <w:rsid w:val="00110AAF"/>
    <w:rsid w:val="00110B22"/>
    <w:rsid w:val="00110EA5"/>
    <w:rsid w:val="0011155B"/>
    <w:rsid w:val="00111AEC"/>
    <w:rsid w:val="00111B27"/>
    <w:rsid w:val="00111F85"/>
    <w:rsid w:val="0011232B"/>
    <w:rsid w:val="00112C15"/>
    <w:rsid w:val="00112F7A"/>
    <w:rsid w:val="001131FC"/>
    <w:rsid w:val="0011351A"/>
    <w:rsid w:val="00113E71"/>
    <w:rsid w:val="0011411A"/>
    <w:rsid w:val="0011475D"/>
    <w:rsid w:val="001155A8"/>
    <w:rsid w:val="00116161"/>
    <w:rsid w:val="00116261"/>
    <w:rsid w:val="00116725"/>
    <w:rsid w:val="00116AB3"/>
    <w:rsid w:val="00116F99"/>
    <w:rsid w:val="00117733"/>
    <w:rsid w:val="00117FBD"/>
    <w:rsid w:val="00117FDB"/>
    <w:rsid w:val="0012000E"/>
    <w:rsid w:val="00120260"/>
    <w:rsid w:val="00120C42"/>
    <w:rsid w:val="00121034"/>
    <w:rsid w:val="001217AE"/>
    <w:rsid w:val="00121955"/>
    <w:rsid w:val="00121D38"/>
    <w:rsid w:val="001222AC"/>
    <w:rsid w:val="001228C0"/>
    <w:rsid w:val="00123082"/>
    <w:rsid w:val="0012319A"/>
    <w:rsid w:val="0012374B"/>
    <w:rsid w:val="00123E8B"/>
    <w:rsid w:val="00124361"/>
    <w:rsid w:val="001255C5"/>
    <w:rsid w:val="001257A8"/>
    <w:rsid w:val="00125B4B"/>
    <w:rsid w:val="00125C79"/>
    <w:rsid w:val="00125E30"/>
    <w:rsid w:val="00125E4D"/>
    <w:rsid w:val="0012608D"/>
    <w:rsid w:val="00126959"/>
    <w:rsid w:val="00126A15"/>
    <w:rsid w:val="00126B12"/>
    <w:rsid w:val="00126D2D"/>
    <w:rsid w:val="00127296"/>
    <w:rsid w:val="001274DC"/>
    <w:rsid w:val="001278F1"/>
    <w:rsid w:val="00130CE6"/>
    <w:rsid w:val="0013107A"/>
    <w:rsid w:val="001310FA"/>
    <w:rsid w:val="001311E0"/>
    <w:rsid w:val="00131A11"/>
    <w:rsid w:val="0013248B"/>
    <w:rsid w:val="00132520"/>
    <w:rsid w:val="00132A40"/>
    <w:rsid w:val="00132AF9"/>
    <w:rsid w:val="00132EF9"/>
    <w:rsid w:val="00133ED7"/>
    <w:rsid w:val="0013425E"/>
    <w:rsid w:val="00134CBD"/>
    <w:rsid w:val="00134E1D"/>
    <w:rsid w:val="001352B0"/>
    <w:rsid w:val="00135794"/>
    <w:rsid w:val="00135D70"/>
    <w:rsid w:val="00136161"/>
    <w:rsid w:val="001362E5"/>
    <w:rsid w:val="00136D03"/>
    <w:rsid w:val="001371D7"/>
    <w:rsid w:val="00137EB5"/>
    <w:rsid w:val="001402BD"/>
    <w:rsid w:val="0014031A"/>
    <w:rsid w:val="00140349"/>
    <w:rsid w:val="001403FA"/>
    <w:rsid w:val="00140512"/>
    <w:rsid w:val="001408E0"/>
    <w:rsid w:val="00140B18"/>
    <w:rsid w:val="0014169B"/>
    <w:rsid w:val="001416CA"/>
    <w:rsid w:val="00141C1F"/>
    <w:rsid w:val="00141D54"/>
    <w:rsid w:val="00142015"/>
    <w:rsid w:val="00142629"/>
    <w:rsid w:val="00142A81"/>
    <w:rsid w:val="00142E3C"/>
    <w:rsid w:val="00142F0A"/>
    <w:rsid w:val="00143013"/>
    <w:rsid w:val="001430CF"/>
    <w:rsid w:val="001432AA"/>
    <w:rsid w:val="0014335E"/>
    <w:rsid w:val="00143692"/>
    <w:rsid w:val="00143BCF"/>
    <w:rsid w:val="00144393"/>
    <w:rsid w:val="001452A5"/>
    <w:rsid w:val="00145709"/>
    <w:rsid w:val="00145E98"/>
    <w:rsid w:val="00145F30"/>
    <w:rsid w:val="0014660C"/>
    <w:rsid w:val="00146BB0"/>
    <w:rsid w:val="00147647"/>
    <w:rsid w:val="0014775A"/>
    <w:rsid w:val="0015089C"/>
    <w:rsid w:val="00150C92"/>
    <w:rsid w:val="00150E07"/>
    <w:rsid w:val="00150E68"/>
    <w:rsid w:val="00151156"/>
    <w:rsid w:val="00151373"/>
    <w:rsid w:val="00151607"/>
    <w:rsid w:val="001519EF"/>
    <w:rsid w:val="00151CBD"/>
    <w:rsid w:val="00151CD6"/>
    <w:rsid w:val="00151D2D"/>
    <w:rsid w:val="00151D7E"/>
    <w:rsid w:val="001520B9"/>
    <w:rsid w:val="00152A00"/>
    <w:rsid w:val="00152A7C"/>
    <w:rsid w:val="00153C54"/>
    <w:rsid w:val="00153D56"/>
    <w:rsid w:val="00153ED8"/>
    <w:rsid w:val="0015554F"/>
    <w:rsid w:val="00155A72"/>
    <w:rsid w:val="00155D3D"/>
    <w:rsid w:val="001566E9"/>
    <w:rsid w:val="00156751"/>
    <w:rsid w:val="00157274"/>
    <w:rsid w:val="001573B6"/>
    <w:rsid w:val="00157ADD"/>
    <w:rsid w:val="00160246"/>
    <w:rsid w:val="00161C9C"/>
    <w:rsid w:val="00161F42"/>
    <w:rsid w:val="0016238F"/>
    <w:rsid w:val="0016247B"/>
    <w:rsid w:val="00162659"/>
    <w:rsid w:val="00162EE3"/>
    <w:rsid w:val="001637A9"/>
    <w:rsid w:val="0016499B"/>
    <w:rsid w:val="00164C88"/>
    <w:rsid w:val="0016515C"/>
    <w:rsid w:val="001654F8"/>
    <w:rsid w:val="00165790"/>
    <w:rsid w:val="00165AA2"/>
    <w:rsid w:val="00165D2A"/>
    <w:rsid w:val="00166747"/>
    <w:rsid w:val="00166EF2"/>
    <w:rsid w:val="0016710E"/>
    <w:rsid w:val="00167225"/>
    <w:rsid w:val="0016743B"/>
    <w:rsid w:val="00170A04"/>
    <w:rsid w:val="00170E17"/>
    <w:rsid w:val="001710DB"/>
    <w:rsid w:val="001720FA"/>
    <w:rsid w:val="00172D96"/>
    <w:rsid w:val="001747D1"/>
    <w:rsid w:val="001748D6"/>
    <w:rsid w:val="00175312"/>
    <w:rsid w:val="00175BCA"/>
    <w:rsid w:val="0017636E"/>
    <w:rsid w:val="001767C3"/>
    <w:rsid w:val="00176A98"/>
    <w:rsid w:val="00176B4D"/>
    <w:rsid w:val="00176CB1"/>
    <w:rsid w:val="00176E48"/>
    <w:rsid w:val="00177B5E"/>
    <w:rsid w:val="00177F9C"/>
    <w:rsid w:val="00180252"/>
    <w:rsid w:val="00180745"/>
    <w:rsid w:val="001807BA"/>
    <w:rsid w:val="00181085"/>
    <w:rsid w:val="00181762"/>
    <w:rsid w:val="0018181C"/>
    <w:rsid w:val="00181AC1"/>
    <w:rsid w:val="001823F3"/>
    <w:rsid w:val="001826AA"/>
    <w:rsid w:val="00182C54"/>
    <w:rsid w:val="00182F51"/>
    <w:rsid w:val="00182F66"/>
    <w:rsid w:val="001836A9"/>
    <w:rsid w:val="00183BCD"/>
    <w:rsid w:val="00183D8D"/>
    <w:rsid w:val="00183F6E"/>
    <w:rsid w:val="00184A12"/>
    <w:rsid w:val="001850E9"/>
    <w:rsid w:val="00185A16"/>
    <w:rsid w:val="00186954"/>
    <w:rsid w:val="00187137"/>
    <w:rsid w:val="00187B8D"/>
    <w:rsid w:val="001904B6"/>
    <w:rsid w:val="00190638"/>
    <w:rsid w:val="00190774"/>
    <w:rsid w:val="00191069"/>
    <w:rsid w:val="00191395"/>
    <w:rsid w:val="0019179C"/>
    <w:rsid w:val="00191DAC"/>
    <w:rsid w:val="00191EB5"/>
    <w:rsid w:val="001926A1"/>
    <w:rsid w:val="0019289E"/>
    <w:rsid w:val="00192B01"/>
    <w:rsid w:val="00193101"/>
    <w:rsid w:val="00193274"/>
    <w:rsid w:val="0019363E"/>
    <w:rsid w:val="00193B08"/>
    <w:rsid w:val="001941E1"/>
    <w:rsid w:val="001941FB"/>
    <w:rsid w:val="00194273"/>
    <w:rsid w:val="00194299"/>
    <w:rsid w:val="0019444D"/>
    <w:rsid w:val="00194CBD"/>
    <w:rsid w:val="00194D27"/>
    <w:rsid w:val="00194EB2"/>
    <w:rsid w:val="00194ECE"/>
    <w:rsid w:val="00195578"/>
    <w:rsid w:val="00196848"/>
    <w:rsid w:val="001975D9"/>
    <w:rsid w:val="00197B80"/>
    <w:rsid w:val="001A19CE"/>
    <w:rsid w:val="001A1D8B"/>
    <w:rsid w:val="001A1FD7"/>
    <w:rsid w:val="001A204A"/>
    <w:rsid w:val="001A2638"/>
    <w:rsid w:val="001A288D"/>
    <w:rsid w:val="001A2AA6"/>
    <w:rsid w:val="001A2FAC"/>
    <w:rsid w:val="001A31CD"/>
    <w:rsid w:val="001A343B"/>
    <w:rsid w:val="001A36E1"/>
    <w:rsid w:val="001A3949"/>
    <w:rsid w:val="001A39D3"/>
    <w:rsid w:val="001A42A4"/>
    <w:rsid w:val="001A4435"/>
    <w:rsid w:val="001A49A7"/>
    <w:rsid w:val="001A49E1"/>
    <w:rsid w:val="001A4A64"/>
    <w:rsid w:val="001A4D58"/>
    <w:rsid w:val="001A4FDA"/>
    <w:rsid w:val="001A5152"/>
    <w:rsid w:val="001A55C8"/>
    <w:rsid w:val="001A5942"/>
    <w:rsid w:val="001A5CF4"/>
    <w:rsid w:val="001A644D"/>
    <w:rsid w:val="001A667E"/>
    <w:rsid w:val="001A686C"/>
    <w:rsid w:val="001A6926"/>
    <w:rsid w:val="001A6A9C"/>
    <w:rsid w:val="001A6EBF"/>
    <w:rsid w:val="001A7039"/>
    <w:rsid w:val="001A7257"/>
    <w:rsid w:val="001A773B"/>
    <w:rsid w:val="001A777A"/>
    <w:rsid w:val="001A7DC0"/>
    <w:rsid w:val="001A7F73"/>
    <w:rsid w:val="001A7F81"/>
    <w:rsid w:val="001B050E"/>
    <w:rsid w:val="001B1204"/>
    <w:rsid w:val="001B14EC"/>
    <w:rsid w:val="001B1528"/>
    <w:rsid w:val="001B1A25"/>
    <w:rsid w:val="001B1A8F"/>
    <w:rsid w:val="001B210F"/>
    <w:rsid w:val="001B24ED"/>
    <w:rsid w:val="001B24F3"/>
    <w:rsid w:val="001B2C6A"/>
    <w:rsid w:val="001B2D11"/>
    <w:rsid w:val="001B2E94"/>
    <w:rsid w:val="001B3656"/>
    <w:rsid w:val="001B3919"/>
    <w:rsid w:val="001B504D"/>
    <w:rsid w:val="001B50D9"/>
    <w:rsid w:val="001B51E2"/>
    <w:rsid w:val="001B52E0"/>
    <w:rsid w:val="001B5580"/>
    <w:rsid w:val="001B6761"/>
    <w:rsid w:val="001B69DD"/>
    <w:rsid w:val="001B6B8A"/>
    <w:rsid w:val="001B6F31"/>
    <w:rsid w:val="001B74B9"/>
    <w:rsid w:val="001B7617"/>
    <w:rsid w:val="001B77E2"/>
    <w:rsid w:val="001B7CC1"/>
    <w:rsid w:val="001C0163"/>
    <w:rsid w:val="001C01F3"/>
    <w:rsid w:val="001C05E4"/>
    <w:rsid w:val="001C1324"/>
    <w:rsid w:val="001C16F8"/>
    <w:rsid w:val="001C19AC"/>
    <w:rsid w:val="001C24DD"/>
    <w:rsid w:val="001C2E45"/>
    <w:rsid w:val="001C33BB"/>
    <w:rsid w:val="001C3B90"/>
    <w:rsid w:val="001C3BEF"/>
    <w:rsid w:val="001C3EC5"/>
    <w:rsid w:val="001C4361"/>
    <w:rsid w:val="001C439D"/>
    <w:rsid w:val="001C4934"/>
    <w:rsid w:val="001C4960"/>
    <w:rsid w:val="001C4A25"/>
    <w:rsid w:val="001C4F63"/>
    <w:rsid w:val="001C51EE"/>
    <w:rsid w:val="001C52F3"/>
    <w:rsid w:val="001C5AFC"/>
    <w:rsid w:val="001C5E8E"/>
    <w:rsid w:val="001C6587"/>
    <w:rsid w:val="001C6723"/>
    <w:rsid w:val="001C6746"/>
    <w:rsid w:val="001C6EC0"/>
    <w:rsid w:val="001C7220"/>
    <w:rsid w:val="001C763E"/>
    <w:rsid w:val="001C7826"/>
    <w:rsid w:val="001C793C"/>
    <w:rsid w:val="001C7B03"/>
    <w:rsid w:val="001C7C92"/>
    <w:rsid w:val="001C7DD7"/>
    <w:rsid w:val="001C7EE8"/>
    <w:rsid w:val="001D0903"/>
    <w:rsid w:val="001D14D1"/>
    <w:rsid w:val="001D1C93"/>
    <w:rsid w:val="001D1CED"/>
    <w:rsid w:val="001D258A"/>
    <w:rsid w:val="001D28E0"/>
    <w:rsid w:val="001D29E7"/>
    <w:rsid w:val="001D2A05"/>
    <w:rsid w:val="001D2AE6"/>
    <w:rsid w:val="001D3637"/>
    <w:rsid w:val="001D45F9"/>
    <w:rsid w:val="001D4961"/>
    <w:rsid w:val="001D4B23"/>
    <w:rsid w:val="001D4E36"/>
    <w:rsid w:val="001D4F30"/>
    <w:rsid w:val="001D5173"/>
    <w:rsid w:val="001D5204"/>
    <w:rsid w:val="001D5629"/>
    <w:rsid w:val="001D5906"/>
    <w:rsid w:val="001D59A4"/>
    <w:rsid w:val="001D5AD7"/>
    <w:rsid w:val="001D5BBD"/>
    <w:rsid w:val="001D618F"/>
    <w:rsid w:val="001D6246"/>
    <w:rsid w:val="001D6AF8"/>
    <w:rsid w:val="001D6E92"/>
    <w:rsid w:val="001D709A"/>
    <w:rsid w:val="001D7283"/>
    <w:rsid w:val="001D7CC4"/>
    <w:rsid w:val="001E080A"/>
    <w:rsid w:val="001E0EAC"/>
    <w:rsid w:val="001E114C"/>
    <w:rsid w:val="001E1D16"/>
    <w:rsid w:val="001E201C"/>
    <w:rsid w:val="001E25E8"/>
    <w:rsid w:val="001E2BC4"/>
    <w:rsid w:val="001E3443"/>
    <w:rsid w:val="001E3B3D"/>
    <w:rsid w:val="001E3B5C"/>
    <w:rsid w:val="001E3C04"/>
    <w:rsid w:val="001E4531"/>
    <w:rsid w:val="001E46CA"/>
    <w:rsid w:val="001E47E6"/>
    <w:rsid w:val="001E518F"/>
    <w:rsid w:val="001E55E7"/>
    <w:rsid w:val="001E597C"/>
    <w:rsid w:val="001E5C96"/>
    <w:rsid w:val="001E5E0C"/>
    <w:rsid w:val="001E619B"/>
    <w:rsid w:val="001E65D8"/>
    <w:rsid w:val="001E6A3A"/>
    <w:rsid w:val="001E6A59"/>
    <w:rsid w:val="001E7132"/>
    <w:rsid w:val="001E737B"/>
    <w:rsid w:val="001E7672"/>
    <w:rsid w:val="001E78C5"/>
    <w:rsid w:val="001E7A0B"/>
    <w:rsid w:val="001E7BEC"/>
    <w:rsid w:val="001F03F0"/>
    <w:rsid w:val="001F16D3"/>
    <w:rsid w:val="001F1ABC"/>
    <w:rsid w:val="001F21B1"/>
    <w:rsid w:val="001F2571"/>
    <w:rsid w:val="001F2E9A"/>
    <w:rsid w:val="001F2F0B"/>
    <w:rsid w:val="001F3462"/>
    <w:rsid w:val="001F371D"/>
    <w:rsid w:val="001F39DB"/>
    <w:rsid w:val="001F3BAD"/>
    <w:rsid w:val="001F3CD9"/>
    <w:rsid w:val="001F3D11"/>
    <w:rsid w:val="001F5072"/>
    <w:rsid w:val="001F52D4"/>
    <w:rsid w:val="001F533E"/>
    <w:rsid w:val="001F568B"/>
    <w:rsid w:val="001F620A"/>
    <w:rsid w:val="001F6303"/>
    <w:rsid w:val="001F64A9"/>
    <w:rsid w:val="001F6C49"/>
    <w:rsid w:val="001F716D"/>
    <w:rsid w:val="001F7545"/>
    <w:rsid w:val="001F7939"/>
    <w:rsid w:val="001F7DA0"/>
    <w:rsid w:val="002007E5"/>
    <w:rsid w:val="00200DCF"/>
    <w:rsid w:val="00201154"/>
    <w:rsid w:val="00201AC0"/>
    <w:rsid w:val="00201B74"/>
    <w:rsid w:val="00202005"/>
    <w:rsid w:val="00202654"/>
    <w:rsid w:val="002027F3"/>
    <w:rsid w:val="00202AF4"/>
    <w:rsid w:val="00203B8F"/>
    <w:rsid w:val="00203C1A"/>
    <w:rsid w:val="00203E71"/>
    <w:rsid w:val="002044B3"/>
    <w:rsid w:val="0020474F"/>
    <w:rsid w:val="002047BD"/>
    <w:rsid w:val="002052CF"/>
    <w:rsid w:val="00205EC2"/>
    <w:rsid w:val="00206241"/>
    <w:rsid w:val="00206595"/>
    <w:rsid w:val="00206FAA"/>
    <w:rsid w:val="00206FD4"/>
    <w:rsid w:val="0020721F"/>
    <w:rsid w:val="0020774B"/>
    <w:rsid w:val="00207D87"/>
    <w:rsid w:val="00210470"/>
    <w:rsid w:val="002107D9"/>
    <w:rsid w:val="00211022"/>
    <w:rsid w:val="002115E7"/>
    <w:rsid w:val="002116B7"/>
    <w:rsid w:val="00211707"/>
    <w:rsid w:val="00211A26"/>
    <w:rsid w:val="00211C2C"/>
    <w:rsid w:val="00212185"/>
    <w:rsid w:val="00213690"/>
    <w:rsid w:val="0021393C"/>
    <w:rsid w:val="002139F0"/>
    <w:rsid w:val="0021401F"/>
    <w:rsid w:val="002154D3"/>
    <w:rsid w:val="00215B24"/>
    <w:rsid w:val="00215C5E"/>
    <w:rsid w:val="00216103"/>
    <w:rsid w:val="00216567"/>
    <w:rsid w:val="00216EDE"/>
    <w:rsid w:val="00217251"/>
    <w:rsid w:val="0021736F"/>
    <w:rsid w:val="00220283"/>
    <w:rsid w:val="00220625"/>
    <w:rsid w:val="00220DB6"/>
    <w:rsid w:val="0022162A"/>
    <w:rsid w:val="0022180B"/>
    <w:rsid w:val="00221EDD"/>
    <w:rsid w:val="002220EE"/>
    <w:rsid w:val="00222581"/>
    <w:rsid w:val="00222D6B"/>
    <w:rsid w:val="00222FBF"/>
    <w:rsid w:val="0022342A"/>
    <w:rsid w:val="00223C54"/>
    <w:rsid w:val="002245D9"/>
    <w:rsid w:val="00224602"/>
    <w:rsid w:val="00224B9A"/>
    <w:rsid w:val="002255BC"/>
    <w:rsid w:val="002257C5"/>
    <w:rsid w:val="00225C69"/>
    <w:rsid w:val="00225E04"/>
    <w:rsid w:val="00225FB4"/>
    <w:rsid w:val="00226501"/>
    <w:rsid w:val="00226E39"/>
    <w:rsid w:val="00226EF0"/>
    <w:rsid w:val="0023025B"/>
    <w:rsid w:val="00230373"/>
    <w:rsid w:val="002307C5"/>
    <w:rsid w:val="00230D21"/>
    <w:rsid w:val="00230F61"/>
    <w:rsid w:val="00232502"/>
    <w:rsid w:val="00233474"/>
    <w:rsid w:val="00233692"/>
    <w:rsid w:val="00233C26"/>
    <w:rsid w:val="00233FFB"/>
    <w:rsid w:val="002344F0"/>
    <w:rsid w:val="00235757"/>
    <w:rsid w:val="0023577B"/>
    <w:rsid w:val="002359C7"/>
    <w:rsid w:val="00235DE6"/>
    <w:rsid w:val="0023604C"/>
    <w:rsid w:val="00236300"/>
    <w:rsid w:val="002363F7"/>
    <w:rsid w:val="002367D8"/>
    <w:rsid w:val="00236B3C"/>
    <w:rsid w:val="00236DF1"/>
    <w:rsid w:val="00236EAE"/>
    <w:rsid w:val="00236F0B"/>
    <w:rsid w:val="0023730A"/>
    <w:rsid w:val="002373A3"/>
    <w:rsid w:val="00237A00"/>
    <w:rsid w:val="0024022C"/>
    <w:rsid w:val="00240420"/>
    <w:rsid w:val="0024062E"/>
    <w:rsid w:val="00240CCA"/>
    <w:rsid w:val="00241AC6"/>
    <w:rsid w:val="00241BFB"/>
    <w:rsid w:val="00241CDF"/>
    <w:rsid w:val="0024241A"/>
    <w:rsid w:val="00242C05"/>
    <w:rsid w:val="00243788"/>
    <w:rsid w:val="002438B1"/>
    <w:rsid w:val="00244733"/>
    <w:rsid w:val="0024548D"/>
    <w:rsid w:val="00245675"/>
    <w:rsid w:val="00245763"/>
    <w:rsid w:val="002460F7"/>
    <w:rsid w:val="002462AB"/>
    <w:rsid w:val="00246994"/>
    <w:rsid w:val="00246ACD"/>
    <w:rsid w:val="002477EA"/>
    <w:rsid w:val="00247A4F"/>
    <w:rsid w:val="00247ABB"/>
    <w:rsid w:val="00247D54"/>
    <w:rsid w:val="00250065"/>
    <w:rsid w:val="00250226"/>
    <w:rsid w:val="002507FF"/>
    <w:rsid w:val="00251453"/>
    <w:rsid w:val="00251598"/>
    <w:rsid w:val="002519CE"/>
    <w:rsid w:val="0025354E"/>
    <w:rsid w:val="00253D5F"/>
    <w:rsid w:val="00253DA0"/>
    <w:rsid w:val="002540F5"/>
    <w:rsid w:val="00254362"/>
    <w:rsid w:val="0025501A"/>
    <w:rsid w:val="0025511F"/>
    <w:rsid w:val="0025598F"/>
    <w:rsid w:val="00255AFD"/>
    <w:rsid w:val="0025632C"/>
    <w:rsid w:val="002563ED"/>
    <w:rsid w:val="002576C9"/>
    <w:rsid w:val="00257EDA"/>
    <w:rsid w:val="00260651"/>
    <w:rsid w:val="0026197A"/>
    <w:rsid w:val="00261FF9"/>
    <w:rsid w:val="002620FA"/>
    <w:rsid w:val="00262975"/>
    <w:rsid w:val="00262DFF"/>
    <w:rsid w:val="00263016"/>
    <w:rsid w:val="00263082"/>
    <w:rsid w:val="002636F4"/>
    <w:rsid w:val="00263707"/>
    <w:rsid w:val="00263B2C"/>
    <w:rsid w:val="0026452B"/>
    <w:rsid w:val="00265252"/>
    <w:rsid w:val="002655EC"/>
    <w:rsid w:val="0026581F"/>
    <w:rsid w:val="00265B93"/>
    <w:rsid w:val="00266033"/>
    <w:rsid w:val="00266A2B"/>
    <w:rsid w:val="00266F6E"/>
    <w:rsid w:val="002672FC"/>
    <w:rsid w:val="0026746C"/>
    <w:rsid w:val="00267503"/>
    <w:rsid w:val="00267741"/>
    <w:rsid w:val="00267D5A"/>
    <w:rsid w:val="0027092C"/>
    <w:rsid w:val="00270B65"/>
    <w:rsid w:val="00270BF6"/>
    <w:rsid w:val="002710E6"/>
    <w:rsid w:val="002714B7"/>
    <w:rsid w:val="00271C1D"/>
    <w:rsid w:val="0027243A"/>
    <w:rsid w:val="002729EB"/>
    <w:rsid w:val="00272DF2"/>
    <w:rsid w:val="002732BA"/>
    <w:rsid w:val="00273304"/>
    <w:rsid w:val="0027349C"/>
    <w:rsid w:val="00274E63"/>
    <w:rsid w:val="00275359"/>
    <w:rsid w:val="00275444"/>
    <w:rsid w:val="002755F0"/>
    <w:rsid w:val="00275C92"/>
    <w:rsid w:val="00275DCA"/>
    <w:rsid w:val="002766B4"/>
    <w:rsid w:val="00277402"/>
    <w:rsid w:val="002775D7"/>
    <w:rsid w:val="00277D70"/>
    <w:rsid w:val="00277F42"/>
    <w:rsid w:val="0028017D"/>
    <w:rsid w:val="00280261"/>
    <w:rsid w:val="00280696"/>
    <w:rsid w:val="00280A3C"/>
    <w:rsid w:val="0028109F"/>
    <w:rsid w:val="0028142A"/>
    <w:rsid w:val="00282222"/>
    <w:rsid w:val="0028275A"/>
    <w:rsid w:val="00283F64"/>
    <w:rsid w:val="00284487"/>
    <w:rsid w:val="002848BB"/>
    <w:rsid w:val="00285A39"/>
    <w:rsid w:val="00285A41"/>
    <w:rsid w:val="00285A56"/>
    <w:rsid w:val="00285B73"/>
    <w:rsid w:val="00285FE3"/>
    <w:rsid w:val="002860D5"/>
    <w:rsid w:val="002866DF"/>
    <w:rsid w:val="002867BD"/>
    <w:rsid w:val="0028690C"/>
    <w:rsid w:val="00287634"/>
    <w:rsid w:val="00287B1C"/>
    <w:rsid w:val="002904D4"/>
    <w:rsid w:val="002905E4"/>
    <w:rsid w:val="00290AD9"/>
    <w:rsid w:val="00290CF9"/>
    <w:rsid w:val="002917AB"/>
    <w:rsid w:val="00291BF2"/>
    <w:rsid w:val="00292A9F"/>
    <w:rsid w:val="00292CAE"/>
    <w:rsid w:val="0029426A"/>
    <w:rsid w:val="0029446D"/>
    <w:rsid w:val="00294523"/>
    <w:rsid w:val="0029455C"/>
    <w:rsid w:val="00294A49"/>
    <w:rsid w:val="00296717"/>
    <w:rsid w:val="00296FE3"/>
    <w:rsid w:val="002A0739"/>
    <w:rsid w:val="002A0777"/>
    <w:rsid w:val="002A1332"/>
    <w:rsid w:val="002A16CB"/>
    <w:rsid w:val="002A1C96"/>
    <w:rsid w:val="002A298E"/>
    <w:rsid w:val="002A3095"/>
    <w:rsid w:val="002A3466"/>
    <w:rsid w:val="002A363A"/>
    <w:rsid w:val="002A4228"/>
    <w:rsid w:val="002A43C6"/>
    <w:rsid w:val="002A4520"/>
    <w:rsid w:val="002A47F3"/>
    <w:rsid w:val="002A4845"/>
    <w:rsid w:val="002A49F6"/>
    <w:rsid w:val="002A4BAE"/>
    <w:rsid w:val="002A4E51"/>
    <w:rsid w:val="002A59A1"/>
    <w:rsid w:val="002A5A5B"/>
    <w:rsid w:val="002A5CF7"/>
    <w:rsid w:val="002A627A"/>
    <w:rsid w:val="002A662A"/>
    <w:rsid w:val="002A6E07"/>
    <w:rsid w:val="002A7452"/>
    <w:rsid w:val="002A7AAA"/>
    <w:rsid w:val="002A7C6E"/>
    <w:rsid w:val="002B0139"/>
    <w:rsid w:val="002B0A24"/>
    <w:rsid w:val="002B1C41"/>
    <w:rsid w:val="002B1EB3"/>
    <w:rsid w:val="002B1FA4"/>
    <w:rsid w:val="002B243D"/>
    <w:rsid w:val="002B2449"/>
    <w:rsid w:val="002B2707"/>
    <w:rsid w:val="002B2E73"/>
    <w:rsid w:val="002B3088"/>
    <w:rsid w:val="002B4573"/>
    <w:rsid w:val="002B45DE"/>
    <w:rsid w:val="002B48DC"/>
    <w:rsid w:val="002B4A21"/>
    <w:rsid w:val="002B508D"/>
    <w:rsid w:val="002B52A7"/>
    <w:rsid w:val="002B5D27"/>
    <w:rsid w:val="002B5DB1"/>
    <w:rsid w:val="002B5FAD"/>
    <w:rsid w:val="002B60DB"/>
    <w:rsid w:val="002B6196"/>
    <w:rsid w:val="002B63CB"/>
    <w:rsid w:val="002B65C8"/>
    <w:rsid w:val="002B6F21"/>
    <w:rsid w:val="002B753B"/>
    <w:rsid w:val="002B7639"/>
    <w:rsid w:val="002B7DF4"/>
    <w:rsid w:val="002C009F"/>
    <w:rsid w:val="002C024E"/>
    <w:rsid w:val="002C0BD0"/>
    <w:rsid w:val="002C0C09"/>
    <w:rsid w:val="002C10F0"/>
    <w:rsid w:val="002C16B4"/>
    <w:rsid w:val="002C20D4"/>
    <w:rsid w:val="002C296E"/>
    <w:rsid w:val="002C2A43"/>
    <w:rsid w:val="002C317C"/>
    <w:rsid w:val="002C32E3"/>
    <w:rsid w:val="002C32FA"/>
    <w:rsid w:val="002C3781"/>
    <w:rsid w:val="002C3915"/>
    <w:rsid w:val="002C3A19"/>
    <w:rsid w:val="002C3D83"/>
    <w:rsid w:val="002C3EDE"/>
    <w:rsid w:val="002C419C"/>
    <w:rsid w:val="002C4404"/>
    <w:rsid w:val="002C4E24"/>
    <w:rsid w:val="002C548C"/>
    <w:rsid w:val="002C58B6"/>
    <w:rsid w:val="002C629D"/>
    <w:rsid w:val="002C694F"/>
    <w:rsid w:val="002C7052"/>
    <w:rsid w:val="002C7371"/>
    <w:rsid w:val="002C782F"/>
    <w:rsid w:val="002C7C7B"/>
    <w:rsid w:val="002D0A6F"/>
    <w:rsid w:val="002D1179"/>
    <w:rsid w:val="002D11B6"/>
    <w:rsid w:val="002D13CE"/>
    <w:rsid w:val="002D1434"/>
    <w:rsid w:val="002D1803"/>
    <w:rsid w:val="002D1EE7"/>
    <w:rsid w:val="002D2AD6"/>
    <w:rsid w:val="002D343F"/>
    <w:rsid w:val="002D36FF"/>
    <w:rsid w:val="002D3A4D"/>
    <w:rsid w:val="002D41D2"/>
    <w:rsid w:val="002D4CA9"/>
    <w:rsid w:val="002D5AEC"/>
    <w:rsid w:val="002D5B22"/>
    <w:rsid w:val="002D5B7F"/>
    <w:rsid w:val="002D5D5E"/>
    <w:rsid w:val="002D60E7"/>
    <w:rsid w:val="002D6361"/>
    <w:rsid w:val="002D640B"/>
    <w:rsid w:val="002D6701"/>
    <w:rsid w:val="002D6CAF"/>
    <w:rsid w:val="002D721C"/>
    <w:rsid w:val="002D727F"/>
    <w:rsid w:val="002D7446"/>
    <w:rsid w:val="002D7539"/>
    <w:rsid w:val="002D7AE4"/>
    <w:rsid w:val="002D7DFE"/>
    <w:rsid w:val="002D7EEF"/>
    <w:rsid w:val="002D7F3C"/>
    <w:rsid w:val="002E0130"/>
    <w:rsid w:val="002E02D5"/>
    <w:rsid w:val="002E02E0"/>
    <w:rsid w:val="002E0304"/>
    <w:rsid w:val="002E05D4"/>
    <w:rsid w:val="002E0827"/>
    <w:rsid w:val="002E0FFD"/>
    <w:rsid w:val="002E15EA"/>
    <w:rsid w:val="002E1B0C"/>
    <w:rsid w:val="002E1CD0"/>
    <w:rsid w:val="002E203D"/>
    <w:rsid w:val="002E2114"/>
    <w:rsid w:val="002E21D2"/>
    <w:rsid w:val="002E2415"/>
    <w:rsid w:val="002E3045"/>
    <w:rsid w:val="002E30CB"/>
    <w:rsid w:val="002E3234"/>
    <w:rsid w:val="002E34C1"/>
    <w:rsid w:val="002E3527"/>
    <w:rsid w:val="002E3984"/>
    <w:rsid w:val="002E3BFC"/>
    <w:rsid w:val="002E3CEE"/>
    <w:rsid w:val="002E4261"/>
    <w:rsid w:val="002E4329"/>
    <w:rsid w:val="002E50CD"/>
    <w:rsid w:val="002E5260"/>
    <w:rsid w:val="002E53CC"/>
    <w:rsid w:val="002E543D"/>
    <w:rsid w:val="002E6626"/>
    <w:rsid w:val="002E71C9"/>
    <w:rsid w:val="002E7761"/>
    <w:rsid w:val="002F0BD1"/>
    <w:rsid w:val="002F0BF7"/>
    <w:rsid w:val="002F0E43"/>
    <w:rsid w:val="002F1196"/>
    <w:rsid w:val="002F15E8"/>
    <w:rsid w:val="002F1802"/>
    <w:rsid w:val="002F1E30"/>
    <w:rsid w:val="002F22C1"/>
    <w:rsid w:val="002F2345"/>
    <w:rsid w:val="002F2604"/>
    <w:rsid w:val="002F2925"/>
    <w:rsid w:val="002F2932"/>
    <w:rsid w:val="002F3EDC"/>
    <w:rsid w:val="002F3F27"/>
    <w:rsid w:val="002F3F82"/>
    <w:rsid w:val="002F4215"/>
    <w:rsid w:val="002F45C0"/>
    <w:rsid w:val="002F45E3"/>
    <w:rsid w:val="002F4AF2"/>
    <w:rsid w:val="002F57D9"/>
    <w:rsid w:val="002F5989"/>
    <w:rsid w:val="002F5CF9"/>
    <w:rsid w:val="002F6115"/>
    <w:rsid w:val="002F6249"/>
    <w:rsid w:val="002F6941"/>
    <w:rsid w:val="002F7807"/>
    <w:rsid w:val="002F7A60"/>
    <w:rsid w:val="002F7CF1"/>
    <w:rsid w:val="003002D6"/>
    <w:rsid w:val="0030037D"/>
    <w:rsid w:val="0030048E"/>
    <w:rsid w:val="003004AD"/>
    <w:rsid w:val="003004BC"/>
    <w:rsid w:val="00300756"/>
    <w:rsid w:val="00300825"/>
    <w:rsid w:val="00300CB5"/>
    <w:rsid w:val="00300F7F"/>
    <w:rsid w:val="0030119B"/>
    <w:rsid w:val="003019D0"/>
    <w:rsid w:val="00301C5C"/>
    <w:rsid w:val="00301E7F"/>
    <w:rsid w:val="00301FD0"/>
    <w:rsid w:val="003020D9"/>
    <w:rsid w:val="0030254D"/>
    <w:rsid w:val="0030273A"/>
    <w:rsid w:val="003028E9"/>
    <w:rsid w:val="00302A51"/>
    <w:rsid w:val="0030391E"/>
    <w:rsid w:val="00303B58"/>
    <w:rsid w:val="00303F7D"/>
    <w:rsid w:val="003045B4"/>
    <w:rsid w:val="00304B4B"/>
    <w:rsid w:val="00304D5E"/>
    <w:rsid w:val="00304E8B"/>
    <w:rsid w:val="00305484"/>
    <w:rsid w:val="00305754"/>
    <w:rsid w:val="00306A5E"/>
    <w:rsid w:val="00306BAE"/>
    <w:rsid w:val="003102E6"/>
    <w:rsid w:val="00310626"/>
    <w:rsid w:val="00311265"/>
    <w:rsid w:val="00311285"/>
    <w:rsid w:val="00311BCE"/>
    <w:rsid w:val="00311CE4"/>
    <w:rsid w:val="00312463"/>
    <w:rsid w:val="0031249A"/>
    <w:rsid w:val="00312509"/>
    <w:rsid w:val="00312B55"/>
    <w:rsid w:val="00313693"/>
    <w:rsid w:val="0031438A"/>
    <w:rsid w:val="00314681"/>
    <w:rsid w:val="003151A9"/>
    <w:rsid w:val="003151CA"/>
    <w:rsid w:val="003155CD"/>
    <w:rsid w:val="00315961"/>
    <w:rsid w:val="00315FA6"/>
    <w:rsid w:val="00316065"/>
    <w:rsid w:val="003160F6"/>
    <w:rsid w:val="00316138"/>
    <w:rsid w:val="00316453"/>
    <w:rsid w:val="00316B61"/>
    <w:rsid w:val="00316DCD"/>
    <w:rsid w:val="0031717F"/>
    <w:rsid w:val="00317A98"/>
    <w:rsid w:val="00317DF3"/>
    <w:rsid w:val="003203D5"/>
    <w:rsid w:val="00320C11"/>
    <w:rsid w:val="00320D03"/>
    <w:rsid w:val="0032113C"/>
    <w:rsid w:val="00321140"/>
    <w:rsid w:val="0032154A"/>
    <w:rsid w:val="00321690"/>
    <w:rsid w:val="00321AB6"/>
    <w:rsid w:val="00321B03"/>
    <w:rsid w:val="00321F67"/>
    <w:rsid w:val="003221BC"/>
    <w:rsid w:val="003224AB"/>
    <w:rsid w:val="00322985"/>
    <w:rsid w:val="00322C64"/>
    <w:rsid w:val="0032309A"/>
    <w:rsid w:val="00323182"/>
    <w:rsid w:val="003231EC"/>
    <w:rsid w:val="003232B2"/>
    <w:rsid w:val="0032343C"/>
    <w:rsid w:val="00323898"/>
    <w:rsid w:val="00323E2A"/>
    <w:rsid w:val="0032421A"/>
    <w:rsid w:val="003244B4"/>
    <w:rsid w:val="00324706"/>
    <w:rsid w:val="0032484B"/>
    <w:rsid w:val="00324936"/>
    <w:rsid w:val="00324A23"/>
    <w:rsid w:val="00324C23"/>
    <w:rsid w:val="00325232"/>
    <w:rsid w:val="0032539A"/>
    <w:rsid w:val="0032547E"/>
    <w:rsid w:val="0032594E"/>
    <w:rsid w:val="00325B47"/>
    <w:rsid w:val="00325D92"/>
    <w:rsid w:val="00326A36"/>
    <w:rsid w:val="00326DBF"/>
    <w:rsid w:val="00326ED4"/>
    <w:rsid w:val="0032717E"/>
    <w:rsid w:val="003272F0"/>
    <w:rsid w:val="003274F7"/>
    <w:rsid w:val="0032793B"/>
    <w:rsid w:val="00327BDD"/>
    <w:rsid w:val="00327C70"/>
    <w:rsid w:val="00327E5C"/>
    <w:rsid w:val="00327F8D"/>
    <w:rsid w:val="00330CF6"/>
    <w:rsid w:val="00330E08"/>
    <w:rsid w:val="00331C74"/>
    <w:rsid w:val="003327F5"/>
    <w:rsid w:val="00332BD7"/>
    <w:rsid w:val="00332D84"/>
    <w:rsid w:val="003333D1"/>
    <w:rsid w:val="003337E1"/>
    <w:rsid w:val="00334407"/>
    <w:rsid w:val="003347F1"/>
    <w:rsid w:val="00334E70"/>
    <w:rsid w:val="00334EAF"/>
    <w:rsid w:val="00335AAF"/>
    <w:rsid w:val="0033651C"/>
    <w:rsid w:val="00336571"/>
    <w:rsid w:val="00336F66"/>
    <w:rsid w:val="00337196"/>
    <w:rsid w:val="003375DF"/>
    <w:rsid w:val="0033776B"/>
    <w:rsid w:val="00340088"/>
    <w:rsid w:val="0034056C"/>
    <w:rsid w:val="0034112B"/>
    <w:rsid w:val="00341B35"/>
    <w:rsid w:val="00342093"/>
    <w:rsid w:val="00342D1F"/>
    <w:rsid w:val="00343679"/>
    <w:rsid w:val="00343989"/>
    <w:rsid w:val="00343E37"/>
    <w:rsid w:val="003444B2"/>
    <w:rsid w:val="00344651"/>
    <w:rsid w:val="003446D7"/>
    <w:rsid w:val="00344EB6"/>
    <w:rsid w:val="00345665"/>
    <w:rsid w:val="00345CAA"/>
    <w:rsid w:val="003461D8"/>
    <w:rsid w:val="00346248"/>
    <w:rsid w:val="0034679B"/>
    <w:rsid w:val="00346966"/>
    <w:rsid w:val="003474F9"/>
    <w:rsid w:val="00347612"/>
    <w:rsid w:val="0034774C"/>
    <w:rsid w:val="00347F09"/>
    <w:rsid w:val="00347F1E"/>
    <w:rsid w:val="00350534"/>
    <w:rsid w:val="00350785"/>
    <w:rsid w:val="00350855"/>
    <w:rsid w:val="00350A9C"/>
    <w:rsid w:val="00350E6F"/>
    <w:rsid w:val="00350E85"/>
    <w:rsid w:val="00351A44"/>
    <w:rsid w:val="00351B6B"/>
    <w:rsid w:val="003522E1"/>
    <w:rsid w:val="0035265B"/>
    <w:rsid w:val="003526A3"/>
    <w:rsid w:val="00352C1A"/>
    <w:rsid w:val="00353385"/>
    <w:rsid w:val="0035352B"/>
    <w:rsid w:val="003537F4"/>
    <w:rsid w:val="003542BC"/>
    <w:rsid w:val="003548F3"/>
    <w:rsid w:val="00354C41"/>
    <w:rsid w:val="00354D4F"/>
    <w:rsid w:val="0035538F"/>
    <w:rsid w:val="00355696"/>
    <w:rsid w:val="0035571C"/>
    <w:rsid w:val="003558E3"/>
    <w:rsid w:val="00355A06"/>
    <w:rsid w:val="00355D1B"/>
    <w:rsid w:val="00356508"/>
    <w:rsid w:val="003567CA"/>
    <w:rsid w:val="00356C8A"/>
    <w:rsid w:val="00356DA8"/>
    <w:rsid w:val="00357835"/>
    <w:rsid w:val="003578D0"/>
    <w:rsid w:val="00357BAC"/>
    <w:rsid w:val="00357CF6"/>
    <w:rsid w:val="00357FF4"/>
    <w:rsid w:val="00360746"/>
    <w:rsid w:val="003609D2"/>
    <w:rsid w:val="00360B4A"/>
    <w:rsid w:val="00360D20"/>
    <w:rsid w:val="0036163C"/>
    <w:rsid w:val="00361A6F"/>
    <w:rsid w:val="0036219C"/>
    <w:rsid w:val="00362596"/>
    <w:rsid w:val="0036288C"/>
    <w:rsid w:val="00362E67"/>
    <w:rsid w:val="00363C4F"/>
    <w:rsid w:val="00363EF1"/>
    <w:rsid w:val="00364AA2"/>
    <w:rsid w:val="00364EE8"/>
    <w:rsid w:val="00365161"/>
    <w:rsid w:val="003653FB"/>
    <w:rsid w:val="00365580"/>
    <w:rsid w:val="0036594F"/>
    <w:rsid w:val="00365DEC"/>
    <w:rsid w:val="0036603D"/>
    <w:rsid w:val="0036656D"/>
    <w:rsid w:val="0036670E"/>
    <w:rsid w:val="00366824"/>
    <w:rsid w:val="00367280"/>
    <w:rsid w:val="00367715"/>
    <w:rsid w:val="00367747"/>
    <w:rsid w:val="003678D4"/>
    <w:rsid w:val="003679ED"/>
    <w:rsid w:val="00367D6A"/>
    <w:rsid w:val="00370171"/>
    <w:rsid w:val="0037021E"/>
    <w:rsid w:val="00370313"/>
    <w:rsid w:val="0037099A"/>
    <w:rsid w:val="00371392"/>
    <w:rsid w:val="00371459"/>
    <w:rsid w:val="0037198E"/>
    <w:rsid w:val="00371A9C"/>
    <w:rsid w:val="00371EEB"/>
    <w:rsid w:val="0037240C"/>
    <w:rsid w:val="00372A5D"/>
    <w:rsid w:val="003732C1"/>
    <w:rsid w:val="00373341"/>
    <w:rsid w:val="00373BDC"/>
    <w:rsid w:val="00373FBC"/>
    <w:rsid w:val="00374042"/>
    <w:rsid w:val="0037438E"/>
    <w:rsid w:val="00375237"/>
    <w:rsid w:val="003754A9"/>
    <w:rsid w:val="00375855"/>
    <w:rsid w:val="003758C7"/>
    <w:rsid w:val="00375F23"/>
    <w:rsid w:val="00375FD6"/>
    <w:rsid w:val="003764C6"/>
    <w:rsid w:val="00376A1A"/>
    <w:rsid w:val="00376C78"/>
    <w:rsid w:val="00376FAE"/>
    <w:rsid w:val="00377348"/>
    <w:rsid w:val="00377381"/>
    <w:rsid w:val="003777D4"/>
    <w:rsid w:val="00377A16"/>
    <w:rsid w:val="00377A29"/>
    <w:rsid w:val="00380137"/>
    <w:rsid w:val="003801C9"/>
    <w:rsid w:val="00380447"/>
    <w:rsid w:val="003805B1"/>
    <w:rsid w:val="003805EF"/>
    <w:rsid w:val="003809F9"/>
    <w:rsid w:val="00380DDD"/>
    <w:rsid w:val="00381400"/>
    <w:rsid w:val="00381692"/>
    <w:rsid w:val="003817BA"/>
    <w:rsid w:val="0038182E"/>
    <w:rsid w:val="0038190E"/>
    <w:rsid w:val="00381B19"/>
    <w:rsid w:val="00381FF3"/>
    <w:rsid w:val="003824C7"/>
    <w:rsid w:val="00382509"/>
    <w:rsid w:val="00382AC0"/>
    <w:rsid w:val="00382B08"/>
    <w:rsid w:val="00384C2E"/>
    <w:rsid w:val="00384D1B"/>
    <w:rsid w:val="00385EB1"/>
    <w:rsid w:val="00385EBF"/>
    <w:rsid w:val="00386488"/>
    <w:rsid w:val="00386686"/>
    <w:rsid w:val="0038672A"/>
    <w:rsid w:val="003878EC"/>
    <w:rsid w:val="00387EBC"/>
    <w:rsid w:val="0039068D"/>
    <w:rsid w:val="00390714"/>
    <w:rsid w:val="003907E1"/>
    <w:rsid w:val="003908DF"/>
    <w:rsid w:val="00390A2E"/>
    <w:rsid w:val="00390B74"/>
    <w:rsid w:val="00390FC7"/>
    <w:rsid w:val="0039100C"/>
    <w:rsid w:val="00391338"/>
    <w:rsid w:val="00391433"/>
    <w:rsid w:val="00391444"/>
    <w:rsid w:val="003915FC"/>
    <w:rsid w:val="00391998"/>
    <w:rsid w:val="00392526"/>
    <w:rsid w:val="00392BD0"/>
    <w:rsid w:val="00392C45"/>
    <w:rsid w:val="00392CF7"/>
    <w:rsid w:val="0039347E"/>
    <w:rsid w:val="00393791"/>
    <w:rsid w:val="0039388B"/>
    <w:rsid w:val="00393E99"/>
    <w:rsid w:val="00393E9A"/>
    <w:rsid w:val="0039413C"/>
    <w:rsid w:val="00394532"/>
    <w:rsid w:val="0039484C"/>
    <w:rsid w:val="00394F62"/>
    <w:rsid w:val="003959E2"/>
    <w:rsid w:val="00395A74"/>
    <w:rsid w:val="00395F3E"/>
    <w:rsid w:val="0039605B"/>
    <w:rsid w:val="0039608D"/>
    <w:rsid w:val="003965A9"/>
    <w:rsid w:val="00396A93"/>
    <w:rsid w:val="00396E4B"/>
    <w:rsid w:val="00397312"/>
    <w:rsid w:val="00397ACD"/>
    <w:rsid w:val="00397C4D"/>
    <w:rsid w:val="003A021F"/>
    <w:rsid w:val="003A0398"/>
    <w:rsid w:val="003A07B3"/>
    <w:rsid w:val="003A0986"/>
    <w:rsid w:val="003A09E4"/>
    <w:rsid w:val="003A16F0"/>
    <w:rsid w:val="003A17C0"/>
    <w:rsid w:val="003A1D88"/>
    <w:rsid w:val="003A201D"/>
    <w:rsid w:val="003A2213"/>
    <w:rsid w:val="003A29D7"/>
    <w:rsid w:val="003A2E3D"/>
    <w:rsid w:val="003A2F51"/>
    <w:rsid w:val="003A2F72"/>
    <w:rsid w:val="003A38BD"/>
    <w:rsid w:val="003A3B15"/>
    <w:rsid w:val="003A4114"/>
    <w:rsid w:val="003A41E0"/>
    <w:rsid w:val="003A429F"/>
    <w:rsid w:val="003A4420"/>
    <w:rsid w:val="003A4B64"/>
    <w:rsid w:val="003A4C36"/>
    <w:rsid w:val="003A4CCE"/>
    <w:rsid w:val="003A4DAC"/>
    <w:rsid w:val="003A5B43"/>
    <w:rsid w:val="003A6D3B"/>
    <w:rsid w:val="003A6D3C"/>
    <w:rsid w:val="003A6ECE"/>
    <w:rsid w:val="003A71EF"/>
    <w:rsid w:val="003A75B1"/>
    <w:rsid w:val="003A7770"/>
    <w:rsid w:val="003A7B3C"/>
    <w:rsid w:val="003B012A"/>
    <w:rsid w:val="003B0397"/>
    <w:rsid w:val="003B045F"/>
    <w:rsid w:val="003B0A2D"/>
    <w:rsid w:val="003B1442"/>
    <w:rsid w:val="003B14E1"/>
    <w:rsid w:val="003B19CF"/>
    <w:rsid w:val="003B32F2"/>
    <w:rsid w:val="003B3308"/>
    <w:rsid w:val="003B3DE0"/>
    <w:rsid w:val="003B40A8"/>
    <w:rsid w:val="003B40F9"/>
    <w:rsid w:val="003B4CEA"/>
    <w:rsid w:val="003B53A9"/>
    <w:rsid w:val="003B5460"/>
    <w:rsid w:val="003B56B1"/>
    <w:rsid w:val="003B5966"/>
    <w:rsid w:val="003B5B55"/>
    <w:rsid w:val="003B5B79"/>
    <w:rsid w:val="003B5ED3"/>
    <w:rsid w:val="003B625D"/>
    <w:rsid w:val="003B678A"/>
    <w:rsid w:val="003B6E7F"/>
    <w:rsid w:val="003B6E93"/>
    <w:rsid w:val="003B7732"/>
    <w:rsid w:val="003B7DD6"/>
    <w:rsid w:val="003C078C"/>
    <w:rsid w:val="003C1C75"/>
    <w:rsid w:val="003C1E8C"/>
    <w:rsid w:val="003C231C"/>
    <w:rsid w:val="003C2457"/>
    <w:rsid w:val="003C36D9"/>
    <w:rsid w:val="003C38B5"/>
    <w:rsid w:val="003C412C"/>
    <w:rsid w:val="003C4938"/>
    <w:rsid w:val="003C4E13"/>
    <w:rsid w:val="003C50A8"/>
    <w:rsid w:val="003C53C3"/>
    <w:rsid w:val="003C53EB"/>
    <w:rsid w:val="003C5788"/>
    <w:rsid w:val="003C6154"/>
    <w:rsid w:val="003C6489"/>
    <w:rsid w:val="003C6AF5"/>
    <w:rsid w:val="003C70F7"/>
    <w:rsid w:val="003C74EA"/>
    <w:rsid w:val="003C79B1"/>
    <w:rsid w:val="003C79D3"/>
    <w:rsid w:val="003C7C9E"/>
    <w:rsid w:val="003D03E6"/>
    <w:rsid w:val="003D17E2"/>
    <w:rsid w:val="003D26DE"/>
    <w:rsid w:val="003D2AC7"/>
    <w:rsid w:val="003D2DD4"/>
    <w:rsid w:val="003D37C1"/>
    <w:rsid w:val="003D37E5"/>
    <w:rsid w:val="003D385D"/>
    <w:rsid w:val="003D3A7C"/>
    <w:rsid w:val="003D3D36"/>
    <w:rsid w:val="003D3DD0"/>
    <w:rsid w:val="003D4081"/>
    <w:rsid w:val="003D4234"/>
    <w:rsid w:val="003D43D1"/>
    <w:rsid w:val="003D44B1"/>
    <w:rsid w:val="003D5047"/>
    <w:rsid w:val="003D537D"/>
    <w:rsid w:val="003D54E7"/>
    <w:rsid w:val="003D5648"/>
    <w:rsid w:val="003D596E"/>
    <w:rsid w:val="003D6108"/>
    <w:rsid w:val="003D63F7"/>
    <w:rsid w:val="003D6706"/>
    <w:rsid w:val="003D7DC1"/>
    <w:rsid w:val="003D7FB6"/>
    <w:rsid w:val="003E06B8"/>
    <w:rsid w:val="003E1757"/>
    <w:rsid w:val="003E1AC6"/>
    <w:rsid w:val="003E22C8"/>
    <w:rsid w:val="003E2801"/>
    <w:rsid w:val="003E2AE4"/>
    <w:rsid w:val="003E2E57"/>
    <w:rsid w:val="003E30DF"/>
    <w:rsid w:val="003E34F3"/>
    <w:rsid w:val="003E3540"/>
    <w:rsid w:val="003E3568"/>
    <w:rsid w:val="003E38B4"/>
    <w:rsid w:val="003E42B3"/>
    <w:rsid w:val="003E521F"/>
    <w:rsid w:val="003E5B22"/>
    <w:rsid w:val="003E60F3"/>
    <w:rsid w:val="003E6166"/>
    <w:rsid w:val="003E62CE"/>
    <w:rsid w:val="003E678A"/>
    <w:rsid w:val="003E7135"/>
    <w:rsid w:val="003E758A"/>
    <w:rsid w:val="003E7B23"/>
    <w:rsid w:val="003F131B"/>
    <w:rsid w:val="003F1334"/>
    <w:rsid w:val="003F1931"/>
    <w:rsid w:val="003F1E8B"/>
    <w:rsid w:val="003F20A9"/>
    <w:rsid w:val="003F22F0"/>
    <w:rsid w:val="003F2500"/>
    <w:rsid w:val="003F2934"/>
    <w:rsid w:val="003F2DCF"/>
    <w:rsid w:val="003F2E3A"/>
    <w:rsid w:val="003F2EE4"/>
    <w:rsid w:val="003F304A"/>
    <w:rsid w:val="003F3707"/>
    <w:rsid w:val="003F3A18"/>
    <w:rsid w:val="003F3FD9"/>
    <w:rsid w:val="003F4080"/>
    <w:rsid w:val="003F42A3"/>
    <w:rsid w:val="003F492B"/>
    <w:rsid w:val="003F4C67"/>
    <w:rsid w:val="003F4E10"/>
    <w:rsid w:val="003F5A89"/>
    <w:rsid w:val="003F5F1A"/>
    <w:rsid w:val="003F6906"/>
    <w:rsid w:val="003F6B74"/>
    <w:rsid w:val="003F70A4"/>
    <w:rsid w:val="003F7923"/>
    <w:rsid w:val="003F7DA6"/>
    <w:rsid w:val="003F7FC0"/>
    <w:rsid w:val="00400384"/>
    <w:rsid w:val="004011CB"/>
    <w:rsid w:val="00401629"/>
    <w:rsid w:val="00401ED4"/>
    <w:rsid w:val="00402BE1"/>
    <w:rsid w:val="00402C40"/>
    <w:rsid w:val="0040355E"/>
    <w:rsid w:val="004039B2"/>
    <w:rsid w:val="00403AC5"/>
    <w:rsid w:val="00403CDB"/>
    <w:rsid w:val="00403F71"/>
    <w:rsid w:val="00404579"/>
    <w:rsid w:val="00404924"/>
    <w:rsid w:val="00404DC8"/>
    <w:rsid w:val="00404EE0"/>
    <w:rsid w:val="00404FAD"/>
    <w:rsid w:val="004053C0"/>
    <w:rsid w:val="00405478"/>
    <w:rsid w:val="00406679"/>
    <w:rsid w:val="00406A1D"/>
    <w:rsid w:val="00406AFD"/>
    <w:rsid w:val="00406BEA"/>
    <w:rsid w:val="00406CD0"/>
    <w:rsid w:val="00406F4C"/>
    <w:rsid w:val="00406FE8"/>
    <w:rsid w:val="00407482"/>
    <w:rsid w:val="00407B6D"/>
    <w:rsid w:val="00407C16"/>
    <w:rsid w:val="00407DD1"/>
    <w:rsid w:val="00410103"/>
    <w:rsid w:val="0041026E"/>
    <w:rsid w:val="004105DA"/>
    <w:rsid w:val="00411885"/>
    <w:rsid w:val="00411D53"/>
    <w:rsid w:val="004120F8"/>
    <w:rsid w:val="00412302"/>
    <w:rsid w:val="004129D4"/>
    <w:rsid w:val="00412ABC"/>
    <w:rsid w:val="00412CD7"/>
    <w:rsid w:val="00413383"/>
    <w:rsid w:val="004133BE"/>
    <w:rsid w:val="004133CC"/>
    <w:rsid w:val="00413A98"/>
    <w:rsid w:val="00414165"/>
    <w:rsid w:val="004141FE"/>
    <w:rsid w:val="004143F4"/>
    <w:rsid w:val="00414AE3"/>
    <w:rsid w:val="00414B0F"/>
    <w:rsid w:val="00414B8D"/>
    <w:rsid w:val="00415429"/>
    <w:rsid w:val="004157AE"/>
    <w:rsid w:val="00415836"/>
    <w:rsid w:val="00415CDC"/>
    <w:rsid w:val="00415E79"/>
    <w:rsid w:val="0041608C"/>
    <w:rsid w:val="004164FF"/>
    <w:rsid w:val="004170D5"/>
    <w:rsid w:val="00417EAA"/>
    <w:rsid w:val="004202DE"/>
    <w:rsid w:val="00420E68"/>
    <w:rsid w:val="00421241"/>
    <w:rsid w:val="00421661"/>
    <w:rsid w:val="00421A6D"/>
    <w:rsid w:val="00421BAE"/>
    <w:rsid w:val="0042229C"/>
    <w:rsid w:val="00422B1F"/>
    <w:rsid w:val="00422C0A"/>
    <w:rsid w:val="0042309F"/>
    <w:rsid w:val="00423E0A"/>
    <w:rsid w:val="00424484"/>
    <w:rsid w:val="004245BE"/>
    <w:rsid w:val="00424851"/>
    <w:rsid w:val="00424887"/>
    <w:rsid w:val="00424E53"/>
    <w:rsid w:val="00424F09"/>
    <w:rsid w:val="00425DA6"/>
    <w:rsid w:val="00425DDE"/>
    <w:rsid w:val="00425E35"/>
    <w:rsid w:val="00426003"/>
    <w:rsid w:val="00426668"/>
    <w:rsid w:val="004269DB"/>
    <w:rsid w:val="00427103"/>
    <w:rsid w:val="004272F6"/>
    <w:rsid w:val="00427489"/>
    <w:rsid w:val="004275B8"/>
    <w:rsid w:val="00427797"/>
    <w:rsid w:val="00427994"/>
    <w:rsid w:val="00427B84"/>
    <w:rsid w:val="0043020A"/>
    <w:rsid w:val="00430414"/>
    <w:rsid w:val="004305FC"/>
    <w:rsid w:val="004306A0"/>
    <w:rsid w:val="00430780"/>
    <w:rsid w:val="00430F4F"/>
    <w:rsid w:val="0043121B"/>
    <w:rsid w:val="00431665"/>
    <w:rsid w:val="00431925"/>
    <w:rsid w:val="00431A19"/>
    <w:rsid w:val="00431A89"/>
    <w:rsid w:val="0043278F"/>
    <w:rsid w:val="004329EF"/>
    <w:rsid w:val="00432CA2"/>
    <w:rsid w:val="00433327"/>
    <w:rsid w:val="004335A4"/>
    <w:rsid w:val="004337A2"/>
    <w:rsid w:val="0043393C"/>
    <w:rsid w:val="00433CDD"/>
    <w:rsid w:val="00433CF4"/>
    <w:rsid w:val="00434383"/>
    <w:rsid w:val="00434EC3"/>
    <w:rsid w:val="00435239"/>
    <w:rsid w:val="00435DF6"/>
    <w:rsid w:val="00436B46"/>
    <w:rsid w:val="00436C25"/>
    <w:rsid w:val="00436EF9"/>
    <w:rsid w:val="004371AD"/>
    <w:rsid w:val="004372F9"/>
    <w:rsid w:val="00437550"/>
    <w:rsid w:val="0043780A"/>
    <w:rsid w:val="00437F72"/>
    <w:rsid w:val="004405C5"/>
    <w:rsid w:val="00440C58"/>
    <w:rsid w:val="00440E4E"/>
    <w:rsid w:val="004414A7"/>
    <w:rsid w:val="00441526"/>
    <w:rsid w:val="00441768"/>
    <w:rsid w:val="004417E3"/>
    <w:rsid w:val="00442391"/>
    <w:rsid w:val="00442E35"/>
    <w:rsid w:val="00443A22"/>
    <w:rsid w:val="00443D77"/>
    <w:rsid w:val="004441EE"/>
    <w:rsid w:val="004444BF"/>
    <w:rsid w:val="004447A4"/>
    <w:rsid w:val="004447F0"/>
    <w:rsid w:val="00444986"/>
    <w:rsid w:val="00444C6A"/>
    <w:rsid w:val="0044509A"/>
    <w:rsid w:val="004450C2"/>
    <w:rsid w:val="0044519B"/>
    <w:rsid w:val="004452FE"/>
    <w:rsid w:val="00445302"/>
    <w:rsid w:val="004461DF"/>
    <w:rsid w:val="004461E8"/>
    <w:rsid w:val="004463E9"/>
    <w:rsid w:val="00446558"/>
    <w:rsid w:val="00446876"/>
    <w:rsid w:val="00446E26"/>
    <w:rsid w:val="00447734"/>
    <w:rsid w:val="00447783"/>
    <w:rsid w:val="00447988"/>
    <w:rsid w:val="004504D3"/>
    <w:rsid w:val="00451735"/>
    <w:rsid w:val="00451C10"/>
    <w:rsid w:val="004522D0"/>
    <w:rsid w:val="0045276E"/>
    <w:rsid w:val="00452E30"/>
    <w:rsid w:val="0045320F"/>
    <w:rsid w:val="00453294"/>
    <w:rsid w:val="00453543"/>
    <w:rsid w:val="004535C8"/>
    <w:rsid w:val="004535FA"/>
    <w:rsid w:val="0045478B"/>
    <w:rsid w:val="0045483A"/>
    <w:rsid w:val="0045499A"/>
    <w:rsid w:val="00454A5B"/>
    <w:rsid w:val="004562B5"/>
    <w:rsid w:val="00456568"/>
    <w:rsid w:val="004565BC"/>
    <w:rsid w:val="004565DE"/>
    <w:rsid w:val="00456BEF"/>
    <w:rsid w:val="00456FC9"/>
    <w:rsid w:val="00457309"/>
    <w:rsid w:val="00457800"/>
    <w:rsid w:val="004602FC"/>
    <w:rsid w:val="004603F6"/>
    <w:rsid w:val="00460E43"/>
    <w:rsid w:val="00461144"/>
    <w:rsid w:val="0046149F"/>
    <w:rsid w:val="0046160F"/>
    <w:rsid w:val="0046197B"/>
    <w:rsid w:val="0046198B"/>
    <w:rsid w:val="00461B5E"/>
    <w:rsid w:val="00461C23"/>
    <w:rsid w:val="00462D1C"/>
    <w:rsid w:val="00463384"/>
    <w:rsid w:val="00464173"/>
    <w:rsid w:val="00464680"/>
    <w:rsid w:val="004649A1"/>
    <w:rsid w:val="00464DA6"/>
    <w:rsid w:val="0046560F"/>
    <w:rsid w:val="0046579F"/>
    <w:rsid w:val="004657E4"/>
    <w:rsid w:val="004657F0"/>
    <w:rsid w:val="00465DA6"/>
    <w:rsid w:val="00465E0F"/>
    <w:rsid w:val="0046605A"/>
    <w:rsid w:val="004664FD"/>
    <w:rsid w:val="0046674F"/>
    <w:rsid w:val="004670A2"/>
    <w:rsid w:val="0046719D"/>
    <w:rsid w:val="004674F6"/>
    <w:rsid w:val="00467AD3"/>
    <w:rsid w:val="00467B30"/>
    <w:rsid w:val="00467E3E"/>
    <w:rsid w:val="004705D3"/>
    <w:rsid w:val="00470778"/>
    <w:rsid w:val="0047149B"/>
    <w:rsid w:val="00471653"/>
    <w:rsid w:val="00471A25"/>
    <w:rsid w:val="00472209"/>
    <w:rsid w:val="00472805"/>
    <w:rsid w:val="004728E0"/>
    <w:rsid w:val="00472DA0"/>
    <w:rsid w:val="00472FFC"/>
    <w:rsid w:val="0047323A"/>
    <w:rsid w:val="0047375C"/>
    <w:rsid w:val="004737D8"/>
    <w:rsid w:val="004738C3"/>
    <w:rsid w:val="00473A96"/>
    <w:rsid w:val="00473F73"/>
    <w:rsid w:val="004743E0"/>
    <w:rsid w:val="004745F3"/>
    <w:rsid w:val="00474708"/>
    <w:rsid w:val="00474761"/>
    <w:rsid w:val="004748D9"/>
    <w:rsid w:val="004753E0"/>
    <w:rsid w:val="004758A2"/>
    <w:rsid w:val="00475A45"/>
    <w:rsid w:val="00475EE1"/>
    <w:rsid w:val="00475F5A"/>
    <w:rsid w:val="004766A0"/>
    <w:rsid w:val="00476B44"/>
    <w:rsid w:val="00476CE0"/>
    <w:rsid w:val="004776D3"/>
    <w:rsid w:val="00477F24"/>
    <w:rsid w:val="00480BE0"/>
    <w:rsid w:val="00481651"/>
    <w:rsid w:val="004816D2"/>
    <w:rsid w:val="00481827"/>
    <w:rsid w:val="004826F2"/>
    <w:rsid w:val="004827EA"/>
    <w:rsid w:val="00482A3D"/>
    <w:rsid w:val="00482E82"/>
    <w:rsid w:val="00482F90"/>
    <w:rsid w:val="00483046"/>
    <w:rsid w:val="0048349C"/>
    <w:rsid w:val="004834BB"/>
    <w:rsid w:val="004837A9"/>
    <w:rsid w:val="004842C5"/>
    <w:rsid w:val="0048516F"/>
    <w:rsid w:val="004856C5"/>
    <w:rsid w:val="00485A59"/>
    <w:rsid w:val="00485B04"/>
    <w:rsid w:val="00485E82"/>
    <w:rsid w:val="00486060"/>
    <w:rsid w:val="00486630"/>
    <w:rsid w:val="004869CE"/>
    <w:rsid w:val="00486F23"/>
    <w:rsid w:val="00487036"/>
    <w:rsid w:val="00487111"/>
    <w:rsid w:val="00487130"/>
    <w:rsid w:val="004874D5"/>
    <w:rsid w:val="00487DBC"/>
    <w:rsid w:val="00487F55"/>
    <w:rsid w:val="0049016C"/>
    <w:rsid w:val="00490278"/>
    <w:rsid w:val="004902E2"/>
    <w:rsid w:val="00490939"/>
    <w:rsid w:val="00490950"/>
    <w:rsid w:val="00490B0C"/>
    <w:rsid w:val="004910D6"/>
    <w:rsid w:val="004911CD"/>
    <w:rsid w:val="0049132B"/>
    <w:rsid w:val="004916BB"/>
    <w:rsid w:val="0049173F"/>
    <w:rsid w:val="004917C1"/>
    <w:rsid w:val="00491C79"/>
    <w:rsid w:val="00491C7B"/>
    <w:rsid w:val="00491FDC"/>
    <w:rsid w:val="004923A4"/>
    <w:rsid w:val="00492DA4"/>
    <w:rsid w:val="00492E11"/>
    <w:rsid w:val="004930E6"/>
    <w:rsid w:val="00494CBB"/>
    <w:rsid w:val="00494FBF"/>
    <w:rsid w:val="004950F8"/>
    <w:rsid w:val="00495170"/>
    <w:rsid w:val="00495B43"/>
    <w:rsid w:val="00495CE7"/>
    <w:rsid w:val="00495E4C"/>
    <w:rsid w:val="0049618D"/>
    <w:rsid w:val="004963CE"/>
    <w:rsid w:val="0049733F"/>
    <w:rsid w:val="00497558"/>
    <w:rsid w:val="00497B20"/>
    <w:rsid w:val="004A00F6"/>
    <w:rsid w:val="004A0E56"/>
    <w:rsid w:val="004A1004"/>
    <w:rsid w:val="004A141B"/>
    <w:rsid w:val="004A1C8F"/>
    <w:rsid w:val="004A1CA8"/>
    <w:rsid w:val="004A26CB"/>
    <w:rsid w:val="004A2874"/>
    <w:rsid w:val="004A3237"/>
    <w:rsid w:val="004A3B23"/>
    <w:rsid w:val="004A3ED6"/>
    <w:rsid w:val="004A40D7"/>
    <w:rsid w:val="004A423B"/>
    <w:rsid w:val="004A44A6"/>
    <w:rsid w:val="004A4593"/>
    <w:rsid w:val="004A46B5"/>
    <w:rsid w:val="004A5858"/>
    <w:rsid w:val="004A6229"/>
    <w:rsid w:val="004A63D9"/>
    <w:rsid w:val="004A6B18"/>
    <w:rsid w:val="004A7151"/>
    <w:rsid w:val="004B0821"/>
    <w:rsid w:val="004B1113"/>
    <w:rsid w:val="004B16FE"/>
    <w:rsid w:val="004B17BF"/>
    <w:rsid w:val="004B18A5"/>
    <w:rsid w:val="004B203D"/>
    <w:rsid w:val="004B21BB"/>
    <w:rsid w:val="004B26EF"/>
    <w:rsid w:val="004B285F"/>
    <w:rsid w:val="004B28DF"/>
    <w:rsid w:val="004B2AA8"/>
    <w:rsid w:val="004B2BB1"/>
    <w:rsid w:val="004B2E71"/>
    <w:rsid w:val="004B34D7"/>
    <w:rsid w:val="004B413B"/>
    <w:rsid w:val="004B61CF"/>
    <w:rsid w:val="004B6559"/>
    <w:rsid w:val="004B688B"/>
    <w:rsid w:val="004B6A48"/>
    <w:rsid w:val="004B6A63"/>
    <w:rsid w:val="004B6D10"/>
    <w:rsid w:val="004B6DC2"/>
    <w:rsid w:val="004B7049"/>
    <w:rsid w:val="004B7317"/>
    <w:rsid w:val="004B78A7"/>
    <w:rsid w:val="004C0884"/>
    <w:rsid w:val="004C1446"/>
    <w:rsid w:val="004C18E3"/>
    <w:rsid w:val="004C1B4A"/>
    <w:rsid w:val="004C222A"/>
    <w:rsid w:val="004C24D7"/>
    <w:rsid w:val="004C2947"/>
    <w:rsid w:val="004C29A9"/>
    <w:rsid w:val="004C2EEC"/>
    <w:rsid w:val="004C3140"/>
    <w:rsid w:val="004C384C"/>
    <w:rsid w:val="004C3934"/>
    <w:rsid w:val="004C399D"/>
    <w:rsid w:val="004C3BE9"/>
    <w:rsid w:val="004C3C6C"/>
    <w:rsid w:val="004C3C6D"/>
    <w:rsid w:val="004C3EFF"/>
    <w:rsid w:val="004C4490"/>
    <w:rsid w:val="004C4996"/>
    <w:rsid w:val="004C509E"/>
    <w:rsid w:val="004C5317"/>
    <w:rsid w:val="004C596E"/>
    <w:rsid w:val="004C5C9E"/>
    <w:rsid w:val="004C5D4E"/>
    <w:rsid w:val="004C5D6E"/>
    <w:rsid w:val="004C6578"/>
    <w:rsid w:val="004C6991"/>
    <w:rsid w:val="004C6CE7"/>
    <w:rsid w:val="004C6D09"/>
    <w:rsid w:val="004C7347"/>
    <w:rsid w:val="004C788E"/>
    <w:rsid w:val="004C7D81"/>
    <w:rsid w:val="004C7F94"/>
    <w:rsid w:val="004C7FE3"/>
    <w:rsid w:val="004D0789"/>
    <w:rsid w:val="004D0893"/>
    <w:rsid w:val="004D0AC1"/>
    <w:rsid w:val="004D0B6C"/>
    <w:rsid w:val="004D0E98"/>
    <w:rsid w:val="004D1282"/>
    <w:rsid w:val="004D173F"/>
    <w:rsid w:val="004D1758"/>
    <w:rsid w:val="004D189C"/>
    <w:rsid w:val="004D1B18"/>
    <w:rsid w:val="004D1E7C"/>
    <w:rsid w:val="004D2190"/>
    <w:rsid w:val="004D2A7D"/>
    <w:rsid w:val="004D2C02"/>
    <w:rsid w:val="004D3400"/>
    <w:rsid w:val="004D35C6"/>
    <w:rsid w:val="004D3B49"/>
    <w:rsid w:val="004D3F83"/>
    <w:rsid w:val="004D4041"/>
    <w:rsid w:val="004D4066"/>
    <w:rsid w:val="004D45C0"/>
    <w:rsid w:val="004D466C"/>
    <w:rsid w:val="004D4C10"/>
    <w:rsid w:val="004D4CD6"/>
    <w:rsid w:val="004D5036"/>
    <w:rsid w:val="004D5309"/>
    <w:rsid w:val="004D5528"/>
    <w:rsid w:val="004D5BFD"/>
    <w:rsid w:val="004D62D5"/>
    <w:rsid w:val="004D6B74"/>
    <w:rsid w:val="004D6C7D"/>
    <w:rsid w:val="004D6E0F"/>
    <w:rsid w:val="004D7073"/>
    <w:rsid w:val="004D7E68"/>
    <w:rsid w:val="004E05BC"/>
    <w:rsid w:val="004E06B1"/>
    <w:rsid w:val="004E0C38"/>
    <w:rsid w:val="004E1021"/>
    <w:rsid w:val="004E10EE"/>
    <w:rsid w:val="004E1460"/>
    <w:rsid w:val="004E150E"/>
    <w:rsid w:val="004E1D49"/>
    <w:rsid w:val="004E2C7A"/>
    <w:rsid w:val="004E2FB8"/>
    <w:rsid w:val="004E359C"/>
    <w:rsid w:val="004E378F"/>
    <w:rsid w:val="004E3A79"/>
    <w:rsid w:val="004E3FE2"/>
    <w:rsid w:val="004E406B"/>
    <w:rsid w:val="004E46AF"/>
    <w:rsid w:val="004E5A63"/>
    <w:rsid w:val="004E5DDB"/>
    <w:rsid w:val="004E5E42"/>
    <w:rsid w:val="004E6272"/>
    <w:rsid w:val="004E62B8"/>
    <w:rsid w:val="004E6A72"/>
    <w:rsid w:val="004E7750"/>
    <w:rsid w:val="004E789F"/>
    <w:rsid w:val="004F0788"/>
    <w:rsid w:val="004F0918"/>
    <w:rsid w:val="004F1074"/>
    <w:rsid w:val="004F1409"/>
    <w:rsid w:val="004F15D8"/>
    <w:rsid w:val="004F1984"/>
    <w:rsid w:val="004F1B28"/>
    <w:rsid w:val="004F1E0A"/>
    <w:rsid w:val="004F1E8E"/>
    <w:rsid w:val="004F27A2"/>
    <w:rsid w:val="004F3799"/>
    <w:rsid w:val="004F3963"/>
    <w:rsid w:val="004F3C96"/>
    <w:rsid w:val="004F3EA6"/>
    <w:rsid w:val="004F3F41"/>
    <w:rsid w:val="004F40C2"/>
    <w:rsid w:val="004F4365"/>
    <w:rsid w:val="004F465E"/>
    <w:rsid w:val="004F497E"/>
    <w:rsid w:val="004F4AF0"/>
    <w:rsid w:val="004F4D3D"/>
    <w:rsid w:val="004F4FF1"/>
    <w:rsid w:val="004F5FE1"/>
    <w:rsid w:val="004F6218"/>
    <w:rsid w:val="004F74E7"/>
    <w:rsid w:val="004F76B3"/>
    <w:rsid w:val="004F7A33"/>
    <w:rsid w:val="004F7B4D"/>
    <w:rsid w:val="004F7DDE"/>
    <w:rsid w:val="005005D9"/>
    <w:rsid w:val="005008F8"/>
    <w:rsid w:val="00500903"/>
    <w:rsid w:val="00500C85"/>
    <w:rsid w:val="00500C99"/>
    <w:rsid w:val="005017CB"/>
    <w:rsid w:val="00501E65"/>
    <w:rsid w:val="00502110"/>
    <w:rsid w:val="005021E0"/>
    <w:rsid w:val="00502565"/>
    <w:rsid w:val="00502575"/>
    <w:rsid w:val="005025C6"/>
    <w:rsid w:val="005027EF"/>
    <w:rsid w:val="00502A6F"/>
    <w:rsid w:val="00503AE3"/>
    <w:rsid w:val="00503CE6"/>
    <w:rsid w:val="005043E8"/>
    <w:rsid w:val="00505041"/>
    <w:rsid w:val="0050554D"/>
    <w:rsid w:val="005057F2"/>
    <w:rsid w:val="005058DB"/>
    <w:rsid w:val="00505BB5"/>
    <w:rsid w:val="0050652B"/>
    <w:rsid w:val="0050685F"/>
    <w:rsid w:val="00506904"/>
    <w:rsid w:val="00506ECD"/>
    <w:rsid w:val="005072CE"/>
    <w:rsid w:val="005076FC"/>
    <w:rsid w:val="0051002F"/>
    <w:rsid w:val="005105D5"/>
    <w:rsid w:val="00510835"/>
    <w:rsid w:val="00510896"/>
    <w:rsid w:val="0051094E"/>
    <w:rsid w:val="00510B68"/>
    <w:rsid w:val="005115E1"/>
    <w:rsid w:val="00511F1A"/>
    <w:rsid w:val="0051231D"/>
    <w:rsid w:val="005128ED"/>
    <w:rsid w:val="005131CE"/>
    <w:rsid w:val="005132FF"/>
    <w:rsid w:val="005134CE"/>
    <w:rsid w:val="0051355E"/>
    <w:rsid w:val="005136A9"/>
    <w:rsid w:val="005139FF"/>
    <w:rsid w:val="00513A72"/>
    <w:rsid w:val="005140C5"/>
    <w:rsid w:val="00514531"/>
    <w:rsid w:val="005147E5"/>
    <w:rsid w:val="00514F0B"/>
    <w:rsid w:val="0051502B"/>
    <w:rsid w:val="00515131"/>
    <w:rsid w:val="00515D46"/>
    <w:rsid w:val="00515DF9"/>
    <w:rsid w:val="00515FB4"/>
    <w:rsid w:val="00516278"/>
    <w:rsid w:val="005165A9"/>
    <w:rsid w:val="005166B7"/>
    <w:rsid w:val="005172C0"/>
    <w:rsid w:val="00517569"/>
    <w:rsid w:val="00517C6D"/>
    <w:rsid w:val="005202C9"/>
    <w:rsid w:val="0052031F"/>
    <w:rsid w:val="005209DD"/>
    <w:rsid w:val="005211A1"/>
    <w:rsid w:val="00521666"/>
    <w:rsid w:val="0052285B"/>
    <w:rsid w:val="00522959"/>
    <w:rsid w:val="00522978"/>
    <w:rsid w:val="0052366E"/>
    <w:rsid w:val="00523983"/>
    <w:rsid w:val="005241AF"/>
    <w:rsid w:val="005246BA"/>
    <w:rsid w:val="0052485C"/>
    <w:rsid w:val="00524BAB"/>
    <w:rsid w:val="005251CB"/>
    <w:rsid w:val="005260CE"/>
    <w:rsid w:val="00526164"/>
    <w:rsid w:val="00526236"/>
    <w:rsid w:val="00526F4F"/>
    <w:rsid w:val="00527693"/>
    <w:rsid w:val="0052779B"/>
    <w:rsid w:val="00527EAB"/>
    <w:rsid w:val="0053002A"/>
    <w:rsid w:val="0053010E"/>
    <w:rsid w:val="0053034F"/>
    <w:rsid w:val="005310ED"/>
    <w:rsid w:val="0053118F"/>
    <w:rsid w:val="00531409"/>
    <w:rsid w:val="00531B33"/>
    <w:rsid w:val="00531B68"/>
    <w:rsid w:val="00532070"/>
    <w:rsid w:val="005320D9"/>
    <w:rsid w:val="00532158"/>
    <w:rsid w:val="0053219B"/>
    <w:rsid w:val="0053234E"/>
    <w:rsid w:val="00532FBA"/>
    <w:rsid w:val="005332CF"/>
    <w:rsid w:val="005336B5"/>
    <w:rsid w:val="00533E3D"/>
    <w:rsid w:val="00534767"/>
    <w:rsid w:val="00534AEA"/>
    <w:rsid w:val="00534AF7"/>
    <w:rsid w:val="00534C30"/>
    <w:rsid w:val="0053571F"/>
    <w:rsid w:val="005358C8"/>
    <w:rsid w:val="00535AA9"/>
    <w:rsid w:val="00535B01"/>
    <w:rsid w:val="00535D50"/>
    <w:rsid w:val="00535EE6"/>
    <w:rsid w:val="00536058"/>
    <w:rsid w:val="0053687D"/>
    <w:rsid w:val="005369D1"/>
    <w:rsid w:val="005369EE"/>
    <w:rsid w:val="00536C7A"/>
    <w:rsid w:val="00537131"/>
    <w:rsid w:val="00537681"/>
    <w:rsid w:val="00537F7F"/>
    <w:rsid w:val="0054090F"/>
    <w:rsid w:val="0054104F"/>
    <w:rsid w:val="00541488"/>
    <w:rsid w:val="005417A8"/>
    <w:rsid w:val="00541FA0"/>
    <w:rsid w:val="00542285"/>
    <w:rsid w:val="00542E80"/>
    <w:rsid w:val="0054318A"/>
    <w:rsid w:val="00543E72"/>
    <w:rsid w:val="00543F69"/>
    <w:rsid w:val="00544432"/>
    <w:rsid w:val="005447A7"/>
    <w:rsid w:val="00544F2B"/>
    <w:rsid w:val="00546466"/>
    <w:rsid w:val="005465D6"/>
    <w:rsid w:val="0054688C"/>
    <w:rsid w:val="005468D6"/>
    <w:rsid w:val="0054757D"/>
    <w:rsid w:val="005509C5"/>
    <w:rsid w:val="0055191B"/>
    <w:rsid w:val="00551BC9"/>
    <w:rsid w:val="00551E06"/>
    <w:rsid w:val="005528B7"/>
    <w:rsid w:val="00552F6A"/>
    <w:rsid w:val="00553056"/>
    <w:rsid w:val="0055386F"/>
    <w:rsid w:val="00553946"/>
    <w:rsid w:val="00553BDB"/>
    <w:rsid w:val="00554326"/>
    <w:rsid w:val="005545FC"/>
    <w:rsid w:val="00554B13"/>
    <w:rsid w:val="00554E3D"/>
    <w:rsid w:val="00554F3B"/>
    <w:rsid w:val="005551E4"/>
    <w:rsid w:val="00555404"/>
    <w:rsid w:val="005558F7"/>
    <w:rsid w:val="005567D6"/>
    <w:rsid w:val="005567F5"/>
    <w:rsid w:val="00556EC0"/>
    <w:rsid w:val="00556F9A"/>
    <w:rsid w:val="0055735F"/>
    <w:rsid w:val="00557457"/>
    <w:rsid w:val="00557D7A"/>
    <w:rsid w:val="0056050C"/>
    <w:rsid w:val="005607B9"/>
    <w:rsid w:val="00560A75"/>
    <w:rsid w:val="00561146"/>
    <w:rsid w:val="005612E3"/>
    <w:rsid w:val="00561846"/>
    <w:rsid w:val="00561D51"/>
    <w:rsid w:val="00561DE4"/>
    <w:rsid w:val="00561E71"/>
    <w:rsid w:val="00562278"/>
    <w:rsid w:val="00564885"/>
    <w:rsid w:val="00564B1C"/>
    <w:rsid w:val="0056578A"/>
    <w:rsid w:val="00565E1B"/>
    <w:rsid w:val="00566100"/>
    <w:rsid w:val="00567398"/>
    <w:rsid w:val="0056769E"/>
    <w:rsid w:val="00567BAC"/>
    <w:rsid w:val="00567E06"/>
    <w:rsid w:val="00567ED1"/>
    <w:rsid w:val="00567F37"/>
    <w:rsid w:val="00570260"/>
    <w:rsid w:val="00570A34"/>
    <w:rsid w:val="00570C5E"/>
    <w:rsid w:val="00570DD4"/>
    <w:rsid w:val="00570FEF"/>
    <w:rsid w:val="0057103F"/>
    <w:rsid w:val="005712E9"/>
    <w:rsid w:val="0057130F"/>
    <w:rsid w:val="00571EF9"/>
    <w:rsid w:val="005721F8"/>
    <w:rsid w:val="005722AD"/>
    <w:rsid w:val="00572C02"/>
    <w:rsid w:val="00573134"/>
    <w:rsid w:val="0057327D"/>
    <w:rsid w:val="00573900"/>
    <w:rsid w:val="00573D6F"/>
    <w:rsid w:val="00573DBB"/>
    <w:rsid w:val="0057415C"/>
    <w:rsid w:val="00575491"/>
    <w:rsid w:val="00575E64"/>
    <w:rsid w:val="00575FD9"/>
    <w:rsid w:val="0057658F"/>
    <w:rsid w:val="00576737"/>
    <w:rsid w:val="0057692E"/>
    <w:rsid w:val="00576CF9"/>
    <w:rsid w:val="00577D17"/>
    <w:rsid w:val="0058047D"/>
    <w:rsid w:val="00580569"/>
    <w:rsid w:val="00580810"/>
    <w:rsid w:val="00580ADC"/>
    <w:rsid w:val="00580AEF"/>
    <w:rsid w:val="00580B16"/>
    <w:rsid w:val="00580C9B"/>
    <w:rsid w:val="0058166F"/>
    <w:rsid w:val="00581797"/>
    <w:rsid w:val="00581C5F"/>
    <w:rsid w:val="00581C98"/>
    <w:rsid w:val="00582A01"/>
    <w:rsid w:val="00582D51"/>
    <w:rsid w:val="00582F14"/>
    <w:rsid w:val="005830F3"/>
    <w:rsid w:val="005831BF"/>
    <w:rsid w:val="0058327D"/>
    <w:rsid w:val="005837A0"/>
    <w:rsid w:val="00583A52"/>
    <w:rsid w:val="00585B78"/>
    <w:rsid w:val="00585DA5"/>
    <w:rsid w:val="00586540"/>
    <w:rsid w:val="00586CBB"/>
    <w:rsid w:val="00587BE0"/>
    <w:rsid w:val="00587C1F"/>
    <w:rsid w:val="0059016E"/>
    <w:rsid w:val="00591BF6"/>
    <w:rsid w:val="00592060"/>
    <w:rsid w:val="005922C2"/>
    <w:rsid w:val="005926FD"/>
    <w:rsid w:val="00592C25"/>
    <w:rsid w:val="0059376D"/>
    <w:rsid w:val="00593926"/>
    <w:rsid w:val="0059396C"/>
    <w:rsid w:val="00593BF3"/>
    <w:rsid w:val="00593CD6"/>
    <w:rsid w:val="00593ECD"/>
    <w:rsid w:val="0059488F"/>
    <w:rsid w:val="005948F7"/>
    <w:rsid w:val="00594AAF"/>
    <w:rsid w:val="00594DC3"/>
    <w:rsid w:val="005953A4"/>
    <w:rsid w:val="005953CF"/>
    <w:rsid w:val="00595440"/>
    <w:rsid w:val="00595803"/>
    <w:rsid w:val="00596009"/>
    <w:rsid w:val="0059664E"/>
    <w:rsid w:val="005967E5"/>
    <w:rsid w:val="00597A75"/>
    <w:rsid w:val="00597D1C"/>
    <w:rsid w:val="00597E8F"/>
    <w:rsid w:val="005A013D"/>
    <w:rsid w:val="005A0497"/>
    <w:rsid w:val="005A0814"/>
    <w:rsid w:val="005A0B56"/>
    <w:rsid w:val="005A11B5"/>
    <w:rsid w:val="005A1582"/>
    <w:rsid w:val="005A296C"/>
    <w:rsid w:val="005A2D0A"/>
    <w:rsid w:val="005A3891"/>
    <w:rsid w:val="005A3DB0"/>
    <w:rsid w:val="005A447A"/>
    <w:rsid w:val="005A44C3"/>
    <w:rsid w:val="005A4B2E"/>
    <w:rsid w:val="005A54E2"/>
    <w:rsid w:val="005A567A"/>
    <w:rsid w:val="005A59F4"/>
    <w:rsid w:val="005A5A4B"/>
    <w:rsid w:val="005A5F9F"/>
    <w:rsid w:val="005A6718"/>
    <w:rsid w:val="005A6754"/>
    <w:rsid w:val="005A6DB0"/>
    <w:rsid w:val="005A794E"/>
    <w:rsid w:val="005A7D77"/>
    <w:rsid w:val="005B0583"/>
    <w:rsid w:val="005B05FF"/>
    <w:rsid w:val="005B0F75"/>
    <w:rsid w:val="005B0FC2"/>
    <w:rsid w:val="005B11B2"/>
    <w:rsid w:val="005B12B3"/>
    <w:rsid w:val="005B205F"/>
    <w:rsid w:val="005B261D"/>
    <w:rsid w:val="005B2819"/>
    <w:rsid w:val="005B2A0A"/>
    <w:rsid w:val="005B3182"/>
    <w:rsid w:val="005B339E"/>
    <w:rsid w:val="005B34F5"/>
    <w:rsid w:val="005B36BE"/>
    <w:rsid w:val="005B3C2F"/>
    <w:rsid w:val="005B3EF4"/>
    <w:rsid w:val="005B473C"/>
    <w:rsid w:val="005B4945"/>
    <w:rsid w:val="005B4F53"/>
    <w:rsid w:val="005B593D"/>
    <w:rsid w:val="005B5E52"/>
    <w:rsid w:val="005B6491"/>
    <w:rsid w:val="005B6F1C"/>
    <w:rsid w:val="005B70BA"/>
    <w:rsid w:val="005B733E"/>
    <w:rsid w:val="005B7C8D"/>
    <w:rsid w:val="005B7FAC"/>
    <w:rsid w:val="005C001B"/>
    <w:rsid w:val="005C071C"/>
    <w:rsid w:val="005C08C0"/>
    <w:rsid w:val="005C09F1"/>
    <w:rsid w:val="005C0BB3"/>
    <w:rsid w:val="005C0FA6"/>
    <w:rsid w:val="005C1D64"/>
    <w:rsid w:val="005C1F87"/>
    <w:rsid w:val="005C2804"/>
    <w:rsid w:val="005C2E9F"/>
    <w:rsid w:val="005C333F"/>
    <w:rsid w:val="005C339D"/>
    <w:rsid w:val="005C344B"/>
    <w:rsid w:val="005C3672"/>
    <w:rsid w:val="005C36B9"/>
    <w:rsid w:val="005C3D57"/>
    <w:rsid w:val="005C48A3"/>
    <w:rsid w:val="005C5CAA"/>
    <w:rsid w:val="005C5EFF"/>
    <w:rsid w:val="005C5F37"/>
    <w:rsid w:val="005C5FA1"/>
    <w:rsid w:val="005C65B2"/>
    <w:rsid w:val="005C695D"/>
    <w:rsid w:val="005C7517"/>
    <w:rsid w:val="005C7876"/>
    <w:rsid w:val="005C7B28"/>
    <w:rsid w:val="005C7B7D"/>
    <w:rsid w:val="005C7E69"/>
    <w:rsid w:val="005D026B"/>
    <w:rsid w:val="005D081D"/>
    <w:rsid w:val="005D0901"/>
    <w:rsid w:val="005D13D6"/>
    <w:rsid w:val="005D19D2"/>
    <w:rsid w:val="005D19F2"/>
    <w:rsid w:val="005D1B7F"/>
    <w:rsid w:val="005D2623"/>
    <w:rsid w:val="005D27B1"/>
    <w:rsid w:val="005D3012"/>
    <w:rsid w:val="005D383C"/>
    <w:rsid w:val="005D3D3E"/>
    <w:rsid w:val="005D3E73"/>
    <w:rsid w:val="005D41E4"/>
    <w:rsid w:val="005D4F16"/>
    <w:rsid w:val="005D4FD1"/>
    <w:rsid w:val="005D5956"/>
    <w:rsid w:val="005D6093"/>
    <w:rsid w:val="005D70CD"/>
    <w:rsid w:val="005D725D"/>
    <w:rsid w:val="005D7891"/>
    <w:rsid w:val="005D7EEF"/>
    <w:rsid w:val="005E07DC"/>
    <w:rsid w:val="005E0B9E"/>
    <w:rsid w:val="005E0D24"/>
    <w:rsid w:val="005E0DF5"/>
    <w:rsid w:val="005E11C0"/>
    <w:rsid w:val="005E1826"/>
    <w:rsid w:val="005E1918"/>
    <w:rsid w:val="005E1D7E"/>
    <w:rsid w:val="005E2696"/>
    <w:rsid w:val="005E27A2"/>
    <w:rsid w:val="005E29B9"/>
    <w:rsid w:val="005E2C9D"/>
    <w:rsid w:val="005E37BA"/>
    <w:rsid w:val="005E3C4C"/>
    <w:rsid w:val="005E3F2F"/>
    <w:rsid w:val="005E3FDE"/>
    <w:rsid w:val="005E4083"/>
    <w:rsid w:val="005E432A"/>
    <w:rsid w:val="005E44E4"/>
    <w:rsid w:val="005E4A87"/>
    <w:rsid w:val="005E588C"/>
    <w:rsid w:val="005E58A8"/>
    <w:rsid w:val="005E616A"/>
    <w:rsid w:val="005E64C6"/>
    <w:rsid w:val="005E6578"/>
    <w:rsid w:val="005E6CCF"/>
    <w:rsid w:val="005E7894"/>
    <w:rsid w:val="005E7BA7"/>
    <w:rsid w:val="005F0271"/>
    <w:rsid w:val="005F0EEA"/>
    <w:rsid w:val="005F0EFE"/>
    <w:rsid w:val="005F17A4"/>
    <w:rsid w:val="005F2427"/>
    <w:rsid w:val="005F2C49"/>
    <w:rsid w:val="005F2D62"/>
    <w:rsid w:val="005F43FD"/>
    <w:rsid w:val="005F44C9"/>
    <w:rsid w:val="005F460D"/>
    <w:rsid w:val="005F4EB8"/>
    <w:rsid w:val="005F5201"/>
    <w:rsid w:val="005F53FC"/>
    <w:rsid w:val="005F58D2"/>
    <w:rsid w:val="005F5D20"/>
    <w:rsid w:val="005F5FD6"/>
    <w:rsid w:val="005F6502"/>
    <w:rsid w:val="005F6B34"/>
    <w:rsid w:val="005F6F02"/>
    <w:rsid w:val="005F714D"/>
    <w:rsid w:val="005F72FA"/>
    <w:rsid w:val="005F7547"/>
    <w:rsid w:val="005F7764"/>
    <w:rsid w:val="005F7B24"/>
    <w:rsid w:val="00600518"/>
    <w:rsid w:val="006008B4"/>
    <w:rsid w:val="00600B42"/>
    <w:rsid w:val="00600EC9"/>
    <w:rsid w:val="00600FE9"/>
    <w:rsid w:val="00602173"/>
    <w:rsid w:val="006022C3"/>
    <w:rsid w:val="00602357"/>
    <w:rsid w:val="0060282D"/>
    <w:rsid w:val="00602852"/>
    <w:rsid w:val="00602A26"/>
    <w:rsid w:val="00602B89"/>
    <w:rsid w:val="006035C8"/>
    <w:rsid w:val="006037C4"/>
    <w:rsid w:val="00603A51"/>
    <w:rsid w:val="0060416A"/>
    <w:rsid w:val="00604708"/>
    <w:rsid w:val="006047E2"/>
    <w:rsid w:val="006048F7"/>
    <w:rsid w:val="00604D62"/>
    <w:rsid w:val="00604ED2"/>
    <w:rsid w:val="00604F52"/>
    <w:rsid w:val="00605CB7"/>
    <w:rsid w:val="00605CC7"/>
    <w:rsid w:val="00605E94"/>
    <w:rsid w:val="006062C0"/>
    <w:rsid w:val="006068AF"/>
    <w:rsid w:val="00606D61"/>
    <w:rsid w:val="00607096"/>
    <w:rsid w:val="006078E6"/>
    <w:rsid w:val="0060790F"/>
    <w:rsid w:val="00607DFB"/>
    <w:rsid w:val="00607E75"/>
    <w:rsid w:val="00607FD5"/>
    <w:rsid w:val="00610240"/>
    <w:rsid w:val="006102C6"/>
    <w:rsid w:val="006108F4"/>
    <w:rsid w:val="00610A7A"/>
    <w:rsid w:val="0061130F"/>
    <w:rsid w:val="00611A3E"/>
    <w:rsid w:val="00611D9C"/>
    <w:rsid w:val="00611FC7"/>
    <w:rsid w:val="0061267A"/>
    <w:rsid w:val="00612AA2"/>
    <w:rsid w:val="006132C2"/>
    <w:rsid w:val="00614403"/>
    <w:rsid w:val="00614737"/>
    <w:rsid w:val="00614822"/>
    <w:rsid w:val="00614A58"/>
    <w:rsid w:val="00614D62"/>
    <w:rsid w:val="00614F43"/>
    <w:rsid w:val="006156CA"/>
    <w:rsid w:val="0061583D"/>
    <w:rsid w:val="00617092"/>
    <w:rsid w:val="00617629"/>
    <w:rsid w:val="00617AB1"/>
    <w:rsid w:val="00620089"/>
    <w:rsid w:val="006203FD"/>
    <w:rsid w:val="00620A2A"/>
    <w:rsid w:val="00620C6C"/>
    <w:rsid w:val="00620D6A"/>
    <w:rsid w:val="00621B31"/>
    <w:rsid w:val="00621D6C"/>
    <w:rsid w:val="00622D85"/>
    <w:rsid w:val="00622E14"/>
    <w:rsid w:val="00622FBC"/>
    <w:rsid w:val="00623548"/>
    <w:rsid w:val="00623736"/>
    <w:rsid w:val="006239E9"/>
    <w:rsid w:val="00623BE8"/>
    <w:rsid w:val="0062417B"/>
    <w:rsid w:val="006248A6"/>
    <w:rsid w:val="00624943"/>
    <w:rsid w:val="00624A22"/>
    <w:rsid w:val="00624D4D"/>
    <w:rsid w:val="00626565"/>
    <w:rsid w:val="0062698B"/>
    <w:rsid w:val="00626A09"/>
    <w:rsid w:val="00626AAC"/>
    <w:rsid w:val="00626B7D"/>
    <w:rsid w:val="00626C74"/>
    <w:rsid w:val="00627101"/>
    <w:rsid w:val="00627253"/>
    <w:rsid w:val="006304A0"/>
    <w:rsid w:val="00630E33"/>
    <w:rsid w:val="00630F1A"/>
    <w:rsid w:val="00631077"/>
    <w:rsid w:val="00631086"/>
    <w:rsid w:val="00631476"/>
    <w:rsid w:val="00632BB9"/>
    <w:rsid w:val="00632CBA"/>
    <w:rsid w:val="00632D30"/>
    <w:rsid w:val="00632D5D"/>
    <w:rsid w:val="00633232"/>
    <w:rsid w:val="00633247"/>
    <w:rsid w:val="00633927"/>
    <w:rsid w:val="006339EE"/>
    <w:rsid w:val="00633D1A"/>
    <w:rsid w:val="00634161"/>
    <w:rsid w:val="00634E39"/>
    <w:rsid w:val="00635E73"/>
    <w:rsid w:val="006361A6"/>
    <w:rsid w:val="00636666"/>
    <w:rsid w:val="006366E2"/>
    <w:rsid w:val="00636A31"/>
    <w:rsid w:val="00636DFD"/>
    <w:rsid w:val="006371C7"/>
    <w:rsid w:val="006375CC"/>
    <w:rsid w:val="00637648"/>
    <w:rsid w:val="00637BC3"/>
    <w:rsid w:val="00637E03"/>
    <w:rsid w:val="00637E7A"/>
    <w:rsid w:val="0064009C"/>
    <w:rsid w:val="00640167"/>
    <w:rsid w:val="00640B39"/>
    <w:rsid w:val="00641B11"/>
    <w:rsid w:val="00641ED3"/>
    <w:rsid w:val="006421FE"/>
    <w:rsid w:val="00642520"/>
    <w:rsid w:val="006428F8"/>
    <w:rsid w:val="00642AD9"/>
    <w:rsid w:val="0064336D"/>
    <w:rsid w:val="006438DC"/>
    <w:rsid w:val="006439CC"/>
    <w:rsid w:val="00643B14"/>
    <w:rsid w:val="00643C8E"/>
    <w:rsid w:val="00643D81"/>
    <w:rsid w:val="00644537"/>
    <w:rsid w:val="00644BA7"/>
    <w:rsid w:val="00644D6E"/>
    <w:rsid w:val="006453F4"/>
    <w:rsid w:val="0064574D"/>
    <w:rsid w:val="00645C09"/>
    <w:rsid w:val="006467F8"/>
    <w:rsid w:val="00646958"/>
    <w:rsid w:val="006469BA"/>
    <w:rsid w:val="006469F2"/>
    <w:rsid w:val="00646BDC"/>
    <w:rsid w:val="00646EBF"/>
    <w:rsid w:val="00647112"/>
    <w:rsid w:val="006474FC"/>
    <w:rsid w:val="006476CA"/>
    <w:rsid w:val="00647755"/>
    <w:rsid w:val="0065010E"/>
    <w:rsid w:val="0065027F"/>
    <w:rsid w:val="00650647"/>
    <w:rsid w:val="00650755"/>
    <w:rsid w:val="00650F59"/>
    <w:rsid w:val="0065114D"/>
    <w:rsid w:val="0065137E"/>
    <w:rsid w:val="00651917"/>
    <w:rsid w:val="00651918"/>
    <w:rsid w:val="0065198C"/>
    <w:rsid w:val="00651EBD"/>
    <w:rsid w:val="006525AD"/>
    <w:rsid w:val="00652698"/>
    <w:rsid w:val="006526A2"/>
    <w:rsid w:val="0065277D"/>
    <w:rsid w:val="00652888"/>
    <w:rsid w:val="00652F59"/>
    <w:rsid w:val="0065390E"/>
    <w:rsid w:val="00654094"/>
    <w:rsid w:val="006540B9"/>
    <w:rsid w:val="00654665"/>
    <w:rsid w:val="0065488B"/>
    <w:rsid w:val="006549C1"/>
    <w:rsid w:val="006550C8"/>
    <w:rsid w:val="00655229"/>
    <w:rsid w:val="006558A2"/>
    <w:rsid w:val="00655A00"/>
    <w:rsid w:val="00655B1F"/>
    <w:rsid w:val="00656202"/>
    <w:rsid w:val="00656612"/>
    <w:rsid w:val="006569C7"/>
    <w:rsid w:val="00656A9A"/>
    <w:rsid w:val="00656DAA"/>
    <w:rsid w:val="00656EDF"/>
    <w:rsid w:val="00657A73"/>
    <w:rsid w:val="00657AF9"/>
    <w:rsid w:val="00657F63"/>
    <w:rsid w:val="00660613"/>
    <w:rsid w:val="00660697"/>
    <w:rsid w:val="006609AC"/>
    <w:rsid w:val="00660D53"/>
    <w:rsid w:val="00660E00"/>
    <w:rsid w:val="00660EB1"/>
    <w:rsid w:val="00660FE8"/>
    <w:rsid w:val="00661042"/>
    <w:rsid w:val="006611C9"/>
    <w:rsid w:val="006618AD"/>
    <w:rsid w:val="00662443"/>
    <w:rsid w:val="00662B86"/>
    <w:rsid w:val="00662CC2"/>
    <w:rsid w:val="0066350B"/>
    <w:rsid w:val="006642FC"/>
    <w:rsid w:val="006646A8"/>
    <w:rsid w:val="00664732"/>
    <w:rsid w:val="006649A1"/>
    <w:rsid w:val="00664B4D"/>
    <w:rsid w:val="00664C5C"/>
    <w:rsid w:val="006657C8"/>
    <w:rsid w:val="006657D8"/>
    <w:rsid w:val="00666C56"/>
    <w:rsid w:val="00666DD3"/>
    <w:rsid w:val="00667838"/>
    <w:rsid w:val="00670086"/>
    <w:rsid w:val="00670254"/>
    <w:rsid w:val="00670561"/>
    <w:rsid w:val="0067056D"/>
    <w:rsid w:val="006705C7"/>
    <w:rsid w:val="006709CF"/>
    <w:rsid w:val="00670EDF"/>
    <w:rsid w:val="00671838"/>
    <w:rsid w:val="00671E59"/>
    <w:rsid w:val="00671EB3"/>
    <w:rsid w:val="0067283A"/>
    <w:rsid w:val="00672D01"/>
    <w:rsid w:val="006736D9"/>
    <w:rsid w:val="00673817"/>
    <w:rsid w:val="006742E8"/>
    <w:rsid w:val="00674885"/>
    <w:rsid w:val="00674FD2"/>
    <w:rsid w:val="006751B4"/>
    <w:rsid w:val="0067539A"/>
    <w:rsid w:val="00676185"/>
    <w:rsid w:val="006764DC"/>
    <w:rsid w:val="006764FA"/>
    <w:rsid w:val="006771D1"/>
    <w:rsid w:val="00677CAA"/>
    <w:rsid w:val="00680520"/>
    <w:rsid w:val="0068076C"/>
    <w:rsid w:val="0068089C"/>
    <w:rsid w:val="0068167D"/>
    <w:rsid w:val="00681806"/>
    <w:rsid w:val="00681AAB"/>
    <w:rsid w:val="00681D78"/>
    <w:rsid w:val="00681FD9"/>
    <w:rsid w:val="0068256B"/>
    <w:rsid w:val="0068265B"/>
    <w:rsid w:val="006826D1"/>
    <w:rsid w:val="00682CFE"/>
    <w:rsid w:val="00682DCB"/>
    <w:rsid w:val="00682EFD"/>
    <w:rsid w:val="00682FEA"/>
    <w:rsid w:val="00683445"/>
    <w:rsid w:val="006835AB"/>
    <w:rsid w:val="006838E4"/>
    <w:rsid w:val="0068399D"/>
    <w:rsid w:val="00683E75"/>
    <w:rsid w:val="006842AA"/>
    <w:rsid w:val="006845AB"/>
    <w:rsid w:val="006848DF"/>
    <w:rsid w:val="00684C96"/>
    <w:rsid w:val="00684C9D"/>
    <w:rsid w:val="00685318"/>
    <w:rsid w:val="006861AE"/>
    <w:rsid w:val="00686311"/>
    <w:rsid w:val="0068694B"/>
    <w:rsid w:val="006869A9"/>
    <w:rsid w:val="00686A17"/>
    <w:rsid w:val="00686C0B"/>
    <w:rsid w:val="00686CD7"/>
    <w:rsid w:val="00686F5C"/>
    <w:rsid w:val="00690768"/>
    <w:rsid w:val="00690A9B"/>
    <w:rsid w:val="00690D6D"/>
    <w:rsid w:val="00690DB7"/>
    <w:rsid w:val="00691013"/>
    <w:rsid w:val="0069101B"/>
    <w:rsid w:val="006910A1"/>
    <w:rsid w:val="0069198A"/>
    <w:rsid w:val="00691A0C"/>
    <w:rsid w:val="00691BC2"/>
    <w:rsid w:val="006926A3"/>
    <w:rsid w:val="006928E6"/>
    <w:rsid w:val="006931BA"/>
    <w:rsid w:val="006932E4"/>
    <w:rsid w:val="0069330C"/>
    <w:rsid w:val="00693381"/>
    <w:rsid w:val="006934C4"/>
    <w:rsid w:val="0069365B"/>
    <w:rsid w:val="00693B8B"/>
    <w:rsid w:val="00693CD8"/>
    <w:rsid w:val="00693D10"/>
    <w:rsid w:val="00693E48"/>
    <w:rsid w:val="006941A7"/>
    <w:rsid w:val="006947F4"/>
    <w:rsid w:val="00694830"/>
    <w:rsid w:val="00694C57"/>
    <w:rsid w:val="00694D2D"/>
    <w:rsid w:val="00694F4D"/>
    <w:rsid w:val="00694F4F"/>
    <w:rsid w:val="006951D1"/>
    <w:rsid w:val="006955CD"/>
    <w:rsid w:val="006958A1"/>
    <w:rsid w:val="0069617B"/>
    <w:rsid w:val="0069648B"/>
    <w:rsid w:val="006968D2"/>
    <w:rsid w:val="00696D63"/>
    <w:rsid w:val="00696ED4"/>
    <w:rsid w:val="006971AA"/>
    <w:rsid w:val="006979D6"/>
    <w:rsid w:val="00697FCF"/>
    <w:rsid w:val="006A04D0"/>
    <w:rsid w:val="006A04EC"/>
    <w:rsid w:val="006A0527"/>
    <w:rsid w:val="006A0A43"/>
    <w:rsid w:val="006A0BD0"/>
    <w:rsid w:val="006A0D07"/>
    <w:rsid w:val="006A0F9A"/>
    <w:rsid w:val="006A12C8"/>
    <w:rsid w:val="006A1477"/>
    <w:rsid w:val="006A168C"/>
    <w:rsid w:val="006A1AF7"/>
    <w:rsid w:val="006A1D66"/>
    <w:rsid w:val="006A2193"/>
    <w:rsid w:val="006A26AB"/>
    <w:rsid w:val="006A26F0"/>
    <w:rsid w:val="006A38EF"/>
    <w:rsid w:val="006A4EA8"/>
    <w:rsid w:val="006A506D"/>
    <w:rsid w:val="006A50F4"/>
    <w:rsid w:val="006A5363"/>
    <w:rsid w:val="006A5F51"/>
    <w:rsid w:val="006A60D8"/>
    <w:rsid w:val="006A69D4"/>
    <w:rsid w:val="006A6CCB"/>
    <w:rsid w:val="006A7512"/>
    <w:rsid w:val="006A7B7E"/>
    <w:rsid w:val="006A7FA1"/>
    <w:rsid w:val="006B0039"/>
    <w:rsid w:val="006B0895"/>
    <w:rsid w:val="006B0A5C"/>
    <w:rsid w:val="006B0C42"/>
    <w:rsid w:val="006B0FBA"/>
    <w:rsid w:val="006B164E"/>
    <w:rsid w:val="006B16E6"/>
    <w:rsid w:val="006B1B37"/>
    <w:rsid w:val="006B1D65"/>
    <w:rsid w:val="006B1DD1"/>
    <w:rsid w:val="006B1F63"/>
    <w:rsid w:val="006B223A"/>
    <w:rsid w:val="006B2322"/>
    <w:rsid w:val="006B2481"/>
    <w:rsid w:val="006B3074"/>
    <w:rsid w:val="006B31CF"/>
    <w:rsid w:val="006B3487"/>
    <w:rsid w:val="006B3D63"/>
    <w:rsid w:val="006B4280"/>
    <w:rsid w:val="006B437E"/>
    <w:rsid w:val="006B48A2"/>
    <w:rsid w:val="006B52FE"/>
    <w:rsid w:val="006B5CA4"/>
    <w:rsid w:val="006B628E"/>
    <w:rsid w:val="006B6A7F"/>
    <w:rsid w:val="006B6AFC"/>
    <w:rsid w:val="006B701E"/>
    <w:rsid w:val="006B75E6"/>
    <w:rsid w:val="006B774C"/>
    <w:rsid w:val="006B7FDB"/>
    <w:rsid w:val="006C01F8"/>
    <w:rsid w:val="006C0DA7"/>
    <w:rsid w:val="006C0E50"/>
    <w:rsid w:val="006C0EF8"/>
    <w:rsid w:val="006C1177"/>
    <w:rsid w:val="006C162E"/>
    <w:rsid w:val="006C24BD"/>
    <w:rsid w:val="006C2ABF"/>
    <w:rsid w:val="006C33F0"/>
    <w:rsid w:val="006C3826"/>
    <w:rsid w:val="006C3C2B"/>
    <w:rsid w:val="006C45D0"/>
    <w:rsid w:val="006C48A8"/>
    <w:rsid w:val="006C4DBB"/>
    <w:rsid w:val="006C4E69"/>
    <w:rsid w:val="006C58F3"/>
    <w:rsid w:val="006C5E91"/>
    <w:rsid w:val="006C61A0"/>
    <w:rsid w:val="006C6281"/>
    <w:rsid w:val="006C66A3"/>
    <w:rsid w:val="006C6880"/>
    <w:rsid w:val="006C7126"/>
    <w:rsid w:val="006C7136"/>
    <w:rsid w:val="006C7293"/>
    <w:rsid w:val="006D07EA"/>
    <w:rsid w:val="006D0CBC"/>
    <w:rsid w:val="006D0F1C"/>
    <w:rsid w:val="006D11A8"/>
    <w:rsid w:val="006D14AE"/>
    <w:rsid w:val="006D1B44"/>
    <w:rsid w:val="006D1D1E"/>
    <w:rsid w:val="006D1E58"/>
    <w:rsid w:val="006D26B6"/>
    <w:rsid w:val="006D277A"/>
    <w:rsid w:val="006D2A65"/>
    <w:rsid w:val="006D2D7B"/>
    <w:rsid w:val="006D3364"/>
    <w:rsid w:val="006D3BB3"/>
    <w:rsid w:val="006D473D"/>
    <w:rsid w:val="006D5818"/>
    <w:rsid w:val="006D583F"/>
    <w:rsid w:val="006D5A94"/>
    <w:rsid w:val="006D5D8D"/>
    <w:rsid w:val="006D6199"/>
    <w:rsid w:val="006D620C"/>
    <w:rsid w:val="006D647C"/>
    <w:rsid w:val="006D6523"/>
    <w:rsid w:val="006D6713"/>
    <w:rsid w:val="006D69C9"/>
    <w:rsid w:val="006D6ABC"/>
    <w:rsid w:val="006D70EA"/>
    <w:rsid w:val="006D7B7A"/>
    <w:rsid w:val="006E0814"/>
    <w:rsid w:val="006E0977"/>
    <w:rsid w:val="006E0E38"/>
    <w:rsid w:val="006E0EA7"/>
    <w:rsid w:val="006E0F9A"/>
    <w:rsid w:val="006E1294"/>
    <w:rsid w:val="006E12A9"/>
    <w:rsid w:val="006E19F1"/>
    <w:rsid w:val="006E1B81"/>
    <w:rsid w:val="006E2058"/>
    <w:rsid w:val="006E2486"/>
    <w:rsid w:val="006E2DB2"/>
    <w:rsid w:val="006E30CE"/>
    <w:rsid w:val="006E3306"/>
    <w:rsid w:val="006E36AD"/>
    <w:rsid w:val="006E3823"/>
    <w:rsid w:val="006E4536"/>
    <w:rsid w:val="006E4588"/>
    <w:rsid w:val="006E4990"/>
    <w:rsid w:val="006E4FEB"/>
    <w:rsid w:val="006E50DF"/>
    <w:rsid w:val="006E5CAB"/>
    <w:rsid w:val="006E5DAF"/>
    <w:rsid w:val="006E742A"/>
    <w:rsid w:val="006E79F5"/>
    <w:rsid w:val="006E7CD4"/>
    <w:rsid w:val="006E7F03"/>
    <w:rsid w:val="006E7F50"/>
    <w:rsid w:val="006F05C3"/>
    <w:rsid w:val="006F0759"/>
    <w:rsid w:val="006F0779"/>
    <w:rsid w:val="006F12CD"/>
    <w:rsid w:val="006F12DE"/>
    <w:rsid w:val="006F1D77"/>
    <w:rsid w:val="006F1F60"/>
    <w:rsid w:val="006F2A55"/>
    <w:rsid w:val="006F2A83"/>
    <w:rsid w:val="006F3342"/>
    <w:rsid w:val="006F3A02"/>
    <w:rsid w:val="006F3F75"/>
    <w:rsid w:val="006F585C"/>
    <w:rsid w:val="006F5937"/>
    <w:rsid w:val="006F5CAF"/>
    <w:rsid w:val="006F5E63"/>
    <w:rsid w:val="006F6304"/>
    <w:rsid w:val="006F6404"/>
    <w:rsid w:val="006F6434"/>
    <w:rsid w:val="006F658C"/>
    <w:rsid w:val="006F66B9"/>
    <w:rsid w:val="006F6792"/>
    <w:rsid w:val="006F6814"/>
    <w:rsid w:val="006F6EA6"/>
    <w:rsid w:val="006F77D0"/>
    <w:rsid w:val="006F7948"/>
    <w:rsid w:val="006F7A2E"/>
    <w:rsid w:val="0070019A"/>
    <w:rsid w:val="0070027C"/>
    <w:rsid w:val="007003D2"/>
    <w:rsid w:val="00700579"/>
    <w:rsid w:val="007009C8"/>
    <w:rsid w:val="00700AEA"/>
    <w:rsid w:val="00700BBF"/>
    <w:rsid w:val="00700FA7"/>
    <w:rsid w:val="00701725"/>
    <w:rsid w:val="007017B1"/>
    <w:rsid w:val="0070181C"/>
    <w:rsid w:val="00701F3C"/>
    <w:rsid w:val="0070212F"/>
    <w:rsid w:val="007021DE"/>
    <w:rsid w:val="0070251C"/>
    <w:rsid w:val="007037E9"/>
    <w:rsid w:val="00703B19"/>
    <w:rsid w:val="007040C5"/>
    <w:rsid w:val="00704211"/>
    <w:rsid w:val="00704280"/>
    <w:rsid w:val="007045BA"/>
    <w:rsid w:val="0070484B"/>
    <w:rsid w:val="00704A0C"/>
    <w:rsid w:val="0070521A"/>
    <w:rsid w:val="0070537E"/>
    <w:rsid w:val="007056EC"/>
    <w:rsid w:val="007057AE"/>
    <w:rsid w:val="007057E6"/>
    <w:rsid w:val="00705AB7"/>
    <w:rsid w:val="007061EB"/>
    <w:rsid w:val="00706243"/>
    <w:rsid w:val="0070633D"/>
    <w:rsid w:val="00706849"/>
    <w:rsid w:val="00706EC7"/>
    <w:rsid w:val="007070F2"/>
    <w:rsid w:val="007072CB"/>
    <w:rsid w:val="00707793"/>
    <w:rsid w:val="00710597"/>
    <w:rsid w:val="007109F2"/>
    <w:rsid w:val="00710C85"/>
    <w:rsid w:val="00711057"/>
    <w:rsid w:val="0071134D"/>
    <w:rsid w:val="00711F2B"/>
    <w:rsid w:val="0071267F"/>
    <w:rsid w:val="00712922"/>
    <w:rsid w:val="00712B0A"/>
    <w:rsid w:val="00712E5E"/>
    <w:rsid w:val="007130F4"/>
    <w:rsid w:val="007131C3"/>
    <w:rsid w:val="0071336A"/>
    <w:rsid w:val="00713471"/>
    <w:rsid w:val="00713D31"/>
    <w:rsid w:val="00714399"/>
    <w:rsid w:val="00714A42"/>
    <w:rsid w:val="00714ADE"/>
    <w:rsid w:val="00714C20"/>
    <w:rsid w:val="0071530F"/>
    <w:rsid w:val="007154AD"/>
    <w:rsid w:val="007156D3"/>
    <w:rsid w:val="00715C85"/>
    <w:rsid w:val="00716080"/>
    <w:rsid w:val="00716614"/>
    <w:rsid w:val="0071721C"/>
    <w:rsid w:val="007172D6"/>
    <w:rsid w:val="00720675"/>
    <w:rsid w:val="00720708"/>
    <w:rsid w:val="00720CB3"/>
    <w:rsid w:val="00720E35"/>
    <w:rsid w:val="00720F65"/>
    <w:rsid w:val="00721360"/>
    <w:rsid w:val="00721A15"/>
    <w:rsid w:val="00721FB5"/>
    <w:rsid w:val="00722694"/>
    <w:rsid w:val="007226EC"/>
    <w:rsid w:val="00722990"/>
    <w:rsid w:val="00722B2D"/>
    <w:rsid w:val="00722EB6"/>
    <w:rsid w:val="0072368D"/>
    <w:rsid w:val="00724845"/>
    <w:rsid w:val="00724C9F"/>
    <w:rsid w:val="00724CDA"/>
    <w:rsid w:val="007251C3"/>
    <w:rsid w:val="00725518"/>
    <w:rsid w:val="0072598D"/>
    <w:rsid w:val="00725ADB"/>
    <w:rsid w:val="00725CA1"/>
    <w:rsid w:val="007264D4"/>
    <w:rsid w:val="00726503"/>
    <w:rsid w:val="00726564"/>
    <w:rsid w:val="00727848"/>
    <w:rsid w:val="007279EB"/>
    <w:rsid w:val="00727BF9"/>
    <w:rsid w:val="00727E26"/>
    <w:rsid w:val="00730213"/>
    <w:rsid w:val="00731902"/>
    <w:rsid w:val="00731C1E"/>
    <w:rsid w:val="00731D9B"/>
    <w:rsid w:val="00732BCC"/>
    <w:rsid w:val="00732C56"/>
    <w:rsid w:val="00732C9E"/>
    <w:rsid w:val="00732F89"/>
    <w:rsid w:val="007331A9"/>
    <w:rsid w:val="00733296"/>
    <w:rsid w:val="00733844"/>
    <w:rsid w:val="00733918"/>
    <w:rsid w:val="007341BF"/>
    <w:rsid w:val="00734214"/>
    <w:rsid w:val="007348E1"/>
    <w:rsid w:val="00735BE8"/>
    <w:rsid w:val="00735F21"/>
    <w:rsid w:val="007362F7"/>
    <w:rsid w:val="007364CC"/>
    <w:rsid w:val="00736556"/>
    <w:rsid w:val="00736590"/>
    <w:rsid w:val="00736B5B"/>
    <w:rsid w:val="0073721E"/>
    <w:rsid w:val="00737A0D"/>
    <w:rsid w:val="00737B8F"/>
    <w:rsid w:val="007400FE"/>
    <w:rsid w:val="00740410"/>
    <w:rsid w:val="00740550"/>
    <w:rsid w:val="00740BD9"/>
    <w:rsid w:val="00740FDA"/>
    <w:rsid w:val="00741164"/>
    <w:rsid w:val="00741289"/>
    <w:rsid w:val="00741945"/>
    <w:rsid w:val="00741AB0"/>
    <w:rsid w:val="0074263A"/>
    <w:rsid w:val="00742972"/>
    <w:rsid w:val="00743C2A"/>
    <w:rsid w:val="00744087"/>
    <w:rsid w:val="0074411A"/>
    <w:rsid w:val="007445E5"/>
    <w:rsid w:val="00744871"/>
    <w:rsid w:val="00744873"/>
    <w:rsid w:val="00744E33"/>
    <w:rsid w:val="0074522B"/>
    <w:rsid w:val="007452AF"/>
    <w:rsid w:val="00745357"/>
    <w:rsid w:val="00745659"/>
    <w:rsid w:val="007458C1"/>
    <w:rsid w:val="00745E5C"/>
    <w:rsid w:val="007465EA"/>
    <w:rsid w:val="007466CB"/>
    <w:rsid w:val="00746C84"/>
    <w:rsid w:val="00746E59"/>
    <w:rsid w:val="007473E9"/>
    <w:rsid w:val="00747F1B"/>
    <w:rsid w:val="0075041F"/>
    <w:rsid w:val="007504FD"/>
    <w:rsid w:val="00750791"/>
    <w:rsid w:val="00750A7F"/>
    <w:rsid w:val="00750A9A"/>
    <w:rsid w:val="0075144A"/>
    <w:rsid w:val="00751DBE"/>
    <w:rsid w:val="00751E6D"/>
    <w:rsid w:val="0075299E"/>
    <w:rsid w:val="00752A5F"/>
    <w:rsid w:val="00752C77"/>
    <w:rsid w:val="00752E84"/>
    <w:rsid w:val="00752EB2"/>
    <w:rsid w:val="00752F6A"/>
    <w:rsid w:val="0075313C"/>
    <w:rsid w:val="00753214"/>
    <w:rsid w:val="007532F9"/>
    <w:rsid w:val="00753B67"/>
    <w:rsid w:val="00754030"/>
    <w:rsid w:val="00754299"/>
    <w:rsid w:val="00754985"/>
    <w:rsid w:val="00754C3E"/>
    <w:rsid w:val="00755DF0"/>
    <w:rsid w:val="00755F16"/>
    <w:rsid w:val="0075612E"/>
    <w:rsid w:val="007568B9"/>
    <w:rsid w:val="00756F14"/>
    <w:rsid w:val="007572CE"/>
    <w:rsid w:val="00757384"/>
    <w:rsid w:val="0075754E"/>
    <w:rsid w:val="00757F90"/>
    <w:rsid w:val="00757FA4"/>
    <w:rsid w:val="00757FB5"/>
    <w:rsid w:val="0076076E"/>
    <w:rsid w:val="0076125E"/>
    <w:rsid w:val="00761CEF"/>
    <w:rsid w:val="0076232E"/>
    <w:rsid w:val="00762452"/>
    <w:rsid w:val="00762618"/>
    <w:rsid w:val="00762855"/>
    <w:rsid w:val="00762BF3"/>
    <w:rsid w:val="00762C5C"/>
    <w:rsid w:val="00763609"/>
    <w:rsid w:val="007638F4"/>
    <w:rsid w:val="00763973"/>
    <w:rsid w:val="00763F45"/>
    <w:rsid w:val="007651BD"/>
    <w:rsid w:val="007653DD"/>
    <w:rsid w:val="0076542D"/>
    <w:rsid w:val="007658DB"/>
    <w:rsid w:val="00765E49"/>
    <w:rsid w:val="007667DD"/>
    <w:rsid w:val="007667FC"/>
    <w:rsid w:val="00766810"/>
    <w:rsid w:val="007669A0"/>
    <w:rsid w:val="00766BCF"/>
    <w:rsid w:val="00766BF4"/>
    <w:rsid w:val="00766DD2"/>
    <w:rsid w:val="00766FC4"/>
    <w:rsid w:val="00766FDF"/>
    <w:rsid w:val="00767844"/>
    <w:rsid w:val="00767ACB"/>
    <w:rsid w:val="00767C34"/>
    <w:rsid w:val="00767D32"/>
    <w:rsid w:val="007705A6"/>
    <w:rsid w:val="007708C4"/>
    <w:rsid w:val="0077092D"/>
    <w:rsid w:val="00770953"/>
    <w:rsid w:val="00770CF3"/>
    <w:rsid w:val="00770EB2"/>
    <w:rsid w:val="007710A5"/>
    <w:rsid w:val="007710CD"/>
    <w:rsid w:val="00771292"/>
    <w:rsid w:val="0077157D"/>
    <w:rsid w:val="0077162E"/>
    <w:rsid w:val="007719F5"/>
    <w:rsid w:val="00771A18"/>
    <w:rsid w:val="00772202"/>
    <w:rsid w:val="00772479"/>
    <w:rsid w:val="007729EC"/>
    <w:rsid w:val="007737A0"/>
    <w:rsid w:val="00773C55"/>
    <w:rsid w:val="00773E7F"/>
    <w:rsid w:val="0077441D"/>
    <w:rsid w:val="00774CB0"/>
    <w:rsid w:val="00774ED6"/>
    <w:rsid w:val="007750D1"/>
    <w:rsid w:val="00776506"/>
    <w:rsid w:val="00776E9F"/>
    <w:rsid w:val="00777318"/>
    <w:rsid w:val="00777ADD"/>
    <w:rsid w:val="00777AE9"/>
    <w:rsid w:val="0078011C"/>
    <w:rsid w:val="0078098C"/>
    <w:rsid w:val="00780C20"/>
    <w:rsid w:val="00781DD8"/>
    <w:rsid w:val="00782242"/>
    <w:rsid w:val="0078267A"/>
    <w:rsid w:val="00782A96"/>
    <w:rsid w:val="00783064"/>
    <w:rsid w:val="00783AAE"/>
    <w:rsid w:val="00783B7C"/>
    <w:rsid w:val="00783D92"/>
    <w:rsid w:val="0078423D"/>
    <w:rsid w:val="00784C1B"/>
    <w:rsid w:val="00784D7F"/>
    <w:rsid w:val="0078531B"/>
    <w:rsid w:val="00785830"/>
    <w:rsid w:val="00786112"/>
    <w:rsid w:val="0078628E"/>
    <w:rsid w:val="00786A1A"/>
    <w:rsid w:val="00786C67"/>
    <w:rsid w:val="00786FEE"/>
    <w:rsid w:val="007879CA"/>
    <w:rsid w:val="00787A5C"/>
    <w:rsid w:val="00790236"/>
    <w:rsid w:val="00790624"/>
    <w:rsid w:val="00790C19"/>
    <w:rsid w:val="007917AB"/>
    <w:rsid w:val="00792087"/>
    <w:rsid w:val="007922D1"/>
    <w:rsid w:val="0079294F"/>
    <w:rsid w:val="00792C36"/>
    <w:rsid w:val="00792CD4"/>
    <w:rsid w:val="00793711"/>
    <w:rsid w:val="007939F2"/>
    <w:rsid w:val="00793C48"/>
    <w:rsid w:val="00793E5A"/>
    <w:rsid w:val="00794158"/>
    <w:rsid w:val="007942BC"/>
    <w:rsid w:val="00794531"/>
    <w:rsid w:val="00794885"/>
    <w:rsid w:val="007951C2"/>
    <w:rsid w:val="00795C83"/>
    <w:rsid w:val="00795C92"/>
    <w:rsid w:val="00795DC9"/>
    <w:rsid w:val="00795E21"/>
    <w:rsid w:val="00796253"/>
    <w:rsid w:val="00796BB6"/>
    <w:rsid w:val="007A038E"/>
    <w:rsid w:val="007A0785"/>
    <w:rsid w:val="007A080A"/>
    <w:rsid w:val="007A0BFC"/>
    <w:rsid w:val="007A0D00"/>
    <w:rsid w:val="007A0F8A"/>
    <w:rsid w:val="007A19D6"/>
    <w:rsid w:val="007A1BCE"/>
    <w:rsid w:val="007A1DD3"/>
    <w:rsid w:val="007A255A"/>
    <w:rsid w:val="007A2BF4"/>
    <w:rsid w:val="007A2C29"/>
    <w:rsid w:val="007A325B"/>
    <w:rsid w:val="007A33D7"/>
    <w:rsid w:val="007A3F5C"/>
    <w:rsid w:val="007A4641"/>
    <w:rsid w:val="007A4BF4"/>
    <w:rsid w:val="007A4E2C"/>
    <w:rsid w:val="007A4FF2"/>
    <w:rsid w:val="007A579C"/>
    <w:rsid w:val="007A58CF"/>
    <w:rsid w:val="007A597C"/>
    <w:rsid w:val="007A5AFB"/>
    <w:rsid w:val="007A5C62"/>
    <w:rsid w:val="007A662B"/>
    <w:rsid w:val="007A669E"/>
    <w:rsid w:val="007A692C"/>
    <w:rsid w:val="007A6B44"/>
    <w:rsid w:val="007A70CD"/>
    <w:rsid w:val="007A73A8"/>
    <w:rsid w:val="007A743C"/>
    <w:rsid w:val="007A7689"/>
    <w:rsid w:val="007A7986"/>
    <w:rsid w:val="007B012C"/>
    <w:rsid w:val="007B04AB"/>
    <w:rsid w:val="007B0E91"/>
    <w:rsid w:val="007B101F"/>
    <w:rsid w:val="007B1173"/>
    <w:rsid w:val="007B133B"/>
    <w:rsid w:val="007B19E7"/>
    <w:rsid w:val="007B1C99"/>
    <w:rsid w:val="007B21BF"/>
    <w:rsid w:val="007B230C"/>
    <w:rsid w:val="007B2F2F"/>
    <w:rsid w:val="007B3043"/>
    <w:rsid w:val="007B3624"/>
    <w:rsid w:val="007B4F82"/>
    <w:rsid w:val="007B539C"/>
    <w:rsid w:val="007B5575"/>
    <w:rsid w:val="007B5701"/>
    <w:rsid w:val="007B5E6D"/>
    <w:rsid w:val="007B627F"/>
    <w:rsid w:val="007B649E"/>
    <w:rsid w:val="007B6BF9"/>
    <w:rsid w:val="007B6E0F"/>
    <w:rsid w:val="007B7693"/>
    <w:rsid w:val="007B776F"/>
    <w:rsid w:val="007C03F4"/>
    <w:rsid w:val="007C040A"/>
    <w:rsid w:val="007C0C21"/>
    <w:rsid w:val="007C0CBB"/>
    <w:rsid w:val="007C1129"/>
    <w:rsid w:val="007C122D"/>
    <w:rsid w:val="007C13EB"/>
    <w:rsid w:val="007C1818"/>
    <w:rsid w:val="007C1A05"/>
    <w:rsid w:val="007C1A3B"/>
    <w:rsid w:val="007C1CAB"/>
    <w:rsid w:val="007C1DD6"/>
    <w:rsid w:val="007C2B5A"/>
    <w:rsid w:val="007C2B65"/>
    <w:rsid w:val="007C2CA6"/>
    <w:rsid w:val="007C2CB8"/>
    <w:rsid w:val="007C2F9C"/>
    <w:rsid w:val="007C3266"/>
    <w:rsid w:val="007C3948"/>
    <w:rsid w:val="007C3A50"/>
    <w:rsid w:val="007C3A66"/>
    <w:rsid w:val="007C3AD4"/>
    <w:rsid w:val="007C4000"/>
    <w:rsid w:val="007C46B5"/>
    <w:rsid w:val="007C46DC"/>
    <w:rsid w:val="007C48ED"/>
    <w:rsid w:val="007C4C30"/>
    <w:rsid w:val="007C503A"/>
    <w:rsid w:val="007C56D4"/>
    <w:rsid w:val="007C572E"/>
    <w:rsid w:val="007C5871"/>
    <w:rsid w:val="007C5D5E"/>
    <w:rsid w:val="007C7E80"/>
    <w:rsid w:val="007D05D8"/>
    <w:rsid w:val="007D0725"/>
    <w:rsid w:val="007D145F"/>
    <w:rsid w:val="007D14E9"/>
    <w:rsid w:val="007D1650"/>
    <w:rsid w:val="007D2A63"/>
    <w:rsid w:val="007D2F90"/>
    <w:rsid w:val="007D4A0C"/>
    <w:rsid w:val="007D4D96"/>
    <w:rsid w:val="007D4EEF"/>
    <w:rsid w:val="007D50EA"/>
    <w:rsid w:val="007D51DB"/>
    <w:rsid w:val="007D65A0"/>
    <w:rsid w:val="007D682C"/>
    <w:rsid w:val="007D7449"/>
    <w:rsid w:val="007D7465"/>
    <w:rsid w:val="007D77CF"/>
    <w:rsid w:val="007D7CA6"/>
    <w:rsid w:val="007D7CF4"/>
    <w:rsid w:val="007D7FAF"/>
    <w:rsid w:val="007E002A"/>
    <w:rsid w:val="007E01C1"/>
    <w:rsid w:val="007E044C"/>
    <w:rsid w:val="007E0455"/>
    <w:rsid w:val="007E065B"/>
    <w:rsid w:val="007E0670"/>
    <w:rsid w:val="007E11F0"/>
    <w:rsid w:val="007E124E"/>
    <w:rsid w:val="007E20C7"/>
    <w:rsid w:val="007E26DE"/>
    <w:rsid w:val="007E28B0"/>
    <w:rsid w:val="007E2D77"/>
    <w:rsid w:val="007E2DC1"/>
    <w:rsid w:val="007E2E4D"/>
    <w:rsid w:val="007E30F1"/>
    <w:rsid w:val="007E36FA"/>
    <w:rsid w:val="007E3C01"/>
    <w:rsid w:val="007E3EAF"/>
    <w:rsid w:val="007E40E3"/>
    <w:rsid w:val="007E4611"/>
    <w:rsid w:val="007E4E00"/>
    <w:rsid w:val="007E5419"/>
    <w:rsid w:val="007E5AD2"/>
    <w:rsid w:val="007E6144"/>
    <w:rsid w:val="007E61AD"/>
    <w:rsid w:val="007E6521"/>
    <w:rsid w:val="007E6F71"/>
    <w:rsid w:val="007E7014"/>
    <w:rsid w:val="007E7DE6"/>
    <w:rsid w:val="007F0186"/>
    <w:rsid w:val="007F02A0"/>
    <w:rsid w:val="007F0B02"/>
    <w:rsid w:val="007F0B45"/>
    <w:rsid w:val="007F0C02"/>
    <w:rsid w:val="007F0F3B"/>
    <w:rsid w:val="007F1742"/>
    <w:rsid w:val="007F197B"/>
    <w:rsid w:val="007F19B5"/>
    <w:rsid w:val="007F1F17"/>
    <w:rsid w:val="007F235F"/>
    <w:rsid w:val="007F28BF"/>
    <w:rsid w:val="007F314C"/>
    <w:rsid w:val="007F35AA"/>
    <w:rsid w:val="007F3D7C"/>
    <w:rsid w:val="007F4367"/>
    <w:rsid w:val="007F4376"/>
    <w:rsid w:val="007F44AF"/>
    <w:rsid w:val="007F47A0"/>
    <w:rsid w:val="007F5B14"/>
    <w:rsid w:val="007F6131"/>
    <w:rsid w:val="007F6243"/>
    <w:rsid w:val="007F64F4"/>
    <w:rsid w:val="007F6864"/>
    <w:rsid w:val="007F688C"/>
    <w:rsid w:val="007F6CC2"/>
    <w:rsid w:val="007F6F04"/>
    <w:rsid w:val="007F721C"/>
    <w:rsid w:val="007F7D85"/>
    <w:rsid w:val="00800EAE"/>
    <w:rsid w:val="00800F1E"/>
    <w:rsid w:val="008015D5"/>
    <w:rsid w:val="00801750"/>
    <w:rsid w:val="00801933"/>
    <w:rsid w:val="008020FF"/>
    <w:rsid w:val="00802643"/>
    <w:rsid w:val="00802C86"/>
    <w:rsid w:val="008031B7"/>
    <w:rsid w:val="00803390"/>
    <w:rsid w:val="00803BF1"/>
    <w:rsid w:val="00803CAB"/>
    <w:rsid w:val="00803E22"/>
    <w:rsid w:val="00803EC4"/>
    <w:rsid w:val="00803F6D"/>
    <w:rsid w:val="0080418E"/>
    <w:rsid w:val="0080561D"/>
    <w:rsid w:val="00805CB5"/>
    <w:rsid w:val="00805DD7"/>
    <w:rsid w:val="00805ECF"/>
    <w:rsid w:val="0080611D"/>
    <w:rsid w:val="008062C0"/>
    <w:rsid w:val="00806350"/>
    <w:rsid w:val="008064EA"/>
    <w:rsid w:val="008065F4"/>
    <w:rsid w:val="008104E5"/>
    <w:rsid w:val="00810919"/>
    <w:rsid w:val="008111E0"/>
    <w:rsid w:val="00811218"/>
    <w:rsid w:val="0081135C"/>
    <w:rsid w:val="00811454"/>
    <w:rsid w:val="00811ACE"/>
    <w:rsid w:val="00811CD3"/>
    <w:rsid w:val="00812A66"/>
    <w:rsid w:val="00813AC7"/>
    <w:rsid w:val="00814455"/>
    <w:rsid w:val="00814641"/>
    <w:rsid w:val="008147F4"/>
    <w:rsid w:val="008147F6"/>
    <w:rsid w:val="00814838"/>
    <w:rsid w:val="00814BD4"/>
    <w:rsid w:val="00814DCA"/>
    <w:rsid w:val="00814F08"/>
    <w:rsid w:val="00815109"/>
    <w:rsid w:val="0081596C"/>
    <w:rsid w:val="00815A67"/>
    <w:rsid w:val="008160DF"/>
    <w:rsid w:val="008160FA"/>
    <w:rsid w:val="00816BB6"/>
    <w:rsid w:val="0081727F"/>
    <w:rsid w:val="008177B6"/>
    <w:rsid w:val="00817F6F"/>
    <w:rsid w:val="0082045E"/>
    <w:rsid w:val="00820999"/>
    <w:rsid w:val="00820DCA"/>
    <w:rsid w:val="00821307"/>
    <w:rsid w:val="0082130B"/>
    <w:rsid w:val="00821796"/>
    <w:rsid w:val="0082181E"/>
    <w:rsid w:val="008224B1"/>
    <w:rsid w:val="00822527"/>
    <w:rsid w:val="0082269F"/>
    <w:rsid w:val="00822800"/>
    <w:rsid w:val="00822E2F"/>
    <w:rsid w:val="00823623"/>
    <w:rsid w:val="00824039"/>
    <w:rsid w:val="0082472E"/>
    <w:rsid w:val="00824756"/>
    <w:rsid w:val="00825245"/>
    <w:rsid w:val="00825354"/>
    <w:rsid w:val="0082701E"/>
    <w:rsid w:val="008272A5"/>
    <w:rsid w:val="00827523"/>
    <w:rsid w:val="00827758"/>
    <w:rsid w:val="00827984"/>
    <w:rsid w:val="00827F49"/>
    <w:rsid w:val="008306A8"/>
    <w:rsid w:val="00830707"/>
    <w:rsid w:val="00830FA6"/>
    <w:rsid w:val="00831056"/>
    <w:rsid w:val="00831C04"/>
    <w:rsid w:val="0083216A"/>
    <w:rsid w:val="008327CC"/>
    <w:rsid w:val="008333D1"/>
    <w:rsid w:val="00833A02"/>
    <w:rsid w:val="00833CC5"/>
    <w:rsid w:val="00833DA2"/>
    <w:rsid w:val="00834002"/>
    <w:rsid w:val="00834D7B"/>
    <w:rsid w:val="008350E9"/>
    <w:rsid w:val="0083561D"/>
    <w:rsid w:val="0083571B"/>
    <w:rsid w:val="00835BEC"/>
    <w:rsid w:val="00835CAB"/>
    <w:rsid w:val="008361ED"/>
    <w:rsid w:val="00836763"/>
    <w:rsid w:val="0083720B"/>
    <w:rsid w:val="008377CE"/>
    <w:rsid w:val="00837A20"/>
    <w:rsid w:val="0084065E"/>
    <w:rsid w:val="008408A4"/>
    <w:rsid w:val="008409E2"/>
    <w:rsid w:val="00840D86"/>
    <w:rsid w:val="008410FD"/>
    <w:rsid w:val="008415AF"/>
    <w:rsid w:val="00842116"/>
    <w:rsid w:val="0084224C"/>
    <w:rsid w:val="00842280"/>
    <w:rsid w:val="0084265F"/>
    <w:rsid w:val="008426D2"/>
    <w:rsid w:val="0084273D"/>
    <w:rsid w:val="00842798"/>
    <w:rsid w:val="00843755"/>
    <w:rsid w:val="00843B5B"/>
    <w:rsid w:val="00844301"/>
    <w:rsid w:val="0084455A"/>
    <w:rsid w:val="00844802"/>
    <w:rsid w:val="0084532A"/>
    <w:rsid w:val="008454E7"/>
    <w:rsid w:val="00845C01"/>
    <w:rsid w:val="00845C80"/>
    <w:rsid w:val="00845DDA"/>
    <w:rsid w:val="0084636D"/>
    <w:rsid w:val="008471D8"/>
    <w:rsid w:val="00847A8E"/>
    <w:rsid w:val="00850D6C"/>
    <w:rsid w:val="008510CC"/>
    <w:rsid w:val="0085143E"/>
    <w:rsid w:val="00851570"/>
    <w:rsid w:val="008518D0"/>
    <w:rsid w:val="00851A64"/>
    <w:rsid w:val="00851B87"/>
    <w:rsid w:val="00851DD5"/>
    <w:rsid w:val="00851FEB"/>
    <w:rsid w:val="00852163"/>
    <w:rsid w:val="00852CDE"/>
    <w:rsid w:val="00852E01"/>
    <w:rsid w:val="00853064"/>
    <w:rsid w:val="008532CA"/>
    <w:rsid w:val="0085365B"/>
    <w:rsid w:val="0085371F"/>
    <w:rsid w:val="00853C66"/>
    <w:rsid w:val="00853DE6"/>
    <w:rsid w:val="00854608"/>
    <w:rsid w:val="008548C6"/>
    <w:rsid w:val="00854A70"/>
    <w:rsid w:val="008557E5"/>
    <w:rsid w:val="00855A8A"/>
    <w:rsid w:val="00856601"/>
    <w:rsid w:val="00856E8A"/>
    <w:rsid w:val="008570F1"/>
    <w:rsid w:val="008575BC"/>
    <w:rsid w:val="0085761B"/>
    <w:rsid w:val="0085779A"/>
    <w:rsid w:val="00857ECD"/>
    <w:rsid w:val="00857FF8"/>
    <w:rsid w:val="00860339"/>
    <w:rsid w:val="008604C3"/>
    <w:rsid w:val="0086056E"/>
    <w:rsid w:val="0086077D"/>
    <w:rsid w:val="00860EAE"/>
    <w:rsid w:val="00860F2A"/>
    <w:rsid w:val="008618E1"/>
    <w:rsid w:val="00862211"/>
    <w:rsid w:val="00862526"/>
    <w:rsid w:val="00862CC1"/>
    <w:rsid w:val="008636E2"/>
    <w:rsid w:val="00863D7F"/>
    <w:rsid w:val="008640BC"/>
    <w:rsid w:val="0086464B"/>
    <w:rsid w:val="008647FF"/>
    <w:rsid w:val="00864966"/>
    <w:rsid w:val="00864D2F"/>
    <w:rsid w:val="00865221"/>
    <w:rsid w:val="00865268"/>
    <w:rsid w:val="00865735"/>
    <w:rsid w:val="008658EC"/>
    <w:rsid w:val="0086593D"/>
    <w:rsid w:val="00865A1B"/>
    <w:rsid w:val="00865A46"/>
    <w:rsid w:val="00866017"/>
    <w:rsid w:val="00866329"/>
    <w:rsid w:val="008664CD"/>
    <w:rsid w:val="008665EA"/>
    <w:rsid w:val="00866F92"/>
    <w:rsid w:val="008670C2"/>
    <w:rsid w:val="008672A8"/>
    <w:rsid w:val="00867806"/>
    <w:rsid w:val="00867FF1"/>
    <w:rsid w:val="0087054E"/>
    <w:rsid w:val="00872150"/>
    <w:rsid w:val="0087239A"/>
    <w:rsid w:val="00872DBE"/>
    <w:rsid w:val="00872F63"/>
    <w:rsid w:val="00873518"/>
    <w:rsid w:val="0087386E"/>
    <w:rsid w:val="008744CF"/>
    <w:rsid w:val="008745B5"/>
    <w:rsid w:val="008747D7"/>
    <w:rsid w:val="00874995"/>
    <w:rsid w:val="00874ED8"/>
    <w:rsid w:val="008751B1"/>
    <w:rsid w:val="008755B9"/>
    <w:rsid w:val="0087568D"/>
    <w:rsid w:val="00875B3B"/>
    <w:rsid w:val="00875D5C"/>
    <w:rsid w:val="00875D8B"/>
    <w:rsid w:val="008763D6"/>
    <w:rsid w:val="00876505"/>
    <w:rsid w:val="00876963"/>
    <w:rsid w:val="00876E5A"/>
    <w:rsid w:val="008774DC"/>
    <w:rsid w:val="00877711"/>
    <w:rsid w:val="00877CE9"/>
    <w:rsid w:val="00880128"/>
    <w:rsid w:val="00880567"/>
    <w:rsid w:val="0088056E"/>
    <w:rsid w:val="00880DE7"/>
    <w:rsid w:val="00880F68"/>
    <w:rsid w:val="008819B8"/>
    <w:rsid w:val="00881AFF"/>
    <w:rsid w:val="0088275E"/>
    <w:rsid w:val="008829A9"/>
    <w:rsid w:val="00882C1C"/>
    <w:rsid w:val="00882DDE"/>
    <w:rsid w:val="00882F57"/>
    <w:rsid w:val="00882F8F"/>
    <w:rsid w:val="008831DD"/>
    <w:rsid w:val="00883993"/>
    <w:rsid w:val="00883ABA"/>
    <w:rsid w:val="00883B92"/>
    <w:rsid w:val="00883CBB"/>
    <w:rsid w:val="008841AB"/>
    <w:rsid w:val="008841B8"/>
    <w:rsid w:val="00884662"/>
    <w:rsid w:val="00884888"/>
    <w:rsid w:val="00884CFC"/>
    <w:rsid w:val="0088530B"/>
    <w:rsid w:val="008854CE"/>
    <w:rsid w:val="00885686"/>
    <w:rsid w:val="00885E83"/>
    <w:rsid w:val="008863F0"/>
    <w:rsid w:val="00886808"/>
    <w:rsid w:val="00886898"/>
    <w:rsid w:val="00886C73"/>
    <w:rsid w:val="00886F2F"/>
    <w:rsid w:val="00886FEF"/>
    <w:rsid w:val="008871D2"/>
    <w:rsid w:val="008876D2"/>
    <w:rsid w:val="00887E3D"/>
    <w:rsid w:val="00890051"/>
    <w:rsid w:val="008900C4"/>
    <w:rsid w:val="0089048F"/>
    <w:rsid w:val="0089052F"/>
    <w:rsid w:val="00890714"/>
    <w:rsid w:val="00890AA3"/>
    <w:rsid w:val="00890BBF"/>
    <w:rsid w:val="00890DBA"/>
    <w:rsid w:val="00890E0E"/>
    <w:rsid w:val="00891B96"/>
    <w:rsid w:val="00891C8D"/>
    <w:rsid w:val="00891E7F"/>
    <w:rsid w:val="00892132"/>
    <w:rsid w:val="008927A4"/>
    <w:rsid w:val="00892817"/>
    <w:rsid w:val="00893374"/>
    <w:rsid w:val="00893D2A"/>
    <w:rsid w:val="00893EF0"/>
    <w:rsid w:val="0089410C"/>
    <w:rsid w:val="008944D8"/>
    <w:rsid w:val="0089458D"/>
    <w:rsid w:val="00894C8F"/>
    <w:rsid w:val="00894D93"/>
    <w:rsid w:val="00894FBC"/>
    <w:rsid w:val="00895712"/>
    <w:rsid w:val="0089596D"/>
    <w:rsid w:val="008960D9"/>
    <w:rsid w:val="00896842"/>
    <w:rsid w:val="00896E0A"/>
    <w:rsid w:val="00896F7A"/>
    <w:rsid w:val="00897219"/>
    <w:rsid w:val="00897481"/>
    <w:rsid w:val="00897C4E"/>
    <w:rsid w:val="00897C78"/>
    <w:rsid w:val="00897D3C"/>
    <w:rsid w:val="00897D53"/>
    <w:rsid w:val="00897D8E"/>
    <w:rsid w:val="00897E47"/>
    <w:rsid w:val="008A02A1"/>
    <w:rsid w:val="008A1594"/>
    <w:rsid w:val="008A1C43"/>
    <w:rsid w:val="008A1C85"/>
    <w:rsid w:val="008A1D4F"/>
    <w:rsid w:val="008A1D5F"/>
    <w:rsid w:val="008A1E84"/>
    <w:rsid w:val="008A2216"/>
    <w:rsid w:val="008A2421"/>
    <w:rsid w:val="008A24A6"/>
    <w:rsid w:val="008A2531"/>
    <w:rsid w:val="008A25F0"/>
    <w:rsid w:val="008A274D"/>
    <w:rsid w:val="008A28C9"/>
    <w:rsid w:val="008A2C9A"/>
    <w:rsid w:val="008A2EF4"/>
    <w:rsid w:val="008A3230"/>
    <w:rsid w:val="008A35C4"/>
    <w:rsid w:val="008A3951"/>
    <w:rsid w:val="008A3BEC"/>
    <w:rsid w:val="008A3DA6"/>
    <w:rsid w:val="008A4356"/>
    <w:rsid w:val="008A49EB"/>
    <w:rsid w:val="008A4A31"/>
    <w:rsid w:val="008A4FBB"/>
    <w:rsid w:val="008A4FEA"/>
    <w:rsid w:val="008A5CF7"/>
    <w:rsid w:val="008A6035"/>
    <w:rsid w:val="008A60B5"/>
    <w:rsid w:val="008A6708"/>
    <w:rsid w:val="008A70C6"/>
    <w:rsid w:val="008A77B5"/>
    <w:rsid w:val="008A7D19"/>
    <w:rsid w:val="008A7ED5"/>
    <w:rsid w:val="008B05A2"/>
    <w:rsid w:val="008B0C3D"/>
    <w:rsid w:val="008B0E3D"/>
    <w:rsid w:val="008B17E5"/>
    <w:rsid w:val="008B18B3"/>
    <w:rsid w:val="008B1E22"/>
    <w:rsid w:val="008B1FAC"/>
    <w:rsid w:val="008B2106"/>
    <w:rsid w:val="008B23B2"/>
    <w:rsid w:val="008B2938"/>
    <w:rsid w:val="008B2CAE"/>
    <w:rsid w:val="008B3112"/>
    <w:rsid w:val="008B3914"/>
    <w:rsid w:val="008B3CF1"/>
    <w:rsid w:val="008B3D3D"/>
    <w:rsid w:val="008B3EAD"/>
    <w:rsid w:val="008B4398"/>
    <w:rsid w:val="008B44C5"/>
    <w:rsid w:val="008B4FA9"/>
    <w:rsid w:val="008B509A"/>
    <w:rsid w:val="008B5B61"/>
    <w:rsid w:val="008B5C11"/>
    <w:rsid w:val="008B5FAE"/>
    <w:rsid w:val="008B633A"/>
    <w:rsid w:val="008B63FD"/>
    <w:rsid w:val="008B6457"/>
    <w:rsid w:val="008B6BC6"/>
    <w:rsid w:val="008B6F9F"/>
    <w:rsid w:val="008B74FE"/>
    <w:rsid w:val="008B7AC4"/>
    <w:rsid w:val="008B7F20"/>
    <w:rsid w:val="008C00E5"/>
    <w:rsid w:val="008C07E1"/>
    <w:rsid w:val="008C0AA7"/>
    <w:rsid w:val="008C0C50"/>
    <w:rsid w:val="008C0FCE"/>
    <w:rsid w:val="008C1251"/>
    <w:rsid w:val="008C127E"/>
    <w:rsid w:val="008C1534"/>
    <w:rsid w:val="008C16D6"/>
    <w:rsid w:val="008C1742"/>
    <w:rsid w:val="008C23CE"/>
    <w:rsid w:val="008C255E"/>
    <w:rsid w:val="008C2B58"/>
    <w:rsid w:val="008C2BC8"/>
    <w:rsid w:val="008C34C9"/>
    <w:rsid w:val="008C38FA"/>
    <w:rsid w:val="008C39F4"/>
    <w:rsid w:val="008C3E69"/>
    <w:rsid w:val="008C3F73"/>
    <w:rsid w:val="008C44C2"/>
    <w:rsid w:val="008C4633"/>
    <w:rsid w:val="008C4B29"/>
    <w:rsid w:val="008C5066"/>
    <w:rsid w:val="008C56C9"/>
    <w:rsid w:val="008C5AD5"/>
    <w:rsid w:val="008C5CD7"/>
    <w:rsid w:val="008C5D1C"/>
    <w:rsid w:val="008C64C4"/>
    <w:rsid w:val="008C660A"/>
    <w:rsid w:val="008C679C"/>
    <w:rsid w:val="008C7247"/>
    <w:rsid w:val="008C73FA"/>
    <w:rsid w:val="008C742C"/>
    <w:rsid w:val="008C748A"/>
    <w:rsid w:val="008C7F58"/>
    <w:rsid w:val="008D0210"/>
    <w:rsid w:val="008D069D"/>
    <w:rsid w:val="008D076C"/>
    <w:rsid w:val="008D0EF2"/>
    <w:rsid w:val="008D1531"/>
    <w:rsid w:val="008D184F"/>
    <w:rsid w:val="008D192D"/>
    <w:rsid w:val="008D1AD1"/>
    <w:rsid w:val="008D1C00"/>
    <w:rsid w:val="008D1CC2"/>
    <w:rsid w:val="008D2008"/>
    <w:rsid w:val="008D24E4"/>
    <w:rsid w:val="008D41BB"/>
    <w:rsid w:val="008D4410"/>
    <w:rsid w:val="008D46B5"/>
    <w:rsid w:val="008D49EA"/>
    <w:rsid w:val="008D4A22"/>
    <w:rsid w:val="008D4FAD"/>
    <w:rsid w:val="008D529C"/>
    <w:rsid w:val="008D559A"/>
    <w:rsid w:val="008D5DD8"/>
    <w:rsid w:val="008D602C"/>
    <w:rsid w:val="008D6116"/>
    <w:rsid w:val="008D6AE7"/>
    <w:rsid w:val="008D6BE6"/>
    <w:rsid w:val="008D6EBD"/>
    <w:rsid w:val="008D777E"/>
    <w:rsid w:val="008D7C47"/>
    <w:rsid w:val="008E0531"/>
    <w:rsid w:val="008E0651"/>
    <w:rsid w:val="008E111B"/>
    <w:rsid w:val="008E11FB"/>
    <w:rsid w:val="008E14EB"/>
    <w:rsid w:val="008E237B"/>
    <w:rsid w:val="008E32A7"/>
    <w:rsid w:val="008E3913"/>
    <w:rsid w:val="008E397B"/>
    <w:rsid w:val="008E4350"/>
    <w:rsid w:val="008E4642"/>
    <w:rsid w:val="008E464F"/>
    <w:rsid w:val="008E4968"/>
    <w:rsid w:val="008E4EDC"/>
    <w:rsid w:val="008E4FB0"/>
    <w:rsid w:val="008E5122"/>
    <w:rsid w:val="008E5347"/>
    <w:rsid w:val="008E5446"/>
    <w:rsid w:val="008E5695"/>
    <w:rsid w:val="008E5862"/>
    <w:rsid w:val="008E5A00"/>
    <w:rsid w:val="008E5BFD"/>
    <w:rsid w:val="008E6985"/>
    <w:rsid w:val="008E6A0B"/>
    <w:rsid w:val="008E6A1F"/>
    <w:rsid w:val="008E6AF1"/>
    <w:rsid w:val="008E6BEB"/>
    <w:rsid w:val="008E6EC5"/>
    <w:rsid w:val="008E765D"/>
    <w:rsid w:val="008E7B10"/>
    <w:rsid w:val="008E7BF3"/>
    <w:rsid w:val="008E7E84"/>
    <w:rsid w:val="008F00E5"/>
    <w:rsid w:val="008F0429"/>
    <w:rsid w:val="008F0C28"/>
    <w:rsid w:val="008F0F79"/>
    <w:rsid w:val="008F16DA"/>
    <w:rsid w:val="008F1742"/>
    <w:rsid w:val="008F181C"/>
    <w:rsid w:val="008F1C7D"/>
    <w:rsid w:val="008F1D5D"/>
    <w:rsid w:val="008F1EA9"/>
    <w:rsid w:val="008F2060"/>
    <w:rsid w:val="008F2189"/>
    <w:rsid w:val="008F2816"/>
    <w:rsid w:val="008F2968"/>
    <w:rsid w:val="008F29C9"/>
    <w:rsid w:val="008F2D8F"/>
    <w:rsid w:val="008F2D9F"/>
    <w:rsid w:val="008F3715"/>
    <w:rsid w:val="008F3771"/>
    <w:rsid w:val="008F3D20"/>
    <w:rsid w:val="008F3F2E"/>
    <w:rsid w:val="008F42C9"/>
    <w:rsid w:val="008F44D4"/>
    <w:rsid w:val="008F471E"/>
    <w:rsid w:val="008F4A5D"/>
    <w:rsid w:val="008F4CA5"/>
    <w:rsid w:val="008F4DAF"/>
    <w:rsid w:val="008F52EC"/>
    <w:rsid w:val="008F611C"/>
    <w:rsid w:val="008F6393"/>
    <w:rsid w:val="008F6DBE"/>
    <w:rsid w:val="008F753B"/>
    <w:rsid w:val="008F7BA1"/>
    <w:rsid w:val="00900D8D"/>
    <w:rsid w:val="0090136F"/>
    <w:rsid w:val="00901650"/>
    <w:rsid w:val="0090165F"/>
    <w:rsid w:val="00902214"/>
    <w:rsid w:val="009022D0"/>
    <w:rsid w:val="0090244F"/>
    <w:rsid w:val="009027C4"/>
    <w:rsid w:val="009030EC"/>
    <w:rsid w:val="0090359C"/>
    <w:rsid w:val="00903C1F"/>
    <w:rsid w:val="00903D6F"/>
    <w:rsid w:val="00904691"/>
    <w:rsid w:val="00904828"/>
    <w:rsid w:val="00904840"/>
    <w:rsid w:val="00904F66"/>
    <w:rsid w:val="009055F4"/>
    <w:rsid w:val="009056FF"/>
    <w:rsid w:val="00905C29"/>
    <w:rsid w:val="009061CB"/>
    <w:rsid w:val="0090676C"/>
    <w:rsid w:val="00907096"/>
    <w:rsid w:val="00907599"/>
    <w:rsid w:val="009078C3"/>
    <w:rsid w:val="009079FC"/>
    <w:rsid w:val="00907CCC"/>
    <w:rsid w:val="00907F94"/>
    <w:rsid w:val="00910BAA"/>
    <w:rsid w:val="00910E53"/>
    <w:rsid w:val="00911245"/>
    <w:rsid w:val="00911595"/>
    <w:rsid w:val="0091165E"/>
    <w:rsid w:val="00912412"/>
    <w:rsid w:val="00912709"/>
    <w:rsid w:val="00912969"/>
    <w:rsid w:val="00912974"/>
    <w:rsid w:val="00912A9B"/>
    <w:rsid w:val="00913098"/>
    <w:rsid w:val="00913363"/>
    <w:rsid w:val="009136F9"/>
    <w:rsid w:val="00913946"/>
    <w:rsid w:val="009139FD"/>
    <w:rsid w:val="00914114"/>
    <w:rsid w:val="00914B3E"/>
    <w:rsid w:val="00914D79"/>
    <w:rsid w:val="0091523E"/>
    <w:rsid w:val="009157C5"/>
    <w:rsid w:val="00915939"/>
    <w:rsid w:val="00915B81"/>
    <w:rsid w:val="00915E93"/>
    <w:rsid w:val="009160F9"/>
    <w:rsid w:val="0091698A"/>
    <w:rsid w:val="00916FD2"/>
    <w:rsid w:val="00917965"/>
    <w:rsid w:val="009179A3"/>
    <w:rsid w:val="00917B33"/>
    <w:rsid w:val="00917D09"/>
    <w:rsid w:val="009205E1"/>
    <w:rsid w:val="00920D77"/>
    <w:rsid w:val="00921782"/>
    <w:rsid w:val="00921D5F"/>
    <w:rsid w:val="00921D72"/>
    <w:rsid w:val="009227E0"/>
    <w:rsid w:val="009229BF"/>
    <w:rsid w:val="00922DB9"/>
    <w:rsid w:val="0092315C"/>
    <w:rsid w:val="009242C1"/>
    <w:rsid w:val="00924404"/>
    <w:rsid w:val="00924563"/>
    <w:rsid w:val="00924A3D"/>
    <w:rsid w:val="00924A52"/>
    <w:rsid w:val="00924BEE"/>
    <w:rsid w:val="00924FBA"/>
    <w:rsid w:val="009251D7"/>
    <w:rsid w:val="00925391"/>
    <w:rsid w:val="009254F0"/>
    <w:rsid w:val="00925B00"/>
    <w:rsid w:val="00925B05"/>
    <w:rsid w:val="009260F2"/>
    <w:rsid w:val="00926488"/>
    <w:rsid w:val="0092655C"/>
    <w:rsid w:val="00926851"/>
    <w:rsid w:val="009269DE"/>
    <w:rsid w:val="00926AA0"/>
    <w:rsid w:val="009270F9"/>
    <w:rsid w:val="00927294"/>
    <w:rsid w:val="009273F7"/>
    <w:rsid w:val="00927553"/>
    <w:rsid w:val="0092789F"/>
    <w:rsid w:val="00927EDD"/>
    <w:rsid w:val="0093024B"/>
    <w:rsid w:val="0093091B"/>
    <w:rsid w:val="00930977"/>
    <w:rsid w:val="00930C28"/>
    <w:rsid w:val="00930D02"/>
    <w:rsid w:val="0093152B"/>
    <w:rsid w:val="00931F47"/>
    <w:rsid w:val="00932550"/>
    <w:rsid w:val="009325B3"/>
    <w:rsid w:val="00932B31"/>
    <w:rsid w:val="00932D3B"/>
    <w:rsid w:val="009331A7"/>
    <w:rsid w:val="009338E3"/>
    <w:rsid w:val="009339D5"/>
    <w:rsid w:val="009341E2"/>
    <w:rsid w:val="009342C7"/>
    <w:rsid w:val="0093441B"/>
    <w:rsid w:val="00934D50"/>
    <w:rsid w:val="009352F8"/>
    <w:rsid w:val="009358A8"/>
    <w:rsid w:val="00935B92"/>
    <w:rsid w:val="00936631"/>
    <w:rsid w:val="00936761"/>
    <w:rsid w:val="0093683E"/>
    <w:rsid w:val="00936A34"/>
    <w:rsid w:val="00936BD8"/>
    <w:rsid w:val="00936E1B"/>
    <w:rsid w:val="00936E45"/>
    <w:rsid w:val="009376D6"/>
    <w:rsid w:val="00937875"/>
    <w:rsid w:val="0093799C"/>
    <w:rsid w:val="00937B88"/>
    <w:rsid w:val="00940A35"/>
    <w:rsid w:val="00940C18"/>
    <w:rsid w:val="00940F8E"/>
    <w:rsid w:val="00941F7F"/>
    <w:rsid w:val="00942532"/>
    <w:rsid w:val="00944BE1"/>
    <w:rsid w:val="00944F54"/>
    <w:rsid w:val="009456CC"/>
    <w:rsid w:val="00945C5B"/>
    <w:rsid w:val="00945DFA"/>
    <w:rsid w:val="00945FB7"/>
    <w:rsid w:val="00945FC6"/>
    <w:rsid w:val="0094675F"/>
    <w:rsid w:val="00946868"/>
    <w:rsid w:val="009473D5"/>
    <w:rsid w:val="00947754"/>
    <w:rsid w:val="00950769"/>
    <w:rsid w:val="009507B3"/>
    <w:rsid w:val="0095082A"/>
    <w:rsid w:val="00950CB0"/>
    <w:rsid w:val="00950DAC"/>
    <w:rsid w:val="00951191"/>
    <w:rsid w:val="0095127C"/>
    <w:rsid w:val="00951579"/>
    <w:rsid w:val="009516CE"/>
    <w:rsid w:val="009516D4"/>
    <w:rsid w:val="00951B90"/>
    <w:rsid w:val="00951D11"/>
    <w:rsid w:val="00952625"/>
    <w:rsid w:val="0095282F"/>
    <w:rsid w:val="00952886"/>
    <w:rsid w:val="00952CAD"/>
    <w:rsid w:val="0095360F"/>
    <w:rsid w:val="009539CF"/>
    <w:rsid w:val="00953A22"/>
    <w:rsid w:val="00953C40"/>
    <w:rsid w:val="0095406C"/>
    <w:rsid w:val="00954348"/>
    <w:rsid w:val="0095449C"/>
    <w:rsid w:val="00954F84"/>
    <w:rsid w:val="009552E0"/>
    <w:rsid w:val="00955D5F"/>
    <w:rsid w:val="0095600F"/>
    <w:rsid w:val="009568F8"/>
    <w:rsid w:val="00956E0C"/>
    <w:rsid w:val="00957382"/>
    <w:rsid w:val="00957960"/>
    <w:rsid w:val="00957B7E"/>
    <w:rsid w:val="009605EE"/>
    <w:rsid w:val="00960716"/>
    <w:rsid w:val="009607EF"/>
    <w:rsid w:val="00960F74"/>
    <w:rsid w:val="009617C2"/>
    <w:rsid w:val="00961F26"/>
    <w:rsid w:val="009623AC"/>
    <w:rsid w:val="00962504"/>
    <w:rsid w:val="009625E6"/>
    <w:rsid w:val="00963455"/>
    <w:rsid w:val="0096353F"/>
    <w:rsid w:val="009636EE"/>
    <w:rsid w:val="009645A2"/>
    <w:rsid w:val="00964634"/>
    <w:rsid w:val="00964DBE"/>
    <w:rsid w:val="009651B4"/>
    <w:rsid w:val="009653B3"/>
    <w:rsid w:val="009653E0"/>
    <w:rsid w:val="00965AAD"/>
    <w:rsid w:val="00965CD4"/>
    <w:rsid w:val="00965F3A"/>
    <w:rsid w:val="00965FCD"/>
    <w:rsid w:val="009660C8"/>
    <w:rsid w:val="00966606"/>
    <w:rsid w:val="009666BE"/>
    <w:rsid w:val="00966734"/>
    <w:rsid w:val="00966A46"/>
    <w:rsid w:val="00966BF2"/>
    <w:rsid w:val="0096712B"/>
    <w:rsid w:val="00967202"/>
    <w:rsid w:val="009674B5"/>
    <w:rsid w:val="00967702"/>
    <w:rsid w:val="00967872"/>
    <w:rsid w:val="00967955"/>
    <w:rsid w:val="00967DE8"/>
    <w:rsid w:val="00967F6B"/>
    <w:rsid w:val="00967F84"/>
    <w:rsid w:val="00970C85"/>
    <w:rsid w:val="00970DEC"/>
    <w:rsid w:val="00970E28"/>
    <w:rsid w:val="00970FAE"/>
    <w:rsid w:val="0097106E"/>
    <w:rsid w:val="009718EF"/>
    <w:rsid w:val="00971A04"/>
    <w:rsid w:val="00971B0B"/>
    <w:rsid w:val="00971F9C"/>
    <w:rsid w:val="009728E3"/>
    <w:rsid w:val="00972A99"/>
    <w:rsid w:val="00972CB2"/>
    <w:rsid w:val="00972E74"/>
    <w:rsid w:val="00973406"/>
    <w:rsid w:val="00973445"/>
    <w:rsid w:val="009736CE"/>
    <w:rsid w:val="00973E44"/>
    <w:rsid w:val="00973FE9"/>
    <w:rsid w:val="009745ED"/>
    <w:rsid w:val="00974D09"/>
    <w:rsid w:val="0097544D"/>
    <w:rsid w:val="009758CB"/>
    <w:rsid w:val="00975963"/>
    <w:rsid w:val="00975A2A"/>
    <w:rsid w:val="00975F0F"/>
    <w:rsid w:val="00976694"/>
    <w:rsid w:val="0097678F"/>
    <w:rsid w:val="00976D65"/>
    <w:rsid w:val="00976DF1"/>
    <w:rsid w:val="0097700E"/>
    <w:rsid w:val="009777D7"/>
    <w:rsid w:val="009779A9"/>
    <w:rsid w:val="00977A07"/>
    <w:rsid w:val="00977AC3"/>
    <w:rsid w:val="00980355"/>
    <w:rsid w:val="00980BE2"/>
    <w:rsid w:val="00981001"/>
    <w:rsid w:val="0098189C"/>
    <w:rsid w:val="00981C63"/>
    <w:rsid w:val="009828E8"/>
    <w:rsid w:val="00982BF2"/>
    <w:rsid w:val="009830BB"/>
    <w:rsid w:val="0098338A"/>
    <w:rsid w:val="00983468"/>
    <w:rsid w:val="0098399D"/>
    <w:rsid w:val="00983A64"/>
    <w:rsid w:val="00983D8F"/>
    <w:rsid w:val="009843C9"/>
    <w:rsid w:val="00984640"/>
    <w:rsid w:val="00984907"/>
    <w:rsid w:val="00984A43"/>
    <w:rsid w:val="00984D7C"/>
    <w:rsid w:val="00984DAB"/>
    <w:rsid w:val="00985425"/>
    <w:rsid w:val="00985669"/>
    <w:rsid w:val="00985BB8"/>
    <w:rsid w:val="009866D0"/>
    <w:rsid w:val="0098691F"/>
    <w:rsid w:val="0098775F"/>
    <w:rsid w:val="00987C02"/>
    <w:rsid w:val="00987D17"/>
    <w:rsid w:val="0099125F"/>
    <w:rsid w:val="00992150"/>
    <w:rsid w:val="0099259B"/>
    <w:rsid w:val="00992CB6"/>
    <w:rsid w:val="00992F07"/>
    <w:rsid w:val="009932AD"/>
    <w:rsid w:val="009935BA"/>
    <w:rsid w:val="00993687"/>
    <w:rsid w:val="00993C60"/>
    <w:rsid w:val="00993DB1"/>
    <w:rsid w:val="0099411D"/>
    <w:rsid w:val="00994981"/>
    <w:rsid w:val="00994C4A"/>
    <w:rsid w:val="00994D1D"/>
    <w:rsid w:val="00995323"/>
    <w:rsid w:val="00995649"/>
    <w:rsid w:val="009956D0"/>
    <w:rsid w:val="009967C1"/>
    <w:rsid w:val="009969A6"/>
    <w:rsid w:val="00996B7A"/>
    <w:rsid w:val="00996F31"/>
    <w:rsid w:val="00997126"/>
    <w:rsid w:val="0099727C"/>
    <w:rsid w:val="009975AA"/>
    <w:rsid w:val="00997B94"/>
    <w:rsid w:val="00997CF1"/>
    <w:rsid w:val="00997CFF"/>
    <w:rsid w:val="009A0237"/>
    <w:rsid w:val="009A07B8"/>
    <w:rsid w:val="009A0EE4"/>
    <w:rsid w:val="009A1461"/>
    <w:rsid w:val="009A151D"/>
    <w:rsid w:val="009A1732"/>
    <w:rsid w:val="009A1804"/>
    <w:rsid w:val="009A1A6F"/>
    <w:rsid w:val="009A1F7C"/>
    <w:rsid w:val="009A29E8"/>
    <w:rsid w:val="009A2CC7"/>
    <w:rsid w:val="009A2F30"/>
    <w:rsid w:val="009A308E"/>
    <w:rsid w:val="009A33A6"/>
    <w:rsid w:val="009A437F"/>
    <w:rsid w:val="009A45ED"/>
    <w:rsid w:val="009A490B"/>
    <w:rsid w:val="009A4AD2"/>
    <w:rsid w:val="009A4E36"/>
    <w:rsid w:val="009A550A"/>
    <w:rsid w:val="009A5604"/>
    <w:rsid w:val="009A5931"/>
    <w:rsid w:val="009A5A8D"/>
    <w:rsid w:val="009A61D5"/>
    <w:rsid w:val="009A69D8"/>
    <w:rsid w:val="009A6C55"/>
    <w:rsid w:val="009A7282"/>
    <w:rsid w:val="009A7653"/>
    <w:rsid w:val="009A7901"/>
    <w:rsid w:val="009B016B"/>
    <w:rsid w:val="009B086B"/>
    <w:rsid w:val="009B0E7D"/>
    <w:rsid w:val="009B0FAA"/>
    <w:rsid w:val="009B127C"/>
    <w:rsid w:val="009B12CE"/>
    <w:rsid w:val="009B15B2"/>
    <w:rsid w:val="009B187E"/>
    <w:rsid w:val="009B2124"/>
    <w:rsid w:val="009B224E"/>
    <w:rsid w:val="009B2753"/>
    <w:rsid w:val="009B29EA"/>
    <w:rsid w:val="009B30EB"/>
    <w:rsid w:val="009B4A27"/>
    <w:rsid w:val="009B53A6"/>
    <w:rsid w:val="009B53C2"/>
    <w:rsid w:val="009B53FE"/>
    <w:rsid w:val="009B545E"/>
    <w:rsid w:val="009B56E7"/>
    <w:rsid w:val="009B5916"/>
    <w:rsid w:val="009B5E83"/>
    <w:rsid w:val="009B62BB"/>
    <w:rsid w:val="009B63F7"/>
    <w:rsid w:val="009B6ACA"/>
    <w:rsid w:val="009B6B3A"/>
    <w:rsid w:val="009B6D29"/>
    <w:rsid w:val="009B73E1"/>
    <w:rsid w:val="009B76F7"/>
    <w:rsid w:val="009B77D7"/>
    <w:rsid w:val="009B78E9"/>
    <w:rsid w:val="009B7A20"/>
    <w:rsid w:val="009B7BCC"/>
    <w:rsid w:val="009B7D63"/>
    <w:rsid w:val="009B7F35"/>
    <w:rsid w:val="009C0163"/>
    <w:rsid w:val="009C03A4"/>
    <w:rsid w:val="009C0BC6"/>
    <w:rsid w:val="009C0E96"/>
    <w:rsid w:val="009C17B3"/>
    <w:rsid w:val="009C1AA7"/>
    <w:rsid w:val="009C1DC8"/>
    <w:rsid w:val="009C236F"/>
    <w:rsid w:val="009C283D"/>
    <w:rsid w:val="009C2846"/>
    <w:rsid w:val="009C3416"/>
    <w:rsid w:val="009C3449"/>
    <w:rsid w:val="009C34C5"/>
    <w:rsid w:val="009C4494"/>
    <w:rsid w:val="009C4B07"/>
    <w:rsid w:val="009C4F1C"/>
    <w:rsid w:val="009C5117"/>
    <w:rsid w:val="009C52B0"/>
    <w:rsid w:val="009C54F9"/>
    <w:rsid w:val="009C58A1"/>
    <w:rsid w:val="009C5D16"/>
    <w:rsid w:val="009C656B"/>
    <w:rsid w:val="009C6853"/>
    <w:rsid w:val="009C6E46"/>
    <w:rsid w:val="009C7427"/>
    <w:rsid w:val="009C7502"/>
    <w:rsid w:val="009C76BB"/>
    <w:rsid w:val="009C77DD"/>
    <w:rsid w:val="009C7957"/>
    <w:rsid w:val="009C7B67"/>
    <w:rsid w:val="009C7F7F"/>
    <w:rsid w:val="009D000B"/>
    <w:rsid w:val="009D0959"/>
    <w:rsid w:val="009D0F3C"/>
    <w:rsid w:val="009D0FA8"/>
    <w:rsid w:val="009D1889"/>
    <w:rsid w:val="009D1A5F"/>
    <w:rsid w:val="009D202D"/>
    <w:rsid w:val="009D225B"/>
    <w:rsid w:val="009D252F"/>
    <w:rsid w:val="009D2598"/>
    <w:rsid w:val="009D27BC"/>
    <w:rsid w:val="009D2FCF"/>
    <w:rsid w:val="009D362A"/>
    <w:rsid w:val="009D365B"/>
    <w:rsid w:val="009D418E"/>
    <w:rsid w:val="009D468E"/>
    <w:rsid w:val="009D48AE"/>
    <w:rsid w:val="009D4937"/>
    <w:rsid w:val="009D53DB"/>
    <w:rsid w:val="009D5B6F"/>
    <w:rsid w:val="009D5DE7"/>
    <w:rsid w:val="009D6C85"/>
    <w:rsid w:val="009D6E02"/>
    <w:rsid w:val="009D6F3E"/>
    <w:rsid w:val="009D7037"/>
    <w:rsid w:val="009D7321"/>
    <w:rsid w:val="009D75E9"/>
    <w:rsid w:val="009E00E5"/>
    <w:rsid w:val="009E0C25"/>
    <w:rsid w:val="009E0C99"/>
    <w:rsid w:val="009E1802"/>
    <w:rsid w:val="009E1B13"/>
    <w:rsid w:val="009E21A2"/>
    <w:rsid w:val="009E2489"/>
    <w:rsid w:val="009E26F1"/>
    <w:rsid w:val="009E2A2A"/>
    <w:rsid w:val="009E3164"/>
    <w:rsid w:val="009E35D8"/>
    <w:rsid w:val="009E3901"/>
    <w:rsid w:val="009E3A75"/>
    <w:rsid w:val="009E3A7B"/>
    <w:rsid w:val="009E4768"/>
    <w:rsid w:val="009E4B1F"/>
    <w:rsid w:val="009E5315"/>
    <w:rsid w:val="009E5965"/>
    <w:rsid w:val="009E5983"/>
    <w:rsid w:val="009E5A5B"/>
    <w:rsid w:val="009E5CF9"/>
    <w:rsid w:val="009E6306"/>
    <w:rsid w:val="009E65EF"/>
    <w:rsid w:val="009E7C02"/>
    <w:rsid w:val="009E7EBF"/>
    <w:rsid w:val="009F056F"/>
    <w:rsid w:val="009F0D29"/>
    <w:rsid w:val="009F12AF"/>
    <w:rsid w:val="009F13B2"/>
    <w:rsid w:val="009F1A56"/>
    <w:rsid w:val="009F1E3D"/>
    <w:rsid w:val="009F1E56"/>
    <w:rsid w:val="009F2158"/>
    <w:rsid w:val="009F2352"/>
    <w:rsid w:val="009F2B85"/>
    <w:rsid w:val="009F2BDC"/>
    <w:rsid w:val="009F3A1B"/>
    <w:rsid w:val="009F3F24"/>
    <w:rsid w:val="009F49D0"/>
    <w:rsid w:val="009F49FD"/>
    <w:rsid w:val="009F4EE8"/>
    <w:rsid w:val="009F50D3"/>
    <w:rsid w:val="009F53A6"/>
    <w:rsid w:val="009F5404"/>
    <w:rsid w:val="009F5992"/>
    <w:rsid w:val="009F5C7A"/>
    <w:rsid w:val="009F632A"/>
    <w:rsid w:val="009F670F"/>
    <w:rsid w:val="009F6E16"/>
    <w:rsid w:val="009F6F64"/>
    <w:rsid w:val="009F7E0D"/>
    <w:rsid w:val="009F7EA6"/>
    <w:rsid w:val="009F7FEE"/>
    <w:rsid w:val="00A0008B"/>
    <w:rsid w:val="00A0016F"/>
    <w:rsid w:val="00A00902"/>
    <w:rsid w:val="00A0107B"/>
    <w:rsid w:val="00A013CB"/>
    <w:rsid w:val="00A016A3"/>
    <w:rsid w:val="00A01CA2"/>
    <w:rsid w:val="00A01E7A"/>
    <w:rsid w:val="00A01ED6"/>
    <w:rsid w:val="00A022D7"/>
    <w:rsid w:val="00A0241C"/>
    <w:rsid w:val="00A02A7F"/>
    <w:rsid w:val="00A02AA2"/>
    <w:rsid w:val="00A039C2"/>
    <w:rsid w:val="00A039DD"/>
    <w:rsid w:val="00A03B3E"/>
    <w:rsid w:val="00A03BA7"/>
    <w:rsid w:val="00A03BDC"/>
    <w:rsid w:val="00A04311"/>
    <w:rsid w:val="00A04360"/>
    <w:rsid w:val="00A045A4"/>
    <w:rsid w:val="00A04BAF"/>
    <w:rsid w:val="00A04EB9"/>
    <w:rsid w:val="00A051E6"/>
    <w:rsid w:val="00A05227"/>
    <w:rsid w:val="00A052DF"/>
    <w:rsid w:val="00A056C6"/>
    <w:rsid w:val="00A05773"/>
    <w:rsid w:val="00A05956"/>
    <w:rsid w:val="00A05B42"/>
    <w:rsid w:val="00A05B8C"/>
    <w:rsid w:val="00A05FA0"/>
    <w:rsid w:val="00A06061"/>
    <w:rsid w:val="00A065BA"/>
    <w:rsid w:val="00A06D18"/>
    <w:rsid w:val="00A06E5B"/>
    <w:rsid w:val="00A0786D"/>
    <w:rsid w:val="00A07DCA"/>
    <w:rsid w:val="00A10E55"/>
    <w:rsid w:val="00A115B5"/>
    <w:rsid w:val="00A115ED"/>
    <w:rsid w:val="00A12109"/>
    <w:rsid w:val="00A121C7"/>
    <w:rsid w:val="00A1265F"/>
    <w:rsid w:val="00A12C96"/>
    <w:rsid w:val="00A12D0B"/>
    <w:rsid w:val="00A1339D"/>
    <w:rsid w:val="00A1367C"/>
    <w:rsid w:val="00A13928"/>
    <w:rsid w:val="00A14245"/>
    <w:rsid w:val="00A14563"/>
    <w:rsid w:val="00A145D0"/>
    <w:rsid w:val="00A1481B"/>
    <w:rsid w:val="00A14DED"/>
    <w:rsid w:val="00A15884"/>
    <w:rsid w:val="00A15907"/>
    <w:rsid w:val="00A15FEA"/>
    <w:rsid w:val="00A1610B"/>
    <w:rsid w:val="00A161CB"/>
    <w:rsid w:val="00A1625B"/>
    <w:rsid w:val="00A171B6"/>
    <w:rsid w:val="00A172BB"/>
    <w:rsid w:val="00A17613"/>
    <w:rsid w:val="00A1775D"/>
    <w:rsid w:val="00A2007B"/>
    <w:rsid w:val="00A20448"/>
    <w:rsid w:val="00A20F66"/>
    <w:rsid w:val="00A210F8"/>
    <w:rsid w:val="00A21697"/>
    <w:rsid w:val="00A217EA"/>
    <w:rsid w:val="00A219D7"/>
    <w:rsid w:val="00A227FA"/>
    <w:rsid w:val="00A2309F"/>
    <w:rsid w:val="00A23362"/>
    <w:rsid w:val="00A2435B"/>
    <w:rsid w:val="00A24578"/>
    <w:rsid w:val="00A248EC"/>
    <w:rsid w:val="00A24946"/>
    <w:rsid w:val="00A24FE4"/>
    <w:rsid w:val="00A25097"/>
    <w:rsid w:val="00A2561A"/>
    <w:rsid w:val="00A25785"/>
    <w:rsid w:val="00A26394"/>
    <w:rsid w:val="00A26571"/>
    <w:rsid w:val="00A26824"/>
    <w:rsid w:val="00A26CA4"/>
    <w:rsid w:val="00A26FFF"/>
    <w:rsid w:val="00A27253"/>
    <w:rsid w:val="00A27404"/>
    <w:rsid w:val="00A302C4"/>
    <w:rsid w:val="00A30434"/>
    <w:rsid w:val="00A307F9"/>
    <w:rsid w:val="00A30ECE"/>
    <w:rsid w:val="00A312BA"/>
    <w:rsid w:val="00A31340"/>
    <w:rsid w:val="00A321FE"/>
    <w:rsid w:val="00A3288C"/>
    <w:rsid w:val="00A329EA"/>
    <w:rsid w:val="00A32CCB"/>
    <w:rsid w:val="00A32D5C"/>
    <w:rsid w:val="00A331BA"/>
    <w:rsid w:val="00A3372F"/>
    <w:rsid w:val="00A33863"/>
    <w:rsid w:val="00A344A5"/>
    <w:rsid w:val="00A3456B"/>
    <w:rsid w:val="00A347D8"/>
    <w:rsid w:val="00A349BD"/>
    <w:rsid w:val="00A34E65"/>
    <w:rsid w:val="00A34EF8"/>
    <w:rsid w:val="00A362E0"/>
    <w:rsid w:val="00A36588"/>
    <w:rsid w:val="00A3677C"/>
    <w:rsid w:val="00A36EAE"/>
    <w:rsid w:val="00A376BF"/>
    <w:rsid w:val="00A37A0A"/>
    <w:rsid w:val="00A37A7A"/>
    <w:rsid w:val="00A37E2E"/>
    <w:rsid w:val="00A37E9C"/>
    <w:rsid w:val="00A40F9F"/>
    <w:rsid w:val="00A420BC"/>
    <w:rsid w:val="00A4218A"/>
    <w:rsid w:val="00A42CDF"/>
    <w:rsid w:val="00A430C0"/>
    <w:rsid w:val="00A431BC"/>
    <w:rsid w:val="00A43661"/>
    <w:rsid w:val="00A436F8"/>
    <w:rsid w:val="00A438CC"/>
    <w:rsid w:val="00A43A44"/>
    <w:rsid w:val="00A4433E"/>
    <w:rsid w:val="00A44869"/>
    <w:rsid w:val="00A45E90"/>
    <w:rsid w:val="00A45FE7"/>
    <w:rsid w:val="00A465AB"/>
    <w:rsid w:val="00A465EE"/>
    <w:rsid w:val="00A46671"/>
    <w:rsid w:val="00A46889"/>
    <w:rsid w:val="00A46FDC"/>
    <w:rsid w:val="00A475A4"/>
    <w:rsid w:val="00A476AB"/>
    <w:rsid w:val="00A476AD"/>
    <w:rsid w:val="00A500DF"/>
    <w:rsid w:val="00A50374"/>
    <w:rsid w:val="00A5048E"/>
    <w:rsid w:val="00A5159D"/>
    <w:rsid w:val="00A5170B"/>
    <w:rsid w:val="00A51D4F"/>
    <w:rsid w:val="00A51E6A"/>
    <w:rsid w:val="00A51F02"/>
    <w:rsid w:val="00A52542"/>
    <w:rsid w:val="00A52CDA"/>
    <w:rsid w:val="00A52E68"/>
    <w:rsid w:val="00A52EE5"/>
    <w:rsid w:val="00A530DB"/>
    <w:rsid w:val="00A531B9"/>
    <w:rsid w:val="00A5344F"/>
    <w:rsid w:val="00A534B3"/>
    <w:rsid w:val="00A53A79"/>
    <w:rsid w:val="00A53BC3"/>
    <w:rsid w:val="00A53EEA"/>
    <w:rsid w:val="00A53F0A"/>
    <w:rsid w:val="00A53FCA"/>
    <w:rsid w:val="00A54170"/>
    <w:rsid w:val="00A5454D"/>
    <w:rsid w:val="00A5549F"/>
    <w:rsid w:val="00A555EF"/>
    <w:rsid w:val="00A5576E"/>
    <w:rsid w:val="00A55BF4"/>
    <w:rsid w:val="00A55EC6"/>
    <w:rsid w:val="00A5625B"/>
    <w:rsid w:val="00A56940"/>
    <w:rsid w:val="00A56E1E"/>
    <w:rsid w:val="00A5711D"/>
    <w:rsid w:val="00A573A9"/>
    <w:rsid w:val="00A57570"/>
    <w:rsid w:val="00A57962"/>
    <w:rsid w:val="00A57B5C"/>
    <w:rsid w:val="00A60050"/>
    <w:rsid w:val="00A60198"/>
    <w:rsid w:val="00A605D5"/>
    <w:rsid w:val="00A61BEA"/>
    <w:rsid w:val="00A61CFE"/>
    <w:rsid w:val="00A6201E"/>
    <w:rsid w:val="00A62A16"/>
    <w:rsid w:val="00A62AC9"/>
    <w:rsid w:val="00A62AD3"/>
    <w:rsid w:val="00A62B2F"/>
    <w:rsid w:val="00A62E52"/>
    <w:rsid w:val="00A62F24"/>
    <w:rsid w:val="00A6307A"/>
    <w:rsid w:val="00A63800"/>
    <w:rsid w:val="00A63AC0"/>
    <w:rsid w:val="00A640F7"/>
    <w:rsid w:val="00A644F2"/>
    <w:rsid w:val="00A647B3"/>
    <w:rsid w:val="00A649B9"/>
    <w:rsid w:val="00A64BA0"/>
    <w:rsid w:val="00A64CC0"/>
    <w:rsid w:val="00A65FDA"/>
    <w:rsid w:val="00A66117"/>
    <w:rsid w:val="00A663FD"/>
    <w:rsid w:val="00A66A6A"/>
    <w:rsid w:val="00A6704C"/>
    <w:rsid w:val="00A67685"/>
    <w:rsid w:val="00A6786B"/>
    <w:rsid w:val="00A67C52"/>
    <w:rsid w:val="00A67D63"/>
    <w:rsid w:val="00A70A68"/>
    <w:rsid w:val="00A70C2F"/>
    <w:rsid w:val="00A71935"/>
    <w:rsid w:val="00A7221B"/>
    <w:rsid w:val="00A724C9"/>
    <w:rsid w:val="00A7273C"/>
    <w:rsid w:val="00A72868"/>
    <w:rsid w:val="00A72872"/>
    <w:rsid w:val="00A72AF4"/>
    <w:rsid w:val="00A72CA6"/>
    <w:rsid w:val="00A72F47"/>
    <w:rsid w:val="00A73016"/>
    <w:rsid w:val="00A7325B"/>
    <w:rsid w:val="00A73B5C"/>
    <w:rsid w:val="00A741DC"/>
    <w:rsid w:val="00A74564"/>
    <w:rsid w:val="00A748B8"/>
    <w:rsid w:val="00A7508C"/>
    <w:rsid w:val="00A751AD"/>
    <w:rsid w:val="00A759BE"/>
    <w:rsid w:val="00A75BC6"/>
    <w:rsid w:val="00A76051"/>
    <w:rsid w:val="00A76DDC"/>
    <w:rsid w:val="00A776A3"/>
    <w:rsid w:val="00A77C74"/>
    <w:rsid w:val="00A77F3D"/>
    <w:rsid w:val="00A77FA3"/>
    <w:rsid w:val="00A80369"/>
    <w:rsid w:val="00A803F7"/>
    <w:rsid w:val="00A80FCB"/>
    <w:rsid w:val="00A81254"/>
    <w:rsid w:val="00A812E3"/>
    <w:rsid w:val="00A8176D"/>
    <w:rsid w:val="00A81C8C"/>
    <w:rsid w:val="00A81E30"/>
    <w:rsid w:val="00A82B42"/>
    <w:rsid w:val="00A82F9A"/>
    <w:rsid w:val="00A832A7"/>
    <w:rsid w:val="00A8346B"/>
    <w:rsid w:val="00A8421F"/>
    <w:rsid w:val="00A846D8"/>
    <w:rsid w:val="00A84A9E"/>
    <w:rsid w:val="00A8538B"/>
    <w:rsid w:val="00A85537"/>
    <w:rsid w:val="00A859AE"/>
    <w:rsid w:val="00A85A05"/>
    <w:rsid w:val="00A86162"/>
    <w:rsid w:val="00A8621F"/>
    <w:rsid w:val="00A86C38"/>
    <w:rsid w:val="00A86D3D"/>
    <w:rsid w:val="00A87448"/>
    <w:rsid w:val="00A87493"/>
    <w:rsid w:val="00A87A98"/>
    <w:rsid w:val="00A87AB5"/>
    <w:rsid w:val="00A87C56"/>
    <w:rsid w:val="00A87E92"/>
    <w:rsid w:val="00A87FA3"/>
    <w:rsid w:val="00A907E6"/>
    <w:rsid w:val="00A90B1F"/>
    <w:rsid w:val="00A90B3F"/>
    <w:rsid w:val="00A90B78"/>
    <w:rsid w:val="00A9109C"/>
    <w:rsid w:val="00A9118E"/>
    <w:rsid w:val="00A9165E"/>
    <w:rsid w:val="00A91871"/>
    <w:rsid w:val="00A918E5"/>
    <w:rsid w:val="00A918F8"/>
    <w:rsid w:val="00A91C5C"/>
    <w:rsid w:val="00A91E59"/>
    <w:rsid w:val="00A91EEB"/>
    <w:rsid w:val="00A92372"/>
    <w:rsid w:val="00A92E17"/>
    <w:rsid w:val="00A935A5"/>
    <w:rsid w:val="00A93F50"/>
    <w:rsid w:val="00A947BE"/>
    <w:rsid w:val="00A94B6C"/>
    <w:rsid w:val="00A94C72"/>
    <w:rsid w:val="00A9585F"/>
    <w:rsid w:val="00A9586E"/>
    <w:rsid w:val="00A95B84"/>
    <w:rsid w:val="00A95C50"/>
    <w:rsid w:val="00A95C7D"/>
    <w:rsid w:val="00A95D9F"/>
    <w:rsid w:val="00A961BE"/>
    <w:rsid w:val="00A962FF"/>
    <w:rsid w:val="00A96425"/>
    <w:rsid w:val="00A9648D"/>
    <w:rsid w:val="00A965C4"/>
    <w:rsid w:val="00A967C5"/>
    <w:rsid w:val="00A96997"/>
    <w:rsid w:val="00A96C8C"/>
    <w:rsid w:val="00A96CD7"/>
    <w:rsid w:val="00A96DEE"/>
    <w:rsid w:val="00A9724B"/>
    <w:rsid w:val="00A97577"/>
    <w:rsid w:val="00A976E6"/>
    <w:rsid w:val="00AA01BB"/>
    <w:rsid w:val="00AA0F1C"/>
    <w:rsid w:val="00AA20C8"/>
    <w:rsid w:val="00AA2484"/>
    <w:rsid w:val="00AA2591"/>
    <w:rsid w:val="00AA28DC"/>
    <w:rsid w:val="00AA2A51"/>
    <w:rsid w:val="00AA3241"/>
    <w:rsid w:val="00AA3FFC"/>
    <w:rsid w:val="00AA4267"/>
    <w:rsid w:val="00AA44A5"/>
    <w:rsid w:val="00AA477A"/>
    <w:rsid w:val="00AA486E"/>
    <w:rsid w:val="00AA4975"/>
    <w:rsid w:val="00AA49E5"/>
    <w:rsid w:val="00AA4F98"/>
    <w:rsid w:val="00AA5103"/>
    <w:rsid w:val="00AA5D7F"/>
    <w:rsid w:val="00AA657C"/>
    <w:rsid w:val="00AA69FA"/>
    <w:rsid w:val="00AA6E4D"/>
    <w:rsid w:val="00AA6FCE"/>
    <w:rsid w:val="00AA720A"/>
    <w:rsid w:val="00AA72C9"/>
    <w:rsid w:val="00AA789D"/>
    <w:rsid w:val="00AA7D59"/>
    <w:rsid w:val="00AB0865"/>
    <w:rsid w:val="00AB097F"/>
    <w:rsid w:val="00AB1182"/>
    <w:rsid w:val="00AB1BD8"/>
    <w:rsid w:val="00AB21FD"/>
    <w:rsid w:val="00AB22B8"/>
    <w:rsid w:val="00AB2419"/>
    <w:rsid w:val="00AB2600"/>
    <w:rsid w:val="00AB2702"/>
    <w:rsid w:val="00AB2A31"/>
    <w:rsid w:val="00AB2BDE"/>
    <w:rsid w:val="00AB2D0A"/>
    <w:rsid w:val="00AB323B"/>
    <w:rsid w:val="00AB372A"/>
    <w:rsid w:val="00AB3755"/>
    <w:rsid w:val="00AB4243"/>
    <w:rsid w:val="00AB4325"/>
    <w:rsid w:val="00AB49D1"/>
    <w:rsid w:val="00AB4C80"/>
    <w:rsid w:val="00AB4CF5"/>
    <w:rsid w:val="00AB4FE6"/>
    <w:rsid w:val="00AB5171"/>
    <w:rsid w:val="00AB5DDC"/>
    <w:rsid w:val="00AB5E09"/>
    <w:rsid w:val="00AB633C"/>
    <w:rsid w:val="00AB64C1"/>
    <w:rsid w:val="00AB64D0"/>
    <w:rsid w:val="00AB662C"/>
    <w:rsid w:val="00AB6EF5"/>
    <w:rsid w:val="00AB6F66"/>
    <w:rsid w:val="00AB72C2"/>
    <w:rsid w:val="00AB7966"/>
    <w:rsid w:val="00AB7A9A"/>
    <w:rsid w:val="00AB7AD5"/>
    <w:rsid w:val="00AB7D27"/>
    <w:rsid w:val="00AB7E0C"/>
    <w:rsid w:val="00AC0183"/>
    <w:rsid w:val="00AC01AE"/>
    <w:rsid w:val="00AC02A5"/>
    <w:rsid w:val="00AC0FD2"/>
    <w:rsid w:val="00AC138C"/>
    <w:rsid w:val="00AC151A"/>
    <w:rsid w:val="00AC16E2"/>
    <w:rsid w:val="00AC1D63"/>
    <w:rsid w:val="00AC2017"/>
    <w:rsid w:val="00AC2174"/>
    <w:rsid w:val="00AC21A8"/>
    <w:rsid w:val="00AC2518"/>
    <w:rsid w:val="00AC267D"/>
    <w:rsid w:val="00AC33D1"/>
    <w:rsid w:val="00AC38FD"/>
    <w:rsid w:val="00AC3D8E"/>
    <w:rsid w:val="00AC414B"/>
    <w:rsid w:val="00AC4395"/>
    <w:rsid w:val="00AC4402"/>
    <w:rsid w:val="00AC456A"/>
    <w:rsid w:val="00AC4C98"/>
    <w:rsid w:val="00AC597D"/>
    <w:rsid w:val="00AC5ACD"/>
    <w:rsid w:val="00AC5E96"/>
    <w:rsid w:val="00AC697B"/>
    <w:rsid w:val="00AC6EC6"/>
    <w:rsid w:val="00AC70F8"/>
    <w:rsid w:val="00AC7112"/>
    <w:rsid w:val="00AC7166"/>
    <w:rsid w:val="00AC7ED0"/>
    <w:rsid w:val="00AD090D"/>
    <w:rsid w:val="00AD0C4F"/>
    <w:rsid w:val="00AD115E"/>
    <w:rsid w:val="00AD1299"/>
    <w:rsid w:val="00AD1B0D"/>
    <w:rsid w:val="00AD2379"/>
    <w:rsid w:val="00AD2395"/>
    <w:rsid w:val="00AD283D"/>
    <w:rsid w:val="00AD2A50"/>
    <w:rsid w:val="00AD3121"/>
    <w:rsid w:val="00AD363E"/>
    <w:rsid w:val="00AD3A3A"/>
    <w:rsid w:val="00AD3DBF"/>
    <w:rsid w:val="00AD4189"/>
    <w:rsid w:val="00AD44AF"/>
    <w:rsid w:val="00AD45BA"/>
    <w:rsid w:val="00AD4704"/>
    <w:rsid w:val="00AD483E"/>
    <w:rsid w:val="00AD5038"/>
    <w:rsid w:val="00AD5B4A"/>
    <w:rsid w:val="00AD5B6F"/>
    <w:rsid w:val="00AD5EBE"/>
    <w:rsid w:val="00AD6076"/>
    <w:rsid w:val="00AD6B7E"/>
    <w:rsid w:val="00AD6F90"/>
    <w:rsid w:val="00AD703F"/>
    <w:rsid w:val="00AD7391"/>
    <w:rsid w:val="00AD73DF"/>
    <w:rsid w:val="00AD74C4"/>
    <w:rsid w:val="00AD7D0E"/>
    <w:rsid w:val="00AE04C7"/>
    <w:rsid w:val="00AE0D18"/>
    <w:rsid w:val="00AE10F9"/>
    <w:rsid w:val="00AE1209"/>
    <w:rsid w:val="00AE14D4"/>
    <w:rsid w:val="00AE26EB"/>
    <w:rsid w:val="00AE2994"/>
    <w:rsid w:val="00AE2F86"/>
    <w:rsid w:val="00AE312D"/>
    <w:rsid w:val="00AE33BE"/>
    <w:rsid w:val="00AE3470"/>
    <w:rsid w:val="00AE35D0"/>
    <w:rsid w:val="00AE36DF"/>
    <w:rsid w:val="00AE43F0"/>
    <w:rsid w:val="00AE4DE6"/>
    <w:rsid w:val="00AE4ECA"/>
    <w:rsid w:val="00AE4ECC"/>
    <w:rsid w:val="00AE56B9"/>
    <w:rsid w:val="00AE5D0D"/>
    <w:rsid w:val="00AE673D"/>
    <w:rsid w:val="00AE68C7"/>
    <w:rsid w:val="00AE6940"/>
    <w:rsid w:val="00AE7171"/>
    <w:rsid w:val="00AE7478"/>
    <w:rsid w:val="00AE76F2"/>
    <w:rsid w:val="00AF046F"/>
    <w:rsid w:val="00AF1055"/>
    <w:rsid w:val="00AF1A2F"/>
    <w:rsid w:val="00AF1B82"/>
    <w:rsid w:val="00AF2276"/>
    <w:rsid w:val="00AF2979"/>
    <w:rsid w:val="00AF2D0C"/>
    <w:rsid w:val="00AF3103"/>
    <w:rsid w:val="00AF3EE3"/>
    <w:rsid w:val="00AF3FE3"/>
    <w:rsid w:val="00AF41EC"/>
    <w:rsid w:val="00AF4217"/>
    <w:rsid w:val="00AF43E8"/>
    <w:rsid w:val="00AF4581"/>
    <w:rsid w:val="00AF4792"/>
    <w:rsid w:val="00AF490A"/>
    <w:rsid w:val="00AF4A0A"/>
    <w:rsid w:val="00AF6411"/>
    <w:rsid w:val="00AF6862"/>
    <w:rsid w:val="00AF6DC4"/>
    <w:rsid w:val="00AF72F3"/>
    <w:rsid w:val="00AF759D"/>
    <w:rsid w:val="00AF79EF"/>
    <w:rsid w:val="00AF7E44"/>
    <w:rsid w:val="00AF7F1D"/>
    <w:rsid w:val="00B00070"/>
    <w:rsid w:val="00B00E76"/>
    <w:rsid w:val="00B010AE"/>
    <w:rsid w:val="00B01362"/>
    <w:rsid w:val="00B01430"/>
    <w:rsid w:val="00B01896"/>
    <w:rsid w:val="00B01945"/>
    <w:rsid w:val="00B01A79"/>
    <w:rsid w:val="00B01BB3"/>
    <w:rsid w:val="00B0265F"/>
    <w:rsid w:val="00B029D7"/>
    <w:rsid w:val="00B030B2"/>
    <w:rsid w:val="00B03A9F"/>
    <w:rsid w:val="00B043C6"/>
    <w:rsid w:val="00B04876"/>
    <w:rsid w:val="00B04B03"/>
    <w:rsid w:val="00B05711"/>
    <w:rsid w:val="00B058D2"/>
    <w:rsid w:val="00B06A09"/>
    <w:rsid w:val="00B06D6F"/>
    <w:rsid w:val="00B07462"/>
    <w:rsid w:val="00B074A9"/>
    <w:rsid w:val="00B077FF"/>
    <w:rsid w:val="00B108DF"/>
    <w:rsid w:val="00B11096"/>
    <w:rsid w:val="00B11548"/>
    <w:rsid w:val="00B11A38"/>
    <w:rsid w:val="00B1202A"/>
    <w:rsid w:val="00B12639"/>
    <w:rsid w:val="00B137F7"/>
    <w:rsid w:val="00B1427C"/>
    <w:rsid w:val="00B144DE"/>
    <w:rsid w:val="00B14928"/>
    <w:rsid w:val="00B150F1"/>
    <w:rsid w:val="00B1583B"/>
    <w:rsid w:val="00B1598C"/>
    <w:rsid w:val="00B15D36"/>
    <w:rsid w:val="00B15F29"/>
    <w:rsid w:val="00B15F6A"/>
    <w:rsid w:val="00B16550"/>
    <w:rsid w:val="00B16A37"/>
    <w:rsid w:val="00B16DF9"/>
    <w:rsid w:val="00B16F5C"/>
    <w:rsid w:val="00B174A6"/>
    <w:rsid w:val="00B175B5"/>
    <w:rsid w:val="00B1762B"/>
    <w:rsid w:val="00B17C23"/>
    <w:rsid w:val="00B20175"/>
    <w:rsid w:val="00B20A41"/>
    <w:rsid w:val="00B20C8A"/>
    <w:rsid w:val="00B21436"/>
    <w:rsid w:val="00B2153E"/>
    <w:rsid w:val="00B219A3"/>
    <w:rsid w:val="00B22282"/>
    <w:rsid w:val="00B2269C"/>
    <w:rsid w:val="00B229FB"/>
    <w:rsid w:val="00B22D1C"/>
    <w:rsid w:val="00B232FE"/>
    <w:rsid w:val="00B2398E"/>
    <w:rsid w:val="00B23EFA"/>
    <w:rsid w:val="00B244E9"/>
    <w:rsid w:val="00B248BB"/>
    <w:rsid w:val="00B24B86"/>
    <w:rsid w:val="00B24C2E"/>
    <w:rsid w:val="00B25038"/>
    <w:rsid w:val="00B25AB5"/>
    <w:rsid w:val="00B26474"/>
    <w:rsid w:val="00B26A2E"/>
    <w:rsid w:val="00B27537"/>
    <w:rsid w:val="00B27BA1"/>
    <w:rsid w:val="00B27F2B"/>
    <w:rsid w:val="00B3012A"/>
    <w:rsid w:val="00B30419"/>
    <w:rsid w:val="00B30531"/>
    <w:rsid w:val="00B30A0C"/>
    <w:rsid w:val="00B30CD8"/>
    <w:rsid w:val="00B30ECA"/>
    <w:rsid w:val="00B31047"/>
    <w:rsid w:val="00B31917"/>
    <w:rsid w:val="00B31B43"/>
    <w:rsid w:val="00B32FCD"/>
    <w:rsid w:val="00B33D27"/>
    <w:rsid w:val="00B34D2E"/>
    <w:rsid w:val="00B34D87"/>
    <w:rsid w:val="00B35E87"/>
    <w:rsid w:val="00B36B44"/>
    <w:rsid w:val="00B36BE2"/>
    <w:rsid w:val="00B373ED"/>
    <w:rsid w:val="00B37461"/>
    <w:rsid w:val="00B37F6B"/>
    <w:rsid w:val="00B40989"/>
    <w:rsid w:val="00B40A39"/>
    <w:rsid w:val="00B40EED"/>
    <w:rsid w:val="00B41BD8"/>
    <w:rsid w:val="00B41C5F"/>
    <w:rsid w:val="00B4253C"/>
    <w:rsid w:val="00B42A90"/>
    <w:rsid w:val="00B43195"/>
    <w:rsid w:val="00B434FF"/>
    <w:rsid w:val="00B43637"/>
    <w:rsid w:val="00B43D8A"/>
    <w:rsid w:val="00B445A6"/>
    <w:rsid w:val="00B44AF0"/>
    <w:rsid w:val="00B457F0"/>
    <w:rsid w:val="00B4589D"/>
    <w:rsid w:val="00B45DF7"/>
    <w:rsid w:val="00B463C2"/>
    <w:rsid w:val="00B46475"/>
    <w:rsid w:val="00B4658C"/>
    <w:rsid w:val="00B46B27"/>
    <w:rsid w:val="00B46D22"/>
    <w:rsid w:val="00B46EBC"/>
    <w:rsid w:val="00B4747D"/>
    <w:rsid w:val="00B474F3"/>
    <w:rsid w:val="00B47DF1"/>
    <w:rsid w:val="00B50632"/>
    <w:rsid w:val="00B5183D"/>
    <w:rsid w:val="00B518B0"/>
    <w:rsid w:val="00B51CC6"/>
    <w:rsid w:val="00B51D5E"/>
    <w:rsid w:val="00B52BAE"/>
    <w:rsid w:val="00B52C20"/>
    <w:rsid w:val="00B52D27"/>
    <w:rsid w:val="00B53671"/>
    <w:rsid w:val="00B537BE"/>
    <w:rsid w:val="00B53AEF"/>
    <w:rsid w:val="00B53E78"/>
    <w:rsid w:val="00B54E14"/>
    <w:rsid w:val="00B54E3A"/>
    <w:rsid w:val="00B54E90"/>
    <w:rsid w:val="00B554DD"/>
    <w:rsid w:val="00B5587B"/>
    <w:rsid w:val="00B55F40"/>
    <w:rsid w:val="00B569CB"/>
    <w:rsid w:val="00B56E47"/>
    <w:rsid w:val="00B56E56"/>
    <w:rsid w:val="00B57278"/>
    <w:rsid w:val="00B576F3"/>
    <w:rsid w:val="00B57921"/>
    <w:rsid w:val="00B57926"/>
    <w:rsid w:val="00B60431"/>
    <w:rsid w:val="00B609B6"/>
    <w:rsid w:val="00B609C2"/>
    <w:rsid w:val="00B609CF"/>
    <w:rsid w:val="00B60CF3"/>
    <w:rsid w:val="00B60D46"/>
    <w:rsid w:val="00B60E7D"/>
    <w:rsid w:val="00B615C0"/>
    <w:rsid w:val="00B61B05"/>
    <w:rsid w:val="00B61DE8"/>
    <w:rsid w:val="00B6227D"/>
    <w:rsid w:val="00B623AE"/>
    <w:rsid w:val="00B62AC3"/>
    <w:rsid w:val="00B62BCC"/>
    <w:rsid w:val="00B6342A"/>
    <w:rsid w:val="00B63AA9"/>
    <w:rsid w:val="00B63D05"/>
    <w:rsid w:val="00B64027"/>
    <w:rsid w:val="00B64533"/>
    <w:rsid w:val="00B646A2"/>
    <w:rsid w:val="00B64AD3"/>
    <w:rsid w:val="00B64BCB"/>
    <w:rsid w:val="00B64D55"/>
    <w:rsid w:val="00B64EF3"/>
    <w:rsid w:val="00B65039"/>
    <w:rsid w:val="00B66171"/>
    <w:rsid w:val="00B66181"/>
    <w:rsid w:val="00B66360"/>
    <w:rsid w:val="00B665BA"/>
    <w:rsid w:val="00B66FDD"/>
    <w:rsid w:val="00B66FEA"/>
    <w:rsid w:val="00B670EA"/>
    <w:rsid w:val="00B67165"/>
    <w:rsid w:val="00B677EA"/>
    <w:rsid w:val="00B70D24"/>
    <w:rsid w:val="00B70FAD"/>
    <w:rsid w:val="00B710DA"/>
    <w:rsid w:val="00B711A3"/>
    <w:rsid w:val="00B711CF"/>
    <w:rsid w:val="00B715DD"/>
    <w:rsid w:val="00B71770"/>
    <w:rsid w:val="00B71BA5"/>
    <w:rsid w:val="00B71E05"/>
    <w:rsid w:val="00B71F29"/>
    <w:rsid w:val="00B71F48"/>
    <w:rsid w:val="00B7213A"/>
    <w:rsid w:val="00B7282C"/>
    <w:rsid w:val="00B72AA3"/>
    <w:rsid w:val="00B72C9B"/>
    <w:rsid w:val="00B735F7"/>
    <w:rsid w:val="00B737AA"/>
    <w:rsid w:val="00B73856"/>
    <w:rsid w:val="00B73A70"/>
    <w:rsid w:val="00B73D4A"/>
    <w:rsid w:val="00B74398"/>
    <w:rsid w:val="00B744D2"/>
    <w:rsid w:val="00B744D8"/>
    <w:rsid w:val="00B749C4"/>
    <w:rsid w:val="00B74AB5"/>
    <w:rsid w:val="00B74F85"/>
    <w:rsid w:val="00B7544C"/>
    <w:rsid w:val="00B75ADA"/>
    <w:rsid w:val="00B76065"/>
    <w:rsid w:val="00B7690E"/>
    <w:rsid w:val="00B76AA2"/>
    <w:rsid w:val="00B76F40"/>
    <w:rsid w:val="00B77766"/>
    <w:rsid w:val="00B778E1"/>
    <w:rsid w:val="00B77B5F"/>
    <w:rsid w:val="00B77BD5"/>
    <w:rsid w:val="00B800C7"/>
    <w:rsid w:val="00B8127E"/>
    <w:rsid w:val="00B818C9"/>
    <w:rsid w:val="00B81A69"/>
    <w:rsid w:val="00B82509"/>
    <w:rsid w:val="00B8260B"/>
    <w:rsid w:val="00B828BD"/>
    <w:rsid w:val="00B828FE"/>
    <w:rsid w:val="00B82BA8"/>
    <w:rsid w:val="00B8338A"/>
    <w:rsid w:val="00B8351C"/>
    <w:rsid w:val="00B83A22"/>
    <w:rsid w:val="00B8415F"/>
    <w:rsid w:val="00B8486A"/>
    <w:rsid w:val="00B8487A"/>
    <w:rsid w:val="00B84ABB"/>
    <w:rsid w:val="00B85074"/>
    <w:rsid w:val="00B857A1"/>
    <w:rsid w:val="00B859F8"/>
    <w:rsid w:val="00B859FE"/>
    <w:rsid w:val="00B862FA"/>
    <w:rsid w:val="00B86366"/>
    <w:rsid w:val="00B864A9"/>
    <w:rsid w:val="00B8666C"/>
    <w:rsid w:val="00B86D42"/>
    <w:rsid w:val="00B86F2D"/>
    <w:rsid w:val="00B87779"/>
    <w:rsid w:val="00B87825"/>
    <w:rsid w:val="00B87A6F"/>
    <w:rsid w:val="00B87A96"/>
    <w:rsid w:val="00B87ACF"/>
    <w:rsid w:val="00B87C29"/>
    <w:rsid w:val="00B87FBA"/>
    <w:rsid w:val="00B904BA"/>
    <w:rsid w:val="00B907AF"/>
    <w:rsid w:val="00B90B26"/>
    <w:rsid w:val="00B91122"/>
    <w:rsid w:val="00B913B0"/>
    <w:rsid w:val="00B91499"/>
    <w:rsid w:val="00B91712"/>
    <w:rsid w:val="00B91A18"/>
    <w:rsid w:val="00B91AFE"/>
    <w:rsid w:val="00B92AB7"/>
    <w:rsid w:val="00B92E60"/>
    <w:rsid w:val="00B92F98"/>
    <w:rsid w:val="00B93959"/>
    <w:rsid w:val="00B93C52"/>
    <w:rsid w:val="00B94214"/>
    <w:rsid w:val="00B9508F"/>
    <w:rsid w:val="00B95993"/>
    <w:rsid w:val="00B95E62"/>
    <w:rsid w:val="00B967D4"/>
    <w:rsid w:val="00B969B9"/>
    <w:rsid w:val="00B970B2"/>
    <w:rsid w:val="00B972B9"/>
    <w:rsid w:val="00BA0653"/>
    <w:rsid w:val="00BA0DBA"/>
    <w:rsid w:val="00BA0FBD"/>
    <w:rsid w:val="00BA1169"/>
    <w:rsid w:val="00BA12AF"/>
    <w:rsid w:val="00BA1821"/>
    <w:rsid w:val="00BA22F6"/>
    <w:rsid w:val="00BA2600"/>
    <w:rsid w:val="00BA2B04"/>
    <w:rsid w:val="00BA2F41"/>
    <w:rsid w:val="00BA2F7F"/>
    <w:rsid w:val="00BA305C"/>
    <w:rsid w:val="00BA33D6"/>
    <w:rsid w:val="00BA352A"/>
    <w:rsid w:val="00BA3929"/>
    <w:rsid w:val="00BA3A6E"/>
    <w:rsid w:val="00BA41E6"/>
    <w:rsid w:val="00BA436B"/>
    <w:rsid w:val="00BA4392"/>
    <w:rsid w:val="00BA46E6"/>
    <w:rsid w:val="00BA47D8"/>
    <w:rsid w:val="00BA4A7F"/>
    <w:rsid w:val="00BA4B40"/>
    <w:rsid w:val="00BA4E9C"/>
    <w:rsid w:val="00BA50D7"/>
    <w:rsid w:val="00BA56D3"/>
    <w:rsid w:val="00BA5C90"/>
    <w:rsid w:val="00BA5D26"/>
    <w:rsid w:val="00BA5E9F"/>
    <w:rsid w:val="00BA61F8"/>
    <w:rsid w:val="00BA6363"/>
    <w:rsid w:val="00BA64C8"/>
    <w:rsid w:val="00BA6C78"/>
    <w:rsid w:val="00BA6F6F"/>
    <w:rsid w:val="00BA7064"/>
    <w:rsid w:val="00BA7371"/>
    <w:rsid w:val="00BB076A"/>
    <w:rsid w:val="00BB1440"/>
    <w:rsid w:val="00BB16A8"/>
    <w:rsid w:val="00BB1BA4"/>
    <w:rsid w:val="00BB1E81"/>
    <w:rsid w:val="00BB216C"/>
    <w:rsid w:val="00BB236D"/>
    <w:rsid w:val="00BB3076"/>
    <w:rsid w:val="00BB34C4"/>
    <w:rsid w:val="00BB3755"/>
    <w:rsid w:val="00BB434E"/>
    <w:rsid w:val="00BB44B8"/>
    <w:rsid w:val="00BB4E69"/>
    <w:rsid w:val="00BB5164"/>
    <w:rsid w:val="00BB5191"/>
    <w:rsid w:val="00BB52CE"/>
    <w:rsid w:val="00BB5384"/>
    <w:rsid w:val="00BB5F1A"/>
    <w:rsid w:val="00BB6526"/>
    <w:rsid w:val="00BB69F3"/>
    <w:rsid w:val="00BB6F20"/>
    <w:rsid w:val="00BB7467"/>
    <w:rsid w:val="00BB7D13"/>
    <w:rsid w:val="00BB7D2C"/>
    <w:rsid w:val="00BC1700"/>
    <w:rsid w:val="00BC1BE9"/>
    <w:rsid w:val="00BC1D31"/>
    <w:rsid w:val="00BC255A"/>
    <w:rsid w:val="00BC25BB"/>
    <w:rsid w:val="00BC2766"/>
    <w:rsid w:val="00BC2B5B"/>
    <w:rsid w:val="00BC328B"/>
    <w:rsid w:val="00BC3409"/>
    <w:rsid w:val="00BC3410"/>
    <w:rsid w:val="00BC3638"/>
    <w:rsid w:val="00BC3FD1"/>
    <w:rsid w:val="00BC40E2"/>
    <w:rsid w:val="00BC4AA2"/>
    <w:rsid w:val="00BC5107"/>
    <w:rsid w:val="00BC5738"/>
    <w:rsid w:val="00BC574A"/>
    <w:rsid w:val="00BC5A98"/>
    <w:rsid w:val="00BC5B32"/>
    <w:rsid w:val="00BC67B4"/>
    <w:rsid w:val="00BC687D"/>
    <w:rsid w:val="00BC6A00"/>
    <w:rsid w:val="00BC70C5"/>
    <w:rsid w:val="00BC7449"/>
    <w:rsid w:val="00BD0176"/>
    <w:rsid w:val="00BD0543"/>
    <w:rsid w:val="00BD06DF"/>
    <w:rsid w:val="00BD09E8"/>
    <w:rsid w:val="00BD0CFB"/>
    <w:rsid w:val="00BD1325"/>
    <w:rsid w:val="00BD13DA"/>
    <w:rsid w:val="00BD1C05"/>
    <w:rsid w:val="00BD1C3D"/>
    <w:rsid w:val="00BD2127"/>
    <w:rsid w:val="00BD212F"/>
    <w:rsid w:val="00BD23D6"/>
    <w:rsid w:val="00BD2595"/>
    <w:rsid w:val="00BD2B10"/>
    <w:rsid w:val="00BD359D"/>
    <w:rsid w:val="00BD38EF"/>
    <w:rsid w:val="00BD3A81"/>
    <w:rsid w:val="00BD421F"/>
    <w:rsid w:val="00BD43FB"/>
    <w:rsid w:val="00BD4448"/>
    <w:rsid w:val="00BD4926"/>
    <w:rsid w:val="00BD4EC5"/>
    <w:rsid w:val="00BD4FD9"/>
    <w:rsid w:val="00BD5252"/>
    <w:rsid w:val="00BD5E12"/>
    <w:rsid w:val="00BD6129"/>
    <w:rsid w:val="00BD6297"/>
    <w:rsid w:val="00BD65A3"/>
    <w:rsid w:val="00BD691E"/>
    <w:rsid w:val="00BD7059"/>
    <w:rsid w:val="00BD7659"/>
    <w:rsid w:val="00BD7A3E"/>
    <w:rsid w:val="00BD7C9E"/>
    <w:rsid w:val="00BE03E6"/>
    <w:rsid w:val="00BE05D4"/>
    <w:rsid w:val="00BE144E"/>
    <w:rsid w:val="00BE216E"/>
    <w:rsid w:val="00BE23E2"/>
    <w:rsid w:val="00BE24EA"/>
    <w:rsid w:val="00BE2657"/>
    <w:rsid w:val="00BE2746"/>
    <w:rsid w:val="00BE2A51"/>
    <w:rsid w:val="00BE2B22"/>
    <w:rsid w:val="00BE2F8A"/>
    <w:rsid w:val="00BE303F"/>
    <w:rsid w:val="00BE36D3"/>
    <w:rsid w:val="00BE3AF4"/>
    <w:rsid w:val="00BE3B7B"/>
    <w:rsid w:val="00BE3E20"/>
    <w:rsid w:val="00BE42B9"/>
    <w:rsid w:val="00BE4619"/>
    <w:rsid w:val="00BE4D49"/>
    <w:rsid w:val="00BE5905"/>
    <w:rsid w:val="00BE5ABD"/>
    <w:rsid w:val="00BE5C28"/>
    <w:rsid w:val="00BE5FFB"/>
    <w:rsid w:val="00BE617E"/>
    <w:rsid w:val="00BE61FF"/>
    <w:rsid w:val="00BE6330"/>
    <w:rsid w:val="00BE6549"/>
    <w:rsid w:val="00BE65AE"/>
    <w:rsid w:val="00BE6902"/>
    <w:rsid w:val="00BE6E7E"/>
    <w:rsid w:val="00BE6EA7"/>
    <w:rsid w:val="00BE73C4"/>
    <w:rsid w:val="00BE7C64"/>
    <w:rsid w:val="00BF0155"/>
    <w:rsid w:val="00BF03EF"/>
    <w:rsid w:val="00BF0B4E"/>
    <w:rsid w:val="00BF1AB7"/>
    <w:rsid w:val="00BF2899"/>
    <w:rsid w:val="00BF28D8"/>
    <w:rsid w:val="00BF3286"/>
    <w:rsid w:val="00BF3852"/>
    <w:rsid w:val="00BF3960"/>
    <w:rsid w:val="00BF39B7"/>
    <w:rsid w:val="00BF3D12"/>
    <w:rsid w:val="00BF427C"/>
    <w:rsid w:val="00BF42B3"/>
    <w:rsid w:val="00BF48E8"/>
    <w:rsid w:val="00BF59FF"/>
    <w:rsid w:val="00BF5D91"/>
    <w:rsid w:val="00BF633C"/>
    <w:rsid w:val="00BF6754"/>
    <w:rsid w:val="00BF6A67"/>
    <w:rsid w:val="00BF6BC7"/>
    <w:rsid w:val="00BF74DA"/>
    <w:rsid w:val="00BF7FB3"/>
    <w:rsid w:val="00C00759"/>
    <w:rsid w:val="00C00825"/>
    <w:rsid w:val="00C00B11"/>
    <w:rsid w:val="00C00B4A"/>
    <w:rsid w:val="00C013EE"/>
    <w:rsid w:val="00C017FB"/>
    <w:rsid w:val="00C019DB"/>
    <w:rsid w:val="00C02215"/>
    <w:rsid w:val="00C02283"/>
    <w:rsid w:val="00C02896"/>
    <w:rsid w:val="00C02C66"/>
    <w:rsid w:val="00C02DB0"/>
    <w:rsid w:val="00C03161"/>
    <w:rsid w:val="00C031EA"/>
    <w:rsid w:val="00C0371C"/>
    <w:rsid w:val="00C0388E"/>
    <w:rsid w:val="00C03DB5"/>
    <w:rsid w:val="00C04129"/>
    <w:rsid w:val="00C04191"/>
    <w:rsid w:val="00C04AAC"/>
    <w:rsid w:val="00C055ED"/>
    <w:rsid w:val="00C05830"/>
    <w:rsid w:val="00C0598B"/>
    <w:rsid w:val="00C05D59"/>
    <w:rsid w:val="00C05EFC"/>
    <w:rsid w:val="00C0702D"/>
    <w:rsid w:val="00C0706E"/>
    <w:rsid w:val="00C101D4"/>
    <w:rsid w:val="00C101D9"/>
    <w:rsid w:val="00C10A1C"/>
    <w:rsid w:val="00C10B5F"/>
    <w:rsid w:val="00C1179F"/>
    <w:rsid w:val="00C11F05"/>
    <w:rsid w:val="00C12600"/>
    <w:rsid w:val="00C12B9B"/>
    <w:rsid w:val="00C12C6A"/>
    <w:rsid w:val="00C12FD7"/>
    <w:rsid w:val="00C130C0"/>
    <w:rsid w:val="00C13455"/>
    <w:rsid w:val="00C143DF"/>
    <w:rsid w:val="00C14404"/>
    <w:rsid w:val="00C144A5"/>
    <w:rsid w:val="00C14C29"/>
    <w:rsid w:val="00C152DF"/>
    <w:rsid w:val="00C15912"/>
    <w:rsid w:val="00C15995"/>
    <w:rsid w:val="00C160C5"/>
    <w:rsid w:val="00C16571"/>
    <w:rsid w:val="00C16EDC"/>
    <w:rsid w:val="00C16FDA"/>
    <w:rsid w:val="00C174C8"/>
    <w:rsid w:val="00C17826"/>
    <w:rsid w:val="00C1792C"/>
    <w:rsid w:val="00C17B01"/>
    <w:rsid w:val="00C205EA"/>
    <w:rsid w:val="00C207CB"/>
    <w:rsid w:val="00C210EB"/>
    <w:rsid w:val="00C21BF0"/>
    <w:rsid w:val="00C21C4F"/>
    <w:rsid w:val="00C22036"/>
    <w:rsid w:val="00C221EB"/>
    <w:rsid w:val="00C226CA"/>
    <w:rsid w:val="00C22ECA"/>
    <w:rsid w:val="00C234AC"/>
    <w:rsid w:val="00C23AFD"/>
    <w:rsid w:val="00C23BB6"/>
    <w:rsid w:val="00C23BF9"/>
    <w:rsid w:val="00C24A52"/>
    <w:rsid w:val="00C25973"/>
    <w:rsid w:val="00C25CC1"/>
    <w:rsid w:val="00C26020"/>
    <w:rsid w:val="00C2609F"/>
    <w:rsid w:val="00C26990"/>
    <w:rsid w:val="00C26A0E"/>
    <w:rsid w:val="00C26BB3"/>
    <w:rsid w:val="00C26C56"/>
    <w:rsid w:val="00C270C2"/>
    <w:rsid w:val="00C2736D"/>
    <w:rsid w:val="00C30730"/>
    <w:rsid w:val="00C30E56"/>
    <w:rsid w:val="00C310AD"/>
    <w:rsid w:val="00C312F7"/>
    <w:rsid w:val="00C31CBE"/>
    <w:rsid w:val="00C321A5"/>
    <w:rsid w:val="00C327DD"/>
    <w:rsid w:val="00C32953"/>
    <w:rsid w:val="00C3296F"/>
    <w:rsid w:val="00C33039"/>
    <w:rsid w:val="00C33105"/>
    <w:rsid w:val="00C33119"/>
    <w:rsid w:val="00C333CD"/>
    <w:rsid w:val="00C336D7"/>
    <w:rsid w:val="00C33A3F"/>
    <w:rsid w:val="00C33DC0"/>
    <w:rsid w:val="00C33F2A"/>
    <w:rsid w:val="00C344B2"/>
    <w:rsid w:val="00C350DF"/>
    <w:rsid w:val="00C364A0"/>
    <w:rsid w:val="00C364E6"/>
    <w:rsid w:val="00C36CB3"/>
    <w:rsid w:val="00C36FE6"/>
    <w:rsid w:val="00C371CB"/>
    <w:rsid w:val="00C37433"/>
    <w:rsid w:val="00C3791F"/>
    <w:rsid w:val="00C37EB0"/>
    <w:rsid w:val="00C37EF0"/>
    <w:rsid w:val="00C403FC"/>
    <w:rsid w:val="00C405FD"/>
    <w:rsid w:val="00C408EF"/>
    <w:rsid w:val="00C41185"/>
    <w:rsid w:val="00C41BAA"/>
    <w:rsid w:val="00C41C38"/>
    <w:rsid w:val="00C42102"/>
    <w:rsid w:val="00C422D0"/>
    <w:rsid w:val="00C42A07"/>
    <w:rsid w:val="00C42D45"/>
    <w:rsid w:val="00C4328E"/>
    <w:rsid w:val="00C43491"/>
    <w:rsid w:val="00C43986"/>
    <w:rsid w:val="00C43C7F"/>
    <w:rsid w:val="00C4415B"/>
    <w:rsid w:val="00C4445C"/>
    <w:rsid w:val="00C44A36"/>
    <w:rsid w:val="00C45313"/>
    <w:rsid w:val="00C45578"/>
    <w:rsid w:val="00C456A8"/>
    <w:rsid w:val="00C457D7"/>
    <w:rsid w:val="00C45A3D"/>
    <w:rsid w:val="00C45BDD"/>
    <w:rsid w:val="00C45D15"/>
    <w:rsid w:val="00C474DC"/>
    <w:rsid w:val="00C474F9"/>
    <w:rsid w:val="00C47A53"/>
    <w:rsid w:val="00C502B6"/>
    <w:rsid w:val="00C5059F"/>
    <w:rsid w:val="00C509C7"/>
    <w:rsid w:val="00C50E74"/>
    <w:rsid w:val="00C50F99"/>
    <w:rsid w:val="00C50FA8"/>
    <w:rsid w:val="00C5101D"/>
    <w:rsid w:val="00C5174B"/>
    <w:rsid w:val="00C51830"/>
    <w:rsid w:val="00C519A4"/>
    <w:rsid w:val="00C51DAB"/>
    <w:rsid w:val="00C52581"/>
    <w:rsid w:val="00C528BA"/>
    <w:rsid w:val="00C52D89"/>
    <w:rsid w:val="00C53B63"/>
    <w:rsid w:val="00C5487B"/>
    <w:rsid w:val="00C54B2A"/>
    <w:rsid w:val="00C54D0E"/>
    <w:rsid w:val="00C54E64"/>
    <w:rsid w:val="00C55310"/>
    <w:rsid w:val="00C553E6"/>
    <w:rsid w:val="00C555A7"/>
    <w:rsid w:val="00C55989"/>
    <w:rsid w:val="00C56945"/>
    <w:rsid w:val="00C56FEE"/>
    <w:rsid w:val="00C57877"/>
    <w:rsid w:val="00C57D82"/>
    <w:rsid w:val="00C600DD"/>
    <w:rsid w:val="00C60291"/>
    <w:rsid w:val="00C60337"/>
    <w:rsid w:val="00C60368"/>
    <w:rsid w:val="00C6038D"/>
    <w:rsid w:val="00C60597"/>
    <w:rsid w:val="00C60A36"/>
    <w:rsid w:val="00C60BA1"/>
    <w:rsid w:val="00C60E18"/>
    <w:rsid w:val="00C6118A"/>
    <w:rsid w:val="00C61606"/>
    <w:rsid w:val="00C618A1"/>
    <w:rsid w:val="00C61B76"/>
    <w:rsid w:val="00C62CA9"/>
    <w:rsid w:val="00C63521"/>
    <w:rsid w:val="00C64068"/>
    <w:rsid w:val="00C64232"/>
    <w:rsid w:val="00C6471E"/>
    <w:rsid w:val="00C651E2"/>
    <w:rsid w:val="00C65CFC"/>
    <w:rsid w:val="00C6622E"/>
    <w:rsid w:val="00C664D4"/>
    <w:rsid w:val="00C66704"/>
    <w:rsid w:val="00C66E41"/>
    <w:rsid w:val="00C66F11"/>
    <w:rsid w:val="00C67E4A"/>
    <w:rsid w:val="00C705D5"/>
    <w:rsid w:val="00C7062C"/>
    <w:rsid w:val="00C70B0A"/>
    <w:rsid w:val="00C70B6E"/>
    <w:rsid w:val="00C70D30"/>
    <w:rsid w:val="00C70D6C"/>
    <w:rsid w:val="00C71A26"/>
    <w:rsid w:val="00C71A2B"/>
    <w:rsid w:val="00C71D6E"/>
    <w:rsid w:val="00C72B94"/>
    <w:rsid w:val="00C72E56"/>
    <w:rsid w:val="00C7356A"/>
    <w:rsid w:val="00C737A1"/>
    <w:rsid w:val="00C7380A"/>
    <w:rsid w:val="00C738A9"/>
    <w:rsid w:val="00C73AED"/>
    <w:rsid w:val="00C741C7"/>
    <w:rsid w:val="00C744B4"/>
    <w:rsid w:val="00C74AA3"/>
    <w:rsid w:val="00C74DF6"/>
    <w:rsid w:val="00C7513B"/>
    <w:rsid w:val="00C75286"/>
    <w:rsid w:val="00C7551E"/>
    <w:rsid w:val="00C7613D"/>
    <w:rsid w:val="00C763FA"/>
    <w:rsid w:val="00C76B9B"/>
    <w:rsid w:val="00C76C9D"/>
    <w:rsid w:val="00C77731"/>
    <w:rsid w:val="00C804C0"/>
    <w:rsid w:val="00C80C14"/>
    <w:rsid w:val="00C80CCC"/>
    <w:rsid w:val="00C80D6F"/>
    <w:rsid w:val="00C81376"/>
    <w:rsid w:val="00C81389"/>
    <w:rsid w:val="00C818BD"/>
    <w:rsid w:val="00C81B19"/>
    <w:rsid w:val="00C81C38"/>
    <w:rsid w:val="00C82B6D"/>
    <w:rsid w:val="00C82BC7"/>
    <w:rsid w:val="00C82F46"/>
    <w:rsid w:val="00C83704"/>
    <w:rsid w:val="00C83B9E"/>
    <w:rsid w:val="00C83C7C"/>
    <w:rsid w:val="00C83E6D"/>
    <w:rsid w:val="00C84099"/>
    <w:rsid w:val="00C84165"/>
    <w:rsid w:val="00C845D4"/>
    <w:rsid w:val="00C8461C"/>
    <w:rsid w:val="00C84AFE"/>
    <w:rsid w:val="00C855DB"/>
    <w:rsid w:val="00C85608"/>
    <w:rsid w:val="00C856CF"/>
    <w:rsid w:val="00C85C35"/>
    <w:rsid w:val="00C8679E"/>
    <w:rsid w:val="00C8696B"/>
    <w:rsid w:val="00C8698C"/>
    <w:rsid w:val="00C86BE1"/>
    <w:rsid w:val="00C86E8F"/>
    <w:rsid w:val="00C87036"/>
    <w:rsid w:val="00C8788D"/>
    <w:rsid w:val="00C87CFB"/>
    <w:rsid w:val="00C87E3E"/>
    <w:rsid w:val="00C87ED8"/>
    <w:rsid w:val="00C87EFD"/>
    <w:rsid w:val="00C87F30"/>
    <w:rsid w:val="00C9098E"/>
    <w:rsid w:val="00C90E06"/>
    <w:rsid w:val="00C90F0A"/>
    <w:rsid w:val="00C91201"/>
    <w:rsid w:val="00C913E4"/>
    <w:rsid w:val="00C91D1D"/>
    <w:rsid w:val="00C91ED9"/>
    <w:rsid w:val="00C9216D"/>
    <w:rsid w:val="00C92466"/>
    <w:rsid w:val="00C92BA7"/>
    <w:rsid w:val="00C92EC9"/>
    <w:rsid w:val="00C93562"/>
    <w:rsid w:val="00C93B8A"/>
    <w:rsid w:val="00C9425A"/>
    <w:rsid w:val="00C94465"/>
    <w:rsid w:val="00C94F86"/>
    <w:rsid w:val="00C95124"/>
    <w:rsid w:val="00C95439"/>
    <w:rsid w:val="00C954F8"/>
    <w:rsid w:val="00C956A0"/>
    <w:rsid w:val="00C96359"/>
    <w:rsid w:val="00C96510"/>
    <w:rsid w:val="00C966DB"/>
    <w:rsid w:val="00C96A5E"/>
    <w:rsid w:val="00C96BDD"/>
    <w:rsid w:val="00C970C5"/>
    <w:rsid w:val="00C97420"/>
    <w:rsid w:val="00C97AEB"/>
    <w:rsid w:val="00CA01A7"/>
    <w:rsid w:val="00CA0459"/>
    <w:rsid w:val="00CA0542"/>
    <w:rsid w:val="00CA0589"/>
    <w:rsid w:val="00CA1777"/>
    <w:rsid w:val="00CA1A28"/>
    <w:rsid w:val="00CA1C5B"/>
    <w:rsid w:val="00CA24EC"/>
    <w:rsid w:val="00CA25F6"/>
    <w:rsid w:val="00CA2B76"/>
    <w:rsid w:val="00CA2D98"/>
    <w:rsid w:val="00CA2DEC"/>
    <w:rsid w:val="00CA3BD0"/>
    <w:rsid w:val="00CA3E98"/>
    <w:rsid w:val="00CA3EE9"/>
    <w:rsid w:val="00CA469B"/>
    <w:rsid w:val="00CA49CC"/>
    <w:rsid w:val="00CA49EE"/>
    <w:rsid w:val="00CA519A"/>
    <w:rsid w:val="00CA524C"/>
    <w:rsid w:val="00CA527B"/>
    <w:rsid w:val="00CA5713"/>
    <w:rsid w:val="00CA5899"/>
    <w:rsid w:val="00CA5B3E"/>
    <w:rsid w:val="00CA5C0A"/>
    <w:rsid w:val="00CA5D68"/>
    <w:rsid w:val="00CA6A96"/>
    <w:rsid w:val="00CA6D57"/>
    <w:rsid w:val="00CA6E2D"/>
    <w:rsid w:val="00CA7083"/>
    <w:rsid w:val="00CA7585"/>
    <w:rsid w:val="00CA7924"/>
    <w:rsid w:val="00CA7997"/>
    <w:rsid w:val="00CA79FB"/>
    <w:rsid w:val="00CA7C69"/>
    <w:rsid w:val="00CA7D07"/>
    <w:rsid w:val="00CB044F"/>
    <w:rsid w:val="00CB0882"/>
    <w:rsid w:val="00CB14EF"/>
    <w:rsid w:val="00CB1861"/>
    <w:rsid w:val="00CB1A97"/>
    <w:rsid w:val="00CB23D8"/>
    <w:rsid w:val="00CB250A"/>
    <w:rsid w:val="00CB25B8"/>
    <w:rsid w:val="00CB261C"/>
    <w:rsid w:val="00CB2E9B"/>
    <w:rsid w:val="00CB309F"/>
    <w:rsid w:val="00CB348A"/>
    <w:rsid w:val="00CB3901"/>
    <w:rsid w:val="00CB39F0"/>
    <w:rsid w:val="00CB3AAB"/>
    <w:rsid w:val="00CB3D14"/>
    <w:rsid w:val="00CB3D33"/>
    <w:rsid w:val="00CB3DD1"/>
    <w:rsid w:val="00CB418D"/>
    <w:rsid w:val="00CB5118"/>
    <w:rsid w:val="00CB5143"/>
    <w:rsid w:val="00CB576B"/>
    <w:rsid w:val="00CB5801"/>
    <w:rsid w:val="00CB5815"/>
    <w:rsid w:val="00CB5E1B"/>
    <w:rsid w:val="00CB5E80"/>
    <w:rsid w:val="00CB63C0"/>
    <w:rsid w:val="00CB6A1D"/>
    <w:rsid w:val="00CB7ADF"/>
    <w:rsid w:val="00CC0278"/>
    <w:rsid w:val="00CC03A3"/>
    <w:rsid w:val="00CC0419"/>
    <w:rsid w:val="00CC0D33"/>
    <w:rsid w:val="00CC10F2"/>
    <w:rsid w:val="00CC19BC"/>
    <w:rsid w:val="00CC2316"/>
    <w:rsid w:val="00CC2462"/>
    <w:rsid w:val="00CC26B1"/>
    <w:rsid w:val="00CC2A4F"/>
    <w:rsid w:val="00CC2D89"/>
    <w:rsid w:val="00CC2E64"/>
    <w:rsid w:val="00CC2FB1"/>
    <w:rsid w:val="00CC330E"/>
    <w:rsid w:val="00CC37E4"/>
    <w:rsid w:val="00CC4080"/>
    <w:rsid w:val="00CC41A0"/>
    <w:rsid w:val="00CC43B0"/>
    <w:rsid w:val="00CC55E2"/>
    <w:rsid w:val="00CC5816"/>
    <w:rsid w:val="00CC5B01"/>
    <w:rsid w:val="00CC5B4F"/>
    <w:rsid w:val="00CC60E8"/>
    <w:rsid w:val="00CC611A"/>
    <w:rsid w:val="00CC633B"/>
    <w:rsid w:val="00CC720B"/>
    <w:rsid w:val="00CC7A6C"/>
    <w:rsid w:val="00CC7A8E"/>
    <w:rsid w:val="00CC7BD0"/>
    <w:rsid w:val="00CC7BF2"/>
    <w:rsid w:val="00CC7C7A"/>
    <w:rsid w:val="00CD0491"/>
    <w:rsid w:val="00CD1AAB"/>
    <w:rsid w:val="00CD1DAA"/>
    <w:rsid w:val="00CD1E2B"/>
    <w:rsid w:val="00CD220F"/>
    <w:rsid w:val="00CD25BE"/>
    <w:rsid w:val="00CD268A"/>
    <w:rsid w:val="00CD2798"/>
    <w:rsid w:val="00CD2A10"/>
    <w:rsid w:val="00CD2DC5"/>
    <w:rsid w:val="00CD31DB"/>
    <w:rsid w:val="00CD3ED3"/>
    <w:rsid w:val="00CD4C62"/>
    <w:rsid w:val="00CD4E5E"/>
    <w:rsid w:val="00CD55B4"/>
    <w:rsid w:val="00CD5C5D"/>
    <w:rsid w:val="00CD6091"/>
    <w:rsid w:val="00CD6106"/>
    <w:rsid w:val="00CD662F"/>
    <w:rsid w:val="00CD68E1"/>
    <w:rsid w:val="00CD762B"/>
    <w:rsid w:val="00CD79F2"/>
    <w:rsid w:val="00CD7BBA"/>
    <w:rsid w:val="00CD7DF6"/>
    <w:rsid w:val="00CE0012"/>
    <w:rsid w:val="00CE00F7"/>
    <w:rsid w:val="00CE1242"/>
    <w:rsid w:val="00CE1457"/>
    <w:rsid w:val="00CE1695"/>
    <w:rsid w:val="00CE1B57"/>
    <w:rsid w:val="00CE1DA6"/>
    <w:rsid w:val="00CE2089"/>
    <w:rsid w:val="00CE2234"/>
    <w:rsid w:val="00CE223F"/>
    <w:rsid w:val="00CE267F"/>
    <w:rsid w:val="00CE3452"/>
    <w:rsid w:val="00CE4204"/>
    <w:rsid w:val="00CE458F"/>
    <w:rsid w:val="00CE4609"/>
    <w:rsid w:val="00CE48F3"/>
    <w:rsid w:val="00CE550A"/>
    <w:rsid w:val="00CE56D8"/>
    <w:rsid w:val="00CE5BEE"/>
    <w:rsid w:val="00CE5C74"/>
    <w:rsid w:val="00CE6039"/>
    <w:rsid w:val="00CE6459"/>
    <w:rsid w:val="00CE681E"/>
    <w:rsid w:val="00CE722E"/>
    <w:rsid w:val="00CE796A"/>
    <w:rsid w:val="00CE7F87"/>
    <w:rsid w:val="00CF0235"/>
    <w:rsid w:val="00CF0494"/>
    <w:rsid w:val="00CF052F"/>
    <w:rsid w:val="00CF09C4"/>
    <w:rsid w:val="00CF0A15"/>
    <w:rsid w:val="00CF14F1"/>
    <w:rsid w:val="00CF1554"/>
    <w:rsid w:val="00CF1AEC"/>
    <w:rsid w:val="00CF20AA"/>
    <w:rsid w:val="00CF24BF"/>
    <w:rsid w:val="00CF2759"/>
    <w:rsid w:val="00CF27D2"/>
    <w:rsid w:val="00CF2A7F"/>
    <w:rsid w:val="00CF3512"/>
    <w:rsid w:val="00CF3622"/>
    <w:rsid w:val="00CF3682"/>
    <w:rsid w:val="00CF370F"/>
    <w:rsid w:val="00CF4366"/>
    <w:rsid w:val="00CF4390"/>
    <w:rsid w:val="00CF43E2"/>
    <w:rsid w:val="00CF4A0B"/>
    <w:rsid w:val="00CF4DB7"/>
    <w:rsid w:val="00CF52EE"/>
    <w:rsid w:val="00CF547B"/>
    <w:rsid w:val="00CF5A21"/>
    <w:rsid w:val="00CF6441"/>
    <w:rsid w:val="00CF691D"/>
    <w:rsid w:val="00CF7550"/>
    <w:rsid w:val="00CF78EF"/>
    <w:rsid w:val="00CF79A6"/>
    <w:rsid w:val="00D0006F"/>
    <w:rsid w:val="00D0030C"/>
    <w:rsid w:val="00D00518"/>
    <w:rsid w:val="00D009E8"/>
    <w:rsid w:val="00D011DA"/>
    <w:rsid w:val="00D0121F"/>
    <w:rsid w:val="00D01263"/>
    <w:rsid w:val="00D0164D"/>
    <w:rsid w:val="00D01D4C"/>
    <w:rsid w:val="00D0210F"/>
    <w:rsid w:val="00D021C3"/>
    <w:rsid w:val="00D02BA2"/>
    <w:rsid w:val="00D02CB3"/>
    <w:rsid w:val="00D02E95"/>
    <w:rsid w:val="00D03BDB"/>
    <w:rsid w:val="00D045F2"/>
    <w:rsid w:val="00D048AB"/>
    <w:rsid w:val="00D04B16"/>
    <w:rsid w:val="00D04D1E"/>
    <w:rsid w:val="00D04D99"/>
    <w:rsid w:val="00D054DB"/>
    <w:rsid w:val="00D05555"/>
    <w:rsid w:val="00D055CD"/>
    <w:rsid w:val="00D0581B"/>
    <w:rsid w:val="00D059E2"/>
    <w:rsid w:val="00D05A19"/>
    <w:rsid w:val="00D05CB9"/>
    <w:rsid w:val="00D05CBE"/>
    <w:rsid w:val="00D06817"/>
    <w:rsid w:val="00D0720E"/>
    <w:rsid w:val="00D104C5"/>
    <w:rsid w:val="00D10F07"/>
    <w:rsid w:val="00D113C7"/>
    <w:rsid w:val="00D113E7"/>
    <w:rsid w:val="00D1151B"/>
    <w:rsid w:val="00D1182B"/>
    <w:rsid w:val="00D11F74"/>
    <w:rsid w:val="00D12028"/>
    <w:rsid w:val="00D12D38"/>
    <w:rsid w:val="00D13258"/>
    <w:rsid w:val="00D136FB"/>
    <w:rsid w:val="00D1446E"/>
    <w:rsid w:val="00D146E2"/>
    <w:rsid w:val="00D14C55"/>
    <w:rsid w:val="00D15436"/>
    <w:rsid w:val="00D15A3A"/>
    <w:rsid w:val="00D15A9D"/>
    <w:rsid w:val="00D15F46"/>
    <w:rsid w:val="00D15F75"/>
    <w:rsid w:val="00D162D6"/>
    <w:rsid w:val="00D16961"/>
    <w:rsid w:val="00D16A3D"/>
    <w:rsid w:val="00D16BC4"/>
    <w:rsid w:val="00D16FEA"/>
    <w:rsid w:val="00D1710A"/>
    <w:rsid w:val="00D1771F"/>
    <w:rsid w:val="00D17842"/>
    <w:rsid w:val="00D1785D"/>
    <w:rsid w:val="00D179CE"/>
    <w:rsid w:val="00D17D8F"/>
    <w:rsid w:val="00D17EF4"/>
    <w:rsid w:val="00D17F9B"/>
    <w:rsid w:val="00D2043F"/>
    <w:rsid w:val="00D20443"/>
    <w:rsid w:val="00D20B19"/>
    <w:rsid w:val="00D2144E"/>
    <w:rsid w:val="00D217D7"/>
    <w:rsid w:val="00D22042"/>
    <w:rsid w:val="00D225F3"/>
    <w:rsid w:val="00D22A02"/>
    <w:rsid w:val="00D23720"/>
    <w:rsid w:val="00D23996"/>
    <w:rsid w:val="00D23FFB"/>
    <w:rsid w:val="00D2402C"/>
    <w:rsid w:val="00D2491A"/>
    <w:rsid w:val="00D2503A"/>
    <w:rsid w:val="00D251BE"/>
    <w:rsid w:val="00D2543F"/>
    <w:rsid w:val="00D25848"/>
    <w:rsid w:val="00D25DD9"/>
    <w:rsid w:val="00D264AB"/>
    <w:rsid w:val="00D26F22"/>
    <w:rsid w:val="00D274C2"/>
    <w:rsid w:val="00D27526"/>
    <w:rsid w:val="00D277A6"/>
    <w:rsid w:val="00D30507"/>
    <w:rsid w:val="00D31371"/>
    <w:rsid w:val="00D3178A"/>
    <w:rsid w:val="00D31D4C"/>
    <w:rsid w:val="00D320A3"/>
    <w:rsid w:val="00D3242D"/>
    <w:rsid w:val="00D3262D"/>
    <w:rsid w:val="00D32AD8"/>
    <w:rsid w:val="00D32DE2"/>
    <w:rsid w:val="00D32EA9"/>
    <w:rsid w:val="00D3348C"/>
    <w:rsid w:val="00D33568"/>
    <w:rsid w:val="00D338C2"/>
    <w:rsid w:val="00D339F1"/>
    <w:rsid w:val="00D33E5E"/>
    <w:rsid w:val="00D343EE"/>
    <w:rsid w:val="00D34583"/>
    <w:rsid w:val="00D347D7"/>
    <w:rsid w:val="00D34A09"/>
    <w:rsid w:val="00D34D00"/>
    <w:rsid w:val="00D34F7F"/>
    <w:rsid w:val="00D350A9"/>
    <w:rsid w:val="00D356AD"/>
    <w:rsid w:val="00D35C59"/>
    <w:rsid w:val="00D36095"/>
    <w:rsid w:val="00D3631C"/>
    <w:rsid w:val="00D36596"/>
    <w:rsid w:val="00D36916"/>
    <w:rsid w:val="00D3708C"/>
    <w:rsid w:val="00D3708E"/>
    <w:rsid w:val="00D37158"/>
    <w:rsid w:val="00D37512"/>
    <w:rsid w:val="00D37876"/>
    <w:rsid w:val="00D40185"/>
    <w:rsid w:val="00D406DC"/>
    <w:rsid w:val="00D40E66"/>
    <w:rsid w:val="00D411EA"/>
    <w:rsid w:val="00D41423"/>
    <w:rsid w:val="00D41C8E"/>
    <w:rsid w:val="00D41DB6"/>
    <w:rsid w:val="00D424F4"/>
    <w:rsid w:val="00D42A62"/>
    <w:rsid w:val="00D42AFB"/>
    <w:rsid w:val="00D4317C"/>
    <w:rsid w:val="00D434F6"/>
    <w:rsid w:val="00D4377C"/>
    <w:rsid w:val="00D43C3F"/>
    <w:rsid w:val="00D44276"/>
    <w:rsid w:val="00D44587"/>
    <w:rsid w:val="00D44F8A"/>
    <w:rsid w:val="00D452A2"/>
    <w:rsid w:val="00D45417"/>
    <w:rsid w:val="00D4580A"/>
    <w:rsid w:val="00D45AB6"/>
    <w:rsid w:val="00D45BC1"/>
    <w:rsid w:val="00D45E73"/>
    <w:rsid w:val="00D461C2"/>
    <w:rsid w:val="00D46ABD"/>
    <w:rsid w:val="00D4746B"/>
    <w:rsid w:val="00D47550"/>
    <w:rsid w:val="00D478ED"/>
    <w:rsid w:val="00D47BCF"/>
    <w:rsid w:val="00D504F4"/>
    <w:rsid w:val="00D50A8C"/>
    <w:rsid w:val="00D50E5B"/>
    <w:rsid w:val="00D50FF0"/>
    <w:rsid w:val="00D5107F"/>
    <w:rsid w:val="00D51927"/>
    <w:rsid w:val="00D51A34"/>
    <w:rsid w:val="00D51AD2"/>
    <w:rsid w:val="00D52113"/>
    <w:rsid w:val="00D53019"/>
    <w:rsid w:val="00D5438C"/>
    <w:rsid w:val="00D545E0"/>
    <w:rsid w:val="00D547CC"/>
    <w:rsid w:val="00D55187"/>
    <w:rsid w:val="00D55225"/>
    <w:rsid w:val="00D55347"/>
    <w:rsid w:val="00D553B8"/>
    <w:rsid w:val="00D553EE"/>
    <w:rsid w:val="00D558EC"/>
    <w:rsid w:val="00D55BA0"/>
    <w:rsid w:val="00D560F6"/>
    <w:rsid w:val="00D56283"/>
    <w:rsid w:val="00D56428"/>
    <w:rsid w:val="00D56A51"/>
    <w:rsid w:val="00D56E54"/>
    <w:rsid w:val="00D571AE"/>
    <w:rsid w:val="00D57EFC"/>
    <w:rsid w:val="00D6009A"/>
    <w:rsid w:val="00D60DEA"/>
    <w:rsid w:val="00D61221"/>
    <w:rsid w:val="00D61E1C"/>
    <w:rsid w:val="00D6270B"/>
    <w:rsid w:val="00D628BD"/>
    <w:rsid w:val="00D62B0D"/>
    <w:rsid w:val="00D62DA5"/>
    <w:rsid w:val="00D6324B"/>
    <w:rsid w:val="00D632C9"/>
    <w:rsid w:val="00D63952"/>
    <w:rsid w:val="00D63B5C"/>
    <w:rsid w:val="00D64549"/>
    <w:rsid w:val="00D65899"/>
    <w:rsid w:val="00D65B43"/>
    <w:rsid w:val="00D65E90"/>
    <w:rsid w:val="00D65EC0"/>
    <w:rsid w:val="00D66AC7"/>
    <w:rsid w:val="00D672CF"/>
    <w:rsid w:val="00D701F1"/>
    <w:rsid w:val="00D7028F"/>
    <w:rsid w:val="00D702FA"/>
    <w:rsid w:val="00D706F9"/>
    <w:rsid w:val="00D70BE9"/>
    <w:rsid w:val="00D71005"/>
    <w:rsid w:val="00D7174C"/>
    <w:rsid w:val="00D71CF4"/>
    <w:rsid w:val="00D71E06"/>
    <w:rsid w:val="00D72265"/>
    <w:rsid w:val="00D7242A"/>
    <w:rsid w:val="00D72627"/>
    <w:rsid w:val="00D72BC0"/>
    <w:rsid w:val="00D72C72"/>
    <w:rsid w:val="00D72E56"/>
    <w:rsid w:val="00D72FD2"/>
    <w:rsid w:val="00D73343"/>
    <w:rsid w:val="00D736DE"/>
    <w:rsid w:val="00D7439C"/>
    <w:rsid w:val="00D74598"/>
    <w:rsid w:val="00D74FB6"/>
    <w:rsid w:val="00D7542E"/>
    <w:rsid w:val="00D7555F"/>
    <w:rsid w:val="00D757B4"/>
    <w:rsid w:val="00D757E3"/>
    <w:rsid w:val="00D7598F"/>
    <w:rsid w:val="00D75CB1"/>
    <w:rsid w:val="00D764F5"/>
    <w:rsid w:val="00D76CEB"/>
    <w:rsid w:val="00D76F22"/>
    <w:rsid w:val="00D77148"/>
    <w:rsid w:val="00D7717F"/>
    <w:rsid w:val="00D772BF"/>
    <w:rsid w:val="00D779BA"/>
    <w:rsid w:val="00D779BE"/>
    <w:rsid w:val="00D77CF2"/>
    <w:rsid w:val="00D77F94"/>
    <w:rsid w:val="00D80A4C"/>
    <w:rsid w:val="00D80ABB"/>
    <w:rsid w:val="00D80BB0"/>
    <w:rsid w:val="00D80CED"/>
    <w:rsid w:val="00D80EE1"/>
    <w:rsid w:val="00D816E1"/>
    <w:rsid w:val="00D81B2C"/>
    <w:rsid w:val="00D8224A"/>
    <w:rsid w:val="00D82433"/>
    <w:rsid w:val="00D82BEC"/>
    <w:rsid w:val="00D82E05"/>
    <w:rsid w:val="00D82E5F"/>
    <w:rsid w:val="00D82EB7"/>
    <w:rsid w:val="00D82F4C"/>
    <w:rsid w:val="00D830E9"/>
    <w:rsid w:val="00D83541"/>
    <w:rsid w:val="00D838C1"/>
    <w:rsid w:val="00D83D89"/>
    <w:rsid w:val="00D841D5"/>
    <w:rsid w:val="00D842EF"/>
    <w:rsid w:val="00D847BD"/>
    <w:rsid w:val="00D85936"/>
    <w:rsid w:val="00D860C6"/>
    <w:rsid w:val="00D8674B"/>
    <w:rsid w:val="00D87458"/>
    <w:rsid w:val="00D8756A"/>
    <w:rsid w:val="00D877C6"/>
    <w:rsid w:val="00D87B59"/>
    <w:rsid w:val="00D90155"/>
    <w:rsid w:val="00D90259"/>
    <w:rsid w:val="00D9063C"/>
    <w:rsid w:val="00D90790"/>
    <w:rsid w:val="00D90FFF"/>
    <w:rsid w:val="00D9126E"/>
    <w:rsid w:val="00D9131C"/>
    <w:rsid w:val="00D91484"/>
    <w:rsid w:val="00D91D58"/>
    <w:rsid w:val="00D91E1F"/>
    <w:rsid w:val="00D92453"/>
    <w:rsid w:val="00D92F75"/>
    <w:rsid w:val="00D930A9"/>
    <w:rsid w:val="00D9357D"/>
    <w:rsid w:val="00D93DD3"/>
    <w:rsid w:val="00D94362"/>
    <w:rsid w:val="00D944D5"/>
    <w:rsid w:val="00D94848"/>
    <w:rsid w:val="00D94947"/>
    <w:rsid w:val="00D949E4"/>
    <w:rsid w:val="00D94A66"/>
    <w:rsid w:val="00D95217"/>
    <w:rsid w:val="00D95703"/>
    <w:rsid w:val="00D9575F"/>
    <w:rsid w:val="00D95B02"/>
    <w:rsid w:val="00D95CE8"/>
    <w:rsid w:val="00D96014"/>
    <w:rsid w:val="00D96A8B"/>
    <w:rsid w:val="00D9761E"/>
    <w:rsid w:val="00D97691"/>
    <w:rsid w:val="00D97981"/>
    <w:rsid w:val="00DA004D"/>
    <w:rsid w:val="00DA0093"/>
    <w:rsid w:val="00DA0158"/>
    <w:rsid w:val="00DA0D64"/>
    <w:rsid w:val="00DA134C"/>
    <w:rsid w:val="00DA1430"/>
    <w:rsid w:val="00DA15EB"/>
    <w:rsid w:val="00DA16A1"/>
    <w:rsid w:val="00DA1A9D"/>
    <w:rsid w:val="00DA1F4A"/>
    <w:rsid w:val="00DA2195"/>
    <w:rsid w:val="00DA2CDF"/>
    <w:rsid w:val="00DA2F78"/>
    <w:rsid w:val="00DA31FB"/>
    <w:rsid w:val="00DA33E4"/>
    <w:rsid w:val="00DA3FAE"/>
    <w:rsid w:val="00DA4B38"/>
    <w:rsid w:val="00DA4D41"/>
    <w:rsid w:val="00DA4EB3"/>
    <w:rsid w:val="00DA4EBD"/>
    <w:rsid w:val="00DA4FEE"/>
    <w:rsid w:val="00DA5217"/>
    <w:rsid w:val="00DA558B"/>
    <w:rsid w:val="00DA6298"/>
    <w:rsid w:val="00DA63EC"/>
    <w:rsid w:val="00DA6A74"/>
    <w:rsid w:val="00DA6B9F"/>
    <w:rsid w:val="00DA6DBB"/>
    <w:rsid w:val="00DA723A"/>
    <w:rsid w:val="00DA7D6B"/>
    <w:rsid w:val="00DA7FE3"/>
    <w:rsid w:val="00DB1191"/>
    <w:rsid w:val="00DB12E1"/>
    <w:rsid w:val="00DB1DB9"/>
    <w:rsid w:val="00DB201C"/>
    <w:rsid w:val="00DB216E"/>
    <w:rsid w:val="00DB28D7"/>
    <w:rsid w:val="00DB3098"/>
    <w:rsid w:val="00DB3D1A"/>
    <w:rsid w:val="00DB4597"/>
    <w:rsid w:val="00DB468B"/>
    <w:rsid w:val="00DB4C73"/>
    <w:rsid w:val="00DB4C76"/>
    <w:rsid w:val="00DB54A0"/>
    <w:rsid w:val="00DB5E3A"/>
    <w:rsid w:val="00DB5E71"/>
    <w:rsid w:val="00DB5FDC"/>
    <w:rsid w:val="00DB64E6"/>
    <w:rsid w:val="00DB660D"/>
    <w:rsid w:val="00DB67C5"/>
    <w:rsid w:val="00DB6CD4"/>
    <w:rsid w:val="00DB7026"/>
    <w:rsid w:val="00DB7472"/>
    <w:rsid w:val="00DB764D"/>
    <w:rsid w:val="00DB77FA"/>
    <w:rsid w:val="00DB7933"/>
    <w:rsid w:val="00DB7E2B"/>
    <w:rsid w:val="00DC081D"/>
    <w:rsid w:val="00DC0DD3"/>
    <w:rsid w:val="00DC132C"/>
    <w:rsid w:val="00DC1AF6"/>
    <w:rsid w:val="00DC1B85"/>
    <w:rsid w:val="00DC1F9A"/>
    <w:rsid w:val="00DC2CC4"/>
    <w:rsid w:val="00DC2F19"/>
    <w:rsid w:val="00DC2FDE"/>
    <w:rsid w:val="00DC32E5"/>
    <w:rsid w:val="00DC3B14"/>
    <w:rsid w:val="00DC3D35"/>
    <w:rsid w:val="00DC4697"/>
    <w:rsid w:val="00DC4BEB"/>
    <w:rsid w:val="00DC4CCC"/>
    <w:rsid w:val="00DC4E95"/>
    <w:rsid w:val="00DC54FD"/>
    <w:rsid w:val="00DC670D"/>
    <w:rsid w:val="00DC6B6D"/>
    <w:rsid w:val="00DD06E0"/>
    <w:rsid w:val="00DD0C88"/>
    <w:rsid w:val="00DD0F0A"/>
    <w:rsid w:val="00DD31D0"/>
    <w:rsid w:val="00DD322C"/>
    <w:rsid w:val="00DD3448"/>
    <w:rsid w:val="00DD38DB"/>
    <w:rsid w:val="00DD4358"/>
    <w:rsid w:val="00DD475A"/>
    <w:rsid w:val="00DD478D"/>
    <w:rsid w:val="00DD48A8"/>
    <w:rsid w:val="00DD49F8"/>
    <w:rsid w:val="00DD4DAD"/>
    <w:rsid w:val="00DD4F5E"/>
    <w:rsid w:val="00DD518B"/>
    <w:rsid w:val="00DD56D1"/>
    <w:rsid w:val="00DD574D"/>
    <w:rsid w:val="00DD576E"/>
    <w:rsid w:val="00DD576F"/>
    <w:rsid w:val="00DD5779"/>
    <w:rsid w:val="00DD654F"/>
    <w:rsid w:val="00DD68D2"/>
    <w:rsid w:val="00DE029F"/>
    <w:rsid w:val="00DE04CE"/>
    <w:rsid w:val="00DE0883"/>
    <w:rsid w:val="00DE0A04"/>
    <w:rsid w:val="00DE1457"/>
    <w:rsid w:val="00DE158C"/>
    <w:rsid w:val="00DE1F4B"/>
    <w:rsid w:val="00DE2073"/>
    <w:rsid w:val="00DE229C"/>
    <w:rsid w:val="00DE272D"/>
    <w:rsid w:val="00DE305E"/>
    <w:rsid w:val="00DE30AD"/>
    <w:rsid w:val="00DE30B3"/>
    <w:rsid w:val="00DE3195"/>
    <w:rsid w:val="00DE4326"/>
    <w:rsid w:val="00DE4418"/>
    <w:rsid w:val="00DE45BC"/>
    <w:rsid w:val="00DE46A9"/>
    <w:rsid w:val="00DE4702"/>
    <w:rsid w:val="00DE492A"/>
    <w:rsid w:val="00DE4FB2"/>
    <w:rsid w:val="00DE5342"/>
    <w:rsid w:val="00DE5547"/>
    <w:rsid w:val="00DE5A03"/>
    <w:rsid w:val="00DE5C8E"/>
    <w:rsid w:val="00DE5F38"/>
    <w:rsid w:val="00DE608E"/>
    <w:rsid w:val="00DE6111"/>
    <w:rsid w:val="00DE62EC"/>
    <w:rsid w:val="00DE66A9"/>
    <w:rsid w:val="00DE69B7"/>
    <w:rsid w:val="00DE6CEC"/>
    <w:rsid w:val="00DE7035"/>
    <w:rsid w:val="00DE74AC"/>
    <w:rsid w:val="00DE760E"/>
    <w:rsid w:val="00DE7701"/>
    <w:rsid w:val="00DE7A52"/>
    <w:rsid w:val="00DE7FBA"/>
    <w:rsid w:val="00DF01B9"/>
    <w:rsid w:val="00DF035D"/>
    <w:rsid w:val="00DF039D"/>
    <w:rsid w:val="00DF0738"/>
    <w:rsid w:val="00DF0A96"/>
    <w:rsid w:val="00DF12C9"/>
    <w:rsid w:val="00DF147B"/>
    <w:rsid w:val="00DF1E70"/>
    <w:rsid w:val="00DF3368"/>
    <w:rsid w:val="00DF3401"/>
    <w:rsid w:val="00DF37A9"/>
    <w:rsid w:val="00DF3D2F"/>
    <w:rsid w:val="00DF3D8D"/>
    <w:rsid w:val="00DF3E0B"/>
    <w:rsid w:val="00DF3F96"/>
    <w:rsid w:val="00DF497E"/>
    <w:rsid w:val="00DF4BA9"/>
    <w:rsid w:val="00DF4D01"/>
    <w:rsid w:val="00DF4D5E"/>
    <w:rsid w:val="00DF4E96"/>
    <w:rsid w:val="00DF5056"/>
    <w:rsid w:val="00DF5265"/>
    <w:rsid w:val="00DF53C6"/>
    <w:rsid w:val="00DF59ED"/>
    <w:rsid w:val="00DF5A24"/>
    <w:rsid w:val="00DF6159"/>
    <w:rsid w:val="00DF6AC0"/>
    <w:rsid w:val="00DF6FA0"/>
    <w:rsid w:val="00DF70D1"/>
    <w:rsid w:val="00DF7451"/>
    <w:rsid w:val="00DF76AD"/>
    <w:rsid w:val="00DF778D"/>
    <w:rsid w:val="00DF7A6E"/>
    <w:rsid w:val="00E00029"/>
    <w:rsid w:val="00E0008D"/>
    <w:rsid w:val="00E00B01"/>
    <w:rsid w:val="00E00FE7"/>
    <w:rsid w:val="00E01103"/>
    <w:rsid w:val="00E012BD"/>
    <w:rsid w:val="00E01638"/>
    <w:rsid w:val="00E02187"/>
    <w:rsid w:val="00E022D7"/>
    <w:rsid w:val="00E02A81"/>
    <w:rsid w:val="00E02EC9"/>
    <w:rsid w:val="00E03128"/>
    <w:rsid w:val="00E03C2D"/>
    <w:rsid w:val="00E03EC4"/>
    <w:rsid w:val="00E043EF"/>
    <w:rsid w:val="00E04C45"/>
    <w:rsid w:val="00E04F8D"/>
    <w:rsid w:val="00E0529B"/>
    <w:rsid w:val="00E05973"/>
    <w:rsid w:val="00E05DCC"/>
    <w:rsid w:val="00E06C25"/>
    <w:rsid w:val="00E06C31"/>
    <w:rsid w:val="00E06D5F"/>
    <w:rsid w:val="00E06F22"/>
    <w:rsid w:val="00E074C0"/>
    <w:rsid w:val="00E07EA8"/>
    <w:rsid w:val="00E1011A"/>
    <w:rsid w:val="00E107B5"/>
    <w:rsid w:val="00E10A7C"/>
    <w:rsid w:val="00E10BBE"/>
    <w:rsid w:val="00E11142"/>
    <w:rsid w:val="00E115B6"/>
    <w:rsid w:val="00E12129"/>
    <w:rsid w:val="00E1284B"/>
    <w:rsid w:val="00E12937"/>
    <w:rsid w:val="00E13288"/>
    <w:rsid w:val="00E132D7"/>
    <w:rsid w:val="00E13546"/>
    <w:rsid w:val="00E13B15"/>
    <w:rsid w:val="00E13B96"/>
    <w:rsid w:val="00E145B3"/>
    <w:rsid w:val="00E14E66"/>
    <w:rsid w:val="00E14F66"/>
    <w:rsid w:val="00E15160"/>
    <w:rsid w:val="00E15FE0"/>
    <w:rsid w:val="00E1631A"/>
    <w:rsid w:val="00E16B9F"/>
    <w:rsid w:val="00E171A8"/>
    <w:rsid w:val="00E17A06"/>
    <w:rsid w:val="00E17AAD"/>
    <w:rsid w:val="00E17D2D"/>
    <w:rsid w:val="00E206F9"/>
    <w:rsid w:val="00E208B2"/>
    <w:rsid w:val="00E20A0B"/>
    <w:rsid w:val="00E20E31"/>
    <w:rsid w:val="00E21E10"/>
    <w:rsid w:val="00E226F5"/>
    <w:rsid w:val="00E228FB"/>
    <w:rsid w:val="00E22981"/>
    <w:rsid w:val="00E22AD3"/>
    <w:rsid w:val="00E22F33"/>
    <w:rsid w:val="00E23144"/>
    <w:rsid w:val="00E232BC"/>
    <w:rsid w:val="00E23572"/>
    <w:rsid w:val="00E2367A"/>
    <w:rsid w:val="00E23762"/>
    <w:rsid w:val="00E23CF0"/>
    <w:rsid w:val="00E23EE9"/>
    <w:rsid w:val="00E24000"/>
    <w:rsid w:val="00E240A1"/>
    <w:rsid w:val="00E2426A"/>
    <w:rsid w:val="00E243BB"/>
    <w:rsid w:val="00E244B4"/>
    <w:rsid w:val="00E247F3"/>
    <w:rsid w:val="00E24D63"/>
    <w:rsid w:val="00E24E98"/>
    <w:rsid w:val="00E2544E"/>
    <w:rsid w:val="00E26608"/>
    <w:rsid w:val="00E269BE"/>
    <w:rsid w:val="00E272E6"/>
    <w:rsid w:val="00E27F94"/>
    <w:rsid w:val="00E3001F"/>
    <w:rsid w:val="00E303CE"/>
    <w:rsid w:val="00E303F4"/>
    <w:rsid w:val="00E30BB4"/>
    <w:rsid w:val="00E31070"/>
    <w:rsid w:val="00E31359"/>
    <w:rsid w:val="00E31744"/>
    <w:rsid w:val="00E318D8"/>
    <w:rsid w:val="00E31D57"/>
    <w:rsid w:val="00E31D72"/>
    <w:rsid w:val="00E31E53"/>
    <w:rsid w:val="00E31E7E"/>
    <w:rsid w:val="00E320B4"/>
    <w:rsid w:val="00E32121"/>
    <w:rsid w:val="00E32E0D"/>
    <w:rsid w:val="00E334BC"/>
    <w:rsid w:val="00E338F6"/>
    <w:rsid w:val="00E33A42"/>
    <w:rsid w:val="00E34343"/>
    <w:rsid w:val="00E34727"/>
    <w:rsid w:val="00E34F73"/>
    <w:rsid w:val="00E3541E"/>
    <w:rsid w:val="00E35591"/>
    <w:rsid w:val="00E35ABF"/>
    <w:rsid w:val="00E35B6B"/>
    <w:rsid w:val="00E363F4"/>
    <w:rsid w:val="00E365D0"/>
    <w:rsid w:val="00E36851"/>
    <w:rsid w:val="00E36A99"/>
    <w:rsid w:val="00E37079"/>
    <w:rsid w:val="00E3783D"/>
    <w:rsid w:val="00E37C32"/>
    <w:rsid w:val="00E400E7"/>
    <w:rsid w:val="00E400F3"/>
    <w:rsid w:val="00E403B9"/>
    <w:rsid w:val="00E41131"/>
    <w:rsid w:val="00E41330"/>
    <w:rsid w:val="00E418B3"/>
    <w:rsid w:val="00E41B56"/>
    <w:rsid w:val="00E41B79"/>
    <w:rsid w:val="00E423FA"/>
    <w:rsid w:val="00E42422"/>
    <w:rsid w:val="00E42557"/>
    <w:rsid w:val="00E42795"/>
    <w:rsid w:val="00E428E6"/>
    <w:rsid w:val="00E42CF0"/>
    <w:rsid w:val="00E42F15"/>
    <w:rsid w:val="00E43BC0"/>
    <w:rsid w:val="00E43D61"/>
    <w:rsid w:val="00E43EF7"/>
    <w:rsid w:val="00E440BF"/>
    <w:rsid w:val="00E44831"/>
    <w:rsid w:val="00E449A2"/>
    <w:rsid w:val="00E44D45"/>
    <w:rsid w:val="00E453B8"/>
    <w:rsid w:val="00E461C9"/>
    <w:rsid w:val="00E4644A"/>
    <w:rsid w:val="00E46C1C"/>
    <w:rsid w:val="00E46C31"/>
    <w:rsid w:val="00E47548"/>
    <w:rsid w:val="00E5004F"/>
    <w:rsid w:val="00E5025A"/>
    <w:rsid w:val="00E50843"/>
    <w:rsid w:val="00E508BA"/>
    <w:rsid w:val="00E50CBD"/>
    <w:rsid w:val="00E50F2D"/>
    <w:rsid w:val="00E516E7"/>
    <w:rsid w:val="00E51A6B"/>
    <w:rsid w:val="00E521F6"/>
    <w:rsid w:val="00E52F55"/>
    <w:rsid w:val="00E533E3"/>
    <w:rsid w:val="00E534E5"/>
    <w:rsid w:val="00E53C88"/>
    <w:rsid w:val="00E54637"/>
    <w:rsid w:val="00E54680"/>
    <w:rsid w:val="00E54EFF"/>
    <w:rsid w:val="00E5513A"/>
    <w:rsid w:val="00E55307"/>
    <w:rsid w:val="00E55542"/>
    <w:rsid w:val="00E55C27"/>
    <w:rsid w:val="00E55EC3"/>
    <w:rsid w:val="00E56732"/>
    <w:rsid w:val="00E56C42"/>
    <w:rsid w:val="00E573C7"/>
    <w:rsid w:val="00E57DA0"/>
    <w:rsid w:val="00E57E20"/>
    <w:rsid w:val="00E57FF1"/>
    <w:rsid w:val="00E602A6"/>
    <w:rsid w:val="00E60528"/>
    <w:rsid w:val="00E60853"/>
    <w:rsid w:val="00E60FD9"/>
    <w:rsid w:val="00E61A06"/>
    <w:rsid w:val="00E61ABA"/>
    <w:rsid w:val="00E61ACB"/>
    <w:rsid w:val="00E61C42"/>
    <w:rsid w:val="00E62C94"/>
    <w:rsid w:val="00E638FF"/>
    <w:rsid w:val="00E63BF1"/>
    <w:rsid w:val="00E63F88"/>
    <w:rsid w:val="00E64783"/>
    <w:rsid w:val="00E6504F"/>
    <w:rsid w:val="00E651AB"/>
    <w:rsid w:val="00E654AE"/>
    <w:rsid w:val="00E6555C"/>
    <w:rsid w:val="00E65930"/>
    <w:rsid w:val="00E65938"/>
    <w:rsid w:val="00E65D34"/>
    <w:rsid w:val="00E65F09"/>
    <w:rsid w:val="00E65FF1"/>
    <w:rsid w:val="00E67085"/>
    <w:rsid w:val="00E67125"/>
    <w:rsid w:val="00E67D5C"/>
    <w:rsid w:val="00E706D5"/>
    <w:rsid w:val="00E70D6E"/>
    <w:rsid w:val="00E70E98"/>
    <w:rsid w:val="00E71285"/>
    <w:rsid w:val="00E714E0"/>
    <w:rsid w:val="00E71763"/>
    <w:rsid w:val="00E71F58"/>
    <w:rsid w:val="00E724BD"/>
    <w:rsid w:val="00E728C4"/>
    <w:rsid w:val="00E72A0B"/>
    <w:rsid w:val="00E72E24"/>
    <w:rsid w:val="00E73EFF"/>
    <w:rsid w:val="00E7450A"/>
    <w:rsid w:val="00E74D41"/>
    <w:rsid w:val="00E756AF"/>
    <w:rsid w:val="00E75F6B"/>
    <w:rsid w:val="00E763E1"/>
    <w:rsid w:val="00E763F2"/>
    <w:rsid w:val="00E76563"/>
    <w:rsid w:val="00E7661F"/>
    <w:rsid w:val="00E76B63"/>
    <w:rsid w:val="00E76B98"/>
    <w:rsid w:val="00E76C63"/>
    <w:rsid w:val="00E7711B"/>
    <w:rsid w:val="00E775FA"/>
    <w:rsid w:val="00E8013F"/>
    <w:rsid w:val="00E80CE0"/>
    <w:rsid w:val="00E80ECF"/>
    <w:rsid w:val="00E8100C"/>
    <w:rsid w:val="00E8124B"/>
    <w:rsid w:val="00E8144C"/>
    <w:rsid w:val="00E814C6"/>
    <w:rsid w:val="00E81CC5"/>
    <w:rsid w:val="00E81D0D"/>
    <w:rsid w:val="00E81EC8"/>
    <w:rsid w:val="00E81F59"/>
    <w:rsid w:val="00E82CDB"/>
    <w:rsid w:val="00E835E0"/>
    <w:rsid w:val="00E83647"/>
    <w:rsid w:val="00E83A16"/>
    <w:rsid w:val="00E83B0F"/>
    <w:rsid w:val="00E83FBC"/>
    <w:rsid w:val="00E84079"/>
    <w:rsid w:val="00E84199"/>
    <w:rsid w:val="00E8435B"/>
    <w:rsid w:val="00E84368"/>
    <w:rsid w:val="00E847FA"/>
    <w:rsid w:val="00E851FF"/>
    <w:rsid w:val="00E85298"/>
    <w:rsid w:val="00E8593F"/>
    <w:rsid w:val="00E85CD6"/>
    <w:rsid w:val="00E860D1"/>
    <w:rsid w:val="00E86576"/>
    <w:rsid w:val="00E8674B"/>
    <w:rsid w:val="00E86FE0"/>
    <w:rsid w:val="00E87343"/>
    <w:rsid w:val="00E874B9"/>
    <w:rsid w:val="00E87A84"/>
    <w:rsid w:val="00E90321"/>
    <w:rsid w:val="00E903B3"/>
    <w:rsid w:val="00E90B1D"/>
    <w:rsid w:val="00E90C4B"/>
    <w:rsid w:val="00E90E29"/>
    <w:rsid w:val="00E91413"/>
    <w:rsid w:val="00E9162C"/>
    <w:rsid w:val="00E91793"/>
    <w:rsid w:val="00E91BDF"/>
    <w:rsid w:val="00E92062"/>
    <w:rsid w:val="00E92414"/>
    <w:rsid w:val="00E92999"/>
    <w:rsid w:val="00E929C3"/>
    <w:rsid w:val="00E92A25"/>
    <w:rsid w:val="00E92BAE"/>
    <w:rsid w:val="00E92E3D"/>
    <w:rsid w:val="00E92F7A"/>
    <w:rsid w:val="00E934EF"/>
    <w:rsid w:val="00E937FE"/>
    <w:rsid w:val="00E939A5"/>
    <w:rsid w:val="00E93CC1"/>
    <w:rsid w:val="00E94066"/>
    <w:rsid w:val="00E94142"/>
    <w:rsid w:val="00E9486E"/>
    <w:rsid w:val="00E94884"/>
    <w:rsid w:val="00E94A45"/>
    <w:rsid w:val="00E94AEF"/>
    <w:rsid w:val="00E94B44"/>
    <w:rsid w:val="00E95816"/>
    <w:rsid w:val="00E958A6"/>
    <w:rsid w:val="00E95A2F"/>
    <w:rsid w:val="00E95A3D"/>
    <w:rsid w:val="00E95B87"/>
    <w:rsid w:val="00E960F8"/>
    <w:rsid w:val="00E96574"/>
    <w:rsid w:val="00E96777"/>
    <w:rsid w:val="00E97288"/>
    <w:rsid w:val="00E97373"/>
    <w:rsid w:val="00E9764B"/>
    <w:rsid w:val="00E9771E"/>
    <w:rsid w:val="00E9772C"/>
    <w:rsid w:val="00E9775B"/>
    <w:rsid w:val="00EA0D7E"/>
    <w:rsid w:val="00EA1186"/>
    <w:rsid w:val="00EA142E"/>
    <w:rsid w:val="00EA1904"/>
    <w:rsid w:val="00EA1DF0"/>
    <w:rsid w:val="00EA22A7"/>
    <w:rsid w:val="00EA22B7"/>
    <w:rsid w:val="00EA24C6"/>
    <w:rsid w:val="00EA312E"/>
    <w:rsid w:val="00EA317A"/>
    <w:rsid w:val="00EA3301"/>
    <w:rsid w:val="00EA3ACA"/>
    <w:rsid w:val="00EA3C8C"/>
    <w:rsid w:val="00EA4103"/>
    <w:rsid w:val="00EA437B"/>
    <w:rsid w:val="00EA47C3"/>
    <w:rsid w:val="00EA47EA"/>
    <w:rsid w:val="00EA48F9"/>
    <w:rsid w:val="00EA4CDA"/>
    <w:rsid w:val="00EA5055"/>
    <w:rsid w:val="00EA51AE"/>
    <w:rsid w:val="00EA57F9"/>
    <w:rsid w:val="00EA59EA"/>
    <w:rsid w:val="00EA61E6"/>
    <w:rsid w:val="00EA663B"/>
    <w:rsid w:val="00EA6A48"/>
    <w:rsid w:val="00EA6FD6"/>
    <w:rsid w:val="00EA6FDA"/>
    <w:rsid w:val="00EA7612"/>
    <w:rsid w:val="00EA7B5F"/>
    <w:rsid w:val="00EA7C90"/>
    <w:rsid w:val="00EA7CE5"/>
    <w:rsid w:val="00EB043E"/>
    <w:rsid w:val="00EB0BB7"/>
    <w:rsid w:val="00EB1413"/>
    <w:rsid w:val="00EB190A"/>
    <w:rsid w:val="00EB1B92"/>
    <w:rsid w:val="00EB1E62"/>
    <w:rsid w:val="00EB27DB"/>
    <w:rsid w:val="00EB28A3"/>
    <w:rsid w:val="00EB2D53"/>
    <w:rsid w:val="00EB2DFC"/>
    <w:rsid w:val="00EB2E09"/>
    <w:rsid w:val="00EB31F7"/>
    <w:rsid w:val="00EB3780"/>
    <w:rsid w:val="00EB3F3E"/>
    <w:rsid w:val="00EB44CB"/>
    <w:rsid w:val="00EB476B"/>
    <w:rsid w:val="00EB4B43"/>
    <w:rsid w:val="00EB4F2D"/>
    <w:rsid w:val="00EB5126"/>
    <w:rsid w:val="00EB5267"/>
    <w:rsid w:val="00EB60B2"/>
    <w:rsid w:val="00EB6105"/>
    <w:rsid w:val="00EB623A"/>
    <w:rsid w:val="00EB6FDB"/>
    <w:rsid w:val="00EB7611"/>
    <w:rsid w:val="00EB76E2"/>
    <w:rsid w:val="00EB771B"/>
    <w:rsid w:val="00EB790C"/>
    <w:rsid w:val="00EB7A8D"/>
    <w:rsid w:val="00EB7DCD"/>
    <w:rsid w:val="00EC00AA"/>
    <w:rsid w:val="00EC0828"/>
    <w:rsid w:val="00EC0A4F"/>
    <w:rsid w:val="00EC0C24"/>
    <w:rsid w:val="00EC0FB2"/>
    <w:rsid w:val="00EC1458"/>
    <w:rsid w:val="00EC1794"/>
    <w:rsid w:val="00EC1CE1"/>
    <w:rsid w:val="00EC1DEC"/>
    <w:rsid w:val="00EC1E47"/>
    <w:rsid w:val="00EC2485"/>
    <w:rsid w:val="00EC25B5"/>
    <w:rsid w:val="00EC2686"/>
    <w:rsid w:val="00EC2868"/>
    <w:rsid w:val="00EC2D25"/>
    <w:rsid w:val="00EC2E78"/>
    <w:rsid w:val="00EC41E6"/>
    <w:rsid w:val="00EC442B"/>
    <w:rsid w:val="00EC4D6C"/>
    <w:rsid w:val="00EC525B"/>
    <w:rsid w:val="00EC562D"/>
    <w:rsid w:val="00EC5691"/>
    <w:rsid w:val="00EC5CD3"/>
    <w:rsid w:val="00EC5DD0"/>
    <w:rsid w:val="00EC634F"/>
    <w:rsid w:val="00EC639A"/>
    <w:rsid w:val="00EC68A5"/>
    <w:rsid w:val="00EC78C9"/>
    <w:rsid w:val="00EC7C9F"/>
    <w:rsid w:val="00EC7DD6"/>
    <w:rsid w:val="00ED07AA"/>
    <w:rsid w:val="00ED0800"/>
    <w:rsid w:val="00ED0EE1"/>
    <w:rsid w:val="00ED113B"/>
    <w:rsid w:val="00ED1158"/>
    <w:rsid w:val="00ED1223"/>
    <w:rsid w:val="00ED19B5"/>
    <w:rsid w:val="00ED208E"/>
    <w:rsid w:val="00ED2874"/>
    <w:rsid w:val="00ED2AB6"/>
    <w:rsid w:val="00ED328B"/>
    <w:rsid w:val="00ED34C3"/>
    <w:rsid w:val="00ED36BA"/>
    <w:rsid w:val="00ED387E"/>
    <w:rsid w:val="00ED39CC"/>
    <w:rsid w:val="00ED3E79"/>
    <w:rsid w:val="00ED3FDC"/>
    <w:rsid w:val="00ED4321"/>
    <w:rsid w:val="00ED4413"/>
    <w:rsid w:val="00ED46FE"/>
    <w:rsid w:val="00ED59F5"/>
    <w:rsid w:val="00ED5A7B"/>
    <w:rsid w:val="00ED5CCB"/>
    <w:rsid w:val="00ED5EC1"/>
    <w:rsid w:val="00ED611C"/>
    <w:rsid w:val="00ED66D5"/>
    <w:rsid w:val="00ED6815"/>
    <w:rsid w:val="00ED74DA"/>
    <w:rsid w:val="00EE0327"/>
    <w:rsid w:val="00EE04A8"/>
    <w:rsid w:val="00EE0BD4"/>
    <w:rsid w:val="00EE0BE5"/>
    <w:rsid w:val="00EE0D9B"/>
    <w:rsid w:val="00EE10E3"/>
    <w:rsid w:val="00EE111D"/>
    <w:rsid w:val="00EE1A6D"/>
    <w:rsid w:val="00EE1E6C"/>
    <w:rsid w:val="00EE2260"/>
    <w:rsid w:val="00EE2DCC"/>
    <w:rsid w:val="00EE2FB4"/>
    <w:rsid w:val="00EE34C7"/>
    <w:rsid w:val="00EE39A5"/>
    <w:rsid w:val="00EE39BF"/>
    <w:rsid w:val="00EE446D"/>
    <w:rsid w:val="00EE45EC"/>
    <w:rsid w:val="00EE45F9"/>
    <w:rsid w:val="00EE479B"/>
    <w:rsid w:val="00EE4895"/>
    <w:rsid w:val="00EE4CDC"/>
    <w:rsid w:val="00EE555E"/>
    <w:rsid w:val="00EE573A"/>
    <w:rsid w:val="00EE5D70"/>
    <w:rsid w:val="00EE5FD9"/>
    <w:rsid w:val="00EE6DC9"/>
    <w:rsid w:val="00EE7362"/>
    <w:rsid w:val="00EE75C6"/>
    <w:rsid w:val="00EE78DA"/>
    <w:rsid w:val="00EE7C2D"/>
    <w:rsid w:val="00EE7CBB"/>
    <w:rsid w:val="00EF0227"/>
    <w:rsid w:val="00EF0776"/>
    <w:rsid w:val="00EF0814"/>
    <w:rsid w:val="00EF1558"/>
    <w:rsid w:val="00EF1578"/>
    <w:rsid w:val="00EF1D9C"/>
    <w:rsid w:val="00EF1E59"/>
    <w:rsid w:val="00EF2951"/>
    <w:rsid w:val="00EF2E24"/>
    <w:rsid w:val="00EF357A"/>
    <w:rsid w:val="00EF39E3"/>
    <w:rsid w:val="00EF5132"/>
    <w:rsid w:val="00EF5462"/>
    <w:rsid w:val="00EF5C79"/>
    <w:rsid w:val="00EF5F4A"/>
    <w:rsid w:val="00EF6244"/>
    <w:rsid w:val="00EF6831"/>
    <w:rsid w:val="00EF71DA"/>
    <w:rsid w:val="00EF73C1"/>
    <w:rsid w:val="00EF75D0"/>
    <w:rsid w:val="00EF7E0D"/>
    <w:rsid w:val="00F00401"/>
    <w:rsid w:val="00F004CB"/>
    <w:rsid w:val="00F00729"/>
    <w:rsid w:val="00F00E24"/>
    <w:rsid w:val="00F00E98"/>
    <w:rsid w:val="00F00FC2"/>
    <w:rsid w:val="00F00FD5"/>
    <w:rsid w:val="00F010BA"/>
    <w:rsid w:val="00F01139"/>
    <w:rsid w:val="00F01167"/>
    <w:rsid w:val="00F01458"/>
    <w:rsid w:val="00F01523"/>
    <w:rsid w:val="00F0202B"/>
    <w:rsid w:val="00F02133"/>
    <w:rsid w:val="00F02311"/>
    <w:rsid w:val="00F03379"/>
    <w:rsid w:val="00F03415"/>
    <w:rsid w:val="00F03676"/>
    <w:rsid w:val="00F039A2"/>
    <w:rsid w:val="00F03C75"/>
    <w:rsid w:val="00F04095"/>
    <w:rsid w:val="00F0414F"/>
    <w:rsid w:val="00F04193"/>
    <w:rsid w:val="00F053AF"/>
    <w:rsid w:val="00F05A1A"/>
    <w:rsid w:val="00F05F68"/>
    <w:rsid w:val="00F06B0A"/>
    <w:rsid w:val="00F06B95"/>
    <w:rsid w:val="00F06E88"/>
    <w:rsid w:val="00F071B1"/>
    <w:rsid w:val="00F0744C"/>
    <w:rsid w:val="00F07ACF"/>
    <w:rsid w:val="00F07B27"/>
    <w:rsid w:val="00F07F62"/>
    <w:rsid w:val="00F07FCA"/>
    <w:rsid w:val="00F1023F"/>
    <w:rsid w:val="00F1040B"/>
    <w:rsid w:val="00F10534"/>
    <w:rsid w:val="00F10740"/>
    <w:rsid w:val="00F10884"/>
    <w:rsid w:val="00F10B70"/>
    <w:rsid w:val="00F10D44"/>
    <w:rsid w:val="00F110C1"/>
    <w:rsid w:val="00F115F9"/>
    <w:rsid w:val="00F11818"/>
    <w:rsid w:val="00F11890"/>
    <w:rsid w:val="00F1194F"/>
    <w:rsid w:val="00F11B8A"/>
    <w:rsid w:val="00F11E04"/>
    <w:rsid w:val="00F12AF7"/>
    <w:rsid w:val="00F12F9F"/>
    <w:rsid w:val="00F1336B"/>
    <w:rsid w:val="00F1370F"/>
    <w:rsid w:val="00F137AF"/>
    <w:rsid w:val="00F14388"/>
    <w:rsid w:val="00F146C5"/>
    <w:rsid w:val="00F15147"/>
    <w:rsid w:val="00F15D0B"/>
    <w:rsid w:val="00F15D0C"/>
    <w:rsid w:val="00F15D24"/>
    <w:rsid w:val="00F1600C"/>
    <w:rsid w:val="00F16462"/>
    <w:rsid w:val="00F16A43"/>
    <w:rsid w:val="00F172AC"/>
    <w:rsid w:val="00F17525"/>
    <w:rsid w:val="00F176EE"/>
    <w:rsid w:val="00F17AAF"/>
    <w:rsid w:val="00F17E86"/>
    <w:rsid w:val="00F2042E"/>
    <w:rsid w:val="00F20770"/>
    <w:rsid w:val="00F20B78"/>
    <w:rsid w:val="00F20BF0"/>
    <w:rsid w:val="00F20E10"/>
    <w:rsid w:val="00F21024"/>
    <w:rsid w:val="00F2144C"/>
    <w:rsid w:val="00F214ED"/>
    <w:rsid w:val="00F21811"/>
    <w:rsid w:val="00F218F3"/>
    <w:rsid w:val="00F21CFE"/>
    <w:rsid w:val="00F21D9D"/>
    <w:rsid w:val="00F21E6F"/>
    <w:rsid w:val="00F22603"/>
    <w:rsid w:val="00F2286F"/>
    <w:rsid w:val="00F234CB"/>
    <w:rsid w:val="00F236AB"/>
    <w:rsid w:val="00F23B33"/>
    <w:rsid w:val="00F23F2A"/>
    <w:rsid w:val="00F24468"/>
    <w:rsid w:val="00F249A4"/>
    <w:rsid w:val="00F25766"/>
    <w:rsid w:val="00F2581F"/>
    <w:rsid w:val="00F25955"/>
    <w:rsid w:val="00F25ABF"/>
    <w:rsid w:val="00F25BB2"/>
    <w:rsid w:val="00F25E40"/>
    <w:rsid w:val="00F26236"/>
    <w:rsid w:val="00F2663B"/>
    <w:rsid w:val="00F26DC7"/>
    <w:rsid w:val="00F26F43"/>
    <w:rsid w:val="00F271C1"/>
    <w:rsid w:val="00F279DA"/>
    <w:rsid w:val="00F30094"/>
    <w:rsid w:val="00F30440"/>
    <w:rsid w:val="00F3051C"/>
    <w:rsid w:val="00F305F0"/>
    <w:rsid w:val="00F30F1F"/>
    <w:rsid w:val="00F31585"/>
    <w:rsid w:val="00F32915"/>
    <w:rsid w:val="00F32A7C"/>
    <w:rsid w:val="00F33080"/>
    <w:rsid w:val="00F334D2"/>
    <w:rsid w:val="00F33BDB"/>
    <w:rsid w:val="00F33FD9"/>
    <w:rsid w:val="00F34DBF"/>
    <w:rsid w:val="00F352CA"/>
    <w:rsid w:val="00F36321"/>
    <w:rsid w:val="00F364A5"/>
    <w:rsid w:val="00F36956"/>
    <w:rsid w:val="00F36BE5"/>
    <w:rsid w:val="00F36FC9"/>
    <w:rsid w:val="00F37A5C"/>
    <w:rsid w:val="00F37DB0"/>
    <w:rsid w:val="00F37DF2"/>
    <w:rsid w:val="00F40520"/>
    <w:rsid w:val="00F410E1"/>
    <w:rsid w:val="00F414E2"/>
    <w:rsid w:val="00F41A42"/>
    <w:rsid w:val="00F41BB2"/>
    <w:rsid w:val="00F41BCA"/>
    <w:rsid w:val="00F42B97"/>
    <w:rsid w:val="00F42FF1"/>
    <w:rsid w:val="00F4317D"/>
    <w:rsid w:val="00F432D8"/>
    <w:rsid w:val="00F43B75"/>
    <w:rsid w:val="00F43EC8"/>
    <w:rsid w:val="00F440E5"/>
    <w:rsid w:val="00F44122"/>
    <w:rsid w:val="00F44A37"/>
    <w:rsid w:val="00F44A46"/>
    <w:rsid w:val="00F44C48"/>
    <w:rsid w:val="00F44C5F"/>
    <w:rsid w:val="00F45A91"/>
    <w:rsid w:val="00F4676D"/>
    <w:rsid w:val="00F46CCB"/>
    <w:rsid w:val="00F46CD2"/>
    <w:rsid w:val="00F46EF0"/>
    <w:rsid w:val="00F47309"/>
    <w:rsid w:val="00F47796"/>
    <w:rsid w:val="00F5018E"/>
    <w:rsid w:val="00F50432"/>
    <w:rsid w:val="00F50582"/>
    <w:rsid w:val="00F50C05"/>
    <w:rsid w:val="00F50F48"/>
    <w:rsid w:val="00F51707"/>
    <w:rsid w:val="00F51750"/>
    <w:rsid w:val="00F51E7A"/>
    <w:rsid w:val="00F51EA5"/>
    <w:rsid w:val="00F52339"/>
    <w:rsid w:val="00F529DF"/>
    <w:rsid w:val="00F52B2F"/>
    <w:rsid w:val="00F52C5B"/>
    <w:rsid w:val="00F52DA5"/>
    <w:rsid w:val="00F53626"/>
    <w:rsid w:val="00F536B9"/>
    <w:rsid w:val="00F536C2"/>
    <w:rsid w:val="00F536D8"/>
    <w:rsid w:val="00F53C71"/>
    <w:rsid w:val="00F53D7D"/>
    <w:rsid w:val="00F5447D"/>
    <w:rsid w:val="00F549E8"/>
    <w:rsid w:val="00F54C74"/>
    <w:rsid w:val="00F54F1B"/>
    <w:rsid w:val="00F551DA"/>
    <w:rsid w:val="00F555E2"/>
    <w:rsid w:val="00F55BDB"/>
    <w:rsid w:val="00F55CF2"/>
    <w:rsid w:val="00F56025"/>
    <w:rsid w:val="00F561E9"/>
    <w:rsid w:val="00F565F1"/>
    <w:rsid w:val="00F56B18"/>
    <w:rsid w:val="00F571ED"/>
    <w:rsid w:val="00F5745C"/>
    <w:rsid w:val="00F576D0"/>
    <w:rsid w:val="00F57740"/>
    <w:rsid w:val="00F57B73"/>
    <w:rsid w:val="00F57B89"/>
    <w:rsid w:val="00F57ED0"/>
    <w:rsid w:val="00F6045A"/>
    <w:rsid w:val="00F60E31"/>
    <w:rsid w:val="00F613D1"/>
    <w:rsid w:val="00F619F0"/>
    <w:rsid w:val="00F621D1"/>
    <w:rsid w:val="00F6252A"/>
    <w:rsid w:val="00F629DF"/>
    <w:rsid w:val="00F62A23"/>
    <w:rsid w:val="00F62C15"/>
    <w:rsid w:val="00F62FDE"/>
    <w:rsid w:val="00F630A5"/>
    <w:rsid w:val="00F6456A"/>
    <w:rsid w:val="00F6518A"/>
    <w:rsid w:val="00F65403"/>
    <w:rsid w:val="00F654DA"/>
    <w:rsid w:val="00F65959"/>
    <w:rsid w:val="00F65F57"/>
    <w:rsid w:val="00F66159"/>
    <w:rsid w:val="00F66EEC"/>
    <w:rsid w:val="00F671C8"/>
    <w:rsid w:val="00F67439"/>
    <w:rsid w:val="00F67756"/>
    <w:rsid w:val="00F70928"/>
    <w:rsid w:val="00F71037"/>
    <w:rsid w:val="00F71096"/>
    <w:rsid w:val="00F71CE4"/>
    <w:rsid w:val="00F720BF"/>
    <w:rsid w:val="00F726D9"/>
    <w:rsid w:val="00F72B57"/>
    <w:rsid w:val="00F73B85"/>
    <w:rsid w:val="00F73FBB"/>
    <w:rsid w:val="00F7403E"/>
    <w:rsid w:val="00F74562"/>
    <w:rsid w:val="00F749D2"/>
    <w:rsid w:val="00F75DDD"/>
    <w:rsid w:val="00F75EFF"/>
    <w:rsid w:val="00F75F8F"/>
    <w:rsid w:val="00F761F6"/>
    <w:rsid w:val="00F76412"/>
    <w:rsid w:val="00F76BBA"/>
    <w:rsid w:val="00F776E4"/>
    <w:rsid w:val="00F77780"/>
    <w:rsid w:val="00F807C0"/>
    <w:rsid w:val="00F807E8"/>
    <w:rsid w:val="00F8083C"/>
    <w:rsid w:val="00F81234"/>
    <w:rsid w:val="00F814B0"/>
    <w:rsid w:val="00F82107"/>
    <w:rsid w:val="00F82341"/>
    <w:rsid w:val="00F824EC"/>
    <w:rsid w:val="00F829D9"/>
    <w:rsid w:val="00F82C53"/>
    <w:rsid w:val="00F82D73"/>
    <w:rsid w:val="00F8362F"/>
    <w:rsid w:val="00F83B67"/>
    <w:rsid w:val="00F83D9E"/>
    <w:rsid w:val="00F8414B"/>
    <w:rsid w:val="00F84173"/>
    <w:rsid w:val="00F846A8"/>
    <w:rsid w:val="00F856D7"/>
    <w:rsid w:val="00F85D57"/>
    <w:rsid w:val="00F85DE5"/>
    <w:rsid w:val="00F866A8"/>
    <w:rsid w:val="00F86EC5"/>
    <w:rsid w:val="00F87632"/>
    <w:rsid w:val="00F87DC6"/>
    <w:rsid w:val="00F87FE4"/>
    <w:rsid w:val="00F90074"/>
    <w:rsid w:val="00F903F0"/>
    <w:rsid w:val="00F90B57"/>
    <w:rsid w:val="00F9122B"/>
    <w:rsid w:val="00F9188F"/>
    <w:rsid w:val="00F91FCE"/>
    <w:rsid w:val="00F92467"/>
    <w:rsid w:val="00F925E3"/>
    <w:rsid w:val="00F931AD"/>
    <w:rsid w:val="00F9344A"/>
    <w:rsid w:val="00F93498"/>
    <w:rsid w:val="00F935B5"/>
    <w:rsid w:val="00F93CFD"/>
    <w:rsid w:val="00F93DC1"/>
    <w:rsid w:val="00F9409D"/>
    <w:rsid w:val="00F94989"/>
    <w:rsid w:val="00F94C66"/>
    <w:rsid w:val="00F95462"/>
    <w:rsid w:val="00F959E3"/>
    <w:rsid w:val="00F9634B"/>
    <w:rsid w:val="00F965C5"/>
    <w:rsid w:val="00F96BF0"/>
    <w:rsid w:val="00F972A2"/>
    <w:rsid w:val="00F975FB"/>
    <w:rsid w:val="00F9798E"/>
    <w:rsid w:val="00F97C80"/>
    <w:rsid w:val="00F97E13"/>
    <w:rsid w:val="00F97FD9"/>
    <w:rsid w:val="00FA01E7"/>
    <w:rsid w:val="00FA023F"/>
    <w:rsid w:val="00FA02D9"/>
    <w:rsid w:val="00FA03FF"/>
    <w:rsid w:val="00FA07BC"/>
    <w:rsid w:val="00FA0B5E"/>
    <w:rsid w:val="00FA146D"/>
    <w:rsid w:val="00FA162B"/>
    <w:rsid w:val="00FA1C04"/>
    <w:rsid w:val="00FA1D7F"/>
    <w:rsid w:val="00FA20A4"/>
    <w:rsid w:val="00FA2BE9"/>
    <w:rsid w:val="00FA2FAA"/>
    <w:rsid w:val="00FA36E6"/>
    <w:rsid w:val="00FA39DB"/>
    <w:rsid w:val="00FA3BCA"/>
    <w:rsid w:val="00FA4328"/>
    <w:rsid w:val="00FA45C0"/>
    <w:rsid w:val="00FA49AF"/>
    <w:rsid w:val="00FA54FF"/>
    <w:rsid w:val="00FA65FD"/>
    <w:rsid w:val="00FA6614"/>
    <w:rsid w:val="00FA73E5"/>
    <w:rsid w:val="00FA7C50"/>
    <w:rsid w:val="00FB0370"/>
    <w:rsid w:val="00FB079C"/>
    <w:rsid w:val="00FB094D"/>
    <w:rsid w:val="00FB1638"/>
    <w:rsid w:val="00FB1B8E"/>
    <w:rsid w:val="00FB1E06"/>
    <w:rsid w:val="00FB2064"/>
    <w:rsid w:val="00FB2196"/>
    <w:rsid w:val="00FB23E6"/>
    <w:rsid w:val="00FB2ADA"/>
    <w:rsid w:val="00FB2B74"/>
    <w:rsid w:val="00FB2E6C"/>
    <w:rsid w:val="00FB3371"/>
    <w:rsid w:val="00FB3BB6"/>
    <w:rsid w:val="00FB3C46"/>
    <w:rsid w:val="00FB44A1"/>
    <w:rsid w:val="00FB458D"/>
    <w:rsid w:val="00FB4762"/>
    <w:rsid w:val="00FB4944"/>
    <w:rsid w:val="00FB4A4B"/>
    <w:rsid w:val="00FB4CE0"/>
    <w:rsid w:val="00FB4EAF"/>
    <w:rsid w:val="00FB5A93"/>
    <w:rsid w:val="00FB5C5B"/>
    <w:rsid w:val="00FB5E88"/>
    <w:rsid w:val="00FB5FD8"/>
    <w:rsid w:val="00FB61AE"/>
    <w:rsid w:val="00FB62F5"/>
    <w:rsid w:val="00FB638B"/>
    <w:rsid w:val="00FB6E66"/>
    <w:rsid w:val="00FB6FB5"/>
    <w:rsid w:val="00FB787F"/>
    <w:rsid w:val="00FB796B"/>
    <w:rsid w:val="00FB7C0C"/>
    <w:rsid w:val="00FC095E"/>
    <w:rsid w:val="00FC1367"/>
    <w:rsid w:val="00FC13BE"/>
    <w:rsid w:val="00FC14C6"/>
    <w:rsid w:val="00FC19AE"/>
    <w:rsid w:val="00FC2EE9"/>
    <w:rsid w:val="00FC31B8"/>
    <w:rsid w:val="00FC3525"/>
    <w:rsid w:val="00FC36F0"/>
    <w:rsid w:val="00FC373E"/>
    <w:rsid w:val="00FC37F9"/>
    <w:rsid w:val="00FC3906"/>
    <w:rsid w:val="00FC48D5"/>
    <w:rsid w:val="00FC4EC9"/>
    <w:rsid w:val="00FC4F0F"/>
    <w:rsid w:val="00FC5046"/>
    <w:rsid w:val="00FC5496"/>
    <w:rsid w:val="00FC5CDC"/>
    <w:rsid w:val="00FC5E08"/>
    <w:rsid w:val="00FC60C3"/>
    <w:rsid w:val="00FC68E9"/>
    <w:rsid w:val="00FC692C"/>
    <w:rsid w:val="00FC6AC9"/>
    <w:rsid w:val="00FC6C1A"/>
    <w:rsid w:val="00FC7155"/>
    <w:rsid w:val="00FC71F3"/>
    <w:rsid w:val="00FC7213"/>
    <w:rsid w:val="00FC75E9"/>
    <w:rsid w:val="00FC7DA9"/>
    <w:rsid w:val="00FC7EFF"/>
    <w:rsid w:val="00FD06E9"/>
    <w:rsid w:val="00FD170A"/>
    <w:rsid w:val="00FD1CF9"/>
    <w:rsid w:val="00FD273C"/>
    <w:rsid w:val="00FD28A4"/>
    <w:rsid w:val="00FD2BBC"/>
    <w:rsid w:val="00FD2C4D"/>
    <w:rsid w:val="00FD3613"/>
    <w:rsid w:val="00FD3F61"/>
    <w:rsid w:val="00FD4098"/>
    <w:rsid w:val="00FD43B0"/>
    <w:rsid w:val="00FD4BEC"/>
    <w:rsid w:val="00FD4C06"/>
    <w:rsid w:val="00FD4DF1"/>
    <w:rsid w:val="00FD4E3C"/>
    <w:rsid w:val="00FD4E61"/>
    <w:rsid w:val="00FD5666"/>
    <w:rsid w:val="00FD621B"/>
    <w:rsid w:val="00FD66C9"/>
    <w:rsid w:val="00FD77F3"/>
    <w:rsid w:val="00FD7B51"/>
    <w:rsid w:val="00FD7E89"/>
    <w:rsid w:val="00FE0B0F"/>
    <w:rsid w:val="00FE0B16"/>
    <w:rsid w:val="00FE0D3F"/>
    <w:rsid w:val="00FE0E8C"/>
    <w:rsid w:val="00FE16DA"/>
    <w:rsid w:val="00FE1CEC"/>
    <w:rsid w:val="00FE1EF6"/>
    <w:rsid w:val="00FE2007"/>
    <w:rsid w:val="00FE22AA"/>
    <w:rsid w:val="00FE25E2"/>
    <w:rsid w:val="00FE2876"/>
    <w:rsid w:val="00FE358B"/>
    <w:rsid w:val="00FE3594"/>
    <w:rsid w:val="00FE39D9"/>
    <w:rsid w:val="00FE3D4A"/>
    <w:rsid w:val="00FE3F0D"/>
    <w:rsid w:val="00FE3F17"/>
    <w:rsid w:val="00FE41CA"/>
    <w:rsid w:val="00FE454C"/>
    <w:rsid w:val="00FE4B6D"/>
    <w:rsid w:val="00FE4EFE"/>
    <w:rsid w:val="00FE5ABA"/>
    <w:rsid w:val="00FE6183"/>
    <w:rsid w:val="00FE6778"/>
    <w:rsid w:val="00FE699E"/>
    <w:rsid w:val="00FE7049"/>
    <w:rsid w:val="00FE722B"/>
    <w:rsid w:val="00FE7578"/>
    <w:rsid w:val="00FE7B2F"/>
    <w:rsid w:val="00FE7D2D"/>
    <w:rsid w:val="00FF0185"/>
    <w:rsid w:val="00FF1460"/>
    <w:rsid w:val="00FF187F"/>
    <w:rsid w:val="00FF1E71"/>
    <w:rsid w:val="00FF20AD"/>
    <w:rsid w:val="00FF27F8"/>
    <w:rsid w:val="00FF29A4"/>
    <w:rsid w:val="00FF2A06"/>
    <w:rsid w:val="00FF3AFC"/>
    <w:rsid w:val="00FF3D8F"/>
    <w:rsid w:val="00FF4536"/>
    <w:rsid w:val="00FF4565"/>
    <w:rsid w:val="00FF4970"/>
    <w:rsid w:val="00FF4BE6"/>
    <w:rsid w:val="00FF4C32"/>
    <w:rsid w:val="00FF4F58"/>
    <w:rsid w:val="00FF57B2"/>
    <w:rsid w:val="00FF5CC5"/>
    <w:rsid w:val="00FF5D5C"/>
    <w:rsid w:val="00FF5DF9"/>
    <w:rsid w:val="00FF6A97"/>
    <w:rsid w:val="00FF6C4D"/>
    <w:rsid w:val="00FF6CE5"/>
    <w:rsid w:val="00FF786D"/>
    <w:rsid w:val="00FF7BCB"/>
    <w:rsid w:val="01152820"/>
    <w:rsid w:val="01415CD2"/>
    <w:rsid w:val="014E45D9"/>
    <w:rsid w:val="01677E80"/>
    <w:rsid w:val="016C0263"/>
    <w:rsid w:val="016C0FA1"/>
    <w:rsid w:val="01764D60"/>
    <w:rsid w:val="017C6D0A"/>
    <w:rsid w:val="018C1A4B"/>
    <w:rsid w:val="018D319B"/>
    <w:rsid w:val="01907573"/>
    <w:rsid w:val="019D115B"/>
    <w:rsid w:val="019D2F90"/>
    <w:rsid w:val="01A15505"/>
    <w:rsid w:val="01B36BD0"/>
    <w:rsid w:val="01B84373"/>
    <w:rsid w:val="01CB1D56"/>
    <w:rsid w:val="01D104AD"/>
    <w:rsid w:val="01F64D0F"/>
    <w:rsid w:val="01FB2325"/>
    <w:rsid w:val="01FF7FF5"/>
    <w:rsid w:val="02025461"/>
    <w:rsid w:val="02033711"/>
    <w:rsid w:val="02103E11"/>
    <w:rsid w:val="021320BD"/>
    <w:rsid w:val="0235117B"/>
    <w:rsid w:val="02520C69"/>
    <w:rsid w:val="026259A2"/>
    <w:rsid w:val="026D7B17"/>
    <w:rsid w:val="02755C49"/>
    <w:rsid w:val="027F6AB2"/>
    <w:rsid w:val="02836B0F"/>
    <w:rsid w:val="028C3C65"/>
    <w:rsid w:val="028F6340"/>
    <w:rsid w:val="029B0DCF"/>
    <w:rsid w:val="029E7927"/>
    <w:rsid w:val="02D52B00"/>
    <w:rsid w:val="02D8783E"/>
    <w:rsid w:val="02E3131A"/>
    <w:rsid w:val="02F60FAD"/>
    <w:rsid w:val="02FD2173"/>
    <w:rsid w:val="0304524E"/>
    <w:rsid w:val="03084CFA"/>
    <w:rsid w:val="030E5CC5"/>
    <w:rsid w:val="030F0414"/>
    <w:rsid w:val="03142F12"/>
    <w:rsid w:val="03166582"/>
    <w:rsid w:val="031C2553"/>
    <w:rsid w:val="032402A4"/>
    <w:rsid w:val="032B09E8"/>
    <w:rsid w:val="033279FF"/>
    <w:rsid w:val="03444BEC"/>
    <w:rsid w:val="034A40E0"/>
    <w:rsid w:val="035F6CAE"/>
    <w:rsid w:val="03675EC4"/>
    <w:rsid w:val="036A795F"/>
    <w:rsid w:val="03711704"/>
    <w:rsid w:val="03720E25"/>
    <w:rsid w:val="037638EE"/>
    <w:rsid w:val="038129D8"/>
    <w:rsid w:val="038547FD"/>
    <w:rsid w:val="038959A5"/>
    <w:rsid w:val="03A20BD9"/>
    <w:rsid w:val="03C47FB5"/>
    <w:rsid w:val="03CD2000"/>
    <w:rsid w:val="03D60BBC"/>
    <w:rsid w:val="03FD42A4"/>
    <w:rsid w:val="0400397D"/>
    <w:rsid w:val="040B4A35"/>
    <w:rsid w:val="04100401"/>
    <w:rsid w:val="04152757"/>
    <w:rsid w:val="04183B22"/>
    <w:rsid w:val="041D47D5"/>
    <w:rsid w:val="043F474B"/>
    <w:rsid w:val="04437524"/>
    <w:rsid w:val="04485ED3"/>
    <w:rsid w:val="044C38EF"/>
    <w:rsid w:val="04531FA4"/>
    <w:rsid w:val="04545BA2"/>
    <w:rsid w:val="045D2E23"/>
    <w:rsid w:val="045D72C7"/>
    <w:rsid w:val="045F303F"/>
    <w:rsid w:val="046425C9"/>
    <w:rsid w:val="046B0554"/>
    <w:rsid w:val="046E2C6F"/>
    <w:rsid w:val="04770389"/>
    <w:rsid w:val="047D071B"/>
    <w:rsid w:val="04842AA6"/>
    <w:rsid w:val="048E56D2"/>
    <w:rsid w:val="04A87321"/>
    <w:rsid w:val="04AC7907"/>
    <w:rsid w:val="04AE18D1"/>
    <w:rsid w:val="04C6380B"/>
    <w:rsid w:val="04CE13BF"/>
    <w:rsid w:val="04D330E5"/>
    <w:rsid w:val="04D4049D"/>
    <w:rsid w:val="04D4606A"/>
    <w:rsid w:val="04D53301"/>
    <w:rsid w:val="04D63E99"/>
    <w:rsid w:val="04D72BD5"/>
    <w:rsid w:val="04E92909"/>
    <w:rsid w:val="04FC5457"/>
    <w:rsid w:val="05010DB9"/>
    <w:rsid w:val="05045994"/>
    <w:rsid w:val="05050856"/>
    <w:rsid w:val="05237BC9"/>
    <w:rsid w:val="05337473"/>
    <w:rsid w:val="054838F8"/>
    <w:rsid w:val="05542478"/>
    <w:rsid w:val="05551447"/>
    <w:rsid w:val="05575EE0"/>
    <w:rsid w:val="05673485"/>
    <w:rsid w:val="05681A7F"/>
    <w:rsid w:val="05713FFC"/>
    <w:rsid w:val="057C377D"/>
    <w:rsid w:val="057F32C4"/>
    <w:rsid w:val="05810CD6"/>
    <w:rsid w:val="058F7FE6"/>
    <w:rsid w:val="059046BA"/>
    <w:rsid w:val="059C10C6"/>
    <w:rsid w:val="05C72725"/>
    <w:rsid w:val="05C824B6"/>
    <w:rsid w:val="05CF5FA2"/>
    <w:rsid w:val="05D11D1B"/>
    <w:rsid w:val="05D20A7A"/>
    <w:rsid w:val="05D22AF3"/>
    <w:rsid w:val="05E35962"/>
    <w:rsid w:val="05F250AD"/>
    <w:rsid w:val="05FC5579"/>
    <w:rsid w:val="06035C4C"/>
    <w:rsid w:val="06085010"/>
    <w:rsid w:val="060A6F52"/>
    <w:rsid w:val="060E2A38"/>
    <w:rsid w:val="060F627C"/>
    <w:rsid w:val="061B4D44"/>
    <w:rsid w:val="06215189"/>
    <w:rsid w:val="06222CA8"/>
    <w:rsid w:val="062416F2"/>
    <w:rsid w:val="062F07EF"/>
    <w:rsid w:val="063276C3"/>
    <w:rsid w:val="06334096"/>
    <w:rsid w:val="063E0A32"/>
    <w:rsid w:val="064047AA"/>
    <w:rsid w:val="06471FDD"/>
    <w:rsid w:val="06497B2A"/>
    <w:rsid w:val="064A5F93"/>
    <w:rsid w:val="06502C30"/>
    <w:rsid w:val="0658777D"/>
    <w:rsid w:val="065B5827"/>
    <w:rsid w:val="065F7326"/>
    <w:rsid w:val="065F787C"/>
    <w:rsid w:val="06602A58"/>
    <w:rsid w:val="0677604B"/>
    <w:rsid w:val="067C2FE4"/>
    <w:rsid w:val="067C50E0"/>
    <w:rsid w:val="067F52D3"/>
    <w:rsid w:val="0684067E"/>
    <w:rsid w:val="068C1D2C"/>
    <w:rsid w:val="068D56CD"/>
    <w:rsid w:val="069131EB"/>
    <w:rsid w:val="0697190B"/>
    <w:rsid w:val="06AF4460"/>
    <w:rsid w:val="06B35987"/>
    <w:rsid w:val="06B9606E"/>
    <w:rsid w:val="06D068DA"/>
    <w:rsid w:val="06D56C36"/>
    <w:rsid w:val="06D849E3"/>
    <w:rsid w:val="06E00D4C"/>
    <w:rsid w:val="06F23CF7"/>
    <w:rsid w:val="06FD269B"/>
    <w:rsid w:val="07016A2E"/>
    <w:rsid w:val="07061B14"/>
    <w:rsid w:val="071C5A8E"/>
    <w:rsid w:val="072639A0"/>
    <w:rsid w:val="0728596A"/>
    <w:rsid w:val="072F035E"/>
    <w:rsid w:val="0741414F"/>
    <w:rsid w:val="07425B41"/>
    <w:rsid w:val="074F739B"/>
    <w:rsid w:val="07520C39"/>
    <w:rsid w:val="075F5058"/>
    <w:rsid w:val="075F64B8"/>
    <w:rsid w:val="07641DB7"/>
    <w:rsid w:val="07660241"/>
    <w:rsid w:val="07677B15"/>
    <w:rsid w:val="07703098"/>
    <w:rsid w:val="077342E3"/>
    <w:rsid w:val="078B24C0"/>
    <w:rsid w:val="079563CA"/>
    <w:rsid w:val="07991186"/>
    <w:rsid w:val="07A16546"/>
    <w:rsid w:val="07B9416A"/>
    <w:rsid w:val="07C0610A"/>
    <w:rsid w:val="07C74031"/>
    <w:rsid w:val="07D71FE0"/>
    <w:rsid w:val="07D9452C"/>
    <w:rsid w:val="07E07FF3"/>
    <w:rsid w:val="07E62177"/>
    <w:rsid w:val="07F721CB"/>
    <w:rsid w:val="07FC49BB"/>
    <w:rsid w:val="0809662B"/>
    <w:rsid w:val="08161C67"/>
    <w:rsid w:val="081A3E22"/>
    <w:rsid w:val="08254F79"/>
    <w:rsid w:val="082D1A17"/>
    <w:rsid w:val="0837398B"/>
    <w:rsid w:val="08393BA7"/>
    <w:rsid w:val="083B6B0B"/>
    <w:rsid w:val="083E11BD"/>
    <w:rsid w:val="08444A26"/>
    <w:rsid w:val="085530EF"/>
    <w:rsid w:val="085C3EA8"/>
    <w:rsid w:val="085D4604"/>
    <w:rsid w:val="086851C5"/>
    <w:rsid w:val="086C129F"/>
    <w:rsid w:val="08757642"/>
    <w:rsid w:val="087F559D"/>
    <w:rsid w:val="08844E22"/>
    <w:rsid w:val="0886328A"/>
    <w:rsid w:val="088C1F29"/>
    <w:rsid w:val="08A323CB"/>
    <w:rsid w:val="08B91276"/>
    <w:rsid w:val="08C6368D"/>
    <w:rsid w:val="08D42C9C"/>
    <w:rsid w:val="08DC5A49"/>
    <w:rsid w:val="08FF094D"/>
    <w:rsid w:val="08FF26FB"/>
    <w:rsid w:val="091741BB"/>
    <w:rsid w:val="091B2D51"/>
    <w:rsid w:val="091F3655"/>
    <w:rsid w:val="0933345C"/>
    <w:rsid w:val="09384548"/>
    <w:rsid w:val="09421EC5"/>
    <w:rsid w:val="09437B3A"/>
    <w:rsid w:val="09463FB2"/>
    <w:rsid w:val="09576113"/>
    <w:rsid w:val="095953E8"/>
    <w:rsid w:val="09785729"/>
    <w:rsid w:val="098837B8"/>
    <w:rsid w:val="098D5F59"/>
    <w:rsid w:val="099136D3"/>
    <w:rsid w:val="09A87B9D"/>
    <w:rsid w:val="09B1625C"/>
    <w:rsid w:val="09B92C33"/>
    <w:rsid w:val="09BA75E6"/>
    <w:rsid w:val="09C405C2"/>
    <w:rsid w:val="09C81511"/>
    <w:rsid w:val="09E518F1"/>
    <w:rsid w:val="09EE3F05"/>
    <w:rsid w:val="09FB5C39"/>
    <w:rsid w:val="0A0A5105"/>
    <w:rsid w:val="0A0B0840"/>
    <w:rsid w:val="0A0E6D8C"/>
    <w:rsid w:val="0A165461"/>
    <w:rsid w:val="0A1C72DC"/>
    <w:rsid w:val="0A2905F9"/>
    <w:rsid w:val="0A434D56"/>
    <w:rsid w:val="0A464179"/>
    <w:rsid w:val="0A541B4B"/>
    <w:rsid w:val="0A593013"/>
    <w:rsid w:val="0A5F4CC6"/>
    <w:rsid w:val="0A6854E5"/>
    <w:rsid w:val="0A763666"/>
    <w:rsid w:val="0A7F5B6E"/>
    <w:rsid w:val="0AA277E2"/>
    <w:rsid w:val="0AA3501D"/>
    <w:rsid w:val="0AA77B5F"/>
    <w:rsid w:val="0AB310E4"/>
    <w:rsid w:val="0ABA1AE1"/>
    <w:rsid w:val="0ABF6422"/>
    <w:rsid w:val="0AC05EBA"/>
    <w:rsid w:val="0ACA0AE6"/>
    <w:rsid w:val="0AD1245E"/>
    <w:rsid w:val="0B302A87"/>
    <w:rsid w:val="0B3A146E"/>
    <w:rsid w:val="0B3F74E9"/>
    <w:rsid w:val="0B687DEC"/>
    <w:rsid w:val="0B7C6285"/>
    <w:rsid w:val="0B870B9C"/>
    <w:rsid w:val="0BA002B2"/>
    <w:rsid w:val="0BA27697"/>
    <w:rsid w:val="0BC219D6"/>
    <w:rsid w:val="0BDF4884"/>
    <w:rsid w:val="0BF66911"/>
    <w:rsid w:val="0BF91AFE"/>
    <w:rsid w:val="0BFB0FAB"/>
    <w:rsid w:val="0C0A408A"/>
    <w:rsid w:val="0C1D0C5F"/>
    <w:rsid w:val="0C267E57"/>
    <w:rsid w:val="0C2A1D8E"/>
    <w:rsid w:val="0C30294C"/>
    <w:rsid w:val="0C322347"/>
    <w:rsid w:val="0C32678B"/>
    <w:rsid w:val="0C4C174B"/>
    <w:rsid w:val="0C4C3AE9"/>
    <w:rsid w:val="0C4D7C21"/>
    <w:rsid w:val="0C517711"/>
    <w:rsid w:val="0C5965C6"/>
    <w:rsid w:val="0C647985"/>
    <w:rsid w:val="0C671A47"/>
    <w:rsid w:val="0C6853C5"/>
    <w:rsid w:val="0C6A7C86"/>
    <w:rsid w:val="0C6C184A"/>
    <w:rsid w:val="0C7777C5"/>
    <w:rsid w:val="0C784205"/>
    <w:rsid w:val="0C81761F"/>
    <w:rsid w:val="0C8573BB"/>
    <w:rsid w:val="0C8E494C"/>
    <w:rsid w:val="0C8F0EF0"/>
    <w:rsid w:val="0C9366E6"/>
    <w:rsid w:val="0C945AC7"/>
    <w:rsid w:val="0C946351"/>
    <w:rsid w:val="0C961DA3"/>
    <w:rsid w:val="0C971A52"/>
    <w:rsid w:val="0C9B6C3C"/>
    <w:rsid w:val="0C9D3858"/>
    <w:rsid w:val="0C9F0263"/>
    <w:rsid w:val="0CA02447"/>
    <w:rsid w:val="0CA4345A"/>
    <w:rsid w:val="0CAD65BA"/>
    <w:rsid w:val="0CB57830"/>
    <w:rsid w:val="0CC2653F"/>
    <w:rsid w:val="0CC41F2E"/>
    <w:rsid w:val="0CC63D57"/>
    <w:rsid w:val="0CC8184F"/>
    <w:rsid w:val="0CE139B6"/>
    <w:rsid w:val="0CE17FA4"/>
    <w:rsid w:val="0CE20369"/>
    <w:rsid w:val="0CE40D90"/>
    <w:rsid w:val="0CEF4F2D"/>
    <w:rsid w:val="0CF2312E"/>
    <w:rsid w:val="0CF837EB"/>
    <w:rsid w:val="0D004786"/>
    <w:rsid w:val="0D0261B4"/>
    <w:rsid w:val="0D0563FA"/>
    <w:rsid w:val="0D120418"/>
    <w:rsid w:val="0D1904D8"/>
    <w:rsid w:val="0D224637"/>
    <w:rsid w:val="0D377E0D"/>
    <w:rsid w:val="0D38267F"/>
    <w:rsid w:val="0D385CC9"/>
    <w:rsid w:val="0D411534"/>
    <w:rsid w:val="0D4B1547"/>
    <w:rsid w:val="0D503BE8"/>
    <w:rsid w:val="0D6A5E37"/>
    <w:rsid w:val="0D800D49"/>
    <w:rsid w:val="0D841421"/>
    <w:rsid w:val="0D894A4E"/>
    <w:rsid w:val="0D907DC5"/>
    <w:rsid w:val="0D91446E"/>
    <w:rsid w:val="0DA70FB5"/>
    <w:rsid w:val="0DD71E98"/>
    <w:rsid w:val="0DE255F7"/>
    <w:rsid w:val="0DE60DCF"/>
    <w:rsid w:val="0DEF68B1"/>
    <w:rsid w:val="0DF978B0"/>
    <w:rsid w:val="0DFE5677"/>
    <w:rsid w:val="0E0849CA"/>
    <w:rsid w:val="0E15651D"/>
    <w:rsid w:val="0E221DF9"/>
    <w:rsid w:val="0E252C04"/>
    <w:rsid w:val="0E280969"/>
    <w:rsid w:val="0E2D61F6"/>
    <w:rsid w:val="0E417FAD"/>
    <w:rsid w:val="0E42067D"/>
    <w:rsid w:val="0E4809A2"/>
    <w:rsid w:val="0E4C4A29"/>
    <w:rsid w:val="0E5E4367"/>
    <w:rsid w:val="0E5F1AC3"/>
    <w:rsid w:val="0E6179B4"/>
    <w:rsid w:val="0E6B152D"/>
    <w:rsid w:val="0E72571D"/>
    <w:rsid w:val="0E8A61B1"/>
    <w:rsid w:val="0E9130FB"/>
    <w:rsid w:val="0E9C033A"/>
    <w:rsid w:val="0E9F2DA4"/>
    <w:rsid w:val="0EA60EEB"/>
    <w:rsid w:val="0EC017CA"/>
    <w:rsid w:val="0ECE1FF2"/>
    <w:rsid w:val="0ECE329B"/>
    <w:rsid w:val="0ED2440E"/>
    <w:rsid w:val="0ED505A8"/>
    <w:rsid w:val="0EDF749E"/>
    <w:rsid w:val="0EE20AF5"/>
    <w:rsid w:val="0EEE2F62"/>
    <w:rsid w:val="0EFE7BF5"/>
    <w:rsid w:val="0F067F6D"/>
    <w:rsid w:val="0F114F36"/>
    <w:rsid w:val="0F19718C"/>
    <w:rsid w:val="0F1E0228"/>
    <w:rsid w:val="0F203DE2"/>
    <w:rsid w:val="0F237DDC"/>
    <w:rsid w:val="0F2A25A4"/>
    <w:rsid w:val="0F326941"/>
    <w:rsid w:val="0F4224B9"/>
    <w:rsid w:val="0F4B77E8"/>
    <w:rsid w:val="0F566347"/>
    <w:rsid w:val="0F5D4958"/>
    <w:rsid w:val="0F664811"/>
    <w:rsid w:val="0F6D34C7"/>
    <w:rsid w:val="0F871430"/>
    <w:rsid w:val="0F997115"/>
    <w:rsid w:val="0F9A0A63"/>
    <w:rsid w:val="0F9D1E15"/>
    <w:rsid w:val="0FBD55BE"/>
    <w:rsid w:val="0FC361E9"/>
    <w:rsid w:val="0FCF4880"/>
    <w:rsid w:val="0FD12EE2"/>
    <w:rsid w:val="0FD15B7E"/>
    <w:rsid w:val="0FEF6A5D"/>
    <w:rsid w:val="0FFF7FBD"/>
    <w:rsid w:val="10205D2E"/>
    <w:rsid w:val="102559E9"/>
    <w:rsid w:val="10284C2D"/>
    <w:rsid w:val="1038363A"/>
    <w:rsid w:val="10423BF8"/>
    <w:rsid w:val="104430E9"/>
    <w:rsid w:val="10452D92"/>
    <w:rsid w:val="104C344F"/>
    <w:rsid w:val="1053255D"/>
    <w:rsid w:val="1058082F"/>
    <w:rsid w:val="106A101D"/>
    <w:rsid w:val="10707088"/>
    <w:rsid w:val="10762425"/>
    <w:rsid w:val="107C6D27"/>
    <w:rsid w:val="107E289C"/>
    <w:rsid w:val="10817E99"/>
    <w:rsid w:val="10854CBB"/>
    <w:rsid w:val="10897F83"/>
    <w:rsid w:val="108B6F31"/>
    <w:rsid w:val="108C51BC"/>
    <w:rsid w:val="109511BB"/>
    <w:rsid w:val="109727A2"/>
    <w:rsid w:val="109776BD"/>
    <w:rsid w:val="109850F7"/>
    <w:rsid w:val="109B53FF"/>
    <w:rsid w:val="10AE4FAE"/>
    <w:rsid w:val="10BF7DA9"/>
    <w:rsid w:val="10C34747"/>
    <w:rsid w:val="10D26947"/>
    <w:rsid w:val="10D73F5D"/>
    <w:rsid w:val="10D95F27"/>
    <w:rsid w:val="10DA3000"/>
    <w:rsid w:val="10ED3781"/>
    <w:rsid w:val="10FA4933"/>
    <w:rsid w:val="111568C0"/>
    <w:rsid w:val="111B1D8E"/>
    <w:rsid w:val="111E1B8C"/>
    <w:rsid w:val="112024AC"/>
    <w:rsid w:val="11255AD0"/>
    <w:rsid w:val="11267AD6"/>
    <w:rsid w:val="112A2922"/>
    <w:rsid w:val="112C42A9"/>
    <w:rsid w:val="11357B78"/>
    <w:rsid w:val="115911F6"/>
    <w:rsid w:val="115A177E"/>
    <w:rsid w:val="115C4244"/>
    <w:rsid w:val="115D5B37"/>
    <w:rsid w:val="115F467E"/>
    <w:rsid w:val="11616084"/>
    <w:rsid w:val="116F230D"/>
    <w:rsid w:val="11731A8D"/>
    <w:rsid w:val="11817609"/>
    <w:rsid w:val="11892C9B"/>
    <w:rsid w:val="118D4FA5"/>
    <w:rsid w:val="11A025A1"/>
    <w:rsid w:val="11A90CA2"/>
    <w:rsid w:val="11AC285B"/>
    <w:rsid w:val="11AF0A31"/>
    <w:rsid w:val="11B36778"/>
    <w:rsid w:val="11B4290F"/>
    <w:rsid w:val="11C52605"/>
    <w:rsid w:val="11C57453"/>
    <w:rsid w:val="11C77E03"/>
    <w:rsid w:val="11D32976"/>
    <w:rsid w:val="11E309FC"/>
    <w:rsid w:val="11E64458"/>
    <w:rsid w:val="11E66D6B"/>
    <w:rsid w:val="11EB0498"/>
    <w:rsid w:val="11F254F3"/>
    <w:rsid w:val="11F905A9"/>
    <w:rsid w:val="12072620"/>
    <w:rsid w:val="120A6475"/>
    <w:rsid w:val="120B0365"/>
    <w:rsid w:val="120B617C"/>
    <w:rsid w:val="120F735E"/>
    <w:rsid w:val="121A05A5"/>
    <w:rsid w:val="121F3E0E"/>
    <w:rsid w:val="122F18D1"/>
    <w:rsid w:val="1237792A"/>
    <w:rsid w:val="124A70DD"/>
    <w:rsid w:val="1256384E"/>
    <w:rsid w:val="125E3A70"/>
    <w:rsid w:val="12634C87"/>
    <w:rsid w:val="1278488D"/>
    <w:rsid w:val="127C1AA9"/>
    <w:rsid w:val="127E2C02"/>
    <w:rsid w:val="12854213"/>
    <w:rsid w:val="12A12A75"/>
    <w:rsid w:val="12B91D4C"/>
    <w:rsid w:val="12BA6C22"/>
    <w:rsid w:val="12BF4B6F"/>
    <w:rsid w:val="12CE32F0"/>
    <w:rsid w:val="12E070F9"/>
    <w:rsid w:val="12E3669F"/>
    <w:rsid w:val="12F62DC0"/>
    <w:rsid w:val="12FD1012"/>
    <w:rsid w:val="1302261D"/>
    <w:rsid w:val="131B45D5"/>
    <w:rsid w:val="131E7A49"/>
    <w:rsid w:val="13272BE8"/>
    <w:rsid w:val="1337725E"/>
    <w:rsid w:val="133E62E0"/>
    <w:rsid w:val="13421557"/>
    <w:rsid w:val="136702B4"/>
    <w:rsid w:val="137363F8"/>
    <w:rsid w:val="139229D8"/>
    <w:rsid w:val="13961DA5"/>
    <w:rsid w:val="13A4275D"/>
    <w:rsid w:val="13AC16D1"/>
    <w:rsid w:val="13BA0DB6"/>
    <w:rsid w:val="13BF36D6"/>
    <w:rsid w:val="13C71106"/>
    <w:rsid w:val="13E76168"/>
    <w:rsid w:val="13ED0B6F"/>
    <w:rsid w:val="140068A4"/>
    <w:rsid w:val="14013A66"/>
    <w:rsid w:val="14022538"/>
    <w:rsid w:val="1411239E"/>
    <w:rsid w:val="143824FF"/>
    <w:rsid w:val="143B5363"/>
    <w:rsid w:val="143D524C"/>
    <w:rsid w:val="145923C5"/>
    <w:rsid w:val="145F6743"/>
    <w:rsid w:val="146835FB"/>
    <w:rsid w:val="146A5814"/>
    <w:rsid w:val="146C2418"/>
    <w:rsid w:val="147148B8"/>
    <w:rsid w:val="14863CD0"/>
    <w:rsid w:val="1488219B"/>
    <w:rsid w:val="14A5684C"/>
    <w:rsid w:val="14BE16BC"/>
    <w:rsid w:val="14CF3D09"/>
    <w:rsid w:val="14D02F5C"/>
    <w:rsid w:val="14D51756"/>
    <w:rsid w:val="14D61ED0"/>
    <w:rsid w:val="14DE573A"/>
    <w:rsid w:val="14E034EC"/>
    <w:rsid w:val="14E1184E"/>
    <w:rsid w:val="14EB2D42"/>
    <w:rsid w:val="14F3618F"/>
    <w:rsid w:val="150854D4"/>
    <w:rsid w:val="15262041"/>
    <w:rsid w:val="152D1D89"/>
    <w:rsid w:val="15325C06"/>
    <w:rsid w:val="153879D6"/>
    <w:rsid w:val="15394114"/>
    <w:rsid w:val="15442576"/>
    <w:rsid w:val="154C6CD2"/>
    <w:rsid w:val="154F4A0A"/>
    <w:rsid w:val="15511BEA"/>
    <w:rsid w:val="15516865"/>
    <w:rsid w:val="15563AF1"/>
    <w:rsid w:val="155A139E"/>
    <w:rsid w:val="15680536"/>
    <w:rsid w:val="156F50C5"/>
    <w:rsid w:val="15747D8A"/>
    <w:rsid w:val="1585042C"/>
    <w:rsid w:val="15A54F00"/>
    <w:rsid w:val="15A62CFE"/>
    <w:rsid w:val="15A67EF2"/>
    <w:rsid w:val="15B8610B"/>
    <w:rsid w:val="15C72391"/>
    <w:rsid w:val="15D60C87"/>
    <w:rsid w:val="15EF766C"/>
    <w:rsid w:val="15F0598A"/>
    <w:rsid w:val="15F51A15"/>
    <w:rsid w:val="15FA42FE"/>
    <w:rsid w:val="161D68B6"/>
    <w:rsid w:val="1627475A"/>
    <w:rsid w:val="16290B59"/>
    <w:rsid w:val="16315EBE"/>
    <w:rsid w:val="16357C48"/>
    <w:rsid w:val="16420577"/>
    <w:rsid w:val="16421E79"/>
    <w:rsid w:val="16466EEA"/>
    <w:rsid w:val="16491459"/>
    <w:rsid w:val="164A4A71"/>
    <w:rsid w:val="164B0FAC"/>
    <w:rsid w:val="164E4CC1"/>
    <w:rsid w:val="1652128F"/>
    <w:rsid w:val="165878EE"/>
    <w:rsid w:val="16736839"/>
    <w:rsid w:val="167D33AF"/>
    <w:rsid w:val="16814539"/>
    <w:rsid w:val="16846935"/>
    <w:rsid w:val="16857E4E"/>
    <w:rsid w:val="16943974"/>
    <w:rsid w:val="16990306"/>
    <w:rsid w:val="16BF34C9"/>
    <w:rsid w:val="16C93526"/>
    <w:rsid w:val="16CC55AB"/>
    <w:rsid w:val="16CE195E"/>
    <w:rsid w:val="16D46FB9"/>
    <w:rsid w:val="16DD70C0"/>
    <w:rsid w:val="16DF7696"/>
    <w:rsid w:val="16E228C0"/>
    <w:rsid w:val="16E573D4"/>
    <w:rsid w:val="16E83AB0"/>
    <w:rsid w:val="17125CEF"/>
    <w:rsid w:val="171262EA"/>
    <w:rsid w:val="17172D24"/>
    <w:rsid w:val="172016ED"/>
    <w:rsid w:val="17327353"/>
    <w:rsid w:val="17332C3E"/>
    <w:rsid w:val="17372DC2"/>
    <w:rsid w:val="17465999"/>
    <w:rsid w:val="174A1418"/>
    <w:rsid w:val="17604D9F"/>
    <w:rsid w:val="176050EF"/>
    <w:rsid w:val="17644F19"/>
    <w:rsid w:val="176656A9"/>
    <w:rsid w:val="178460A8"/>
    <w:rsid w:val="178905CA"/>
    <w:rsid w:val="178D7D75"/>
    <w:rsid w:val="17935082"/>
    <w:rsid w:val="179755EA"/>
    <w:rsid w:val="17984446"/>
    <w:rsid w:val="179B7586"/>
    <w:rsid w:val="179C32D3"/>
    <w:rsid w:val="179D1A36"/>
    <w:rsid w:val="179E535D"/>
    <w:rsid w:val="17A40EEE"/>
    <w:rsid w:val="17AC7EF2"/>
    <w:rsid w:val="17B332EA"/>
    <w:rsid w:val="17BA22F0"/>
    <w:rsid w:val="17C05709"/>
    <w:rsid w:val="17D26240"/>
    <w:rsid w:val="17D33A25"/>
    <w:rsid w:val="17D631C0"/>
    <w:rsid w:val="17DD6566"/>
    <w:rsid w:val="17DD6BCE"/>
    <w:rsid w:val="17EE0EFA"/>
    <w:rsid w:val="17F3168A"/>
    <w:rsid w:val="17F378CF"/>
    <w:rsid w:val="17F46F53"/>
    <w:rsid w:val="17FE3F5B"/>
    <w:rsid w:val="18155A97"/>
    <w:rsid w:val="181A4F1F"/>
    <w:rsid w:val="181B5077"/>
    <w:rsid w:val="182201B4"/>
    <w:rsid w:val="18234262"/>
    <w:rsid w:val="18251A3C"/>
    <w:rsid w:val="182B5C22"/>
    <w:rsid w:val="183121A5"/>
    <w:rsid w:val="183E06CD"/>
    <w:rsid w:val="18423CDF"/>
    <w:rsid w:val="184928DF"/>
    <w:rsid w:val="185B5474"/>
    <w:rsid w:val="185F6D12"/>
    <w:rsid w:val="18605BBA"/>
    <w:rsid w:val="18685D2A"/>
    <w:rsid w:val="186E06F3"/>
    <w:rsid w:val="187A3B4C"/>
    <w:rsid w:val="187A4DE1"/>
    <w:rsid w:val="1881137E"/>
    <w:rsid w:val="188E4B1C"/>
    <w:rsid w:val="18961DEF"/>
    <w:rsid w:val="18A10666"/>
    <w:rsid w:val="18A16A53"/>
    <w:rsid w:val="18BB3F98"/>
    <w:rsid w:val="18C63B73"/>
    <w:rsid w:val="18CA7B2D"/>
    <w:rsid w:val="18CE3F9E"/>
    <w:rsid w:val="18E11E1D"/>
    <w:rsid w:val="18EB1E70"/>
    <w:rsid w:val="18ED6A14"/>
    <w:rsid w:val="19006747"/>
    <w:rsid w:val="19024E0F"/>
    <w:rsid w:val="190F0738"/>
    <w:rsid w:val="19153875"/>
    <w:rsid w:val="19157D18"/>
    <w:rsid w:val="191C4C03"/>
    <w:rsid w:val="1920293C"/>
    <w:rsid w:val="19202C15"/>
    <w:rsid w:val="19212219"/>
    <w:rsid w:val="192166BD"/>
    <w:rsid w:val="19265A82"/>
    <w:rsid w:val="192D6E10"/>
    <w:rsid w:val="1935521A"/>
    <w:rsid w:val="193A152D"/>
    <w:rsid w:val="193A5D65"/>
    <w:rsid w:val="19404D95"/>
    <w:rsid w:val="19524583"/>
    <w:rsid w:val="195D09F1"/>
    <w:rsid w:val="197255CC"/>
    <w:rsid w:val="197467ED"/>
    <w:rsid w:val="19866520"/>
    <w:rsid w:val="19872D91"/>
    <w:rsid w:val="198A298F"/>
    <w:rsid w:val="198F7215"/>
    <w:rsid w:val="19951659"/>
    <w:rsid w:val="19980027"/>
    <w:rsid w:val="199921DF"/>
    <w:rsid w:val="199926F8"/>
    <w:rsid w:val="199D4507"/>
    <w:rsid w:val="19E00326"/>
    <w:rsid w:val="19E054E5"/>
    <w:rsid w:val="19E31A84"/>
    <w:rsid w:val="19EC3234"/>
    <w:rsid w:val="19F61C8D"/>
    <w:rsid w:val="19FB59D1"/>
    <w:rsid w:val="19FD00AA"/>
    <w:rsid w:val="19FD67E3"/>
    <w:rsid w:val="1A01042B"/>
    <w:rsid w:val="1A050F99"/>
    <w:rsid w:val="1A0B09C0"/>
    <w:rsid w:val="1A0F6516"/>
    <w:rsid w:val="1A16603F"/>
    <w:rsid w:val="1A1B310D"/>
    <w:rsid w:val="1A1C5A67"/>
    <w:rsid w:val="1A3327B7"/>
    <w:rsid w:val="1A355B24"/>
    <w:rsid w:val="1A364C9D"/>
    <w:rsid w:val="1A3961D5"/>
    <w:rsid w:val="1A431E60"/>
    <w:rsid w:val="1A441E72"/>
    <w:rsid w:val="1A447240"/>
    <w:rsid w:val="1A5964E0"/>
    <w:rsid w:val="1A5E6624"/>
    <w:rsid w:val="1A703458"/>
    <w:rsid w:val="1A744A91"/>
    <w:rsid w:val="1A7C5269"/>
    <w:rsid w:val="1A863A57"/>
    <w:rsid w:val="1A86585B"/>
    <w:rsid w:val="1A9F1C68"/>
    <w:rsid w:val="1AA12D15"/>
    <w:rsid w:val="1AB130BF"/>
    <w:rsid w:val="1AB570BD"/>
    <w:rsid w:val="1ABA2A2D"/>
    <w:rsid w:val="1AC03394"/>
    <w:rsid w:val="1AC44158"/>
    <w:rsid w:val="1AC63078"/>
    <w:rsid w:val="1AD97719"/>
    <w:rsid w:val="1ADF5EC7"/>
    <w:rsid w:val="1B0512A5"/>
    <w:rsid w:val="1B135BD9"/>
    <w:rsid w:val="1B170958"/>
    <w:rsid w:val="1B172250"/>
    <w:rsid w:val="1B210BF7"/>
    <w:rsid w:val="1B2B396E"/>
    <w:rsid w:val="1B55264E"/>
    <w:rsid w:val="1B5D038C"/>
    <w:rsid w:val="1B724FAE"/>
    <w:rsid w:val="1B740D26"/>
    <w:rsid w:val="1B825704"/>
    <w:rsid w:val="1B8E0917"/>
    <w:rsid w:val="1B942560"/>
    <w:rsid w:val="1B9E7300"/>
    <w:rsid w:val="1BA333BA"/>
    <w:rsid w:val="1BA96413"/>
    <w:rsid w:val="1BB260D9"/>
    <w:rsid w:val="1BB34972"/>
    <w:rsid w:val="1BB76E65"/>
    <w:rsid w:val="1BBC26CD"/>
    <w:rsid w:val="1BBD1E72"/>
    <w:rsid w:val="1BC1042C"/>
    <w:rsid w:val="1BCF1309"/>
    <w:rsid w:val="1BD765FC"/>
    <w:rsid w:val="1BDB6FF7"/>
    <w:rsid w:val="1BE10D98"/>
    <w:rsid w:val="1BF12377"/>
    <w:rsid w:val="1BF27683"/>
    <w:rsid w:val="1BF97E83"/>
    <w:rsid w:val="1C0025BA"/>
    <w:rsid w:val="1C0A3439"/>
    <w:rsid w:val="1C1222ED"/>
    <w:rsid w:val="1C124370"/>
    <w:rsid w:val="1C1A6E60"/>
    <w:rsid w:val="1C1C6D9C"/>
    <w:rsid w:val="1C21253E"/>
    <w:rsid w:val="1C5D6861"/>
    <w:rsid w:val="1C5E5533"/>
    <w:rsid w:val="1C612F05"/>
    <w:rsid w:val="1C627CB7"/>
    <w:rsid w:val="1C6F6D69"/>
    <w:rsid w:val="1C741674"/>
    <w:rsid w:val="1C7B3C92"/>
    <w:rsid w:val="1C8067A9"/>
    <w:rsid w:val="1C8E447C"/>
    <w:rsid w:val="1C901646"/>
    <w:rsid w:val="1C9020E0"/>
    <w:rsid w:val="1C906530"/>
    <w:rsid w:val="1C93342E"/>
    <w:rsid w:val="1CC22BD9"/>
    <w:rsid w:val="1CCB627B"/>
    <w:rsid w:val="1CD00D9F"/>
    <w:rsid w:val="1CD0119E"/>
    <w:rsid w:val="1CD40F1D"/>
    <w:rsid w:val="1CE149AE"/>
    <w:rsid w:val="1CEB54F6"/>
    <w:rsid w:val="1D094AC4"/>
    <w:rsid w:val="1D0C4F8F"/>
    <w:rsid w:val="1D0E0D07"/>
    <w:rsid w:val="1D1C37DF"/>
    <w:rsid w:val="1D1D04A8"/>
    <w:rsid w:val="1D2A0D94"/>
    <w:rsid w:val="1D3E2200"/>
    <w:rsid w:val="1D480FB9"/>
    <w:rsid w:val="1D683071"/>
    <w:rsid w:val="1D694FFC"/>
    <w:rsid w:val="1D6E3A3E"/>
    <w:rsid w:val="1D747A57"/>
    <w:rsid w:val="1D761C93"/>
    <w:rsid w:val="1D7A555D"/>
    <w:rsid w:val="1D8061F7"/>
    <w:rsid w:val="1D842B1B"/>
    <w:rsid w:val="1D877DCB"/>
    <w:rsid w:val="1D891995"/>
    <w:rsid w:val="1D906CBB"/>
    <w:rsid w:val="1D9F5E03"/>
    <w:rsid w:val="1DA0383E"/>
    <w:rsid w:val="1DA03EEE"/>
    <w:rsid w:val="1DA26897"/>
    <w:rsid w:val="1DAC4AD5"/>
    <w:rsid w:val="1DAD6B3A"/>
    <w:rsid w:val="1DAF6046"/>
    <w:rsid w:val="1DBB576B"/>
    <w:rsid w:val="1DBF5FA0"/>
    <w:rsid w:val="1DC50CE6"/>
    <w:rsid w:val="1DCC6C1C"/>
    <w:rsid w:val="1DDD24B3"/>
    <w:rsid w:val="1DEF0B38"/>
    <w:rsid w:val="1E197963"/>
    <w:rsid w:val="1E4774BD"/>
    <w:rsid w:val="1E532818"/>
    <w:rsid w:val="1E566E09"/>
    <w:rsid w:val="1E5A29B0"/>
    <w:rsid w:val="1E7828DC"/>
    <w:rsid w:val="1E7C0C7B"/>
    <w:rsid w:val="1E826333"/>
    <w:rsid w:val="1E8631D2"/>
    <w:rsid w:val="1E912ADB"/>
    <w:rsid w:val="1E9132A3"/>
    <w:rsid w:val="1E965458"/>
    <w:rsid w:val="1E9719E5"/>
    <w:rsid w:val="1E9F6E03"/>
    <w:rsid w:val="1EA8053D"/>
    <w:rsid w:val="1EBA2EF4"/>
    <w:rsid w:val="1EBC7E7B"/>
    <w:rsid w:val="1EC600C2"/>
    <w:rsid w:val="1ED33FB6"/>
    <w:rsid w:val="1EDA4F28"/>
    <w:rsid w:val="1EE26A1F"/>
    <w:rsid w:val="1EF160C4"/>
    <w:rsid w:val="1F051509"/>
    <w:rsid w:val="1F086119"/>
    <w:rsid w:val="1F0C13AB"/>
    <w:rsid w:val="1F136AA8"/>
    <w:rsid w:val="1F1745B6"/>
    <w:rsid w:val="1F18000E"/>
    <w:rsid w:val="1F3233D2"/>
    <w:rsid w:val="1F4C66C1"/>
    <w:rsid w:val="1F62545B"/>
    <w:rsid w:val="1F6466AD"/>
    <w:rsid w:val="1F68119F"/>
    <w:rsid w:val="1F6A6EAE"/>
    <w:rsid w:val="1F6B19F2"/>
    <w:rsid w:val="1F7363E0"/>
    <w:rsid w:val="1F7F2998"/>
    <w:rsid w:val="1F877601"/>
    <w:rsid w:val="1F9D3601"/>
    <w:rsid w:val="1FC77013"/>
    <w:rsid w:val="1FCE481E"/>
    <w:rsid w:val="1FD2028B"/>
    <w:rsid w:val="1FEA4E1F"/>
    <w:rsid w:val="1FEB532F"/>
    <w:rsid w:val="1FEF3886"/>
    <w:rsid w:val="1FEF5773"/>
    <w:rsid w:val="1FEF6331"/>
    <w:rsid w:val="1FFD17C8"/>
    <w:rsid w:val="20075B68"/>
    <w:rsid w:val="200D7EB9"/>
    <w:rsid w:val="2016733F"/>
    <w:rsid w:val="203647FC"/>
    <w:rsid w:val="203B62B7"/>
    <w:rsid w:val="203E5FCA"/>
    <w:rsid w:val="20452C91"/>
    <w:rsid w:val="204A3E24"/>
    <w:rsid w:val="204B0601"/>
    <w:rsid w:val="20605D1D"/>
    <w:rsid w:val="20616863"/>
    <w:rsid w:val="20731577"/>
    <w:rsid w:val="20914D43"/>
    <w:rsid w:val="209249D8"/>
    <w:rsid w:val="2099126A"/>
    <w:rsid w:val="20997FF6"/>
    <w:rsid w:val="20AE6A88"/>
    <w:rsid w:val="20B22B7A"/>
    <w:rsid w:val="20B4194E"/>
    <w:rsid w:val="20B77599"/>
    <w:rsid w:val="20C60653"/>
    <w:rsid w:val="20C77B4A"/>
    <w:rsid w:val="20CE2C87"/>
    <w:rsid w:val="20DA69CB"/>
    <w:rsid w:val="20E25EBD"/>
    <w:rsid w:val="20EA3839"/>
    <w:rsid w:val="20F5558E"/>
    <w:rsid w:val="20F80305"/>
    <w:rsid w:val="210448FA"/>
    <w:rsid w:val="21247878"/>
    <w:rsid w:val="212547C8"/>
    <w:rsid w:val="21264B26"/>
    <w:rsid w:val="212B4477"/>
    <w:rsid w:val="212D1EE2"/>
    <w:rsid w:val="213249D4"/>
    <w:rsid w:val="21353FAA"/>
    <w:rsid w:val="214C004F"/>
    <w:rsid w:val="21516771"/>
    <w:rsid w:val="2159096D"/>
    <w:rsid w:val="21752B69"/>
    <w:rsid w:val="217F6F37"/>
    <w:rsid w:val="21893052"/>
    <w:rsid w:val="218C2E6F"/>
    <w:rsid w:val="219A0DBB"/>
    <w:rsid w:val="21A47E8B"/>
    <w:rsid w:val="21C17A68"/>
    <w:rsid w:val="21C32A8F"/>
    <w:rsid w:val="21C5052E"/>
    <w:rsid w:val="21C64425"/>
    <w:rsid w:val="21C67E02"/>
    <w:rsid w:val="21CB262D"/>
    <w:rsid w:val="21CB71C6"/>
    <w:rsid w:val="21D00C81"/>
    <w:rsid w:val="21D24DC2"/>
    <w:rsid w:val="21DD6EFA"/>
    <w:rsid w:val="21E029B7"/>
    <w:rsid w:val="21F26E49"/>
    <w:rsid w:val="21F3787F"/>
    <w:rsid w:val="21FB65EC"/>
    <w:rsid w:val="221565FB"/>
    <w:rsid w:val="221A009C"/>
    <w:rsid w:val="22284C58"/>
    <w:rsid w:val="222C11FF"/>
    <w:rsid w:val="223A4DA5"/>
    <w:rsid w:val="223C319C"/>
    <w:rsid w:val="223E64EF"/>
    <w:rsid w:val="22461303"/>
    <w:rsid w:val="224F0F15"/>
    <w:rsid w:val="22526E91"/>
    <w:rsid w:val="225639C9"/>
    <w:rsid w:val="2264473C"/>
    <w:rsid w:val="226D7CB6"/>
    <w:rsid w:val="22714212"/>
    <w:rsid w:val="22796D63"/>
    <w:rsid w:val="229254B9"/>
    <w:rsid w:val="22946047"/>
    <w:rsid w:val="229603CF"/>
    <w:rsid w:val="22960D61"/>
    <w:rsid w:val="22AB7B04"/>
    <w:rsid w:val="22B941F6"/>
    <w:rsid w:val="22BD15D6"/>
    <w:rsid w:val="22C0182E"/>
    <w:rsid w:val="22DB2E38"/>
    <w:rsid w:val="22DB758F"/>
    <w:rsid w:val="22E04EF3"/>
    <w:rsid w:val="22FE5379"/>
    <w:rsid w:val="230A659F"/>
    <w:rsid w:val="230E7A80"/>
    <w:rsid w:val="231E3A16"/>
    <w:rsid w:val="232C638A"/>
    <w:rsid w:val="233B5326"/>
    <w:rsid w:val="234A44CD"/>
    <w:rsid w:val="23566043"/>
    <w:rsid w:val="235B2B3F"/>
    <w:rsid w:val="237050E5"/>
    <w:rsid w:val="23775858"/>
    <w:rsid w:val="23856963"/>
    <w:rsid w:val="23911220"/>
    <w:rsid w:val="2398160A"/>
    <w:rsid w:val="23995F64"/>
    <w:rsid w:val="23AD5759"/>
    <w:rsid w:val="23AE6B9B"/>
    <w:rsid w:val="23AF6E65"/>
    <w:rsid w:val="23B02B18"/>
    <w:rsid w:val="23BA1BE8"/>
    <w:rsid w:val="23BC326A"/>
    <w:rsid w:val="23CC765B"/>
    <w:rsid w:val="23CE2F9E"/>
    <w:rsid w:val="23E30259"/>
    <w:rsid w:val="23E36EF0"/>
    <w:rsid w:val="23E51A10"/>
    <w:rsid w:val="23F40BB9"/>
    <w:rsid w:val="24005AC5"/>
    <w:rsid w:val="24022C1F"/>
    <w:rsid w:val="240457BD"/>
    <w:rsid w:val="240923B7"/>
    <w:rsid w:val="240B5FA0"/>
    <w:rsid w:val="241906BD"/>
    <w:rsid w:val="2419303C"/>
    <w:rsid w:val="24212E47"/>
    <w:rsid w:val="24230D9C"/>
    <w:rsid w:val="242F7EE0"/>
    <w:rsid w:val="243146FA"/>
    <w:rsid w:val="2432177F"/>
    <w:rsid w:val="24383F19"/>
    <w:rsid w:val="243C706A"/>
    <w:rsid w:val="2446522A"/>
    <w:rsid w:val="244C48DF"/>
    <w:rsid w:val="24513E22"/>
    <w:rsid w:val="245779D2"/>
    <w:rsid w:val="245B0CD5"/>
    <w:rsid w:val="24636CE7"/>
    <w:rsid w:val="24713FEA"/>
    <w:rsid w:val="24727DCD"/>
    <w:rsid w:val="2473727F"/>
    <w:rsid w:val="2482363D"/>
    <w:rsid w:val="2483022C"/>
    <w:rsid w:val="248F0558"/>
    <w:rsid w:val="24960888"/>
    <w:rsid w:val="249F6F2F"/>
    <w:rsid w:val="24A85EE5"/>
    <w:rsid w:val="24B915B1"/>
    <w:rsid w:val="24B91EA0"/>
    <w:rsid w:val="24BC5F1D"/>
    <w:rsid w:val="24C04FDC"/>
    <w:rsid w:val="24C525F3"/>
    <w:rsid w:val="24C832F7"/>
    <w:rsid w:val="24CA7C09"/>
    <w:rsid w:val="24D337CB"/>
    <w:rsid w:val="24E2213D"/>
    <w:rsid w:val="24E5168B"/>
    <w:rsid w:val="24EA02AB"/>
    <w:rsid w:val="24ED6CFA"/>
    <w:rsid w:val="24F574F6"/>
    <w:rsid w:val="250F2223"/>
    <w:rsid w:val="251D5B34"/>
    <w:rsid w:val="2543586C"/>
    <w:rsid w:val="25465CA2"/>
    <w:rsid w:val="2547125A"/>
    <w:rsid w:val="254774AC"/>
    <w:rsid w:val="2549619D"/>
    <w:rsid w:val="254C2D14"/>
    <w:rsid w:val="254F4114"/>
    <w:rsid w:val="255173CF"/>
    <w:rsid w:val="255C14CA"/>
    <w:rsid w:val="257F6FD2"/>
    <w:rsid w:val="25870234"/>
    <w:rsid w:val="258A1977"/>
    <w:rsid w:val="25944CA2"/>
    <w:rsid w:val="259E3CCF"/>
    <w:rsid w:val="25A15C82"/>
    <w:rsid w:val="25A91F14"/>
    <w:rsid w:val="25C66622"/>
    <w:rsid w:val="25CB59E7"/>
    <w:rsid w:val="25E22D30"/>
    <w:rsid w:val="25F80519"/>
    <w:rsid w:val="25FB7378"/>
    <w:rsid w:val="260129CC"/>
    <w:rsid w:val="26157969"/>
    <w:rsid w:val="26236E1A"/>
    <w:rsid w:val="26404627"/>
    <w:rsid w:val="264D464E"/>
    <w:rsid w:val="265359DC"/>
    <w:rsid w:val="265D225C"/>
    <w:rsid w:val="26661BB3"/>
    <w:rsid w:val="266A51AE"/>
    <w:rsid w:val="26764E3F"/>
    <w:rsid w:val="26794851"/>
    <w:rsid w:val="2679798B"/>
    <w:rsid w:val="267B3E47"/>
    <w:rsid w:val="267F418A"/>
    <w:rsid w:val="26AD4FC5"/>
    <w:rsid w:val="26B12BD1"/>
    <w:rsid w:val="26B17556"/>
    <w:rsid w:val="26CF064B"/>
    <w:rsid w:val="26D62895"/>
    <w:rsid w:val="26E2748C"/>
    <w:rsid w:val="26FC03BD"/>
    <w:rsid w:val="26FE1F5C"/>
    <w:rsid w:val="27003DB6"/>
    <w:rsid w:val="27096064"/>
    <w:rsid w:val="27133AE9"/>
    <w:rsid w:val="27266335"/>
    <w:rsid w:val="273175FD"/>
    <w:rsid w:val="273478AE"/>
    <w:rsid w:val="27386BDB"/>
    <w:rsid w:val="273A72C8"/>
    <w:rsid w:val="27400656"/>
    <w:rsid w:val="2744346F"/>
    <w:rsid w:val="27462D81"/>
    <w:rsid w:val="27482F37"/>
    <w:rsid w:val="2752462D"/>
    <w:rsid w:val="275F6280"/>
    <w:rsid w:val="276F4A98"/>
    <w:rsid w:val="27724228"/>
    <w:rsid w:val="277527D5"/>
    <w:rsid w:val="27765E26"/>
    <w:rsid w:val="277976C4"/>
    <w:rsid w:val="2788401F"/>
    <w:rsid w:val="27895B59"/>
    <w:rsid w:val="27B21058"/>
    <w:rsid w:val="27B3665E"/>
    <w:rsid w:val="27C6290A"/>
    <w:rsid w:val="27D042B1"/>
    <w:rsid w:val="27D66B0F"/>
    <w:rsid w:val="27D942F3"/>
    <w:rsid w:val="27E054E2"/>
    <w:rsid w:val="27E33BB6"/>
    <w:rsid w:val="27EB2370"/>
    <w:rsid w:val="27F136FF"/>
    <w:rsid w:val="27F41C9F"/>
    <w:rsid w:val="28090A48"/>
    <w:rsid w:val="280A310B"/>
    <w:rsid w:val="280E605F"/>
    <w:rsid w:val="280F6C8A"/>
    <w:rsid w:val="2818512F"/>
    <w:rsid w:val="281B7DCC"/>
    <w:rsid w:val="281D373D"/>
    <w:rsid w:val="282669AC"/>
    <w:rsid w:val="282B6C11"/>
    <w:rsid w:val="282F639C"/>
    <w:rsid w:val="28340E5E"/>
    <w:rsid w:val="283A45EE"/>
    <w:rsid w:val="283B4801"/>
    <w:rsid w:val="283D1755"/>
    <w:rsid w:val="283D6944"/>
    <w:rsid w:val="283E1AE1"/>
    <w:rsid w:val="284F2EFD"/>
    <w:rsid w:val="286B2CA4"/>
    <w:rsid w:val="28777BF4"/>
    <w:rsid w:val="2888032F"/>
    <w:rsid w:val="288C5376"/>
    <w:rsid w:val="288D4E09"/>
    <w:rsid w:val="28A340B7"/>
    <w:rsid w:val="28B74AD6"/>
    <w:rsid w:val="28B80E6F"/>
    <w:rsid w:val="28CF6EE7"/>
    <w:rsid w:val="28E3364C"/>
    <w:rsid w:val="28E42DF4"/>
    <w:rsid w:val="28E707B1"/>
    <w:rsid w:val="28F7093E"/>
    <w:rsid w:val="29057B0C"/>
    <w:rsid w:val="29086F52"/>
    <w:rsid w:val="290E5AE2"/>
    <w:rsid w:val="290F4E02"/>
    <w:rsid w:val="29114FDA"/>
    <w:rsid w:val="29164C10"/>
    <w:rsid w:val="291735DA"/>
    <w:rsid w:val="29193321"/>
    <w:rsid w:val="29293E76"/>
    <w:rsid w:val="292A0241"/>
    <w:rsid w:val="29330BC2"/>
    <w:rsid w:val="293837B0"/>
    <w:rsid w:val="293E50CC"/>
    <w:rsid w:val="29512FB8"/>
    <w:rsid w:val="2968166A"/>
    <w:rsid w:val="296D7C49"/>
    <w:rsid w:val="29841762"/>
    <w:rsid w:val="298A7967"/>
    <w:rsid w:val="299C4D2B"/>
    <w:rsid w:val="299D58EC"/>
    <w:rsid w:val="299D6FD9"/>
    <w:rsid w:val="29A313AF"/>
    <w:rsid w:val="29AE1C30"/>
    <w:rsid w:val="29B64203"/>
    <w:rsid w:val="29CF57BE"/>
    <w:rsid w:val="29E44D8B"/>
    <w:rsid w:val="29FD7B19"/>
    <w:rsid w:val="2A092F82"/>
    <w:rsid w:val="2A0966EE"/>
    <w:rsid w:val="2A0C4820"/>
    <w:rsid w:val="2A24506B"/>
    <w:rsid w:val="2A291C28"/>
    <w:rsid w:val="2A2B114A"/>
    <w:rsid w:val="2A2D21C8"/>
    <w:rsid w:val="2A300A37"/>
    <w:rsid w:val="2A557F75"/>
    <w:rsid w:val="2A5C6684"/>
    <w:rsid w:val="2A612DBE"/>
    <w:rsid w:val="2A636B36"/>
    <w:rsid w:val="2A694B4E"/>
    <w:rsid w:val="2A725A42"/>
    <w:rsid w:val="2A731E03"/>
    <w:rsid w:val="2A7D4BD9"/>
    <w:rsid w:val="2A8304B8"/>
    <w:rsid w:val="2A8645D2"/>
    <w:rsid w:val="2A9071FF"/>
    <w:rsid w:val="2A9A4903"/>
    <w:rsid w:val="2A9C2D5D"/>
    <w:rsid w:val="2A9C7924"/>
    <w:rsid w:val="2AA33855"/>
    <w:rsid w:val="2AB16E31"/>
    <w:rsid w:val="2AC67AF8"/>
    <w:rsid w:val="2AD26378"/>
    <w:rsid w:val="2ADB4D6C"/>
    <w:rsid w:val="2ADC2444"/>
    <w:rsid w:val="2AE839DA"/>
    <w:rsid w:val="2AF7727E"/>
    <w:rsid w:val="2AFE5AF5"/>
    <w:rsid w:val="2B14398C"/>
    <w:rsid w:val="2B1C2247"/>
    <w:rsid w:val="2B1E04AC"/>
    <w:rsid w:val="2B1E5067"/>
    <w:rsid w:val="2B261911"/>
    <w:rsid w:val="2B2B7849"/>
    <w:rsid w:val="2B394B81"/>
    <w:rsid w:val="2B3B2563"/>
    <w:rsid w:val="2B410F06"/>
    <w:rsid w:val="2B425A71"/>
    <w:rsid w:val="2B434271"/>
    <w:rsid w:val="2B464577"/>
    <w:rsid w:val="2B471FB3"/>
    <w:rsid w:val="2B4B06AB"/>
    <w:rsid w:val="2B4C3DEE"/>
    <w:rsid w:val="2B5116C7"/>
    <w:rsid w:val="2B525912"/>
    <w:rsid w:val="2B7906AC"/>
    <w:rsid w:val="2B794137"/>
    <w:rsid w:val="2B797102"/>
    <w:rsid w:val="2B82359A"/>
    <w:rsid w:val="2B8564FC"/>
    <w:rsid w:val="2B876854"/>
    <w:rsid w:val="2B943E14"/>
    <w:rsid w:val="2B9F4294"/>
    <w:rsid w:val="2BA6614A"/>
    <w:rsid w:val="2BA85397"/>
    <w:rsid w:val="2BAF1907"/>
    <w:rsid w:val="2BE6006A"/>
    <w:rsid w:val="2BEF10D2"/>
    <w:rsid w:val="2BF46456"/>
    <w:rsid w:val="2BF808D8"/>
    <w:rsid w:val="2BFD274D"/>
    <w:rsid w:val="2C011FFC"/>
    <w:rsid w:val="2C136B71"/>
    <w:rsid w:val="2C1C5102"/>
    <w:rsid w:val="2C267E1B"/>
    <w:rsid w:val="2C2A3C4B"/>
    <w:rsid w:val="2C300C99"/>
    <w:rsid w:val="2C382513"/>
    <w:rsid w:val="2C394A36"/>
    <w:rsid w:val="2C3B319A"/>
    <w:rsid w:val="2C3D03C9"/>
    <w:rsid w:val="2C4613C9"/>
    <w:rsid w:val="2C4B7881"/>
    <w:rsid w:val="2C4E764A"/>
    <w:rsid w:val="2C57414A"/>
    <w:rsid w:val="2C580EE0"/>
    <w:rsid w:val="2C770676"/>
    <w:rsid w:val="2C7F39CF"/>
    <w:rsid w:val="2C8148F3"/>
    <w:rsid w:val="2C8804D3"/>
    <w:rsid w:val="2C9F2038"/>
    <w:rsid w:val="2CA13945"/>
    <w:rsid w:val="2CA84BE7"/>
    <w:rsid w:val="2CC358BB"/>
    <w:rsid w:val="2CC46F75"/>
    <w:rsid w:val="2CD21D51"/>
    <w:rsid w:val="2CD609DF"/>
    <w:rsid w:val="2CDC1A31"/>
    <w:rsid w:val="2CDF1770"/>
    <w:rsid w:val="2D031F0A"/>
    <w:rsid w:val="2D0614D7"/>
    <w:rsid w:val="2D0D0DA5"/>
    <w:rsid w:val="2D1E6D44"/>
    <w:rsid w:val="2D2D1661"/>
    <w:rsid w:val="2D2F2D59"/>
    <w:rsid w:val="2D357A77"/>
    <w:rsid w:val="2D4D6452"/>
    <w:rsid w:val="2D50139A"/>
    <w:rsid w:val="2D6036A2"/>
    <w:rsid w:val="2D6230D5"/>
    <w:rsid w:val="2D64317E"/>
    <w:rsid w:val="2D6B3C77"/>
    <w:rsid w:val="2D6E286D"/>
    <w:rsid w:val="2D764C1D"/>
    <w:rsid w:val="2D78455F"/>
    <w:rsid w:val="2D8D1457"/>
    <w:rsid w:val="2D8D71A7"/>
    <w:rsid w:val="2D9139BA"/>
    <w:rsid w:val="2D940028"/>
    <w:rsid w:val="2D940DB4"/>
    <w:rsid w:val="2D961811"/>
    <w:rsid w:val="2DA55226"/>
    <w:rsid w:val="2DAE017F"/>
    <w:rsid w:val="2DB85349"/>
    <w:rsid w:val="2DC12FC6"/>
    <w:rsid w:val="2DC378EB"/>
    <w:rsid w:val="2DC62C57"/>
    <w:rsid w:val="2DCF110D"/>
    <w:rsid w:val="2DEF6E3B"/>
    <w:rsid w:val="2DF52FFF"/>
    <w:rsid w:val="2E0B1CDE"/>
    <w:rsid w:val="2E1667C1"/>
    <w:rsid w:val="2E2E420F"/>
    <w:rsid w:val="2E33681F"/>
    <w:rsid w:val="2E3569FF"/>
    <w:rsid w:val="2E3672D1"/>
    <w:rsid w:val="2E440A1F"/>
    <w:rsid w:val="2E454F08"/>
    <w:rsid w:val="2E496043"/>
    <w:rsid w:val="2E50117F"/>
    <w:rsid w:val="2E503315"/>
    <w:rsid w:val="2E507B3E"/>
    <w:rsid w:val="2E6C3ADF"/>
    <w:rsid w:val="2E7A69C3"/>
    <w:rsid w:val="2E894691"/>
    <w:rsid w:val="2E995F26"/>
    <w:rsid w:val="2E9B12B3"/>
    <w:rsid w:val="2E9C43C4"/>
    <w:rsid w:val="2EA83C14"/>
    <w:rsid w:val="2EB23BE8"/>
    <w:rsid w:val="2EB96642"/>
    <w:rsid w:val="2EBF6DB8"/>
    <w:rsid w:val="2EBF6EB0"/>
    <w:rsid w:val="2EC41B6D"/>
    <w:rsid w:val="2ED53AB9"/>
    <w:rsid w:val="2EDD678B"/>
    <w:rsid w:val="2EEE624F"/>
    <w:rsid w:val="2F032695"/>
    <w:rsid w:val="2F0F5E23"/>
    <w:rsid w:val="2F0F76ED"/>
    <w:rsid w:val="2F181F78"/>
    <w:rsid w:val="2F25260C"/>
    <w:rsid w:val="2F2C5BB3"/>
    <w:rsid w:val="2F2F5D1B"/>
    <w:rsid w:val="2F3364AE"/>
    <w:rsid w:val="2F3A2A14"/>
    <w:rsid w:val="2F3D5DEA"/>
    <w:rsid w:val="2F4607D4"/>
    <w:rsid w:val="2F4B7B98"/>
    <w:rsid w:val="2F4D67C4"/>
    <w:rsid w:val="2F4E4724"/>
    <w:rsid w:val="2F5C2556"/>
    <w:rsid w:val="2F5E78CC"/>
    <w:rsid w:val="2F6E3A3A"/>
    <w:rsid w:val="2F7865CE"/>
    <w:rsid w:val="2F7F3F8F"/>
    <w:rsid w:val="2F880DEC"/>
    <w:rsid w:val="2F913490"/>
    <w:rsid w:val="2F996B56"/>
    <w:rsid w:val="2FAF6379"/>
    <w:rsid w:val="2FBA37AA"/>
    <w:rsid w:val="2FBC1C6B"/>
    <w:rsid w:val="2FC24ADA"/>
    <w:rsid w:val="2FC3562B"/>
    <w:rsid w:val="2FC357E2"/>
    <w:rsid w:val="2FC57BD8"/>
    <w:rsid w:val="2FD858D0"/>
    <w:rsid w:val="2FE372DE"/>
    <w:rsid w:val="2FE53B49"/>
    <w:rsid w:val="2FEB2596"/>
    <w:rsid w:val="2FEB7ADA"/>
    <w:rsid w:val="2FF4615F"/>
    <w:rsid w:val="2FF51B3F"/>
    <w:rsid w:val="2FF80C51"/>
    <w:rsid w:val="30045885"/>
    <w:rsid w:val="300C37CC"/>
    <w:rsid w:val="301461DC"/>
    <w:rsid w:val="30254DD1"/>
    <w:rsid w:val="30275401"/>
    <w:rsid w:val="30300205"/>
    <w:rsid w:val="30304CAA"/>
    <w:rsid w:val="303D3985"/>
    <w:rsid w:val="303F6EFB"/>
    <w:rsid w:val="303F76FD"/>
    <w:rsid w:val="3045283A"/>
    <w:rsid w:val="30492A19"/>
    <w:rsid w:val="304B5DCC"/>
    <w:rsid w:val="30500115"/>
    <w:rsid w:val="30576DE8"/>
    <w:rsid w:val="30593D11"/>
    <w:rsid w:val="305A62E5"/>
    <w:rsid w:val="305E0995"/>
    <w:rsid w:val="3064723D"/>
    <w:rsid w:val="3069477A"/>
    <w:rsid w:val="307E3B84"/>
    <w:rsid w:val="307F3E00"/>
    <w:rsid w:val="3083029F"/>
    <w:rsid w:val="3093559A"/>
    <w:rsid w:val="309F1F4A"/>
    <w:rsid w:val="30AB6A6A"/>
    <w:rsid w:val="30B40786"/>
    <w:rsid w:val="30B80C93"/>
    <w:rsid w:val="30BC0620"/>
    <w:rsid w:val="30CA1334"/>
    <w:rsid w:val="30EB1F31"/>
    <w:rsid w:val="30EB4AF5"/>
    <w:rsid w:val="30F027A5"/>
    <w:rsid w:val="30F84BE1"/>
    <w:rsid w:val="30FC55EE"/>
    <w:rsid w:val="31047842"/>
    <w:rsid w:val="31067AB6"/>
    <w:rsid w:val="310F0040"/>
    <w:rsid w:val="31106BF4"/>
    <w:rsid w:val="311B4768"/>
    <w:rsid w:val="311C359A"/>
    <w:rsid w:val="31244B45"/>
    <w:rsid w:val="312A4AFF"/>
    <w:rsid w:val="312C4761"/>
    <w:rsid w:val="312E43A9"/>
    <w:rsid w:val="312F7772"/>
    <w:rsid w:val="31342FDA"/>
    <w:rsid w:val="313B7B9E"/>
    <w:rsid w:val="314568A3"/>
    <w:rsid w:val="31457070"/>
    <w:rsid w:val="31570A76"/>
    <w:rsid w:val="317B15BF"/>
    <w:rsid w:val="318B6972"/>
    <w:rsid w:val="31914861"/>
    <w:rsid w:val="31997BE1"/>
    <w:rsid w:val="31A427C3"/>
    <w:rsid w:val="31B00187"/>
    <w:rsid w:val="31C35934"/>
    <w:rsid w:val="31D11CC9"/>
    <w:rsid w:val="31E21AC1"/>
    <w:rsid w:val="31EC7411"/>
    <w:rsid w:val="31F47D20"/>
    <w:rsid w:val="31F91332"/>
    <w:rsid w:val="31FE04D7"/>
    <w:rsid w:val="320474B4"/>
    <w:rsid w:val="320B4B19"/>
    <w:rsid w:val="3212072F"/>
    <w:rsid w:val="32127006"/>
    <w:rsid w:val="32175E0B"/>
    <w:rsid w:val="322748ED"/>
    <w:rsid w:val="322A44DE"/>
    <w:rsid w:val="323E39E4"/>
    <w:rsid w:val="32403C19"/>
    <w:rsid w:val="325A081E"/>
    <w:rsid w:val="325E6561"/>
    <w:rsid w:val="327E3EF6"/>
    <w:rsid w:val="32830A6C"/>
    <w:rsid w:val="32841682"/>
    <w:rsid w:val="328B5D49"/>
    <w:rsid w:val="3296737C"/>
    <w:rsid w:val="329C2289"/>
    <w:rsid w:val="32AC4AD7"/>
    <w:rsid w:val="32AC523D"/>
    <w:rsid w:val="32B11C92"/>
    <w:rsid w:val="32B51EF8"/>
    <w:rsid w:val="32BD3BC6"/>
    <w:rsid w:val="32BE7A47"/>
    <w:rsid w:val="32C32B0C"/>
    <w:rsid w:val="32C43EEA"/>
    <w:rsid w:val="32C50EEA"/>
    <w:rsid w:val="32C77184"/>
    <w:rsid w:val="32D07EF0"/>
    <w:rsid w:val="32D3237F"/>
    <w:rsid w:val="32D700C1"/>
    <w:rsid w:val="32DC1068"/>
    <w:rsid w:val="32EE71B8"/>
    <w:rsid w:val="32F3657D"/>
    <w:rsid w:val="33056A68"/>
    <w:rsid w:val="33093FF2"/>
    <w:rsid w:val="33105381"/>
    <w:rsid w:val="331A1D5C"/>
    <w:rsid w:val="331C6A1E"/>
    <w:rsid w:val="3327321E"/>
    <w:rsid w:val="332E5807"/>
    <w:rsid w:val="3330157F"/>
    <w:rsid w:val="333142BE"/>
    <w:rsid w:val="33326DB8"/>
    <w:rsid w:val="33356225"/>
    <w:rsid w:val="33521DBE"/>
    <w:rsid w:val="33541FD5"/>
    <w:rsid w:val="33582884"/>
    <w:rsid w:val="33642FDD"/>
    <w:rsid w:val="33673AD1"/>
    <w:rsid w:val="336D6863"/>
    <w:rsid w:val="33714BA4"/>
    <w:rsid w:val="33727634"/>
    <w:rsid w:val="33810294"/>
    <w:rsid w:val="338C1033"/>
    <w:rsid w:val="339C2472"/>
    <w:rsid w:val="33AB6E58"/>
    <w:rsid w:val="33C25642"/>
    <w:rsid w:val="33C65A3F"/>
    <w:rsid w:val="33C73BC9"/>
    <w:rsid w:val="33CA11F3"/>
    <w:rsid w:val="33CB74FA"/>
    <w:rsid w:val="33CF6FEA"/>
    <w:rsid w:val="33D93073"/>
    <w:rsid w:val="33DB6FAA"/>
    <w:rsid w:val="33ED2D76"/>
    <w:rsid w:val="33FC3079"/>
    <w:rsid w:val="33FD05D7"/>
    <w:rsid w:val="34034EE6"/>
    <w:rsid w:val="34086670"/>
    <w:rsid w:val="340C01B9"/>
    <w:rsid w:val="341151CD"/>
    <w:rsid w:val="341449FD"/>
    <w:rsid w:val="341E2E66"/>
    <w:rsid w:val="341F22F3"/>
    <w:rsid w:val="34254F61"/>
    <w:rsid w:val="34362AC7"/>
    <w:rsid w:val="34411018"/>
    <w:rsid w:val="34441786"/>
    <w:rsid w:val="344A041F"/>
    <w:rsid w:val="34603FFA"/>
    <w:rsid w:val="34612A9B"/>
    <w:rsid w:val="34784696"/>
    <w:rsid w:val="347D07F4"/>
    <w:rsid w:val="347F4588"/>
    <w:rsid w:val="348A5C3D"/>
    <w:rsid w:val="34B00BC9"/>
    <w:rsid w:val="34BA1A48"/>
    <w:rsid w:val="34CB2E92"/>
    <w:rsid w:val="34CF1C04"/>
    <w:rsid w:val="34D4418C"/>
    <w:rsid w:val="34D643A8"/>
    <w:rsid w:val="34D7033B"/>
    <w:rsid w:val="34D90479"/>
    <w:rsid w:val="34D9540A"/>
    <w:rsid w:val="34DD55EC"/>
    <w:rsid w:val="34DD7824"/>
    <w:rsid w:val="34EA39B0"/>
    <w:rsid w:val="34F671ED"/>
    <w:rsid w:val="34F8431E"/>
    <w:rsid w:val="34F97E4B"/>
    <w:rsid w:val="35085F28"/>
    <w:rsid w:val="35092088"/>
    <w:rsid w:val="350C1B78"/>
    <w:rsid w:val="35241716"/>
    <w:rsid w:val="352549E8"/>
    <w:rsid w:val="35306430"/>
    <w:rsid w:val="35307CB9"/>
    <w:rsid w:val="35311135"/>
    <w:rsid w:val="353B4F00"/>
    <w:rsid w:val="353F2498"/>
    <w:rsid w:val="354C6465"/>
    <w:rsid w:val="3552500E"/>
    <w:rsid w:val="3566572C"/>
    <w:rsid w:val="356A1545"/>
    <w:rsid w:val="357116BA"/>
    <w:rsid w:val="357716E7"/>
    <w:rsid w:val="3579658A"/>
    <w:rsid w:val="358065DC"/>
    <w:rsid w:val="35AB55E5"/>
    <w:rsid w:val="35B45F68"/>
    <w:rsid w:val="35B473C6"/>
    <w:rsid w:val="35CC1533"/>
    <w:rsid w:val="35D6139A"/>
    <w:rsid w:val="35DF103A"/>
    <w:rsid w:val="35E12488"/>
    <w:rsid w:val="35EB79DF"/>
    <w:rsid w:val="36045A08"/>
    <w:rsid w:val="3607649B"/>
    <w:rsid w:val="360766D3"/>
    <w:rsid w:val="360D3DFA"/>
    <w:rsid w:val="3627057D"/>
    <w:rsid w:val="363049E9"/>
    <w:rsid w:val="3638380C"/>
    <w:rsid w:val="363A3866"/>
    <w:rsid w:val="3645159F"/>
    <w:rsid w:val="36451DC5"/>
    <w:rsid w:val="364F7F6E"/>
    <w:rsid w:val="365B7FE9"/>
    <w:rsid w:val="365C48ED"/>
    <w:rsid w:val="36611AB0"/>
    <w:rsid w:val="366E24FE"/>
    <w:rsid w:val="3689029C"/>
    <w:rsid w:val="36914A2B"/>
    <w:rsid w:val="36A101AE"/>
    <w:rsid w:val="36A5243D"/>
    <w:rsid w:val="36A75FFC"/>
    <w:rsid w:val="36A93B22"/>
    <w:rsid w:val="36A97AC3"/>
    <w:rsid w:val="36AD385B"/>
    <w:rsid w:val="36CA1CEB"/>
    <w:rsid w:val="36EC7EB3"/>
    <w:rsid w:val="36EF1705"/>
    <w:rsid w:val="36F57FCA"/>
    <w:rsid w:val="36F80606"/>
    <w:rsid w:val="36FC0AD1"/>
    <w:rsid w:val="37023232"/>
    <w:rsid w:val="370801F8"/>
    <w:rsid w:val="370C76C7"/>
    <w:rsid w:val="37130486"/>
    <w:rsid w:val="371A63C7"/>
    <w:rsid w:val="371E4BB3"/>
    <w:rsid w:val="372F1B4E"/>
    <w:rsid w:val="373A5AF7"/>
    <w:rsid w:val="373B46C5"/>
    <w:rsid w:val="374101FF"/>
    <w:rsid w:val="37425D25"/>
    <w:rsid w:val="374750E9"/>
    <w:rsid w:val="37495F09"/>
    <w:rsid w:val="375409F6"/>
    <w:rsid w:val="37567EF9"/>
    <w:rsid w:val="37606439"/>
    <w:rsid w:val="37661CDE"/>
    <w:rsid w:val="3768578B"/>
    <w:rsid w:val="376C3331"/>
    <w:rsid w:val="377203B8"/>
    <w:rsid w:val="3784633D"/>
    <w:rsid w:val="37957CBD"/>
    <w:rsid w:val="379C78D4"/>
    <w:rsid w:val="37A84CB3"/>
    <w:rsid w:val="37AA0E19"/>
    <w:rsid w:val="37AC3E5E"/>
    <w:rsid w:val="37B10DEE"/>
    <w:rsid w:val="37C83FCD"/>
    <w:rsid w:val="37D033D0"/>
    <w:rsid w:val="37D11CDD"/>
    <w:rsid w:val="37E40B8A"/>
    <w:rsid w:val="37E85677"/>
    <w:rsid w:val="37F0752F"/>
    <w:rsid w:val="37FC4F31"/>
    <w:rsid w:val="38086E54"/>
    <w:rsid w:val="380F20AB"/>
    <w:rsid w:val="381E5E4A"/>
    <w:rsid w:val="384004B6"/>
    <w:rsid w:val="38514471"/>
    <w:rsid w:val="385478D4"/>
    <w:rsid w:val="38682880"/>
    <w:rsid w:val="38685317"/>
    <w:rsid w:val="386C2BEF"/>
    <w:rsid w:val="38710670"/>
    <w:rsid w:val="3880534A"/>
    <w:rsid w:val="388B1F99"/>
    <w:rsid w:val="38925B9B"/>
    <w:rsid w:val="38B55CCE"/>
    <w:rsid w:val="38C27732"/>
    <w:rsid w:val="38C52A81"/>
    <w:rsid w:val="38D64977"/>
    <w:rsid w:val="38DB75E5"/>
    <w:rsid w:val="38E05C50"/>
    <w:rsid w:val="38E928FC"/>
    <w:rsid w:val="38EA21D0"/>
    <w:rsid w:val="38F01CB5"/>
    <w:rsid w:val="38FE732B"/>
    <w:rsid w:val="39094D4C"/>
    <w:rsid w:val="390F2428"/>
    <w:rsid w:val="391644CF"/>
    <w:rsid w:val="392C04C3"/>
    <w:rsid w:val="392C4597"/>
    <w:rsid w:val="39354B09"/>
    <w:rsid w:val="39362A05"/>
    <w:rsid w:val="39365415"/>
    <w:rsid w:val="393873DF"/>
    <w:rsid w:val="39424531"/>
    <w:rsid w:val="394413FB"/>
    <w:rsid w:val="3948702E"/>
    <w:rsid w:val="394A2C6F"/>
    <w:rsid w:val="3957578D"/>
    <w:rsid w:val="39642CA0"/>
    <w:rsid w:val="39691347"/>
    <w:rsid w:val="396A5A38"/>
    <w:rsid w:val="39723A3C"/>
    <w:rsid w:val="397C6E3F"/>
    <w:rsid w:val="397E3D4F"/>
    <w:rsid w:val="397F3EC5"/>
    <w:rsid w:val="398C74D1"/>
    <w:rsid w:val="39914A9E"/>
    <w:rsid w:val="399F120C"/>
    <w:rsid w:val="39AD1B7B"/>
    <w:rsid w:val="39AD67C4"/>
    <w:rsid w:val="39B4306C"/>
    <w:rsid w:val="39B60304"/>
    <w:rsid w:val="39C83481"/>
    <w:rsid w:val="39D35FF6"/>
    <w:rsid w:val="39D669DA"/>
    <w:rsid w:val="39DA5519"/>
    <w:rsid w:val="39DD3A08"/>
    <w:rsid w:val="39DE7BF9"/>
    <w:rsid w:val="39E11825"/>
    <w:rsid w:val="39E6780E"/>
    <w:rsid w:val="39ED486F"/>
    <w:rsid w:val="39F84DA5"/>
    <w:rsid w:val="39FC040D"/>
    <w:rsid w:val="3A04269C"/>
    <w:rsid w:val="3A0901E4"/>
    <w:rsid w:val="3A0B6E32"/>
    <w:rsid w:val="3A14745A"/>
    <w:rsid w:val="3A1B12A9"/>
    <w:rsid w:val="3A246BDD"/>
    <w:rsid w:val="3A2550DD"/>
    <w:rsid w:val="3A361B71"/>
    <w:rsid w:val="3A377427"/>
    <w:rsid w:val="3A3B3349"/>
    <w:rsid w:val="3A601780"/>
    <w:rsid w:val="3A6366DE"/>
    <w:rsid w:val="3A72724A"/>
    <w:rsid w:val="3A830B2E"/>
    <w:rsid w:val="3A861ED8"/>
    <w:rsid w:val="3A86417A"/>
    <w:rsid w:val="3A8F6758"/>
    <w:rsid w:val="3A954A92"/>
    <w:rsid w:val="3A974782"/>
    <w:rsid w:val="3A9C0F07"/>
    <w:rsid w:val="3AAA1A3F"/>
    <w:rsid w:val="3AB63DDC"/>
    <w:rsid w:val="3AB9560A"/>
    <w:rsid w:val="3AC15746"/>
    <w:rsid w:val="3ACC5B45"/>
    <w:rsid w:val="3ACD7AE9"/>
    <w:rsid w:val="3AD23058"/>
    <w:rsid w:val="3AD273C0"/>
    <w:rsid w:val="3ADE5D64"/>
    <w:rsid w:val="3AE57D2D"/>
    <w:rsid w:val="3AED3D27"/>
    <w:rsid w:val="3AEE244B"/>
    <w:rsid w:val="3AFB415D"/>
    <w:rsid w:val="3B0600FB"/>
    <w:rsid w:val="3B0B12EF"/>
    <w:rsid w:val="3B0C3F2F"/>
    <w:rsid w:val="3B200963"/>
    <w:rsid w:val="3B270B64"/>
    <w:rsid w:val="3B2B2018"/>
    <w:rsid w:val="3B2D7841"/>
    <w:rsid w:val="3B312DF4"/>
    <w:rsid w:val="3B3565FC"/>
    <w:rsid w:val="3B3A5C49"/>
    <w:rsid w:val="3B3D0CDD"/>
    <w:rsid w:val="3B3F2CA7"/>
    <w:rsid w:val="3B5437ED"/>
    <w:rsid w:val="3B737E51"/>
    <w:rsid w:val="3B8E11A9"/>
    <w:rsid w:val="3B8F34C7"/>
    <w:rsid w:val="3BB45458"/>
    <w:rsid w:val="3BD72A99"/>
    <w:rsid w:val="3BEB4F70"/>
    <w:rsid w:val="3BF1303B"/>
    <w:rsid w:val="3C180285"/>
    <w:rsid w:val="3C217C94"/>
    <w:rsid w:val="3C300842"/>
    <w:rsid w:val="3C31196E"/>
    <w:rsid w:val="3C344F0C"/>
    <w:rsid w:val="3C5827C6"/>
    <w:rsid w:val="3C5D4E55"/>
    <w:rsid w:val="3C6127A9"/>
    <w:rsid w:val="3C622C2F"/>
    <w:rsid w:val="3C663A24"/>
    <w:rsid w:val="3C7050AE"/>
    <w:rsid w:val="3C71610E"/>
    <w:rsid w:val="3C771AB6"/>
    <w:rsid w:val="3C9031B9"/>
    <w:rsid w:val="3C90587B"/>
    <w:rsid w:val="3C9D7B54"/>
    <w:rsid w:val="3CA37533"/>
    <w:rsid w:val="3CA408E8"/>
    <w:rsid w:val="3CA51EC7"/>
    <w:rsid w:val="3CA8541A"/>
    <w:rsid w:val="3CB21257"/>
    <w:rsid w:val="3CB331FB"/>
    <w:rsid w:val="3CB842CE"/>
    <w:rsid w:val="3CC03B35"/>
    <w:rsid w:val="3CCF345F"/>
    <w:rsid w:val="3CD63197"/>
    <w:rsid w:val="3CD818F3"/>
    <w:rsid w:val="3CD94A35"/>
    <w:rsid w:val="3CDD6358"/>
    <w:rsid w:val="3CE60715"/>
    <w:rsid w:val="3CF1652D"/>
    <w:rsid w:val="3CF278A5"/>
    <w:rsid w:val="3CFC0724"/>
    <w:rsid w:val="3D070254"/>
    <w:rsid w:val="3D071CC2"/>
    <w:rsid w:val="3D08605E"/>
    <w:rsid w:val="3D0D7304"/>
    <w:rsid w:val="3D12155E"/>
    <w:rsid w:val="3D1D2CAC"/>
    <w:rsid w:val="3D276405"/>
    <w:rsid w:val="3D2765AF"/>
    <w:rsid w:val="3D400FA1"/>
    <w:rsid w:val="3D484B01"/>
    <w:rsid w:val="3D55642B"/>
    <w:rsid w:val="3D6764E5"/>
    <w:rsid w:val="3D91074E"/>
    <w:rsid w:val="3D934BE4"/>
    <w:rsid w:val="3D9372DA"/>
    <w:rsid w:val="3D94095C"/>
    <w:rsid w:val="3D950A68"/>
    <w:rsid w:val="3D954E00"/>
    <w:rsid w:val="3DA10DDD"/>
    <w:rsid w:val="3DAD3B36"/>
    <w:rsid w:val="3DD516A1"/>
    <w:rsid w:val="3DDB6676"/>
    <w:rsid w:val="3DE261C9"/>
    <w:rsid w:val="3DE327AE"/>
    <w:rsid w:val="3DE365C3"/>
    <w:rsid w:val="3DED1800"/>
    <w:rsid w:val="3E027FBC"/>
    <w:rsid w:val="3E03279C"/>
    <w:rsid w:val="3E0E070F"/>
    <w:rsid w:val="3E111FAD"/>
    <w:rsid w:val="3E216046"/>
    <w:rsid w:val="3E296979"/>
    <w:rsid w:val="3E35268D"/>
    <w:rsid w:val="3E377D4A"/>
    <w:rsid w:val="3E42660A"/>
    <w:rsid w:val="3E4B0E1A"/>
    <w:rsid w:val="3E590DA0"/>
    <w:rsid w:val="3E596F2B"/>
    <w:rsid w:val="3E6C6F43"/>
    <w:rsid w:val="3E6D08C9"/>
    <w:rsid w:val="3EA029F9"/>
    <w:rsid w:val="3EAB7DC3"/>
    <w:rsid w:val="3EB50196"/>
    <w:rsid w:val="3EC37B70"/>
    <w:rsid w:val="3EC740F1"/>
    <w:rsid w:val="3ECB6600"/>
    <w:rsid w:val="3EDF5A11"/>
    <w:rsid w:val="3EEC6CA2"/>
    <w:rsid w:val="3F0064E6"/>
    <w:rsid w:val="3F116709"/>
    <w:rsid w:val="3F19514F"/>
    <w:rsid w:val="3F221C0C"/>
    <w:rsid w:val="3F2521B4"/>
    <w:rsid w:val="3F407128"/>
    <w:rsid w:val="3F461502"/>
    <w:rsid w:val="3F473FC4"/>
    <w:rsid w:val="3F653057"/>
    <w:rsid w:val="3F7C26D1"/>
    <w:rsid w:val="3F8751A4"/>
    <w:rsid w:val="3F8A5D66"/>
    <w:rsid w:val="3F9707AB"/>
    <w:rsid w:val="3F974586"/>
    <w:rsid w:val="3FAF4EE1"/>
    <w:rsid w:val="3FB61916"/>
    <w:rsid w:val="3FDC05C1"/>
    <w:rsid w:val="3FDE7D89"/>
    <w:rsid w:val="3FF57DD8"/>
    <w:rsid w:val="3FFE6790"/>
    <w:rsid w:val="3FFF35E2"/>
    <w:rsid w:val="4003755E"/>
    <w:rsid w:val="400878D8"/>
    <w:rsid w:val="400F00E4"/>
    <w:rsid w:val="40262795"/>
    <w:rsid w:val="402C6174"/>
    <w:rsid w:val="40325E2A"/>
    <w:rsid w:val="403725A2"/>
    <w:rsid w:val="403A3A3D"/>
    <w:rsid w:val="4047222F"/>
    <w:rsid w:val="40632344"/>
    <w:rsid w:val="40663425"/>
    <w:rsid w:val="408478A6"/>
    <w:rsid w:val="409F789D"/>
    <w:rsid w:val="40A215BE"/>
    <w:rsid w:val="40AF10F4"/>
    <w:rsid w:val="40B15A5E"/>
    <w:rsid w:val="40B66EBB"/>
    <w:rsid w:val="40C15F0C"/>
    <w:rsid w:val="40DB6CA7"/>
    <w:rsid w:val="40EA7211"/>
    <w:rsid w:val="40F8373D"/>
    <w:rsid w:val="40FD7B5D"/>
    <w:rsid w:val="41032748"/>
    <w:rsid w:val="410430C7"/>
    <w:rsid w:val="41172D7B"/>
    <w:rsid w:val="41230975"/>
    <w:rsid w:val="41260D07"/>
    <w:rsid w:val="412C5A7C"/>
    <w:rsid w:val="412D70FE"/>
    <w:rsid w:val="414C0A4B"/>
    <w:rsid w:val="41636E6B"/>
    <w:rsid w:val="416649DB"/>
    <w:rsid w:val="41752621"/>
    <w:rsid w:val="41792865"/>
    <w:rsid w:val="417C113B"/>
    <w:rsid w:val="417C22E7"/>
    <w:rsid w:val="417D3C9E"/>
    <w:rsid w:val="418B7125"/>
    <w:rsid w:val="41980896"/>
    <w:rsid w:val="419929E5"/>
    <w:rsid w:val="41A75FA5"/>
    <w:rsid w:val="41A9660A"/>
    <w:rsid w:val="41B71038"/>
    <w:rsid w:val="41CD77F3"/>
    <w:rsid w:val="41CE08E1"/>
    <w:rsid w:val="41D17FB0"/>
    <w:rsid w:val="41DB6467"/>
    <w:rsid w:val="41E36906"/>
    <w:rsid w:val="41F30347"/>
    <w:rsid w:val="42116813"/>
    <w:rsid w:val="421C1CB8"/>
    <w:rsid w:val="422A58D3"/>
    <w:rsid w:val="42321D91"/>
    <w:rsid w:val="42383FAC"/>
    <w:rsid w:val="4252486B"/>
    <w:rsid w:val="4258464E"/>
    <w:rsid w:val="425C1D44"/>
    <w:rsid w:val="425F778B"/>
    <w:rsid w:val="42607A93"/>
    <w:rsid w:val="4270675B"/>
    <w:rsid w:val="42892A5A"/>
    <w:rsid w:val="428E4EAD"/>
    <w:rsid w:val="429733C9"/>
    <w:rsid w:val="42A37862"/>
    <w:rsid w:val="42B4024C"/>
    <w:rsid w:val="42C712E3"/>
    <w:rsid w:val="42CB3072"/>
    <w:rsid w:val="42D54104"/>
    <w:rsid w:val="42DA361B"/>
    <w:rsid w:val="42EC6BF2"/>
    <w:rsid w:val="42EE7F65"/>
    <w:rsid w:val="42F500EF"/>
    <w:rsid w:val="43086074"/>
    <w:rsid w:val="431060B3"/>
    <w:rsid w:val="43321C60"/>
    <w:rsid w:val="43411B5A"/>
    <w:rsid w:val="438D454D"/>
    <w:rsid w:val="43A77D96"/>
    <w:rsid w:val="43A90F53"/>
    <w:rsid w:val="43AA6F27"/>
    <w:rsid w:val="43AE3982"/>
    <w:rsid w:val="43B104BA"/>
    <w:rsid w:val="43B71CF4"/>
    <w:rsid w:val="43C15E11"/>
    <w:rsid w:val="43CC2868"/>
    <w:rsid w:val="43D47D05"/>
    <w:rsid w:val="43D92990"/>
    <w:rsid w:val="43FD54AD"/>
    <w:rsid w:val="440028DC"/>
    <w:rsid w:val="44102EC5"/>
    <w:rsid w:val="44121843"/>
    <w:rsid w:val="44174EC2"/>
    <w:rsid w:val="44184593"/>
    <w:rsid w:val="441D5B50"/>
    <w:rsid w:val="442375D4"/>
    <w:rsid w:val="4432320D"/>
    <w:rsid w:val="443578FD"/>
    <w:rsid w:val="443662EA"/>
    <w:rsid w:val="445205D0"/>
    <w:rsid w:val="445269C3"/>
    <w:rsid w:val="445A645C"/>
    <w:rsid w:val="445C7035"/>
    <w:rsid w:val="445D76D7"/>
    <w:rsid w:val="445E13DF"/>
    <w:rsid w:val="44735797"/>
    <w:rsid w:val="44786980"/>
    <w:rsid w:val="448B3D49"/>
    <w:rsid w:val="448D0B87"/>
    <w:rsid w:val="448F2126"/>
    <w:rsid w:val="44916AFB"/>
    <w:rsid w:val="44944070"/>
    <w:rsid w:val="44951994"/>
    <w:rsid w:val="449B2B2D"/>
    <w:rsid w:val="449B36EB"/>
    <w:rsid w:val="449D459A"/>
    <w:rsid w:val="44A20883"/>
    <w:rsid w:val="44B64A81"/>
    <w:rsid w:val="44D47618"/>
    <w:rsid w:val="44DA5B8C"/>
    <w:rsid w:val="44EC1534"/>
    <w:rsid w:val="44EF1C2A"/>
    <w:rsid w:val="44F92825"/>
    <w:rsid w:val="44F97C54"/>
    <w:rsid w:val="44FC5BB9"/>
    <w:rsid w:val="45144989"/>
    <w:rsid w:val="45185D49"/>
    <w:rsid w:val="451A6000"/>
    <w:rsid w:val="45391215"/>
    <w:rsid w:val="45393947"/>
    <w:rsid w:val="4542527A"/>
    <w:rsid w:val="4545107A"/>
    <w:rsid w:val="454669E0"/>
    <w:rsid w:val="45495699"/>
    <w:rsid w:val="45542C73"/>
    <w:rsid w:val="456357E4"/>
    <w:rsid w:val="45802584"/>
    <w:rsid w:val="458A01AB"/>
    <w:rsid w:val="458C3329"/>
    <w:rsid w:val="4594599D"/>
    <w:rsid w:val="45965059"/>
    <w:rsid w:val="45AC635D"/>
    <w:rsid w:val="45AE3639"/>
    <w:rsid w:val="45B80903"/>
    <w:rsid w:val="45BE0C6C"/>
    <w:rsid w:val="45C73FC5"/>
    <w:rsid w:val="45C83899"/>
    <w:rsid w:val="45CF69D6"/>
    <w:rsid w:val="45D93CF8"/>
    <w:rsid w:val="45DC10F2"/>
    <w:rsid w:val="45DE130F"/>
    <w:rsid w:val="45E200A9"/>
    <w:rsid w:val="45E67EBA"/>
    <w:rsid w:val="45E738B2"/>
    <w:rsid w:val="46010907"/>
    <w:rsid w:val="461475D5"/>
    <w:rsid w:val="4623010C"/>
    <w:rsid w:val="46236D21"/>
    <w:rsid w:val="463827CD"/>
    <w:rsid w:val="463B22BD"/>
    <w:rsid w:val="46475AB1"/>
    <w:rsid w:val="464A1051"/>
    <w:rsid w:val="464E3D9E"/>
    <w:rsid w:val="46584316"/>
    <w:rsid w:val="466730B2"/>
    <w:rsid w:val="4670640B"/>
    <w:rsid w:val="467C2DEF"/>
    <w:rsid w:val="467F7FB0"/>
    <w:rsid w:val="468A3005"/>
    <w:rsid w:val="469760C0"/>
    <w:rsid w:val="469C62EF"/>
    <w:rsid w:val="469E2B23"/>
    <w:rsid w:val="46A61E2C"/>
    <w:rsid w:val="46C2478C"/>
    <w:rsid w:val="46C71DA3"/>
    <w:rsid w:val="46DF0B9D"/>
    <w:rsid w:val="46E4062B"/>
    <w:rsid w:val="46E858BC"/>
    <w:rsid w:val="46EB3CE3"/>
    <w:rsid w:val="46ED7A5B"/>
    <w:rsid w:val="46F7426B"/>
    <w:rsid w:val="470F5ACB"/>
    <w:rsid w:val="47122C92"/>
    <w:rsid w:val="47180336"/>
    <w:rsid w:val="47226FD9"/>
    <w:rsid w:val="472C1F03"/>
    <w:rsid w:val="473B751F"/>
    <w:rsid w:val="474927B8"/>
    <w:rsid w:val="47503B46"/>
    <w:rsid w:val="47527C4F"/>
    <w:rsid w:val="47555600"/>
    <w:rsid w:val="477261B2"/>
    <w:rsid w:val="47767F64"/>
    <w:rsid w:val="477A4760"/>
    <w:rsid w:val="477E4B57"/>
    <w:rsid w:val="478650A9"/>
    <w:rsid w:val="478D2925"/>
    <w:rsid w:val="478D5838"/>
    <w:rsid w:val="478F4662"/>
    <w:rsid w:val="4797339D"/>
    <w:rsid w:val="479E48B1"/>
    <w:rsid w:val="479F2559"/>
    <w:rsid w:val="47A90094"/>
    <w:rsid w:val="47B82151"/>
    <w:rsid w:val="47CB4E40"/>
    <w:rsid w:val="47D9113A"/>
    <w:rsid w:val="47DF5CE2"/>
    <w:rsid w:val="47E05139"/>
    <w:rsid w:val="47EC613F"/>
    <w:rsid w:val="47FD23D8"/>
    <w:rsid w:val="4806617D"/>
    <w:rsid w:val="48096FCC"/>
    <w:rsid w:val="480C0259"/>
    <w:rsid w:val="481711A1"/>
    <w:rsid w:val="481B792C"/>
    <w:rsid w:val="48206DA7"/>
    <w:rsid w:val="482A1A6E"/>
    <w:rsid w:val="482A4397"/>
    <w:rsid w:val="482D3E87"/>
    <w:rsid w:val="483572AD"/>
    <w:rsid w:val="483A1140"/>
    <w:rsid w:val="4841351D"/>
    <w:rsid w:val="48503CF4"/>
    <w:rsid w:val="486406F5"/>
    <w:rsid w:val="48680A80"/>
    <w:rsid w:val="48755032"/>
    <w:rsid w:val="488021D7"/>
    <w:rsid w:val="4883407F"/>
    <w:rsid w:val="488E2808"/>
    <w:rsid w:val="488E2B78"/>
    <w:rsid w:val="489D2DBB"/>
    <w:rsid w:val="489D3BB8"/>
    <w:rsid w:val="48A61DB2"/>
    <w:rsid w:val="48A97C75"/>
    <w:rsid w:val="48AD2A69"/>
    <w:rsid w:val="48AF2AEE"/>
    <w:rsid w:val="48B21A31"/>
    <w:rsid w:val="48B23078"/>
    <w:rsid w:val="48B85E47"/>
    <w:rsid w:val="48E00960"/>
    <w:rsid w:val="48E376BD"/>
    <w:rsid w:val="48E5096A"/>
    <w:rsid w:val="48E542F9"/>
    <w:rsid w:val="48E7773E"/>
    <w:rsid w:val="48EF5776"/>
    <w:rsid w:val="48F3714C"/>
    <w:rsid w:val="48F53030"/>
    <w:rsid w:val="48F85692"/>
    <w:rsid w:val="48FD385A"/>
    <w:rsid w:val="48FD5F50"/>
    <w:rsid w:val="49085FD6"/>
    <w:rsid w:val="490E2A48"/>
    <w:rsid w:val="49141979"/>
    <w:rsid w:val="49166C04"/>
    <w:rsid w:val="491C2F38"/>
    <w:rsid w:val="49270614"/>
    <w:rsid w:val="49303C2F"/>
    <w:rsid w:val="493F1574"/>
    <w:rsid w:val="497879AC"/>
    <w:rsid w:val="497A30FC"/>
    <w:rsid w:val="497D499A"/>
    <w:rsid w:val="498D1081"/>
    <w:rsid w:val="49940F29"/>
    <w:rsid w:val="49A91320"/>
    <w:rsid w:val="49B17E7B"/>
    <w:rsid w:val="49B77EAC"/>
    <w:rsid w:val="49BF754D"/>
    <w:rsid w:val="49C46503"/>
    <w:rsid w:val="49C97F94"/>
    <w:rsid w:val="49CC128A"/>
    <w:rsid w:val="49D26951"/>
    <w:rsid w:val="49D4051B"/>
    <w:rsid w:val="49EC224C"/>
    <w:rsid w:val="49F6261C"/>
    <w:rsid w:val="4A237641"/>
    <w:rsid w:val="4A280DAA"/>
    <w:rsid w:val="4A310FBC"/>
    <w:rsid w:val="4A4E1E67"/>
    <w:rsid w:val="4A525E27"/>
    <w:rsid w:val="4A554ED6"/>
    <w:rsid w:val="4A572861"/>
    <w:rsid w:val="4A705397"/>
    <w:rsid w:val="4A731719"/>
    <w:rsid w:val="4A7666E6"/>
    <w:rsid w:val="4A8714B3"/>
    <w:rsid w:val="4A8A09E0"/>
    <w:rsid w:val="4A934476"/>
    <w:rsid w:val="4A9918EC"/>
    <w:rsid w:val="4AA06BC5"/>
    <w:rsid w:val="4AA27491"/>
    <w:rsid w:val="4AAF27E7"/>
    <w:rsid w:val="4AB16FF2"/>
    <w:rsid w:val="4AB44C79"/>
    <w:rsid w:val="4AB5108D"/>
    <w:rsid w:val="4AB63A7C"/>
    <w:rsid w:val="4ABB659E"/>
    <w:rsid w:val="4AD42044"/>
    <w:rsid w:val="4AD93E52"/>
    <w:rsid w:val="4ADB5E1D"/>
    <w:rsid w:val="4AEC045F"/>
    <w:rsid w:val="4AEC1DD8"/>
    <w:rsid w:val="4AF623AB"/>
    <w:rsid w:val="4B0251E4"/>
    <w:rsid w:val="4B13255D"/>
    <w:rsid w:val="4B1D3871"/>
    <w:rsid w:val="4B1D6488"/>
    <w:rsid w:val="4B202C5A"/>
    <w:rsid w:val="4B212B51"/>
    <w:rsid w:val="4B320132"/>
    <w:rsid w:val="4B383BB1"/>
    <w:rsid w:val="4B3D762D"/>
    <w:rsid w:val="4B4332F2"/>
    <w:rsid w:val="4B43705E"/>
    <w:rsid w:val="4B4B6AFE"/>
    <w:rsid w:val="4B5E1321"/>
    <w:rsid w:val="4B6B0F4E"/>
    <w:rsid w:val="4B6C20AD"/>
    <w:rsid w:val="4B6E6C91"/>
    <w:rsid w:val="4B73521F"/>
    <w:rsid w:val="4B7624B7"/>
    <w:rsid w:val="4B842010"/>
    <w:rsid w:val="4B9A6EA3"/>
    <w:rsid w:val="4BA206E8"/>
    <w:rsid w:val="4BA916E0"/>
    <w:rsid w:val="4BAC3433"/>
    <w:rsid w:val="4BB073DB"/>
    <w:rsid w:val="4BB40984"/>
    <w:rsid w:val="4BBC5C4E"/>
    <w:rsid w:val="4BCB3861"/>
    <w:rsid w:val="4BCB40E3"/>
    <w:rsid w:val="4BD33066"/>
    <w:rsid w:val="4BE35C06"/>
    <w:rsid w:val="4BEC56EF"/>
    <w:rsid w:val="4BF0515F"/>
    <w:rsid w:val="4BF26BF6"/>
    <w:rsid w:val="4BF278C2"/>
    <w:rsid w:val="4BFB6776"/>
    <w:rsid w:val="4C1175E4"/>
    <w:rsid w:val="4C1829C8"/>
    <w:rsid w:val="4C20046C"/>
    <w:rsid w:val="4C212CE3"/>
    <w:rsid w:val="4C2D4456"/>
    <w:rsid w:val="4C312198"/>
    <w:rsid w:val="4C387744"/>
    <w:rsid w:val="4C3E48B5"/>
    <w:rsid w:val="4C494EA6"/>
    <w:rsid w:val="4C59573B"/>
    <w:rsid w:val="4C63431C"/>
    <w:rsid w:val="4C777114"/>
    <w:rsid w:val="4C7A0C12"/>
    <w:rsid w:val="4C7E4CB1"/>
    <w:rsid w:val="4C803F49"/>
    <w:rsid w:val="4C8A1873"/>
    <w:rsid w:val="4C8B08B0"/>
    <w:rsid w:val="4CA0177C"/>
    <w:rsid w:val="4CA7245A"/>
    <w:rsid w:val="4CAC7986"/>
    <w:rsid w:val="4CAE26C8"/>
    <w:rsid w:val="4CC661C0"/>
    <w:rsid w:val="4CF66F3E"/>
    <w:rsid w:val="4D054951"/>
    <w:rsid w:val="4D0C075F"/>
    <w:rsid w:val="4D1B69A4"/>
    <w:rsid w:val="4D203FBB"/>
    <w:rsid w:val="4D295D62"/>
    <w:rsid w:val="4D2A03BA"/>
    <w:rsid w:val="4D3D322C"/>
    <w:rsid w:val="4D3F1467"/>
    <w:rsid w:val="4D414917"/>
    <w:rsid w:val="4D476B8A"/>
    <w:rsid w:val="4D4F3951"/>
    <w:rsid w:val="4D4F56D4"/>
    <w:rsid w:val="4D5A74CD"/>
    <w:rsid w:val="4D612522"/>
    <w:rsid w:val="4D6B400B"/>
    <w:rsid w:val="4D6E759D"/>
    <w:rsid w:val="4D743EB8"/>
    <w:rsid w:val="4D760405"/>
    <w:rsid w:val="4D7D31BB"/>
    <w:rsid w:val="4D812783"/>
    <w:rsid w:val="4D82045C"/>
    <w:rsid w:val="4D83662D"/>
    <w:rsid w:val="4D8B1D7C"/>
    <w:rsid w:val="4D970627"/>
    <w:rsid w:val="4DA03423"/>
    <w:rsid w:val="4DA644C0"/>
    <w:rsid w:val="4DAC20D0"/>
    <w:rsid w:val="4DC82688"/>
    <w:rsid w:val="4DC95567"/>
    <w:rsid w:val="4DCE278A"/>
    <w:rsid w:val="4DD03C33"/>
    <w:rsid w:val="4DD70FFB"/>
    <w:rsid w:val="4DDA060D"/>
    <w:rsid w:val="4DEE0073"/>
    <w:rsid w:val="4DF74D1B"/>
    <w:rsid w:val="4DFA7BDD"/>
    <w:rsid w:val="4E092CA1"/>
    <w:rsid w:val="4E117EDA"/>
    <w:rsid w:val="4E216C2D"/>
    <w:rsid w:val="4E226070"/>
    <w:rsid w:val="4E30670F"/>
    <w:rsid w:val="4E437F61"/>
    <w:rsid w:val="4E553D42"/>
    <w:rsid w:val="4E69354A"/>
    <w:rsid w:val="4E6E62E1"/>
    <w:rsid w:val="4E7A455F"/>
    <w:rsid w:val="4E7E543D"/>
    <w:rsid w:val="4E9F6898"/>
    <w:rsid w:val="4E9F70F5"/>
    <w:rsid w:val="4EAD7AD0"/>
    <w:rsid w:val="4EB70C79"/>
    <w:rsid w:val="4EBC409F"/>
    <w:rsid w:val="4ED6738A"/>
    <w:rsid w:val="4EF63225"/>
    <w:rsid w:val="4EFE05CC"/>
    <w:rsid w:val="4F02070B"/>
    <w:rsid w:val="4F122438"/>
    <w:rsid w:val="4F134CF9"/>
    <w:rsid w:val="4F1418FD"/>
    <w:rsid w:val="4F2A31F1"/>
    <w:rsid w:val="4F377047"/>
    <w:rsid w:val="4F477F24"/>
    <w:rsid w:val="4F506F7E"/>
    <w:rsid w:val="4F634C70"/>
    <w:rsid w:val="4F6B5525"/>
    <w:rsid w:val="4F6F582C"/>
    <w:rsid w:val="4F730D1A"/>
    <w:rsid w:val="4F822FDC"/>
    <w:rsid w:val="4F840F36"/>
    <w:rsid w:val="4F920ED2"/>
    <w:rsid w:val="4F926793"/>
    <w:rsid w:val="4F995BC0"/>
    <w:rsid w:val="4F9F564C"/>
    <w:rsid w:val="4FC140F0"/>
    <w:rsid w:val="4FC50439"/>
    <w:rsid w:val="4FCD5398"/>
    <w:rsid w:val="4FE5544C"/>
    <w:rsid w:val="4FEC38FD"/>
    <w:rsid w:val="4FF361FE"/>
    <w:rsid w:val="4FF45451"/>
    <w:rsid w:val="50006D51"/>
    <w:rsid w:val="50102399"/>
    <w:rsid w:val="501428C6"/>
    <w:rsid w:val="50181289"/>
    <w:rsid w:val="501A15F1"/>
    <w:rsid w:val="501E6338"/>
    <w:rsid w:val="501E6ED7"/>
    <w:rsid w:val="50220737"/>
    <w:rsid w:val="502344EE"/>
    <w:rsid w:val="5028303A"/>
    <w:rsid w:val="502A76A0"/>
    <w:rsid w:val="502F39BB"/>
    <w:rsid w:val="5040203C"/>
    <w:rsid w:val="50446212"/>
    <w:rsid w:val="504908E4"/>
    <w:rsid w:val="504B1C86"/>
    <w:rsid w:val="504F5C8E"/>
    <w:rsid w:val="50523ED3"/>
    <w:rsid w:val="50546455"/>
    <w:rsid w:val="50577CF3"/>
    <w:rsid w:val="50597F0F"/>
    <w:rsid w:val="506F328F"/>
    <w:rsid w:val="50812FC2"/>
    <w:rsid w:val="50823AA3"/>
    <w:rsid w:val="509357A6"/>
    <w:rsid w:val="50942CF5"/>
    <w:rsid w:val="50991D00"/>
    <w:rsid w:val="50A93D08"/>
    <w:rsid w:val="50B60EBE"/>
    <w:rsid w:val="50BC224C"/>
    <w:rsid w:val="50C15018"/>
    <w:rsid w:val="50C855B9"/>
    <w:rsid w:val="50C86974"/>
    <w:rsid w:val="50D047FA"/>
    <w:rsid w:val="50D80F38"/>
    <w:rsid w:val="50DB1026"/>
    <w:rsid w:val="50E752AD"/>
    <w:rsid w:val="50EE4AFC"/>
    <w:rsid w:val="50F07639"/>
    <w:rsid w:val="51051E45"/>
    <w:rsid w:val="510559A1"/>
    <w:rsid w:val="51096B90"/>
    <w:rsid w:val="510B53A2"/>
    <w:rsid w:val="51121E6C"/>
    <w:rsid w:val="511824B7"/>
    <w:rsid w:val="51254238"/>
    <w:rsid w:val="51361FFF"/>
    <w:rsid w:val="513E5D87"/>
    <w:rsid w:val="514A5AAA"/>
    <w:rsid w:val="515B53DD"/>
    <w:rsid w:val="516312F0"/>
    <w:rsid w:val="51640F6B"/>
    <w:rsid w:val="516E09DF"/>
    <w:rsid w:val="51705511"/>
    <w:rsid w:val="51965F7A"/>
    <w:rsid w:val="51982AEC"/>
    <w:rsid w:val="519A22EA"/>
    <w:rsid w:val="519A258E"/>
    <w:rsid w:val="51A753D3"/>
    <w:rsid w:val="51A90A23"/>
    <w:rsid w:val="51AD1546"/>
    <w:rsid w:val="51B1584C"/>
    <w:rsid w:val="51BD5911"/>
    <w:rsid w:val="51CA1591"/>
    <w:rsid w:val="51D52864"/>
    <w:rsid w:val="51E03207"/>
    <w:rsid w:val="51E046FC"/>
    <w:rsid w:val="51E2139E"/>
    <w:rsid w:val="51EB0CB0"/>
    <w:rsid w:val="51F87E21"/>
    <w:rsid w:val="52156D49"/>
    <w:rsid w:val="52163A59"/>
    <w:rsid w:val="52173BDE"/>
    <w:rsid w:val="521B1ACF"/>
    <w:rsid w:val="52224A3F"/>
    <w:rsid w:val="522B291D"/>
    <w:rsid w:val="52332E4B"/>
    <w:rsid w:val="525941F7"/>
    <w:rsid w:val="5259699E"/>
    <w:rsid w:val="525C5A95"/>
    <w:rsid w:val="52635075"/>
    <w:rsid w:val="52676152"/>
    <w:rsid w:val="527032EE"/>
    <w:rsid w:val="5271169C"/>
    <w:rsid w:val="5272504D"/>
    <w:rsid w:val="527D1E3F"/>
    <w:rsid w:val="527D78BF"/>
    <w:rsid w:val="528D737C"/>
    <w:rsid w:val="529A0F50"/>
    <w:rsid w:val="529A1868"/>
    <w:rsid w:val="529B2F67"/>
    <w:rsid w:val="529F5982"/>
    <w:rsid w:val="52A03BD4"/>
    <w:rsid w:val="52B4767F"/>
    <w:rsid w:val="52B53261"/>
    <w:rsid w:val="52C354F0"/>
    <w:rsid w:val="52C462A2"/>
    <w:rsid w:val="52C969DA"/>
    <w:rsid w:val="52CB7D38"/>
    <w:rsid w:val="52D90E94"/>
    <w:rsid w:val="52DD6E2A"/>
    <w:rsid w:val="52E41FE4"/>
    <w:rsid w:val="52E57838"/>
    <w:rsid w:val="52FE0215"/>
    <w:rsid w:val="52FF1BCF"/>
    <w:rsid w:val="5302183A"/>
    <w:rsid w:val="53057EDB"/>
    <w:rsid w:val="5309148D"/>
    <w:rsid w:val="530C099D"/>
    <w:rsid w:val="530F54C3"/>
    <w:rsid w:val="53177C0E"/>
    <w:rsid w:val="53201021"/>
    <w:rsid w:val="532050A1"/>
    <w:rsid w:val="53211452"/>
    <w:rsid w:val="534653EC"/>
    <w:rsid w:val="53476745"/>
    <w:rsid w:val="534F1156"/>
    <w:rsid w:val="535477A8"/>
    <w:rsid w:val="53590226"/>
    <w:rsid w:val="53621D49"/>
    <w:rsid w:val="536A1D0D"/>
    <w:rsid w:val="536B260E"/>
    <w:rsid w:val="536F43D9"/>
    <w:rsid w:val="53740BBC"/>
    <w:rsid w:val="53760AFD"/>
    <w:rsid w:val="537D61EE"/>
    <w:rsid w:val="53954C11"/>
    <w:rsid w:val="5399666D"/>
    <w:rsid w:val="539F31E0"/>
    <w:rsid w:val="53A85128"/>
    <w:rsid w:val="53B2033E"/>
    <w:rsid w:val="53B519EA"/>
    <w:rsid w:val="53BA665E"/>
    <w:rsid w:val="53D20059"/>
    <w:rsid w:val="53D236FB"/>
    <w:rsid w:val="53D65F7F"/>
    <w:rsid w:val="53DE4DAA"/>
    <w:rsid w:val="53E144A4"/>
    <w:rsid w:val="53ED0C6A"/>
    <w:rsid w:val="54081D74"/>
    <w:rsid w:val="54161A4B"/>
    <w:rsid w:val="541D2A6E"/>
    <w:rsid w:val="542D28C2"/>
    <w:rsid w:val="54395062"/>
    <w:rsid w:val="543C0AB5"/>
    <w:rsid w:val="54451EC0"/>
    <w:rsid w:val="54500399"/>
    <w:rsid w:val="545270A8"/>
    <w:rsid w:val="54534C76"/>
    <w:rsid w:val="545A4A3D"/>
    <w:rsid w:val="54656A60"/>
    <w:rsid w:val="546C379C"/>
    <w:rsid w:val="54824EEF"/>
    <w:rsid w:val="54880DC3"/>
    <w:rsid w:val="548C3281"/>
    <w:rsid w:val="5496369B"/>
    <w:rsid w:val="54977C09"/>
    <w:rsid w:val="549E5015"/>
    <w:rsid w:val="54B27EE3"/>
    <w:rsid w:val="54BA6AA3"/>
    <w:rsid w:val="54C8567E"/>
    <w:rsid w:val="54CD2C7A"/>
    <w:rsid w:val="54D52F4D"/>
    <w:rsid w:val="54DB5397"/>
    <w:rsid w:val="54E234F0"/>
    <w:rsid w:val="54ED0C26"/>
    <w:rsid w:val="54F226E1"/>
    <w:rsid w:val="54FB14D7"/>
    <w:rsid w:val="54FB77E7"/>
    <w:rsid w:val="550A7A2A"/>
    <w:rsid w:val="55195EBF"/>
    <w:rsid w:val="55206435"/>
    <w:rsid w:val="55267E0E"/>
    <w:rsid w:val="55365444"/>
    <w:rsid w:val="554B48AE"/>
    <w:rsid w:val="55547F33"/>
    <w:rsid w:val="556059EB"/>
    <w:rsid w:val="55651104"/>
    <w:rsid w:val="55704671"/>
    <w:rsid w:val="5576009C"/>
    <w:rsid w:val="558A0B6B"/>
    <w:rsid w:val="558B3916"/>
    <w:rsid w:val="559E27FC"/>
    <w:rsid w:val="55A23EB5"/>
    <w:rsid w:val="55A42848"/>
    <w:rsid w:val="55A82D9F"/>
    <w:rsid w:val="55B02072"/>
    <w:rsid w:val="55B300C2"/>
    <w:rsid w:val="55CA0661"/>
    <w:rsid w:val="55E84502"/>
    <w:rsid w:val="55E94C06"/>
    <w:rsid w:val="55EB160A"/>
    <w:rsid w:val="55ED6F99"/>
    <w:rsid w:val="5604091D"/>
    <w:rsid w:val="560426CB"/>
    <w:rsid w:val="56050819"/>
    <w:rsid w:val="560D2C43"/>
    <w:rsid w:val="560E354A"/>
    <w:rsid w:val="560F3FD4"/>
    <w:rsid w:val="5630526E"/>
    <w:rsid w:val="563A557A"/>
    <w:rsid w:val="563A60ED"/>
    <w:rsid w:val="565B45CC"/>
    <w:rsid w:val="5664621E"/>
    <w:rsid w:val="56653F50"/>
    <w:rsid w:val="567A473C"/>
    <w:rsid w:val="568C1B55"/>
    <w:rsid w:val="569A3030"/>
    <w:rsid w:val="569A40BE"/>
    <w:rsid w:val="56AA3DFF"/>
    <w:rsid w:val="56AC0BC9"/>
    <w:rsid w:val="56B37C4E"/>
    <w:rsid w:val="56B631C7"/>
    <w:rsid w:val="56C2083D"/>
    <w:rsid w:val="56C46EE2"/>
    <w:rsid w:val="56C65683"/>
    <w:rsid w:val="56C90FA4"/>
    <w:rsid w:val="56CA1443"/>
    <w:rsid w:val="56D70A8E"/>
    <w:rsid w:val="56DA2211"/>
    <w:rsid w:val="56FC15F5"/>
    <w:rsid w:val="570C203C"/>
    <w:rsid w:val="57157896"/>
    <w:rsid w:val="571636AE"/>
    <w:rsid w:val="57275CB0"/>
    <w:rsid w:val="57284198"/>
    <w:rsid w:val="57293033"/>
    <w:rsid w:val="572D5C52"/>
    <w:rsid w:val="573214BA"/>
    <w:rsid w:val="5732533D"/>
    <w:rsid w:val="57374E2F"/>
    <w:rsid w:val="573C40E7"/>
    <w:rsid w:val="57437B4D"/>
    <w:rsid w:val="574E1899"/>
    <w:rsid w:val="57575490"/>
    <w:rsid w:val="5764632B"/>
    <w:rsid w:val="57664CA5"/>
    <w:rsid w:val="57825F9E"/>
    <w:rsid w:val="579E3616"/>
    <w:rsid w:val="57B669F1"/>
    <w:rsid w:val="57C31658"/>
    <w:rsid w:val="57CC0FC7"/>
    <w:rsid w:val="57D1482F"/>
    <w:rsid w:val="57DB4A0B"/>
    <w:rsid w:val="57E05304"/>
    <w:rsid w:val="57E90BB5"/>
    <w:rsid w:val="57EE718F"/>
    <w:rsid w:val="58006EC2"/>
    <w:rsid w:val="5807105F"/>
    <w:rsid w:val="581035A9"/>
    <w:rsid w:val="58136E00"/>
    <w:rsid w:val="581D136C"/>
    <w:rsid w:val="581F6D2F"/>
    <w:rsid w:val="582D4EF8"/>
    <w:rsid w:val="583B4943"/>
    <w:rsid w:val="584D3288"/>
    <w:rsid w:val="58513D10"/>
    <w:rsid w:val="585D60C3"/>
    <w:rsid w:val="58694EF3"/>
    <w:rsid w:val="586C4558"/>
    <w:rsid w:val="58886ED6"/>
    <w:rsid w:val="589246D3"/>
    <w:rsid w:val="589805BB"/>
    <w:rsid w:val="589F0489"/>
    <w:rsid w:val="58AB6793"/>
    <w:rsid w:val="58B96858"/>
    <w:rsid w:val="58BD4DB3"/>
    <w:rsid w:val="58C45CCD"/>
    <w:rsid w:val="58D8399B"/>
    <w:rsid w:val="58D85CCC"/>
    <w:rsid w:val="58E93DFA"/>
    <w:rsid w:val="58FF717A"/>
    <w:rsid w:val="590A1717"/>
    <w:rsid w:val="590D47DB"/>
    <w:rsid w:val="59146E46"/>
    <w:rsid w:val="591610D8"/>
    <w:rsid w:val="591F45F5"/>
    <w:rsid w:val="59213594"/>
    <w:rsid w:val="59215169"/>
    <w:rsid w:val="59225C41"/>
    <w:rsid w:val="5922657E"/>
    <w:rsid w:val="59260BAB"/>
    <w:rsid w:val="5927308C"/>
    <w:rsid w:val="592B4413"/>
    <w:rsid w:val="59330CEC"/>
    <w:rsid w:val="593962A4"/>
    <w:rsid w:val="594466A7"/>
    <w:rsid w:val="59453DCA"/>
    <w:rsid w:val="5979517E"/>
    <w:rsid w:val="5980475F"/>
    <w:rsid w:val="598853C1"/>
    <w:rsid w:val="599E5C7D"/>
    <w:rsid w:val="59B86E0E"/>
    <w:rsid w:val="59C041A7"/>
    <w:rsid w:val="59C1603D"/>
    <w:rsid w:val="59CC1752"/>
    <w:rsid w:val="59CD1026"/>
    <w:rsid w:val="59CF2FF0"/>
    <w:rsid w:val="59D57F22"/>
    <w:rsid w:val="59D93E6F"/>
    <w:rsid w:val="59E7033A"/>
    <w:rsid w:val="59F71524"/>
    <w:rsid w:val="5A013D74"/>
    <w:rsid w:val="5A124AB8"/>
    <w:rsid w:val="5A1B2000"/>
    <w:rsid w:val="5A2A3FB1"/>
    <w:rsid w:val="5A341524"/>
    <w:rsid w:val="5A3A2B60"/>
    <w:rsid w:val="5A4070E5"/>
    <w:rsid w:val="5A437BB9"/>
    <w:rsid w:val="5A4410AE"/>
    <w:rsid w:val="5A513A05"/>
    <w:rsid w:val="5A5A0B0C"/>
    <w:rsid w:val="5A6776CD"/>
    <w:rsid w:val="5A6802F5"/>
    <w:rsid w:val="5A6F4798"/>
    <w:rsid w:val="5A6F6610"/>
    <w:rsid w:val="5A76245F"/>
    <w:rsid w:val="5A847B2F"/>
    <w:rsid w:val="5A855F2C"/>
    <w:rsid w:val="5A867B53"/>
    <w:rsid w:val="5A9023B0"/>
    <w:rsid w:val="5A9B7D6D"/>
    <w:rsid w:val="5AA21558"/>
    <w:rsid w:val="5AA460B8"/>
    <w:rsid w:val="5AA63D51"/>
    <w:rsid w:val="5AAE5FDB"/>
    <w:rsid w:val="5AB126F6"/>
    <w:rsid w:val="5AB94B49"/>
    <w:rsid w:val="5AD029E7"/>
    <w:rsid w:val="5AD810AC"/>
    <w:rsid w:val="5AD8330E"/>
    <w:rsid w:val="5ADE798F"/>
    <w:rsid w:val="5AE91E90"/>
    <w:rsid w:val="5AF669C0"/>
    <w:rsid w:val="5B050373"/>
    <w:rsid w:val="5B090B8B"/>
    <w:rsid w:val="5B123195"/>
    <w:rsid w:val="5B1B5813"/>
    <w:rsid w:val="5B2647E8"/>
    <w:rsid w:val="5B266F2F"/>
    <w:rsid w:val="5B2A75AF"/>
    <w:rsid w:val="5B3B77CD"/>
    <w:rsid w:val="5B3C60E9"/>
    <w:rsid w:val="5B3E6934"/>
    <w:rsid w:val="5B45712F"/>
    <w:rsid w:val="5B461090"/>
    <w:rsid w:val="5B464AF4"/>
    <w:rsid w:val="5B5A5164"/>
    <w:rsid w:val="5B6120A7"/>
    <w:rsid w:val="5B7062B2"/>
    <w:rsid w:val="5B7D77BD"/>
    <w:rsid w:val="5B81656C"/>
    <w:rsid w:val="5B847476"/>
    <w:rsid w:val="5B8C62B2"/>
    <w:rsid w:val="5B982195"/>
    <w:rsid w:val="5B994854"/>
    <w:rsid w:val="5BA65FD3"/>
    <w:rsid w:val="5BA94670"/>
    <w:rsid w:val="5BAD00B5"/>
    <w:rsid w:val="5BAD0434"/>
    <w:rsid w:val="5BB66216"/>
    <w:rsid w:val="5BC22E0D"/>
    <w:rsid w:val="5BCC10DF"/>
    <w:rsid w:val="5BD6246E"/>
    <w:rsid w:val="5BDF1E68"/>
    <w:rsid w:val="5BE82D33"/>
    <w:rsid w:val="5C037DBB"/>
    <w:rsid w:val="5C063EDE"/>
    <w:rsid w:val="5C0C6BB6"/>
    <w:rsid w:val="5C0C6BE4"/>
    <w:rsid w:val="5C112C6C"/>
    <w:rsid w:val="5C1B1AD2"/>
    <w:rsid w:val="5C1D6295"/>
    <w:rsid w:val="5C217E2B"/>
    <w:rsid w:val="5C3F26AF"/>
    <w:rsid w:val="5C422FA3"/>
    <w:rsid w:val="5C516CB1"/>
    <w:rsid w:val="5C5872CD"/>
    <w:rsid w:val="5C6F1E26"/>
    <w:rsid w:val="5C761E49"/>
    <w:rsid w:val="5C8E6FDB"/>
    <w:rsid w:val="5C9022D9"/>
    <w:rsid w:val="5C902F0B"/>
    <w:rsid w:val="5C937A37"/>
    <w:rsid w:val="5C9C18B0"/>
    <w:rsid w:val="5CA11A05"/>
    <w:rsid w:val="5CAB5170"/>
    <w:rsid w:val="5CBF53A6"/>
    <w:rsid w:val="5CC87EA7"/>
    <w:rsid w:val="5CD05098"/>
    <w:rsid w:val="5CD32340"/>
    <w:rsid w:val="5CED3EB9"/>
    <w:rsid w:val="5D095CCB"/>
    <w:rsid w:val="5D107454"/>
    <w:rsid w:val="5D1266BF"/>
    <w:rsid w:val="5D1B7B11"/>
    <w:rsid w:val="5D1D2180"/>
    <w:rsid w:val="5D1E7EEF"/>
    <w:rsid w:val="5D226AF7"/>
    <w:rsid w:val="5D23146E"/>
    <w:rsid w:val="5D240EF0"/>
    <w:rsid w:val="5D292A17"/>
    <w:rsid w:val="5D2A2868"/>
    <w:rsid w:val="5D324480"/>
    <w:rsid w:val="5D3F01A3"/>
    <w:rsid w:val="5D4E247E"/>
    <w:rsid w:val="5D5949A2"/>
    <w:rsid w:val="5D5E1A9C"/>
    <w:rsid w:val="5D607E16"/>
    <w:rsid w:val="5D700646"/>
    <w:rsid w:val="5D77168C"/>
    <w:rsid w:val="5D7B626B"/>
    <w:rsid w:val="5D7D7E14"/>
    <w:rsid w:val="5D845EA0"/>
    <w:rsid w:val="5D8F7AF3"/>
    <w:rsid w:val="5D9C7014"/>
    <w:rsid w:val="5DA402F0"/>
    <w:rsid w:val="5DAF4A56"/>
    <w:rsid w:val="5DB137E0"/>
    <w:rsid w:val="5DB21F90"/>
    <w:rsid w:val="5DB4349E"/>
    <w:rsid w:val="5DC61674"/>
    <w:rsid w:val="5DCE768B"/>
    <w:rsid w:val="5DD469F9"/>
    <w:rsid w:val="5DD76393"/>
    <w:rsid w:val="5DD961EC"/>
    <w:rsid w:val="5DE4303D"/>
    <w:rsid w:val="5DF03535"/>
    <w:rsid w:val="5DFB43B4"/>
    <w:rsid w:val="5E051C42"/>
    <w:rsid w:val="5E0C65C1"/>
    <w:rsid w:val="5E127BF5"/>
    <w:rsid w:val="5E297BDA"/>
    <w:rsid w:val="5E2F0501"/>
    <w:rsid w:val="5E335697"/>
    <w:rsid w:val="5E36363E"/>
    <w:rsid w:val="5E4E007B"/>
    <w:rsid w:val="5E5267D5"/>
    <w:rsid w:val="5E5C6533"/>
    <w:rsid w:val="5E681851"/>
    <w:rsid w:val="5E784A35"/>
    <w:rsid w:val="5E8048B9"/>
    <w:rsid w:val="5E9840CC"/>
    <w:rsid w:val="5E9A67EE"/>
    <w:rsid w:val="5EBA7A7D"/>
    <w:rsid w:val="5ECE3876"/>
    <w:rsid w:val="5EDA046D"/>
    <w:rsid w:val="5F045E54"/>
    <w:rsid w:val="5F053010"/>
    <w:rsid w:val="5F1A68A4"/>
    <w:rsid w:val="5F245B8C"/>
    <w:rsid w:val="5F261904"/>
    <w:rsid w:val="5F2B0CC9"/>
    <w:rsid w:val="5F330789"/>
    <w:rsid w:val="5F37703F"/>
    <w:rsid w:val="5F3A715E"/>
    <w:rsid w:val="5F4207F4"/>
    <w:rsid w:val="5F5170B2"/>
    <w:rsid w:val="5F54485B"/>
    <w:rsid w:val="5F63098D"/>
    <w:rsid w:val="5F684284"/>
    <w:rsid w:val="5F7563E8"/>
    <w:rsid w:val="5F76759B"/>
    <w:rsid w:val="5F76780E"/>
    <w:rsid w:val="5F904FD0"/>
    <w:rsid w:val="5FA9719B"/>
    <w:rsid w:val="5FBC3FDF"/>
    <w:rsid w:val="5FD15339"/>
    <w:rsid w:val="5FDA0E6E"/>
    <w:rsid w:val="5FE64BF0"/>
    <w:rsid w:val="5FEA3E4B"/>
    <w:rsid w:val="60151F2C"/>
    <w:rsid w:val="601D5D26"/>
    <w:rsid w:val="602E5337"/>
    <w:rsid w:val="602F1E3E"/>
    <w:rsid w:val="60314163"/>
    <w:rsid w:val="6039192A"/>
    <w:rsid w:val="603B61DC"/>
    <w:rsid w:val="604E7580"/>
    <w:rsid w:val="6054424F"/>
    <w:rsid w:val="605F7E8E"/>
    <w:rsid w:val="606A75CF"/>
    <w:rsid w:val="606C1599"/>
    <w:rsid w:val="607355F5"/>
    <w:rsid w:val="609B3C2C"/>
    <w:rsid w:val="60A316C6"/>
    <w:rsid w:val="60B71822"/>
    <w:rsid w:val="60BB607C"/>
    <w:rsid w:val="60BE685E"/>
    <w:rsid w:val="60C73D08"/>
    <w:rsid w:val="60CE5DB0"/>
    <w:rsid w:val="60CF38D6"/>
    <w:rsid w:val="60D36BF4"/>
    <w:rsid w:val="60F90B0F"/>
    <w:rsid w:val="60FF5A53"/>
    <w:rsid w:val="61003BFE"/>
    <w:rsid w:val="612164E3"/>
    <w:rsid w:val="61271964"/>
    <w:rsid w:val="613042A1"/>
    <w:rsid w:val="6131633F"/>
    <w:rsid w:val="613340D5"/>
    <w:rsid w:val="61371E14"/>
    <w:rsid w:val="61454AC0"/>
    <w:rsid w:val="61471E39"/>
    <w:rsid w:val="6148332F"/>
    <w:rsid w:val="61493688"/>
    <w:rsid w:val="61565011"/>
    <w:rsid w:val="61600F68"/>
    <w:rsid w:val="61671D60"/>
    <w:rsid w:val="61761FA3"/>
    <w:rsid w:val="6179718E"/>
    <w:rsid w:val="6181595E"/>
    <w:rsid w:val="618178A0"/>
    <w:rsid w:val="619012B7"/>
    <w:rsid w:val="619C7A61"/>
    <w:rsid w:val="619E26DC"/>
    <w:rsid w:val="61AA08FD"/>
    <w:rsid w:val="61AD3E67"/>
    <w:rsid w:val="61AD486F"/>
    <w:rsid w:val="61B01959"/>
    <w:rsid w:val="61BE4DEC"/>
    <w:rsid w:val="61CD5A78"/>
    <w:rsid w:val="61D63CAD"/>
    <w:rsid w:val="61DA4E9E"/>
    <w:rsid w:val="61DB783C"/>
    <w:rsid w:val="61E138C1"/>
    <w:rsid w:val="61E76E94"/>
    <w:rsid w:val="61F56B7E"/>
    <w:rsid w:val="620E393B"/>
    <w:rsid w:val="621842B5"/>
    <w:rsid w:val="62196ADD"/>
    <w:rsid w:val="62246A3D"/>
    <w:rsid w:val="622639C9"/>
    <w:rsid w:val="623B4B2F"/>
    <w:rsid w:val="623E1C97"/>
    <w:rsid w:val="62470D4F"/>
    <w:rsid w:val="624A085E"/>
    <w:rsid w:val="624A4CA7"/>
    <w:rsid w:val="62571DD5"/>
    <w:rsid w:val="625763D3"/>
    <w:rsid w:val="62683FE2"/>
    <w:rsid w:val="626A38F8"/>
    <w:rsid w:val="627357C6"/>
    <w:rsid w:val="628506F0"/>
    <w:rsid w:val="62865F31"/>
    <w:rsid w:val="62874F78"/>
    <w:rsid w:val="628A7090"/>
    <w:rsid w:val="62982639"/>
    <w:rsid w:val="62993E27"/>
    <w:rsid w:val="62B33B05"/>
    <w:rsid w:val="62B40FD5"/>
    <w:rsid w:val="62C944DC"/>
    <w:rsid w:val="62D376AD"/>
    <w:rsid w:val="62D4157E"/>
    <w:rsid w:val="62DA31AC"/>
    <w:rsid w:val="62DB0EBB"/>
    <w:rsid w:val="62DE49A2"/>
    <w:rsid w:val="62E278F0"/>
    <w:rsid w:val="62E532B7"/>
    <w:rsid w:val="62EB4856"/>
    <w:rsid w:val="62F01445"/>
    <w:rsid w:val="62F176D3"/>
    <w:rsid w:val="62FB593B"/>
    <w:rsid w:val="62FE612C"/>
    <w:rsid w:val="6305105C"/>
    <w:rsid w:val="630B6AD1"/>
    <w:rsid w:val="631101D6"/>
    <w:rsid w:val="63115F02"/>
    <w:rsid w:val="633F46AC"/>
    <w:rsid w:val="63436839"/>
    <w:rsid w:val="634B7B8C"/>
    <w:rsid w:val="634C3904"/>
    <w:rsid w:val="634C7460"/>
    <w:rsid w:val="635F7E2E"/>
    <w:rsid w:val="636C0C76"/>
    <w:rsid w:val="637000E8"/>
    <w:rsid w:val="63735A70"/>
    <w:rsid w:val="63742E9E"/>
    <w:rsid w:val="637C2335"/>
    <w:rsid w:val="637D1D0F"/>
    <w:rsid w:val="637F15E3"/>
    <w:rsid w:val="63964B41"/>
    <w:rsid w:val="639C64B4"/>
    <w:rsid w:val="63A66B70"/>
    <w:rsid w:val="63A759EE"/>
    <w:rsid w:val="63A94441"/>
    <w:rsid w:val="63BA086D"/>
    <w:rsid w:val="63CE4281"/>
    <w:rsid w:val="63CE7B03"/>
    <w:rsid w:val="63D07F56"/>
    <w:rsid w:val="63D23E09"/>
    <w:rsid w:val="63D80CF3"/>
    <w:rsid w:val="63DF51BF"/>
    <w:rsid w:val="63DF6848"/>
    <w:rsid w:val="63F14296"/>
    <w:rsid w:val="63F42E75"/>
    <w:rsid w:val="63F74FD3"/>
    <w:rsid w:val="64016D84"/>
    <w:rsid w:val="64087672"/>
    <w:rsid w:val="640D2277"/>
    <w:rsid w:val="641417A5"/>
    <w:rsid w:val="641E0DFC"/>
    <w:rsid w:val="641F5CF2"/>
    <w:rsid w:val="64260D50"/>
    <w:rsid w:val="642A280D"/>
    <w:rsid w:val="643060B3"/>
    <w:rsid w:val="64382846"/>
    <w:rsid w:val="64405216"/>
    <w:rsid w:val="644E29D3"/>
    <w:rsid w:val="64511B39"/>
    <w:rsid w:val="64584BAD"/>
    <w:rsid w:val="64611270"/>
    <w:rsid w:val="64685665"/>
    <w:rsid w:val="646D255C"/>
    <w:rsid w:val="64776999"/>
    <w:rsid w:val="647A02E0"/>
    <w:rsid w:val="648312A7"/>
    <w:rsid w:val="64915A72"/>
    <w:rsid w:val="6492058C"/>
    <w:rsid w:val="649B3E72"/>
    <w:rsid w:val="649E3DC5"/>
    <w:rsid w:val="64A84855"/>
    <w:rsid w:val="64B37004"/>
    <w:rsid w:val="64B47BF8"/>
    <w:rsid w:val="64BC7BC3"/>
    <w:rsid w:val="64D2120A"/>
    <w:rsid w:val="64D9638C"/>
    <w:rsid w:val="64EE4C72"/>
    <w:rsid w:val="64EF4547"/>
    <w:rsid w:val="64F56864"/>
    <w:rsid w:val="64F8164D"/>
    <w:rsid w:val="64FE321B"/>
    <w:rsid w:val="65003C4E"/>
    <w:rsid w:val="650A10D3"/>
    <w:rsid w:val="651A6124"/>
    <w:rsid w:val="6522491C"/>
    <w:rsid w:val="652C2D84"/>
    <w:rsid w:val="653667D3"/>
    <w:rsid w:val="653B0769"/>
    <w:rsid w:val="653C156A"/>
    <w:rsid w:val="65414C11"/>
    <w:rsid w:val="654E77B3"/>
    <w:rsid w:val="65644F35"/>
    <w:rsid w:val="656A1E1F"/>
    <w:rsid w:val="656B3569"/>
    <w:rsid w:val="656B7FBE"/>
    <w:rsid w:val="657B15BD"/>
    <w:rsid w:val="657D1B52"/>
    <w:rsid w:val="657F7AF2"/>
    <w:rsid w:val="658137B1"/>
    <w:rsid w:val="65817851"/>
    <w:rsid w:val="658253BB"/>
    <w:rsid w:val="658A0094"/>
    <w:rsid w:val="658D5441"/>
    <w:rsid w:val="658E7D61"/>
    <w:rsid w:val="659007B5"/>
    <w:rsid w:val="65903E57"/>
    <w:rsid w:val="65905648"/>
    <w:rsid w:val="659A600C"/>
    <w:rsid w:val="65A866B5"/>
    <w:rsid w:val="65CB4592"/>
    <w:rsid w:val="65CC6636"/>
    <w:rsid w:val="65CE550C"/>
    <w:rsid w:val="65E3060E"/>
    <w:rsid w:val="65EA307D"/>
    <w:rsid w:val="65EE6960"/>
    <w:rsid w:val="65FC46C9"/>
    <w:rsid w:val="660C0B62"/>
    <w:rsid w:val="660F4894"/>
    <w:rsid w:val="66164C9A"/>
    <w:rsid w:val="66167260"/>
    <w:rsid w:val="66263F98"/>
    <w:rsid w:val="66283984"/>
    <w:rsid w:val="662932A3"/>
    <w:rsid w:val="663072F4"/>
    <w:rsid w:val="66372649"/>
    <w:rsid w:val="66380310"/>
    <w:rsid w:val="66525B0B"/>
    <w:rsid w:val="66600413"/>
    <w:rsid w:val="66636F9A"/>
    <w:rsid w:val="666435BE"/>
    <w:rsid w:val="666D671B"/>
    <w:rsid w:val="667935E3"/>
    <w:rsid w:val="667B2F19"/>
    <w:rsid w:val="667E3DD4"/>
    <w:rsid w:val="66807054"/>
    <w:rsid w:val="6681733D"/>
    <w:rsid w:val="66831544"/>
    <w:rsid w:val="668A4527"/>
    <w:rsid w:val="668E3573"/>
    <w:rsid w:val="66923426"/>
    <w:rsid w:val="66AF5135"/>
    <w:rsid w:val="66B028AC"/>
    <w:rsid w:val="66B43C9A"/>
    <w:rsid w:val="66B56746"/>
    <w:rsid w:val="66B6356E"/>
    <w:rsid w:val="66CE235D"/>
    <w:rsid w:val="66D54620"/>
    <w:rsid w:val="66D659BE"/>
    <w:rsid w:val="66DA3C8F"/>
    <w:rsid w:val="66DC51F5"/>
    <w:rsid w:val="66EB4FDD"/>
    <w:rsid w:val="66F070E8"/>
    <w:rsid w:val="66FD2343"/>
    <w:rsid w:val="66FD66F7"/>
    <w:rsid w:val="67012590"/>
    <w:rsid w:val="670B3CFD"/>
    <w:rsid w:val="671966DB"/>
    <w:rsid w:val="67314857"/>
    <w:rsid w:val="673E16E0"/>
    <w:rsid w:val="67464D3B"/>
    <w:rsid w:val="674C7A2E"/>
    <w:rsid w:val="674D0447"/>
    <w:rsid w:val="674E7C4A"/>
    <w:rsid w:val="675A1752"/>
    <w:rsid w:val="675A3512"/>
    <w:rsid w:val="675B7D54"/>
    <w:rsid w:val="67650AF0"/>
    <w:rsid w:val="676E26A4"/>
    <w:rsid w:val="67760D7A"/>
    <w:rsid w:val="678F4E88"/>
    <w:rsid w:val="67902011"/>
    <w:rsid w:val="67A02E70"/>
    <w:rsid w:val="67A2189A"/>
    <w:rsid w:val="67A94F51"/>
    <w:rsid w:val="67B617EE"/>
    <w:rsid w:val="67B90FEC"/>
    <w:rsid w:val="67C843ED"/>
    <w:rsid w:val="67CD06FC"/>
    <w:rsid w:val="67CF376D"/>
    <w:rsid w:val="67E91721"/>
    <w:rsid w:val="67EB09B0"/>
    <w:rsid w:val="67EB3793"/>
    <w:rsid w:val="67F51D58"/>
    <w:rsid w:val="68084E80"/>
    <w:rsid w:val="680E512F"/>
    <w:rsid w:val="681331C7"/>
    <w:rsid w:val="681432BF"/>
    <w:rsid w:val="68172BDD"/>
    <w:rsid w:val="683105C0"/>
    <w:rsid w:val="683C3F47"/>
    <w:rsid w:val="68585345"/>
    <w:rsid w:val="685A43CD"/>
    <w:rsid w:val="68676F16"/>
    <w:rsid w:val="68776D2D"/>
    <w:rsid w:val="687F144B"/>
    <w:rsid w:val="688A2F04"/>
    <w:rsid w:val="688F051A"/>
    <w:rsid w:val="6895178F"/>
    <w:rsid w:val="68996DED"/>
    <w:rsid w:val="68996F86"/>
    <w:rsid w:val="689E250C"/>
    <w:rsid w:val="689E3048"/>
    <w:rsid w:val="68A13C24"/>
    <w:rsid w:val="68A86526"/>
    <w:rsid w:val="68FA028C"/>
    <w:rsid w:val="69002550"/>
    <w:rsid w:val="690E252E"/>
    <w:rsid w:val="691B6A95"/>
    <w:rsid w:val="69236EB5"/>
    <w:rsid w:val="69280027"/>
    <w:rsid w:val="692A0243"/>
    <w:rsid w:val="6938470E"/>
    <w:rsid w:val="69482210"/>
    <w:rsid w:val="69591C34"/>
    <w:rsid w:val="696B71DF"/>
    <w:rsid w:val="69823F57"/>
    <w:rsid w:val="698338AD"/>
    <w:rsid w:val="69872FA0"/>
    <w:rsid w:val="69AF7273"/>
    <w:rsid w:val="69B36AB8"/>
    <w:rsid w:val="69C40A40"/>
    <w:rsid w:val="69C820DD"/>
    <w:rsid w:val="69D34437"/>
    <w:rsid w:val="69D63F27"/>
    <w:rsid w:val="69D76098"/>
    <w:rsid w:val="69EF1C44"/>
    <w:rsid w:val="6A0E1913"/>
    <w:rsid w:val="6A0E36C1"/>
    <w:rsid w:val="6A1A02DD"/>
    <w:rsid w:val="6A1E3C9F"/>
    <w:rsid w:val="6A216416"/>
    <w:rsid w:val="6A226039"/>
    <w:rsid w:val="6A270980"/>
    <w:rsid w:val="6A367544"/>
    <w:rsid w:val="6A3C022E"/>
    <w:rsid w:val="6A594425"/>
    <w:rsid w:val="6A617C95"/>
    <w:rsid w:val="6A697D10"/>
    <w:rsid w:val="6A7764B7"/>
    <w:rsid w:val="6A7C687C"/>
    <w:rsid w:val="6A8B6AC0"/>
    <w:rsid w:val="6A8D4CB6"/>
    <w:rsid w:val="6A9C0CCD"/>
    <w:rsid w:val="6A9C7D94"/>
    <w:rsid w:val="6AA95198"/>
    <w:rsid w:val="6ABE79D1"/>
    <w:rsid w:val="6AC41FD2"/>
    <w:rsid w:val="6AC92FB4"/>
    <w:rsid w:val="6AD71D05"/>
    <w:rsid w:val="6AEB755E"/>
    <w:rsid w:val="6AF132B6"/>
    <w:rsid w:val="6AF243BB"/>
    <w:rsid w:val="6AF53B10"/>
    <w:rsid w:val="6AFB1E97"/>
    <w:rsid w:val="6B014FD4"/>
    <w:rsid w:val="6B0D0E06"/>
    <w:rsid w:val="6B100568"/>
    <w:rsid w:val="6B145332"/>
    <w:rsid w:val="6B180670"/>
    <w:rsid w:val="6B211AB1"/>
    <w:rsid w:val="6B272C8C"/>
    <w:rsid w:val="6B482C03"/>
    <w:rsid w:val="6B5A6D17"/>
    <w:rsid w:val="6B6B51B8"/>
    <w:rsid w:val="6B747946"/>
    <w:rsid w:val="6B8C12A1"/>
    <w:rsid w:val="6B8C3EAC"/>
    <w:rsid w:val="6B910FBF"/>
    <w:rsid w:val="6B9A0764"/>
    <w:rsid w:val="6BA83EEE"/>
    <w:rsid w:val="6BA951C5"/>
    <w:rsid w:val="6BB2130C"/>
    <w:rsid w:val="6BB42046"/>
    <w:rsid w:val="6BBE116D"/>
    <w:rsid w:val="6BD02241"/>
    <w:rsid w:val="6BD53A54"/>
    <w:rsid w:val="6BDD7A07"/>
    <w:rsid w:val="6BE50451"/>
    <w:rsid w:val="6BEA2B9B"/>
    <w:rsid w:val="6BF34E65"/>
    <w:rsid w:val="6BFA1918"/>
    <w:rsid w:val="6BFF59B7"/>
    <w:rsid w:val="6C021003"/>
    <w:rsid w:val="6C154ABD"/>
    <w:rsid w:val="6C2152D1"/>
    <w:rsid w:val="6C244964"/>
    <w:rsid w:val="6C260EDF"/>
    <w:rsid w:val="6C2B44F5"/>
    <w:rsid w:val="6C2D476B"/>
    <w:rsid w:val="6C2F7FCF"/>
    <w:rsid w:val="6C3410B5"/>
    <w:rsid w:val="6C3D0414"/>
    <w:rsid w:val="6C5611E9"/>
    <w:rsid w:val="6C575EA4"/>
    <w:rsid w:val="6C6778F7"/>
    <w:rsid w:val="6C7539D8"/>
    <w:rsid w:val="6C767237"/>
    <w:rsid w:val="6C7A6EA4"/>
    <w:rsid w:val="6C7D68DC"/>
    <w:rsid w:val="6C80631C"/>
    <w:rsid w:val="6C9D0520"/>
    <w:rsid w:val="6C9E14DF"/>
    <w:rsid w:val="6CA2698F"/>
    <w:rsid w:val="6CAB1B2E"/>
    <w:rsid w:val="6CAC3500"/>
    <w:rsid w:val="6CDC1854"/>
    <w:rsid w:val="6CE03B53"/>
    <w:rsid w:val="6CE10C19"/>
    <w:rsid w:val="6CF154CA"/>
    <w:rsid w:val="6CF43042"/>
    <w:rsid w:val="6CFB10D7"/>
    <w:rsid w:val="6CFC177A"/>
    <w:rsid w:val="6D0B038C"/>
    <w:rsid w:val="6D0E1EBB"/>
    <w:rsid w:val="6D203E37"/>
    <w:rsid w:val="6D30099F"/>
    <w:rsid w:val="6D323D13"/>
    <w:rsid w:val="6D3671B7"/>
    <w:rsid w:val="6D521B17"/>
    <w:rsid w:val="6D5449D8"/>
    <w:rsid w:val="6D635AD2"/>
    <w:rsid w:val="6D6C0E2A"/>
    <w:rsid w:val="6D6D452C"/>
    <w:rsid w:val="6D7101EF"/>
    <w:rsid w:val="6D8819DC"/>
    <w:rsid w:val="6D9578E1"/>
    <w:rsid w:val="6D9739CD"/>
    <w:rsid w:val="6D990679"/>
    <w:rsid w:val="6DA0381A"/>
    <w:rsid w:val="6DA8457F"/>
    <w:rsid w:val="6DAC7479"/>
    <w:rsid w:val="6DB30807"/>
    <w:rsid w:val="6DB57033"/>
    <w:rsid w:val="6DBA662A"/>
    <w:rsid w:val="6DBC66AB"/>
    <w:rsid w:val="6DBD5360"/>
    <w:rsid w:val="6DCC559D"/>
    <w:rsid w:val="6DEF3809"/>
    <w:rsid w:val="6DF546B7"/>
    <w:rsid w:val="6E003712"/>
    <w:rsid w:val="6E056B89"/>
    <w:rsid w:val="6E0D462A"/>
    <w:rsid w:val="6E0D7865"/>
    <w:rsid w:val="6E102D14"/>
    <w:rsid w:val="6E1E4715"/>
    <w:rsid w:val="6E23118A"/>
    <w:rsid w:val="6E2A5F5A"/>
    <w:rsid w:val="6E2F4460"/>
    <w:rsid w:val="6E332A52"/>
    <w:rsid w:val="6E3B55CE"/>
    <w:rsid w:val="6E4D4E71"/>
    <w:rsid w:val="6E5042A8"/>
    <w:rsid w:val="6E5E1BAD"/>
    <w:rsid w:val="6E641B9E"/>
    <w:rsid w:val="6E657628"/>
    <w:rsid w:val="6E767734"/>
    <w:rsid w:val="6E7E3225"/>
    <w:rsid w:val="6E881292"/>
    <w:rsid w:val="6E8C1275"/>
    <w:rsid w:val="6E913904"/>
    <w:rsid w:val="6E95728B"/>
    <w:rsid w:val="6E970098"/>
    <w:rsid w:val="6E9804F8"/>
    <w:rsid w:val="6E9B6D4A"/>
    <w:rsid w:val="6EA22C9D"/>
    <w:rsid w:val="6EA87056"/>
    <w:rsid w:val="6EAC5256"/>
    <w:rsid w:val="6EB2181E"/>
    <w:rsid w:val="6EB760D5"/>
    <w:rsid w:val="6EC00991"/>
    <w:rsid w:val="6EC070A4"/>
    <w:rsid w:val="6ED21161"/>
    <w:rsid w:val="6EE60046"/>
    <w:rsid w:val="6EEF4DA3"/>
    <w:rsid w:val="6EFA4214"/>
    <w:rsid w:val="6EFA4403"/>
    <w:rsid w:val="6EFC5D0E"/>
    <w:rsid w:val="6EFD3685"/>
    <w:rsid w:val="6F07206C"/>
    <w:rsid w:val="6F116F85"/>
    <w:rsid w:val="6F147CF5"/>
    <w:rsid w:val="6F215C44"/>
    <w:rsid w:val="6F240B2A"/>
    <w:rsid w:val="6F3B5AF9"/>
    <w:rsid w:val="6F3E0091"/>
    <w:rsid w:val="6F48243C"/>
    <w:rsid w:val="6F4A4AEF"/>
    <w:rsid w:val="6F66482C"/>
    <w:rsid w:val="6F83609C"/>
    <w:rsid w:val="6F96218E"/>
    <w:rsid w:val="6F9965D5"/>
    <w:rsid w:val="6F9E1675"/>
    <w:rsid w:val="6FAA6067"/>
    <w:rsid w:val="6FAB550E"/>
    <w:rsid w:val="6FAF7099"/>
    <w:rsid w:val="6FB616E5"/>
    <w:rsid w:val="6FBE49C3"/>
    <w:rsid w:val="6FBF02B5"/>
    <w:rsid w:val="6FE74798"/>
    <w:rsid w:val="6FFB46E7"/>
    <w:rsid w:val="70083FED"/>
    <w:rsid w:val="700853C0"/>
    <w:rsid w:val="700B641B"/>
    <w:rsid w:val="700C2451"/>
    <w:rsid w:val="70103AEC"/>
    <w:rsid w:val="701E3F32"/>
    <w:rsid w:val="702459EC"/>
    <w:rsid w:val="702478A3"/>
    <w:rsid w:val="702920DD"/>
    <w:rsid w:val="702C0726"/>
    <w:rsid w:val="703C2F7E"/>
    <w:rsid w:val="70422316"/>
    <w:rsid w:val="70453BB5"/>
    <w:rsid w:val="70467F16"/>
    <w:rsid w:val="704E2A69"/>
    <w:rsid w:val="704F44A9"/>
    <w:rsid w:val="705C2F35"/>
    <w:rsid w:val="705D08A4"/>
    <w:rsid w:val="70670169"/>
    <w:rsid w:val="70673B2B"/>
    <w:rsid w:val="70725106"/>
    <w:rsid w:val="709E5136"/>
    <w:rsid w:val="70A02B99"/>
    <w:rsid w:val="70B37F1E"/>
    <w:rsid w:val="70BD374B"/>
    <w:rsid w:val="70C06731"/>
    <w:rsid w:val="70C74DF3"/>
    <w:rsid w:val="70D021B7"/>
    <w:rsid w:val="70D76B64"/>
    <w:rsid w:val="70E029FA"/>
    <w:rsid w:val="70E81C25"/>
    <w:rsid w:val="70F33EB5"/>
    <w:rsid w:val="70F512BC"/>
    <w:rsid w:val="70F67E92"/>
    <w:rsid w:val="71063693"/>
    <w:rsid w:val="71077E7B"/>
    <w:rsid w:val="71092257"/>
    <w:rsid w:val="710C7503"/>
    <w:rsid w:val="71155335"/>
    <w:rsid w:val="71382610"/>
    <w:rsid w:val="71471A4F"/>
    <w:rsid w:val="717C0814"/>
    <w:rsid w:val="717C3606"/>
    <w:rsid w:val="717F6C52"/>
    <w:rsid w:val="71883F71"/>
    <w:rsid w:val="719E357C"/>
    <w:rsid w:val="71BB2380"/>
    <w:rsid w:val="71C07AE9"/>
    <w:rsid w:val="71CB4BD9"/>
    <w:rsid w:val="71CC461A"/>
    <w:rsid w:val="71D84CF3"/>
    <w:rsid w:val="71E15B09"/>
    <w:rsid w:val="71E47292"/>
    <w:rsid w:val="71EA67C2"/>
    <w:rsid w:val="71EF1F5F"/>
    <w:rsid w:val="71F56BF6"/>
    <w:rsid w:val="71F7646A"/>
    <w:rsid w:val="71F80EDE"/>
    <w:rsid w:val="72012CBF"/>
    <w:rsid w:val="720C14E0"/>
    <w:rsid w:val="720C2DD1"/>
    <w:rsid w:val="7213457E"/>
    <w:rsid w:val="72147835"/>
    <w:rsid w:val="72192C03"/>
    <w:rsid w:val="72272691"/>
    <w:rsid w:val="724C122A"/>
    <w:rsid w:val="724E1389"/>
    <w:rsid w:val="724E6446"/>
    <w:rsid w:val="72504DAF"/>
    <w:rsid w:val="725B321B"/>
    <w:rsid w:val="725D3707"/>
    <w:rsid w:val="725E2F46"/>
    <w:rsid w:val="7261278F"/>
    <w:rsid w:val="726A4578"/>
    <w:rsid w:val="72717C9B"/>
    <w:rsid w:val="72742114"/>
    <w:rsid w:val="7279039D"/>
    <w:rsid w:val="728E2BC1"/>
    <w:rsid w:val="7294672D"/>
    <w:rsid w:val="729D3834"/>
    <w:rsid w:val="72A314FA"/>
    <w:rsid w:val="72A76461"/>
    <w:rsid w:val="72AA18E0"/>
    <w:rsid w:val="72B8241C"/>
    <w:rsid w:val="72BA3401"/>
    <w:rsid w:val="72C72496"/>
    <w:rsid w:val="72CC5CA5"/>
    <w:rsid w:val="72D40E29"/>
    <w:rsid w:val="72D52FCE"/>
    <w:rsid w:val="72DE3255"/>
    <w:rsid w:val="72E17F9D"/>
    <w:rsid w:val="72F202EC"/>
    <w:rsid w:val="72F47A2B"/>
    <w:rsid w:val="72F80C5B"/>
    <w:rsid w:val="73010267"/>
    <w:rsid w:val="73020DF3"/>
    <w:rsid w:val="73044836"/>
    <w:rsid w:val="73051EE1"/>
    <w:rsid w:val="730E68A8"/>
    <w:rsid w:val="73133AF6"/>
    <w:rsid w:val="731735E6"/>
    <w:rsid w:val="731D1633"/>
    <w:rsid w:val="732D6BBB"/>
    <w:rsid w:val="733D30E0"/>
    <w:rsid w:val="7340007A"/>
    <w:rsid w:val="73447BFD"/>
    <w:rsid w:val="734C0DB6"/>
    <w:rsid w:val="737943CD"/>
    <w:rsid w:val="73812C94"/>
    <w:rsid w:val="7385684A"/>
    <w:rsid w:val="739B6F5E"/>
    <w:rsid w:val="739D529C"/>
    <w:rsid w:val="739E7E78"/>
    <w:rsid w:val="73A062CC"/>
    <w:rsid w:val="73AE399F"/>
    <w:rsid w:val="73B87024"/>
    <w:rsid w:val="73BB3939"/>
    <w:rsid w:val="73BB7FA3"/>
    <w:rsid w:val="73C66DBA"/>
    <w:rsid w:val="73D52B09"/>
    <w:rsid w:val="73DA0CAB"/>
    <w:rsid w:val="73DB274C"/>
    <w:rsid w:val="73FE105D"/>
    <w:rsid w:val="74013FEE"/>
    <w:rsid w:val="740D6797"/>
    <w:rsid w:val="740E69C9"/>
    <w:rsid w:val="74133A97"/>
    <w:rsid w:val="74145D78"/>
    <w:rsid w:val="74161AF0"/>
    <w:rsid w:val="74167A1B"/>
    <w:rsid w:val="74257F85"/>
    <w:rsid w:val="74302CE5"/>
    <w:rsid w:val="74367D23"/>
    <w:rsid w:val="74424693"/>
    <w:rsid w:val="7446778E"/>
    <w:rsid w:val="744760BC"/>
    <w:rsid w:val="744C0614"/>
    <w:rsid w:val="74600FBD"/>
    <w:rsid w:val="746060D9"/>
    <w:rsid w:val="746127C7"/>
    <w:rsid w:val="74756912"/>
    <w:rsid w:val="74790DB9"/>
    <w:rsid w:val="747D0D73"/>
    <w:rsid w:val="748C0004"/>
    <w:rsid w:val="748F41FE"/>
    <w:rsid w:val="74911176"/>
    <w:rsid w:val="74934EEE"/>
    <w:rsid w:val="74A16D28"/>
    <w:rsid w:val="74A71E5E"/>
    <w:rsid w:val="74A8676A"/>
    <w:rsid w:val="74AD5CBB"/>
    <w:rsid w:val="74B104DB"/>
    <w:rsid w:val="74BB03F9"/>
    <w:rsid w:val="74CE0828"/>
    <w:rsid w:val="74DD7D2B"/>
    <w:rsid w:val="74EC45FF"/>
    <w:rsid w:val="74F26B25"/>
    <w:rsid w:val="74F51DA9"/>
    <w:rsid w:val="75046D0E"/>
    <w:rsid w:val="750B288E"/>
    <w:rsid w:val="7513602F"/>
    <w:rsid w:val="751733A8"/>
    <w:rsid w:val="751F48C4"/>
    <w:rsid w:val="751F6803"/>
    <w:rsid w:val="75283DAC"/>
    <w:rsid w:val="752C7C80"/>
    <w:rsid w:val="7535244A"/>
    <w:rsid w:val="753631FE"/>
    <w:rsid w:val="753D29BF"/>
    <w:rsid w:val="75411AD6"/>
    <w:rsid w:val="754B452A"/>
    <w:rsid w:val="7553467E"/>
    <w:rsid w:val="75535879"/>
    <w:rsid w:val="75762533"/>
    <w:rsid w:val="757C5983"/>
    <w:rsid w:val="757D070F"/>
    <w:rsid w:val="759977B7"/>
    <w:rsid w:val="759B1025"/>
    <w:rsid w:val="759E5A29"/>
    <w:rsid w:val="75A47E89"/>
    <w:rsid w:val="75AC051A"/>
    <w:rsid w:val="75AE004B"/>
    <w:rsid w:val="75B07D22"/>
    <w:rsid w:val="75B72082"/>
    <w:rsid w:val="75C64DC4"/>
    <w:rsid w:val="75D61A57"/>
    <w:rsid w:val="75DB329A"/>
    <w:rsid w:val="75E50546"/>
    <w:rsid w:val="75E579CC"/>
    <w:rsid w:val="75E81D1C"/>
    <w:rsid w:val="75EA0CC4"/>
    <w:rsid w:val="7612601E"/>
    <w:rsid w:val="761402B1"/>
    <w:rsid w:val="76171A23"/>
    <w:rsid w:val="761B3EDC"/>
    <w:rsid w:val="761D53B8"/>
    <w:rsid w:val="76237344"/>
    <w:rsid w:val="76397D18"/>
    <w:rsid w:val="763D4C02"/>
    <w:rsid w:val="764D475E"/>
    <w:rsid w:val="766B15EC"/>
    <w:rsid w:val="766F54E7"/>
    <w:rsid w:val="76845469"/>
    <w:rsid w:val="76932C49"/>
    <w:rsid w:val="76A71125"/>
    <w:rsid w:val="76BE30F4"/>
    <w:rsid w:val="76C15B4E"/>
    <w:rsid w:val="76C74EFE"/>
    <w:rsid w:val="76CF166E"/>
    <w:rsid w:val="76D10B32"/>
    <w:rsid w:val="76D161A2"/>
    <w:rsid w:val="76D23B71"/>
    <w:rsid w:val="76DC6F10"/>
    <w:rsid w:val="76E17882"/>
    <w:rsid w:val="76F459ED"/>
    <w:rsid w:val="76F667DF"/>
    <w:rsid w:val="770A4F84"/>
    <w:rsid w:val="771D50DB"/>
    <w:rsid w:val="77260998"/>
    <w:rsid w:val="77277B70"/>
    <w:rsid w:val="772E53A2"/>
    <w:rsid w:val="772F04A0"/>
    <w:rsid w:val="77366005"/>
    <w:rsid w:val="773B3051"/>
    <w:rsid w:val="774E77F3"/>
    <w:rsid w:val="775E77FF"/>
    <w:rsid w:val="7767792C"/>
    <w:rsid w:val="776A1E10"/>
    <w:rsid w:val="776D5D63"/>
    <w:rsid w:val="77792F67"/>
    <w:rsid w:val="777F50F4"/>
    <w:rsid w:val="7793643A"/>
    <w:rsid w:val="779E42D6"/>
    <w:rsid w:val="77A47159"/>
    <w:rsid w:val="77B8543C"/>
    <w:rsid w:val="77C0324D"/>
    <w:rsid w:val="77D00BA3"/>
    <w:rsid w:val="77D30FFF"/>
    <w:rsid w:val="77DE1FC7"/>
    <w:rsid w:val="77E31255"/>
    <w:rsid w:val="77E74CD6"/>
    <w:rsid w:val="77FA34D6"/>
    <w:rsid w:val="780075EB"/>
    <w:rsid w:val="780C6C70"/>
    <w:rsid w:val="78135187"/>
    <w:rsid w:val="78322C70"/>
    <w:rsid w:val="783863AD"/>
    <w:rsid w:val="7844403A"/>
    <w:rsid w:val="784D7AAA"/>
    <w:rsid w:val="78522778"/>
    <w:rsid w:val="785A7737"/>
    <w:rsid w:val="7871641E"/>
    <w:rsid w:val="787A3896"/>
    <w:rsid w:val="788D521D"/>
    <w:rsid w:val="78906668"/>
    <w:rsid w:val="78945D76"/>
    <w:rsid w:val="78966529"/>
    <w:rsid w:val="789B7356"/>
    <w:rsid w:val="78A141F4"/>
    <w:rsid w:val="78A82F32"/>
    <w:rsid w:val="78AB2EE0"/>
    <w:rsid w:val="78BB0B72"/>
    <w:rsid w:val="78BC253A"/>
    <w:rsid w:val="78BE1898"/>
    <w:rsid w:val="78BE2756"/>
    <w:rsid w:val="78C02044"/>
    <w:rsid w:val="78C45BA2"/>
    <w:rsid w:val="78C53AE4"/>
    <w:rsid w:val="78CD2D94"/>
    <w:rsid w:val="78D45AD6"/>
    <w:rsid w:val="78E11347"/>
    <w:rsid w:val="78EF0B61"/>
    <w:rsid w:val="78F039E3"/>
    <w:rsid w:val="78F46AAA"/>
    <w:rsid w:val="78FE12F8"/>
    <w:rsid w:val="7908577F"/>
    <w:rsid w:val="790D43D7"/>
    <w:rsid w:val="791F1447"/>
    <w:rsid w:val="792627D5"/>
    <w:rsid w:val="793820EB"/>
    <w:rsid w:val="79394C6A"/>
    <w:rsid w:val="793F1D99"/>
    <w:rsid w:val="79404F19"/>
    <w:rsid w:val="795B722F"/>
    <w:rsid w:val="79623590"/>
    <w:rsid w:val="79653108"/>
    <w:rsid w:val="79674240"/>
    <w:rsid w:val="797F6770"/>
    <w:rsid w:val="79917E9D"/>
    <w:rsid w:val="79976421"/>
    <w:rsid w:val="79981CAE"/>
    <w:rsid w:val="79A25BD4"/>
    <w:rsid w:val="79A429F8"/>
    <w:rsid w:val="79B24069"/>
    <w:rsid w:val="79BB24FB"/>
    <w:rsid w:val="79D5703B"/>
    <w:rsid w:val="79E51157"/>
    <w:rsid w:val="79EF1AFD"/>
    <w:rsid w:val="79F8125D"/>
    <w:rsid w:val="79FB2FC3"/>
    <w:rsid w:val="79FC0642"/>
    <w:rsid w:val="79FC662C"/>
    <w:rsid w:val="7A067586"/>
    <w:rsid w:val="7A0D4E3F"/>
    <w:rsid w:val="7A0E5017"/>
    <w:rsid w:val="7A0F2CE0"/>
    <w:rsid w:val="7A0F3269"/>
    <w:rsid w:val="7A2B780E"/>
    <w:rsid w:val="7A3063A3"/>
    <w:rsid w:val="7A33329F"/>
    <w:rsid w:val="7A3562EE"/>
    <w:rsid w:val="7A3A1919"/>
    <w:rsid w:val="7A3A3172"/>
    <w:rsid w:val="7A5533B1"/>
    <w:rsid w:val="7A6526C3"/>
    <w:rsid w:val="7A655BDA"/>
    <w:rsid w:val="7A6A5716"/>
    <w:rsid w:val="7A704982"/>
    <w:rsid w:val="7A730732"/>
    <w:rsid w:val="7A7E7C03"/>
    <w:rsid w:val="7A811A14"/>
    <w:rsid w:val="7A811C8D"/>
    <w:rsid w:val="7A8B6668"/>
    <w:rsid w:val="7A99400F"/>
    <w:rsid w:val="7AA31C03"/>
    <w:rsid w:val="7AAE2183"/>
    <w:rsid w:val="7AB04A66"/>
    <w:rsid w:val="7ABC2E0E"/>
    <w:rsid w:val="7ABE4C69"/>
    <w:rsid w:val="7AC36B52"/>
    <w:rsid w:val="7AC754CB"/>
    <w:rsid w:val="7AD04F18"/>
    <w:rsid w:val="7ADD5115"/>
    <w:rsid w:val="7AF10738"/>
    <w:rsid w:val="7AFB37ED"/>
    <w:rsid w:val="7AFD5992"/>
    <w:rsid w:val="7B0F1A1F"/>
    <w:rsid w:val="7B117F76"/>
    <w:rsid w:val="7B1206B1"/>
    <w:rsid w:val="7B160ED4"/>
    <w:rsid w:val="7B3E7187"/>
    <w:rsid w:val="7B406801"/>
    <w:rsid w:val="7B577F68"/>
    <w:rsid w:val="7B5C43DD"/>
    <w:rsid w:val="7B5E2F40"/>
    <w:rsid w:val="7B6114FA"/>
    <w:rsid w:val="7B670E83"/>
    <w:rsid w:val="7B725958"/>
    <w:rsid w:val="7B842A5B"/>
    <w:rsid w:val="7B8552CC"/>
    <w:rsid w:val="7B8C61F4"/>
    <w:rsid w:val="7B945FC9"/>
    <w:rsid w:val="7BB37C24"/>
    <w:rsid w:val="7BB90F1E"/>
    <w:rsid w:val="7BBA0FB3"/>
    <w:rsid w:val="7BC01A25"/>
    <w:rsid w:val="7BC10593"/>
    <w:rsid w:val="7BC44E64"/>
    <w:rsid w:val="7BC51142"/>
    <w:rsid w:val="7BD454BB"/>
    <w:rsid w:val="7BD93E67"/>
    <w:rsid w:val="7BDE04E6"/>
    <w:rsid w:val="7BE77A84"/>
    <w:rsid w:val="7BED1ED3"/>
    <w:rsid w:val="7BF3250D"/>
    <w:rsid w:val="7BF43BA0"/>
    <w:rsid w:val="7BF87D2D"/>
    <w:rsid w:val="7BF94F61"/>
    <w:rsid w:val="7C09013E"/>
    <w:rsid w:val="7C150808"/>
    <w:rsid w:val="7C1E2A4E"/>
    <w:rsid w:val="7C290BCC"/>
    <w:rsid w:val="7C302075"/>
    <w:rsid w:val="7C305674"/>
    <w:rsid w:val="7C331E95"/>
    <w:rsid w:val="7C3A20F4"/>
    <w:rsid w:val="7C3E4A65"/>
    <w:rsid w:val="7C436174"/>
    <w:rsid w:val="7C437E89"/>
    <w:rsid w:val="7C466CEA"/>
    <w:rsid w:val="7C4902F7"/>
    <w:rsid w:val="7C4976FE"/>
    <w:rsid w:val="7C53250F"/>
    <w:rsid w:val="7C597159"/>
    <w:rsid w:val="7C597A87"/>
    <w:rsid w:val="7C7B1AA8"/>
    <w:rsid w:val="7C9A5513"/>
    <w:rsid w:val="7CA83501"/>
    <w:rsid w:val="7CAF2AE1"/>
    <w:rsid w:val="7CC763FF"/>
    <w:rsid w:val="7CCC1993"/>
    <w:rsid w:val="7CD14CFC"/>
    <w:rsid w:val="7CE02C9B"/>
    <w:rsid w:val="7CE50FF2"/>
    <w:rsid w:val="7CEA3B1A"/>
    <w:rsid w:val="7CEB55B2"/>
    <w:rsid w:val="7D0070CE"/>
    <w:rsid w:val="7D022412"/>
    <w:rsid w:val="7D04348A"/>
    <w:rsid w:val="7D113DE9"/>
    <w:rsid w:val="7D113FD7"/>
    <w:rsid w:val="7D160A41"/>
    <w:rsid w:val="7D201441"/>
    <w:rsid w:val="7D2C04B4"/>
    <w:rsid w:val="7D456708"/>
    <w:rsid w:val="7D4866DA"/>
    <w:rsid w:val="7D5A0C9F"/>
    <w:rsid w:val="7D5B224E"/>
    <w:rsid w:val="7D623033"/>
    <w:rsid w:val="7D625829"/>
    <w:rsid w:val="7D92659D"/>
    <w:rsid w:val="7D9D5DA1"/>
    <w:rsid w:val="7DA86035"/>
    <w:rsid w:val="7DBC3708"/>
    <w:rsid w:val="7DBE6776"/>
    <w:rsid w:val="7DD057ED"/>
    <w:rsid w:val="7DE36933"/>
    <w:rsid w:val="7DE46CF3"/>
    <w:rsid w:val="7DE83EE6"/>
    <w:rsid w:val="7DF7012D"/>
    <w:rsid w:val="7E002EC9"/>
    <w:rsid w:val="7E0E3838"/>
    <w:rsid w:val="7E10135E"/>
    <w:rsid w:val="7E242989"/>
    <w:rsid w:val="7E2867A7"/>
    <w:rsid w:val="7E2B12D3"/>
    <w:rsid w:val="7E3471BF"/>
    <w:rsid w:val="7E3E411D"/>
    <w:rsid w:val="7E4A6BE9"/>
    <w:rsid w:val="7E4B683A"/>
    <w:rsid w:val="7E4F3BE5"/>
    <w:rsid w:val="7E6F077A"/>
    <w:rsid w:val="7E712654"/>
    <w:rsid w:val="7E747C28"/>
    <w:rsid w:val="7E9205EB"/>
    <w:rsid w:val="7E927FC5"/>
    <w:rsid w:val="7E97382D"/>
    <w:rsid w:val="7E9F0EEE"/>
    <w:rsid w:val="7E9F6357"/>
    <w:rsid w:val="7EB02B41"/>
    <w:rsid w:val="7EB61686"/>
    <w:rsid w:val="7EC42148"/>
    <w:rsid w:val="7ED8589C"/>
    <w:rsid w:val="7ED95BF4"/>
    <w:rsid w:val="7EE051D4"/>
    <w:rsid w:val="7EEE00A7"/>
    <w:rsid w:val="7EF83A6A"/>
    <w:rsid w:val="7EFC1C85"/>
    <w:rsid w:val="7EFE1AFE"/>
    <w:rsid w:val="7F08033F"/>
    <w:rsid w:val="7F0976B1"/>
    <w:rsid w:val="7F0A7CC2"/>
    <w:rsid w:val="7F2C0419"/>
    <w:rsid w:val="7F3C517A"/>
    <w:rsid w:val="7F4A2E8A"/>
    <w:rsid w:val="7F4F1849"/>
    <w:rsid w:val="7F54171E"/>
    <w:rsid w:val="7F5D4A77"/>
    <w:rsid w:val="7F7A007C"/>
    <w:rsid w:val="7F8B678B"/>
    <w:rsid w:val="7F8B793F"/>
    <w:rsid w:val="7F8C710A"/>
    <w:rsid w:val="7F9E48CC"/>
    <w:rsid w:val="7FB561D0"/>
    <w:rsid w:val="7FEE203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qFormat="1" w:unhideWhenUsed="0" w:uiPriority="0" w:semiHidden="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uiPriority="0" w:name="toc 4"/>
    <w:lsdException w:uiPriority="0" w:name="toc 5"/>
    <w:lsdException w:uiPriority="0" w:name="toc 6"/>
    <w:lsdException w:qFormat="1" w:unhideWhenUsed="0" w:uiPriority="0" w:name="toc 7"/>
    <w:lsdException w:qFormat="1" w:unhideWhenUsed="0" w:uiPriority="0" w:semiHidden="0" w:name="toc 8"/>
    <w:lsdException w:uiPriority="0" w:name="toc 9"/>
    <w:lsdException w:qFormat="1" w:unhideWhenUsed="0" w:uiPriority="99" w:semiHidden="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semiHidden="0" w:name="toa heading"/>
    <w:lsdException w:qFormat="1" w:unhideWhenUsed="0" w:uiPriority="0" w:semiHidden="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qFormat="1" w:unhideWhenUsed="0" w:uiPriority="0" w:semiHidden="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qFormat="1" w:uiPriority="99" w:semiHidden="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pageBreakBefore/>
      <w:spacing w:line="500" w:lineRule="exact"/>
      <w:jc w:val="left"/>
      <w:outlineLvl w:val="0"/>
    </w:pPr>
    <w:rPr>
      <w:b/>
      <w:bCs/>
      <w:kern w:val="44"/>
      <w:sz w:val="30"/>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5"/>
    <w:qFormat/>
    <w:uiPriority w:val="0"/>
    <w:pPr>
      <w:keepNext/>
      <w:keepLines/>
      <w:widowControl/>
      <w:spacing w:before="260" w:after="260" w:line="416" w:lineRule="auto"/>
      <w:jc w:val="left"/>
      <w:outlineLvl w:val="2"/>
    </w:pPr>
    <w:rPr>
      <w:b/>
      <w:kern w:val="0"/>
      <w:sz w:val="32"/>
    </w:rPr>
  </w:style>
  <w:style w:type="paragraph" w:styleId="7">
    <w:name w:val="heading 4"/>
    <w:basedOn w:val="1"/>
    <w:next w:val="1"/>
    <w:link w:val="123"/>
    <w:qFormat/>
    <w:uiPriority w:val="0"/>
    <w:pPr>
      <w:keepNext/>
      <w:keepLines/>
      <w:spacing w:before="280" w:after="290" w:line="376" w:lineRule="auto"/>
      <w:outlineLvl w:val="3"/>
    </w:pPr>
    <w:rPr>
      <w:rFonts w:ascii="Arial" w:hAnsi="Arial" w:eastAsia="黑体"/>
      <w:b/>
      <w:bCs/>
      <w:sz w:val="28"/>
      <w:szCs w:val="28"/>
    </w:rPr>
  </w:style>
  <w:style w:type="paragraph" w:styleId="8">
    <w:name w:val="heading 5"/>
    <w:basedOn w:val="1"/>
    <w:next w:val="1"/>
    <w:qFormat/>
    <w:uiPriority w:val="0"/>
    <w:pPr>
      <w:keepNext/>
      <w:keepLines/>
      <w:tabs>
        <w:tab w:val="left" w:pos="1008"/>
      </w:tabs>
      <w:spacing w:line="360" w:lineRule="auto"/>
      <w:ind w:left="1008" w:hanging="1008"/>
      <w:outlineLvl w:val="4"/>
    </w:pPr>
    <w:rPr>
      <w:rFonts w:ascii="宋体" w:hAnsi="宋体"/>
      <w:bCs/>
      <w:sz w:val="24"/>
      <w:szCs w:val="24"/>
    </w:rPr>
  </w:style>
  <w:style w:type="paragraph" w:styleId="9">
    <w:name w:val="heading 6"/>
    <w:basedOn w:val="1"/>
    <w:next w:val="1"/>
    <w:qFormat/>
    <w:uiPriority w:val="0"/>
    <w:pPr>
      <w:keepNext/>
      <w:keepLines/>
      <w:tabs>
        <w:tab w:val="left" w:pos="1152"/>
      </w:tabs>
      <w:spacing w:before="240" w:after="64" w:line="320" w:lineRule="atLeast"/>
      <w:ind w:left="1152" w:hanging="1152"/>
      <w:outlineLvl w:val="5"/>
    </w:pPr>
    <w:rPr>
      <w:rFonts w:ascii="Arial" w:hAnsi="Arial" w:eastAsia="黑体"/>
      <w:b/>
      <w:bCs/>
      <w:sz w:val="24"/>
      <w:szCs w:val="24"/>
    </w:rPr>
  </w:style>
  <w:style w:type="paragraph" w:styleId="10">
    <w:name w:val="heading 7"/>
    <w:basedOn w:val="1"/>
    <w:next w:val="1"/>
    <w:qFormat/>
    <w:uiPriority w:val="0"/>
    <w:pPr>
      <w:keepNext/>
      <w:keepLines/>
      <w:tabs>
        <w:tab w:val="left" w:pos="1296"/>
      </w:tabs>
      <w:spacing w:before="240" w:after="64" w:line="320" w:lineRule="atLeast"/>
      <w:ind w:left="1296" w:hanging="1296"/>
      <w:outlineLvl w:val="6"/>
    </w:pPr>
    <w:rPr>
      <w:rFonts w:ascii="Arial" w:hAnsi="Arial"/>
      <w:b/>
      <w:bCs/>
      <w:sz w:val="24"/>
      <w:szCs w:val="24"/>
    </w:rPr>
  </w:style>
  <w:style w:type="paragraph" w:styleId="11">
    <w:name w:val="heading 8"/>
    <w:basedOn w:val="1"/>
    <w:next w:val="1"/>
    <w:link w:val="164"/>
    <w:qFormat/>
    <w:uiPriority w:val="0"/>
    <w:pPr>
      <w:keepNext/>
      <w:keepLines/>
      <w:tabs>
        <w:tab w:val="left" w:pos="1440"/>
      </w:tabs>
      <w:spacing w:before="240" w:after="64" w:line="320" w:lineRule="atLeast"/>
      <w:ind w:left="1440" w:hanging="1440"/>
      <w:outlineLvl w:val="7"/>
    </w:pPr>
    <w:rPr>
      <w:rFonts w:ascii="Arial" w:hAnsi="Arial" w:eastAsia="黑体"/>
      <w:sz w:val="24"/>
      <w:szCs w:val="24"/>
    </w:rPr>
  </w:style>
  <w:style w:type="paragraph" w:styleId="12">
    <w:name w:val="heading 9"/>
    <w:basedOn w:val="1"/>
    <w:next w:val="1"/>
    <w:qFormat/>
    <w:uiPriority w:val="0"/>
    <w:pPr>
      <w:keepNext/>
      <w:keepLines/>
      <w:tabs>
        <w:tab w:val="left" w:pos="1584"/>
      </w:tabs>
      <w:spacing w:before="240" w:after="64" w:line="320" w:lineRule="atLeast"/>
      <w:ind w:left="1584" w:hanging="1584"/>
      <w:outlineLvl w:val="8"/>
    </w:pPr>
    <w:rPr>
      <w:rFonts w:ascii="Arial" w:hAnsi="Arial" w:eastAsia="黑体"/>
      <w:szCs w:val="21"/>
    </w:rPr>
  </w:style>
  <w:style w:type="character" w:default="1" w:styleId="50">
    <w:name w:val="Default Paragraph Font"/>
    <w:semiHidden/>
    <w:unhideWhenUsed/>
    <w:qFormat/>
    <w:uiPriority w:val="1"/>
  </w:style>
  <w:style w:type="table" w:default="1" w:styleId="4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5">
    <w:name w:val="Normal Indent"/>
    <w:basedOn w:val="1"/>
    <w:next w:val="6"/>
    <w:link w:val="128"/>
    <w:qFormat/>
    <w:uiPriority w:val="99"/>
    <w:pPr>
      <w:ind w:firstLine="420"/>
    </w:pPr>
  </w:style>
  <w:style w:type="paragraph" w:styleId="6">
    <w:name w:val="Plain Text"/>
    <w:basedOn w:val="1"/>
    <w:link w:val="84"/>
    <w:qFormat/>
    <w:uiPriority w:val="0"/>
    <w:rPr>
      <w:rFonts w:ascii="宋体" w:hAnsi="Courier New"/>
    </w:rPr>
  </w:style>
  <w:style w:type="paragraph" w:styleId="13">
    <w:name w:val="toc 7"/>
    <w:basedOn w:val="1"/>
    <w:next w:val="1"/>
    <w:semiHidden/>
    <w:qFormat/>
    <w:uiPriority w:val="0"/>
    <w:pPr>
      <w:ind w:left="2520" w:leftChars="1200"/>
    </w:pPr>
  </w:style>
  <w:style w:type="paragraph" w:styleId="14">
    <w:name w:val="Note Heading"/>
    <w:basedOn w:val="1"/>
    <w:next w:val="1"/>
    <w:unhideWhenUsed/>
    <w:qFormat/>
    <w:uiPriority w:val="0"/>
    <w:pPr>
      <w:jc w:val="center"/>
    </w:pPr>
    <w:rPr>
      <w:szCs w:val="24"/>
    </w:rPr>
  </w:style>
  <w:style w:type="paragraph" w:styleId="15">
    <w:name w:val="caption"/>
    <w:basedOn w:val="1"/>
    <w:next w:val="1"/>
    <w:link w:val="124"/>
    <w:qFormat/>
    <w:uiPriority w:val="0"/>
    <w:pPr>
      <w:jc w:val="center"/>
    </w:pPr>
    <w:rPr>
      <w:rFonts w:ascii="宋体" w:hAnsi="Arial" w:cs="Arial"/>
    </w:rPr>
  </w:style>
  <w:style w:type="paragraph" w:styleId="16">
    <w:name w:val="index 5"/>
    <w:basedOn w:val="1"/>
    <w:next w:val="1"/>
    <w:qFormat/>
    <w:uiPriority w:val="0"/>
    <w:pPr>
      <w:ind w:left="1680"/>
    </w:pPr>
  </w:style>
  <w:style w:type="paragraph" w:styleId="17">
    <w:name w:val="Document Map"/>
    <w:basedOn w:val="1"/>
    <w:semiHidden/>
    <w:qFormat/>
    <w:uiPriority w:val="0"/>
    <w:pPr>
      <w:shd w:val="clear" w:color="auto" w:fill="000080"/>
    </w:pPr>
  </w:style>
  <w:style w:type="paragraph" w:styleId="18">
    <w:name w:val="toa heading"/>
    <w:basedOn w:val="1"/>
    <w:next w:val="1"/>
    <w:qFormat/>
    <w:uiPriority w:val="0"/>
    <w:pPr>
      <w:spacing w:before="120" w:beforeLines="0" w:beforeAutospacing="0"/>
    </w:pPr>
    <w:rPr>
      <w:rFonts w:ascii="Arial" w:hAnsi="Arial"/>
      <w:sz w:val="24"/>
    </w:rPr>
  </w:style>
  <w:style w:type="paragraph" w:styleId="19">
    <w:name w:val="annotation text"/>
    <w:basedOn w:val="1"/>
    <w:link w:val="76"/>
    <w:qFormat/>
    <w:uiPriority w:val="0"/>
    <w:pPr>
      <w:jc w:val="left"/>
    </w:pPr>
  </w:style>
  <w:style w:type="paragraph" w:styleId="20">
    <w:name w:val="Body Text 3"/>
    <w:basedOn w:val="1"/>
    <w:qFormat/>
    <w:uiPriority w:val="0"/>
    <w:pPr>
      <w:jc w:val="left"/>
    </w:pPr>
    <w:rPr>
      <w:sz w:val="28"/>
    </w:rPr>
  </w:style>
  <w:style w:type="paragraph" w:styleId="21">
    <w:name w:val="Body Text"/>
    <w:basedOn w:val="1"/>
    <w:next w:val="1"/>
    <w:link w:val="64"/>
    <w:qFormat/>
    <w:uiPriority w:val="0"/>
    <w:rPr>
      <w:sz w:val="28"/>
    </w:rPr>
  </w:style>
  <w:style w:type="paragraph" w:styleId="22">
    <w:name w:val="Body Text Indent"/>
    <w:basedOn w:val="1"/>
    <w:next w:val="15"/>
    <w:qFormat/>
    <w:uiPriority w:val="0"/>
    <w:pPr>
      <w:snapToGrid w:val="0"/>
      <w:ind w:firstLine="498"/>
    </w:pPr>
    <w:rPr>
      <w:rFonts w:ascii="宋体"/>
      <w:sz w:val="24"/>
    </w:rPr>
  </w:style>
  <w:style w:type="paragraph" w:styleId="23">
    <w:name w:val="Block Text"/>
    <w:basedOn w:val="1"/>
    <w:next w:val="1"/>
    <w:qFormat/>
    <w:uiPriority w:val="0"/>
    <w:pPr>
      <w:snapToGrid w:val="0"/>
      <w:ind w:left="113" w:right="113" w:firstLine="480"/>
    </w:pPr>
    <w:rPr>
      <w:sz w:val="28"/>
      <w:szCs w:val="24"/>
    </w:rPr>
  </w:style>
  <w:style w:type="paragraph" w:styleId="24">
    <w:name w:val="toc 3"/>
    <w:basedOn w:val="1"/>
    <w:next w:val="1"/>
    <w:qFormat/>
    <w:uiPriority w:val="39"/>
    <w:pPr>
      <w:spacing w:line="440" w:lineRule="exact"/>
      <w:ind w:left="480" w:firstLine="200" w:firstLineChars="200"/>
      <w:jc w:val="left"/>
    </w:pPr>
    <w:rPr>
      <w:i/>
      <w:iCs/>
      <w:sz w:val="20"/>
    </w:rPr>
  </w:style>
  <w:style w:type="paragraph" w:styleId="25">
    <w:name w:val="List Bullet 5"/>
    <w:basedOn w:val="1"/>
    <w:qFormat/>
    <w:uiPriority w:val="0"/>
    <w:pPr>
      <w:numPr>
        <w:ilvl w:val="0"/>
        <w:numId w:val="1"/>
      </w:numPr>
    </w:pPr>
  </w:style>
  <w:style w:type="paragraph" w:styleId="26">
    <w:name w:val="toc 8"/>
    <w:basedOn w:val="1"/>
    <w:next w:val="1"/>
    <w:qFormat/>
    <w:uiPriority w:val="0"/>
    <w:pPr>
      <w:ind w:left="2940" w:leftChars="1400"/>
    </w:pPr>
  </w:style>
  <w:style w:type="paragraph" w:styleId="27">
    <w:name w:val="Date"/>
    <w:basedOn w:val="1"/>
    <w:next w:val="1"/>
    <w:qFormat/>
    <w:uiPriority w:val="0"/>
    <w:rPr>
      <w:rFonts w:ascii="宋体"/>
      <w:sz w:val="28"/>
    </w:rPr>
  </w:style>
  <w:style w:type="paragraph" w:styleId="28">
    <w:name w:val="Body Text Indent 2"/>
    <w:basedOn w:val="1"/>
    <w:next w:val="18"/>
    <w:qFormat/>
    <w:uiPriority w:val="0"/>
    <w:pPr>
      <w:spacing w:line="420" w:lineRule="exact"/>
      <w:ind w:firstLine="561"/>
    </w:pPr>
    <w:rPr>
      <w:rFonts w:ascii="宋体" w:hAnsi="宋体"/>
      <w:sz w:val="24"/>
      <w:szCs w:val="24"/>
    </w:rPr>
  </w:style>
  <w:style w:type="paragraph" w:styleId="29">
    <w:name w:val="Balloon Text"/>
    <w:basedOn w:val="1"/>
    <w:link w:val="75"/>
    <w:qFormat/>
    <w:uiPriority w:val="0"/>
    <w:rPr>
      <w:sz w:val="18"/>
      <w:szCs w:val="18"/>
    </w:rPr>
  </w:style>
  <w:style w:type="paragraph" w:styleId="30">
    <w:name w:val="footer"/>
    <w:basedOn w:val="1"/>
    <w:link w:val="163"/>
    <w:qFormat/>
    <w:uiPriority w:val="99"/>
    <w:pPr>
      <w:tabs>
        <w:tab w:val="center" w:pos="4153"/>
        <w:tab w:val="right" w:pos="8306"/>
      </w:tabs>
      <w:snapToGrid w:val="0"/>
      <w:jc w:val="left"/>
    </w:pPr>
    <w:rPr>
      <w:sz w:val="18"/>
    </w:rPr>
  </w:style>
  <w:style w:type="paragraph" w:styleId="31">
    <w:name w:val="header"/>
    <w:basedOn w:val="1"/>
    <w:next w:val="32"/>
    <w:qFormat/>
    <w:uiPriority w:val="0"/>
    <w:pPr>
      <w:pBdr>
        <w:bottom w:val="single" w:color="auto" w:sz="6" w:space="1"/>
      </w:pBdr>
      <w:tabs>
        <w:tab w:val="center" w:pos="4153"/>
        <w:tab w:val="right" w:pos="8306"/>
      </w:tabs>
      <w:snapToGrid w:val="0"/>
      <w:jc w:val="center"/>
    </w:pPr>
    <w:rPr>
      <w:sz w:val="18"/>
      <w:szCs w:val="18"/>
    </w:rPr>
  </w:style>
  <w:style w:type="paragraph" w:customStyle="1" w:styleId="32">
    <w:name w:val="样式5"/>
    <w:basedOn w:val="33"/>
    <w:unhideWhenUsed/>
    <w:qFormat/>
    <w:uiPriority w:val="0"/>
    <w:pPr>
      <w:tabs>
        <w:tab w:val="center" w:pos="4153"/>
        <w:tab w:val="right" w:pos="8306"/>
      </w:tabs>
      <w:spacing w:beforeLines="20" w:afterLines="20" w:line="480" w:lineRule="exact"/>
      <w:ind w:firstLine="523" w:firstLineChars="218"/>
    </w:pPr>
    <w:rPr>
      <w:rFonts w:hint="eastAsia"/>
      <w:i/>
    </w:rPr>
  </w:style>
  <w:style w:type="paragraph" w:customStyle="1" w:styleId="33">
    <w:name w:val="正文1"/>
    <w:basedOn w:val="30"/>
    <w:link w:val="184"/>
    <w:qFormat/>
    <w:uiPriority w:val="0"/>
    <w:pPr>
      <w:topLinePunct/>
      <w:adjustRightInd w:val="0"/>
      <w:snapToGrid w:val="0"/>
      <w:spacing w:line="440" w:lineRule="exact"/>
      <w:ind w:firstLine="200" w:firstLineChars="200"/>
      <w:jc w:val="both"/>
    </w:pPr>
    <w:rPr>
      <w:snapToGrid w:val="0"/>
      <w:kern w:val="0"/>
      <w:sz w:val="24"/>
    </w:rPr>
  </w:style>
  <w:style w:type="paragraph" w:styleId="34">
    <w:name w:val="toc 1"/>
    <w:basedOn w:val="1"/>
    <w:next w:val="1"/>
    <w:qFormat/>
    <w:uiPriority w:val="39"/>
  </w:style>
  <w:style w:type="paragraph" w:styleId="35">
    <w:name w:val="Subtitle"/>
    <w:basedOn w:val="1"/>
    <w:next w:val="1"/>
    <w:qFormat/>
    <w:uiPriority w:val="0"/>
    <w:pPr>
      <w:adjustRightInd w:val="0"/>
      <w:snapToGrid w:val="0"/>
      <w:spacing w:before="120" w:after="120" w:line="240" w:lineRule="atLeast"/>
      <w:jc w:val="center"/>
      <w:outlineLvl w:val="1"/>
    </w:pPr>
    <w:rPr>
      <w:rFonts w:eastAsia="黑体" w:cs="Arial"/>
      <w:bCs/>
      <w:kern w:val="28"/>
      <w:sz w:val="24"/>
      <w:szCs w:val="32"/>
    </w:rPr>
  </w:style>
  <w:style w:type="paragraph" w:styleId="36">
    <w:name w:val="List"/>
    <w:basedOn w:val="1"/>
    <w:qFormat/>
    <w:uiPriority w:val="0"/>
    <w:pPr>
      <w:spacing w:line="360" w:lineRule="exact"/>
      <w:ind w:firstLine="38" w:firstLineChars="18"/>
      <w:jc w:val="left"/>
    </w:pPr>
    <w:rPr>
      <w:rFonts w:ascii="宋体"/>
      <w:szCs w:val="21"/>
    </w:rPr>
  </w:style>
  <w:style w:type="paragraph" w:styleId="37">
    <w:name w:val="Body Text Indent 3"/>
    <w:basedOn w:val="1"/>
    <w:qFormat/>
    <w:uiPriority w:val="0"/>
    <w:pPr>
      <w:spacing w:after="120"/>
      <w:ind w:left="420" w:leftChars="200"/>
    </w:pPr>
    <w:rPr>
      <w:sz w:val="16"/>
      <w:szCs w:val="16"/>
    </w:rPr>
  </w:style>
  <w:style w:type="paragraph" w:styleId="38">
    <w:name w:val="toc 2"/>
    <w:basedOn w:val="1"/>
    <w:next w:val="1"/>
    <w:qFormat/>
    <w:uiPriority w:val="39"/>
    <w:pPr>
      <w:widowControl/>
      <w:ind w:left="240"/>
      <w:jc w:val="left"/>
    </w:pPr>
    <w:rPr>
      <w:smallCaps/>
      <w:kern w:val="0"/>
      <w:sz w:val="24"/>
      <w:szCs w:val="24"/>
    </w:rPr>
  </w:style>
  <w:style w:type="paragraph" w:styleId="39">
    <w:name w:val="Body Text 2"/>
    <w:basedOn w:val="1"/>
    <w:qFormat/>
    <w:uiPriority w:val="0"/>
    <w:pPr>
      <w:jc w:val="left"/>
    </w:pPr>
  </w:style>
  <w:style w:type="paragraph" w:styleId="40">
    <w:name w:val="HTML Preformatted"/>
    <w:basedOn w:val="1"/>
    <w:link w:val="202"/>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41">
    <w:name w:val="Normal (Web)"/>
    <w:basedOn w:val="1"/>
    <w:next w:val="26"/>
    <w:link w:val="191"/>
    <w:qFormat/>
    <w:uiPriority w:val="99"/>
    <w:pPr>
      <w:widowControl/>
      <w:spacing w:before="100" w:beforeAutospacing="1" w:after="100" w:afterAutospacing="1"/>
      <w:jc w:val="left"/>
    </w:pPr>
    <w:rPr>
      <w:rFonts w:ascii="宋体" w:hAnsi="宋体" w:cs="宋体"/>
      <w:color w:val="000000"/>
      <w:kern w:val="0"/>
      <w:sz w:val="24"/>
      <w:szCs w:val="24"/>
    </w:rPr>
  </w:style>
  <w:style w:type="paragraph" w:styleId="42">
    <w:name w:val="index 1"/>
    <w:basedOn w:val="1"/>
    <w:next w:val="1"/>
    <w:semiHidden/>
    <w:qFormat/>
    <w:uiPriority w:val="0"/>
    <w:pPr>
      <w:widowControl/>
      <w:jc w:val="left"/>
    </w:pPr>
    <w:rPr>
      <w:kern w:val="0"/>
      <w:sz w:val="20"/>
    </w:rPr>
  </w:style>
  <w:style w:type="paragraph" w:styleId="43">
    <w:name w:val="Title"/>
    <w:basedOn w:val="1"/>
    <w:next w:val="1"/>
    <w:link w:val="175"/>
    <w:qFormat/>
    <w:uiPriority w:val="0"/>
    <w:pPr>
      <w:spacing w:before="240" w:after="60"/>
      <w:jc w:val="center"/>
      <w:outlineLvl w:val="0"/>
    </w:pPr>
    <w:rPr>
      <w:rFonts w:asciiTheme="majorHAnsi" w:hAnsiTheme="majorHAnsi" w:eastAsiaTheme="majorEastAsia" w:cstheme="majorBidi"/>
      <w:b/>
      <w:bCs/>
      <w:sz w:val="32"/>
      <w:szCs w:val="32"/>
    </w:rPr>
  </w:style>
  <w:style w:type="paragraph" w:styleId="44">
    <w:name w:val="annotation subject"/>
    <w:basedOn w:val="19"/>
    <w:next w:val="19"/>
    <w:link w:val="73"/>
    <w:qFormat/>
    <w:uiPriority w:val="99"/>
    <w:rPr>
      <w:b/>
      <w:bCs/>
    </w:rPr>
  </w:style>
  <w:style w:type="paragraph" w:styleId="45">
    <w:name w:val="Body Text First Indent"/>
    <w:basedOn w:val="21"/>
    <w:link w:val="165"/>
    <w:qFormat/>
    <w:uiPriority w:val="0"/>
    <w:pPr>
      <w:spacing w:after="120"/>
      <w:ind w:firstLine="420" w:firstLineChars="100"/>
    </w:pPr>
    <w:rPr>
      <w:sz w:val="21"/>
    </w:rPr>
  </w:style>
  <w:style w:type="paragraph" w:styleId="46">
    <w:name w:val="Body Text First Indent 2"/>
    <w:basedOn w:val="22"/>
    <w:qFormat/>
    <w:uiPriority w:val="0"/>
    <w:pPr>
      <w:ind w:firstLine="420" w:firstLineChars="200"/>
    </w:pPr>
  </w:style>
  <w:style w:type="table" w:styleId="48">
    <w:name w:val="Table Grid"/>
    <w:basedOn w:val="47"/>
    <w:qFormat/>
    <w:uiPriority w:val="99"/>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49">
    <w:name w:val="Table Contemporary"/>
    <w:basedOn w:val="47"/>
    <w:unhideWhenUsed/>
    <w:qFormat/>
    <w:uiPriority w:val="99"/>
    <w:pPr>
      <w:widowControl w:val="0"/>
      <w:jc w:val="both"/>
    </w:pPr>
    <w:rPr>
      <w:rFonts w:ascii="Calibri" w:hAnsi="Calibri" w:cs="Calibri"/>
    </w:rPr>
    <w:tblPr>
      <w:tblBorders>
        <w:insideH w:val="single" w:color="FFFFFF" w:sz="18" w:space="0"/>
        <w:insideV w:val="single" w:color="FFFFFF" w:sz="18" w:space="0"/>
      </w:tblBorders>
    </w:tblPr>
    <w:tblStylePr w:type="firstRow">
      <w:rPr>
        <w:rFonts w:hint="default" w:ascii="Courier New" w:hAnsi="Courier New" w:cs="Courier"/>
        <w:b/>
        <w:bCs/>
        <w:color w:val="auto"/>
      </w:rPr>
      <w:tblPr/>
      <w:tcPr>
        <w:tcBorders>
          <w:top w:val="nil"/>
          <w:left w:val="nil"/>
          <w:bottom w:val="nil"/>
          <w:right w:val="nil"/>
          <w:insideH w:val="nil"/>
          <w:insideV w:val="nil"/>
          <w:tl2br w:val="nil"/>
          <w:tr2bl w:val="nil"/>
        </w:tcBorders>
        <w:shd w:val="pct20" w:color="000000" w:fill="FFFFFF"/>
      </w:tcPr>
    </w:tblStylePr>
    <w:tblStylePr w:type="band1Horz">
      <w:rPr>
        <w:rFonts w:hint="default" w:ascii="Courier New" w:hAnsi="Courier New" w:cs="Courier"/>
        <w:color w:val="auto"/>
      </w:rPr>
      <w:tblPr/>
      <w:tcPr>
        <w:tcBorders>
          <w:top w:val="nil"/>
          <w:left w:val="nil"/>
          <w:bottom w:val="nil"/>
          <w:right w:val="nil"/>
          <w:insideH w:val="nil"/>
          <w:insideV w:val="nil"/>
          <w:tl2br w:val="nil"/>
          <w:tr2bl w:val="nil"/>
        </w:tcBorders>
        <w:shd w:val="pct5" w:color="000000" w:fill="FFFFFF"/>
      </w:tcPr>
    </w:tblStylePr>
    <w:tblStylePr w:type="band2Horz">
      <w:rPr>
        <w:rFonts w:hint="default" w:ascii="Courier New" w:hAnsi="Courier New" w:cs="Courier"/>
        <w:color w:val="auto"/>
      </w:rPr>
      <w:tblPr/>
      <w:tcPr>
        <w:tcBorders>
          <w:top w:val="nil"/>
          <w:left w:val="nil"/>
          <w:bottom w:val="nil"/>
          <w:right w:val="nil"/>
          <w:insideH w:val="nil"/>
          <w:insideV w:val="nil"/>
          <w:tl2br w:val="nil"/>
          <w:tr2bl w:val="nil"/>
        </w:tcBorders>
        <w:shd w:val="pct20" w:color="000000" w:fill="FFFFFF"/>
      </w:tcPr>
    </w:tblStylePr>
  </w:style>
  <w:style w:type="character" w:styleId="51">
    <w:name w:val="Strong"/>
    <w:basedOn w:val="50"/>
    <w:qFormat/>
    <w:uiPriority w:val="22"/>
    <w:rPr>
      <w:b/>
      <w:bCs/>
    </w:rPr>
  </w:style>
  <w:style w:type="character" w:styleId="52">
    <w:name w:val="page number"/>
    <w:basedOn w:val="50"/>
    <w:qFormat/>
    <w:uiPriority w:val="0"/>
  </w:style>
  <w:style w:type="character" w:styleId="53">
    <w:name w:val="FollowedHyperlink"/>
    <w:qFormat/>
    <w:uiPriority w:val="0"/>
    <w:rPr>
      <w:color w:val="800080"/>
      <w:u w:val="single"/>
    </w:rPr>
  </w:style>
  <w:style w:type="character" w:styleId="54">
    <w:name w:val="Emphasis"/>
    <w:basedOn w:val="55"/>
    <w:qFormat/>
    <w:uiPriority w:val="20"/>
    <w:rPr>
      <w:rFonts w:ascii="Times New Roman" w:hAnsi="Times New Roman" w:eastAsia="宋体"/>
      <w:sz w:val="21"/>
    </w:rPr>
  </w:style>
  <w:style w:type="character" w:customStyle="1" w:styleId="55">
    <w:name w:val="正文1 Char Char"/>
    <w:qFormat/>
    <w:uiPriority w:val="0"/>
    <w:rPr>
      <w:rFonts w:eastAsia="宋体"/>
      <w:sz w:val="24"/>
    </w:rPr>
  </w:style>
  <w:style w:type="character" w:styleId="56">
    <w:name w:val="line number"/>
    <w:qFormat/>
    <w:uiPriority w:val="0"/>
    <w:rPr>
      <w:rFonts w:ascii="黑体" w:hAnsi="Arial" w:eastAsia="华文中宋" w:cs="宋体"/>
      <w:kern w:val="2"/>
      <w:sz w:val="44"/>
      <w:szCs w:val="44"/>
      <w:lang w:val="en-US" w:eastAsia="zh-CN" w:bidi="ar-SA"/>
    </w:rPr>
  </w:style>
  <w:style w:type="character" w:styleId="57">
    <w:name w:val="Hyperlink"/>
    <w:qFormat/>
    <w:uiPriority w:val="99"/>
    <w:rPr>
      <w:color w:val="0000FF"/>
      <w:u w:val="single"/>
    </w:rPr>
  </w:style>
  <w:style w:type="character" w:styleId="58">
    <w:name w:val="annotation reference"/>
    <w:qFormat/>
    <w:uiPriority w:val="0"/>
    <w:rPr>
      <w:sz w:val="21"/>
      <w:szCs w:val="21"/>
    </w:rPr>
  </w:style>
  <w:style w:type="paragraph" w:customStyle="1" w:styleId="59">
    <w:name w:val="表格"/>
    <w:basedOn w:val="21"/>
    <w:next w:val="1"/>
    <w:link w:val="129"/>
    <w:qFormat/>
    <w:uiPriority w:val="0"/>
    <w:pPr>
      <w:adjustRightInd w:val="0"/>
      <w:snapToGrid w:val="0"/>
      <w:jc w:val="center"/>
      <w:textAlignment w:val="baseline"/>
    </w:pPr>
    <w:rPr>
      <w:kern w:val="0"/>
      <w:sz w:val="21"/>
      <w:szCs w:val="21"/>
    </w:rPr>
  </w:style>
  <w:style w:type="character" w:customStyle="1" w:styleId="60">
    <w:name w:val="正文缩进 Char1"/>
    <w:qFormat/>
    <w:uiPriority w:val="0"/>
    <w:rPr>
      <w:rFonts w:eastAsia="宋体"/>
      <w:kern w:val="2"/>
      <w:sz w:val="24"/>
      <w:lang w:val="en-US" w:eastAsia="zh-CN" w:bidi="ar-SA"/>
    </w:rPr>
  </w:style>
  <w:style w:type="paragraph" w:customStyle="1" w:styleId="61">
    <w:name w:val="Default"/>
    <w:basedOn w:val="62"/>
    <w:next w:val="1"/>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62">
    <w:name w:val="标正文格式"/>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63">
    <w:name w:val="纯文本1"/>
    <w:basedOn w:val="1"/>
    <w:qFormat/>
    <w:uiPriority w:val="0"/>
    <w:pPr>
      <w:adjustRightInd w:val="0"/>
      <w:jc w:val="left"/>
      <w:textAlignment w:val="baseline"/>
    </w:pPr>
    <w:rPr>
      <w:rFonts w:ascii="宋体"/>
      <w:kern w:val="0"/>
      <w:sz w:val="20"/>
      <w:szCs w:val="20"/>
    </w:rPr>
  </w:style>
  <w:style w:type="character" w:customStyle="1" w:styleId="64">
    <w:name w:val="正文文本 Char"/>
    <w:link w:val="21"/>
    <w:qFormat/>
    <w:uiPriority w:val="0"/>
    <w:rPr>
      <w:kern w:val="2"/>
      <w:sz w:val="28"/>
    </w:rPr>
  </w:style>
  <w:style w:type="paragraph" w:customStyle="1" w:styleId="65">
    <w:name w:val="表格内容"/>
    <w:basedOn w:val="46"/>
    <w:qFormat/>
    <w:uiPriority w:val="0"/>
    <w:pPr>
      <w:spacing w:after="0" w:line="240" w:lineRule="auto"/>
      <w:ind w:left="0" w:leftChars="0" w:firstLine="0" w:firstLineChars="0"/>
      <w:jc w:val="center"/>
    </w:pPr>
    <w:rPr>
      <w:color w:val="000000"/>
      <w:szCs w:val="21"/>
    </w:rPr>
  </w:style>
  <w:style w:type="paragraph" w:customStyle="1" w:styleId="66">
    <w:name w:val="表头"/>
    <w:basedOn w:val="33"/>
    <w:next w:val="1"/>
    <w:link w:val="67"/>
    <w:qFormat/>
    <w:uiPriority w:val="0"/>
    <w:pPr>
      <w:keepNext/>
      <w:adjustRightInd w:val="0"/>
      <w:snapToGrid w:val="0"/>
      <w:spacing w:line="480" w:lineRule="exact"/>
      <w:jc w:val="center"/>
    </w:pPr>
    <w:rPr>
      <w:b/>
      <w:sz w:val="24"/>
      <w:szCs w:val="21"/>
    </w:rPr>
  </w:style>
  <w:style w:type="character" w:customStyle="1" w:styleId="67">
    <w:name w:val="表头 Char"/>
    <w:link w:val="66"/>
    <w:qFormat/>
    <w:uiPriority w:val="0"/>
    <w:rPr>
      <w:b/>
      <w:kern w:val="2"/>
      <w:sz w:val="24"/>
      <w:szCs w:val="21"/>
    </w:rPr>
  </w:style>
  <w:style w:type="paragraph" w:customStyle="1" w:styleId="68">
    <w:name w:val="样式 正文文本 + 首行缩进:  2 字符"/>
    <w:basedOn w:val="21"/>
    <w:qFormat/>
    <w:uiPriority w:val="0"/>
    <w:pPr>
      <w:spacing w:line="480" w:lineRule="exact"/>
      <w:ind w:firstLine="480" w:firstLineChars="200"/>
    </w:pPr>
    <w:rPr>
      <w:rFonts w:ascii="宋体" w:hAnsi="宋体" w:eastAsia="宋体" w:cs="宋体"/>
      <w:sz w:val="21"/>
    </w:rPr>
  </w:style>
  <w:style w:type="paragraph" w:customStyle="1" w:styleId="69">
    <w:name w:val="正文段落"/>
    <w:basedOn w:val="21"/>
    <w:qFormat/>
    <w:uiPriority w:val="99"/>
    <w:pPr>
      <w:overflowPunct w:val="0"/>
      <w:adjustRightInd w:val="0"/>
      <w:snapToGrid w:val="0"/>
      <w:spacing w:after="0"/>
      <w:ind w:firstLine="560" w:firstLineChars="200"/>
      <w:textAlignment w:val="center"/>
    </w:pPr>
    <w:rPr>
      <w:rFonts w:hAnsi="宋体"/>
      <w:kern w:val="2"/>
      <w:sz w:val="28"/>
      <w:szCs w:val="20"/>
    </w:rPr>
  </w:style>
  <w:style w:type="paragraph" w:customStyle="1" w:styleId="70">
    <w:name w:val="Char Char Char Char Char Char Char Char Char1 Char"/>
    <w:basedOn w:val="1"/>
    <w:next w:val="71"/>
    <w:qFormat/>
    <w:uiPriority w:val="99"/>
    <w:pPr>
      <w:widowControl w:val="0"/>
      <w:spacing w:line="360" w:lineRule="auto"/>
      <w:ind w:firstLine="200" w:firstLineChars="200"/>
      <w:jc w:val="both"/>
    </w:pPr>
    <w:rPr>
      <w:kern w:val="2"/>
    </w:rPr>
  </w:style>
  <w:style w:type="paragraph" w:customStyle="1" w:styleId="71">
    <w:name w:val="Body Text First Indent1"/>
    <w:next w:val="1"/>
    <w:qFormat/>
    <w:uiPriority w:val="0"/>
    <w:pPr>
      <w:widowControl w:val="0"/>
      <w:spacing w:after="120"/>
      <w:ind w:firstLine="420"/>
      <w:jc w:val="both"/>
    </w:pPr>
    <w:rPr>
      <w:rFonts w:ascii="Times New Roman" w:hAnsi="Times New Roman" w:eastAsia="宋体" w:cs="Times New Roman"/>
      <w:sz w:val="21"/>
      <w:szCs w:val="22"/>
      <w:lang w:val="en-US" w:eastAsia="zh-CN" w:bidi="ar-SA"/>
    </w:rPr>
  </w:style>
  <w:style w:type="character" w:customStyle="1" w:styleId="72">
    <w:name w:val="纯文本 Char1"/>
    <w:qFormat/>
    <w:uiPriority w:val="0"/>
    <w:rPr>
      <w:rFonts w:ascii="宋体" w:hAnsi="Courier New"/>
      <w:kern w:val="2"/>
      <w:sz w:val="21"/>
    </w:rPr>
  </w:style>
  <w:style w:type="character" w:customStyle="1" w:styleId="73">
    <w:name w:val="批注主题 Char"/>
    <w:link w:val="44"/>
    <w:qFormat/>
    <w:uiPriority w:val="99"/>
    <w:rPr>
      <w:b/>
      <w:bCs/>
      <w:kern w:val="2"/>
      <w:sz w:val="21"/>
    </w:rPr>
  </w:style>
  <w:style w:type="character" w:customStyle="1" w:styleId="74">
    <w:name w:val="apple-converted-space"/>
    <w:basedOn w:val="50"/>
    <w:qFormat/>
    <w:uiPriority w:val="0"/>
  </w:style>
  <w:style w:type="character" w:customStyle="1" w:styleId="75">
    <w:name w:val="批注框文本 Char"/>
    <w:link w:val="29"/>
    <w:qFormat/>
    <w:uiPriority w:val="0"/>
    <w:rPr>
      <w:kern w:val="2"/>
      <w:sz w:val="18"/>
      <w:szCs w:val="18"/>
    </w:rPr>
  </w:style>
  <w:style w:type="character" w:customStyle="1" w:styleId="76">
    <w:name w:val="批注文字 Char"/>
    <w:link w:val="19"/>
    <w:qFormat/>
    <w:uiPriority w:val="0"/>
    <w:rPr>
      <w:kern w:val="2"/>
      <w:sz w:val="21"/>
    </w:rPr>
  </w:style>
  <w:style w:type="character" w:customStyle="1" w:styleId="77">
    <w:name w:val="样式 样式 样式 正文@ + 首行缩进:  2 字符 + 首行缩进:  2 字符 + 行距: 多倍行距 1.3 字行 Char"/>
    <w:link w:val="78"/>
    <w:qFormat/>
    <w:uiPriority w:val="0"/>
    <w:rPr>
      <w:rFonts w:ascii="宋体" w:hAnsi="宋体" w:eastAsia="宋体" w:cs="宋体"/>
      <w:kern w:val="2"/>
      <w:sz w:val="24"/>
      <w:lang w:val="en-US" w:eastAsia="zh-CN" w:bidi="ar-SA"/>
    </w:rPr>
  </w:style>
  <w:style w:type="paragraph" w:customStyle="1" w:styleId="78">
    <w:name w:val="样式 样式 样式 正文@ + 首行缩进:  2 字符 + 首行缩进:  2 字符 + 行距: 多倍行距 1.3 字行"/>
    <w:basedOn w:val="1"/>
    <w:link w:val="77"/>
    <w:qFormat/>
    <w:uiPriority w:val="0"/>
    <w:pPr>
      <w:spacing w:line="312" w:lineRule="auto"/>
      <w:ind w:firstLine="480" w:firstLineChars="200"/>
    </w:pPr>
    <w:rPr>
      <w:rFonts w:ascii="宋体" w:hAnsi="宋体" w:cs="宋体"/>
      <w:sz w:val="24"/>
    </w:rPr>
  </w:style>
  <w:style w:type="character" w:customStyle="1" w:styleId="79">
    <w:name w:val="t1"/>
    <w:qFormat/>
    <w:uiPriority w:val="0"/>
    <w:rPr>
      <w:sz w:val="18"/>
      <w:szCs w:val="18"/>
    </w:rPr>
  </w:style>
  <w:style w:type="character" w:customStyle="1" w:styleId="80">
    <w:name w:val="样式 表内容@ + 小四 Char"/>
    <w:link w:val="81"/>
    <w:qFormat/>
    <w:uiPriority w:val="0"/>
    <w:rPr>
      <w:rFonts w:ascii="宋体" w:hAnsi="宋体" w:eastAsia="宋体" w:cs="宋体"/>
      <w:kern w:val="2"/>
      <w:sz w:val="24"/>
      <w:lang w:val="en-US" w:eastAsia="zh-CN" w:bidi="ar-SA"/>
    </w:rPr>
  </w:style>
  <w:style w:type="paragraph" w:customStyle="1" w:styleId="81">
    <w:name w:val="样式 表内容@ + 小四"/>
    <w:basedOn w:val="82"/>
    <w:link w:val="80"/>
    <w:qFormat/>
    <w:uiPriority w:val="0"/>
  </w:style>
  <w:style w:type="paragraph" w:customStyle="1" w:styleId="82">
    <w:name w:val="表内容@"/>
    <w:basedOn w:val="1"/>
    <w:link w:val="119"/>
    <w:qFormat/>
    <w:uiPriority w:val="0"/>
    <w:pPr>
      <w:spacing w:line="0" w:lineRule="atLeast"/>
      <w:jc w:val="center"/>
    </w:pPr>
    <w:rPr>
      <w:rFonts w:ascii="宋体" w:hAnsi="宋体" w:cs="宋体"/>
      <w:sz w:val="24"/>
    </w:rPr>
  </w:style>
  <w:style w:type="character" w:customStyle="1" w:styleId="83">
    <w:name w:val="ask-title"/>
    <w:basedOn w:val="50"/>
    <w:qFormat/>
    <w:uiPriority w:val="0"/>
  </w:style>
  <w:style w:type="character" w:customStyle="1" w:styleId="84">
    <w:name w:val="纯文本 Char"/>
    <w:link w:val="6"/>
    <w:qFormat/>
    <w:uiPriority w:val="0"/>
    <w:rPr>
      <w:rFonts w:ascii="宋体" w:hAnsi="Courier New" w:eastAsia="宋体"/>
      <w:kern w:val="2"/>
      <w:sz w:val="21"/>
      <w:lang w:val="en-US" w:eastAsia="zh-CN" w:bidi="ar-SA"/>
    </w:rPr>
  </w:style>
  <w:style w:type="character" w:customStyle="1" w:styleId="85">
    <w:name w:val="样式 样式 样式 样式 正文 + 首行缩进:  2 字符 + 首行缩进:  2 字符 + 首行缩进:  2 字符 + Char"/>
    <w:link w:val="86"/>
    <w:qFormat/>
    <w:uiPriority w:val="0"/>
    <w:rPr>
      <w:rFonts w:ascii="宋体" w:hAnsi="宋体" w:eastAsia="宋体" w:cs="宋体"/>
      <w:sz w:val="24"/>
      <w:lang w:val="en-US" w:eastAsia="zh-CN" w:bidi="ar-SA"/>
    </w:rPr>
  </w:style>
  <w:style w:type="paragraph" w:customStyle="1" w:styleId="86">
    <w:name w:val="样式 样式 样式 样式 正文 + 首行缩进:  2 字符 + 首行缩进:  2 字符 + 首行缩进:  2 字符 +"/>
    <w:basedOn w:val="1"/>
    <w:link w:val="85"/>
    <w:qFormat/>
    <w:uiPriority w:val="0"/>
    <w:pPr>
      <w:ind w:firstLine="200" w:firstLineChars="200"/>
    </w:pPr>
    <w:rPr>
      <w:rFonts w:ascii="宋体" w:hAnsi="宋体" w:cs="宋体"/>
      <w:kern w:val="0"/>
      <w:sz w:val="24"/>
    </w:rPr>
  </w:style>
  <w:style w:type="character" w:customStyle="1" w:styleId="87">
    <w:name w:val="样式 样式 正文@ + 首行缩进:  2 字符 字距调整小四 紧缩量  0.2 磅 + 首行缩进:  2 字符 Char"/>
    <w:link w:val="88"/>
    <w:qFormat/>
    <w:uiPriority w:val="0"/>
    <w:rPr>
      <w:rFonts w:ascii="宋体" w:hAnsi="宋体" w:eastAsia="宋体" w:cs="宋体"/>
      <w:kern w:val="24"/>
      <w:sz w:val="24"/>
      <w:szCs w:val="24"/>
      <w:lang w:val="en-US" w:eastAsia="zh-CN" w:bidi="ar-SA"/>
    </w:rPr>
  </w:style>
  <w:style w:type="paragraph" w:customStyle="1" w:styleId="88">
    <w:name w:val="样式 样式 正文@ + 首行缩进:  2 字符 字距调整小四 紧缩量  0.2 磅 + 首行缩进:  2 字符"/>
    <w:basedOn w:val="1"/>
    <w:link w:val="87"/>
    <w:qFormat/>
    <w:uiPriority w:val="0"/>
    <w:pPr>
      <w:spacing w:line="360" w:lineRule="auto"/>
      <w:ind w:firstLine="480" w:firstLineChars="200"/>
    </w:pPr>
    <w:rPr>
      <w:rFonts w:ascii="宋体" w:hAnsi="宋体" w:cs="宋体"/>
      <w:kern w:val="24"/>
      <w:sz w:val="24"/>
      <w:szCs w:val="24"/>
    </w:rPr>
  </w:style>
  <w:style w:type="character" w:customStyle="1" w:styleId="89">
    <w:name w:val="style29"/>
    <w:basedOn w:val="50"/>
    <w:qFormat/>
    <w:uiPriority w:val="0"/>
  </w:style>
  <w:style w:type="character" w:customStyle="1" w:styleId="90">
    <w:name w:val="样式 样式 样式 样式 正文@ + 首行缩进:  2 字符 字距调整小四 紧缩量  0.2 磅 + 首行缩进:  2 字符 + ...1 Char"/>
    <w:basedOn w:val="91"/>
    <w:link w:val="93"/>
    <w:qFormat/>
    <w:uiPriority w:val="0"/>
    <w:rPr>
      <w:rFonts w:ascii="宋体" w:hAnsi="宋体" w:eastAsia="宋体" w:cs="宋体"/>
      <w:kern w:val="24"/>
      <w:sz w:val="24"/>
      <w:szCs w:val="24"/>
      <w:lang w:val="en-US" w:eastAsia="zh-CN" w:bidi="ar-SA"/>
    </w:rPr>
  </w:style>
  <w:style w:type="character" w:customStyle="1" w:styleId="91">
    <w:name w:val="样式 样式 样式 正文@ + 首行缩进:  2 字符 字距调整小四 紧缩量  0.2 磅 + 首行缩进:  2 字符 + 首行缩... Char"/>
    <w:basedOn w:val="87"/>
    <w:link w:val="92"/>
    <w:qFormat/>
    <w:uiPriority w:val="0"/>
    <w:rPr>
      <w:rFonts w:ascii="宋体" w:hAnsi="宋体" w:eastAsia="宋体" w:cs="宋体"/>
      <w:kern w:val="24"/>
      <w:sz w:val="24"/>
      <w:szCs w:val="24"/>
      <w:lang w:val="en-US" w:eastAsia="zh-CN" w:bidi="ar-SA"/>
    </w:rPr>
  </w:style>
  <w:style w:type="paragraph" w:customStyle="1" w:styleId="92">
    <w:name w:val="样式 样式 样式 正文@ + 首行缩进:  2 字符 字距调整小四 紧缩量  0.2 磅 + 首行缩进:  2 字符 + 首行缩..."/>
    <w:basedOn w:val="88"/>
    <w:link w:val="91"/>
    <w:qFormat/>
    <w:uiPriority w:val="0"/>
    <w:pPr>
      <w:ind w:firstLine="438"/>
    </w:pPr>
    <w:rPr>
      <w:szCs w:val="20"/>
    </w:rPr>
  </w:style>
  <w:style w:type="paragraph" w:customStyle="1" w:styleId="93">
    <w:name w:val="样式 样式 样式 样式 正文@ + 首行缩进:  2 字符 字距调整小四 紧缩量  0.2 磅 + 首行缩进:  2 字符 + ...1"/>
    <w:basedOn w:val="92"/>
    <w:link w:val="90"/>
    <w:qFormat/>
    <w:uiPriority w:val="0"/>
    <w:pPr>
      <w:spacing w:line="312" w:lineRule="auto"/>
    </w:pPr>
    <w:rPr>
      <w:kern w:val="0"/>
    </w:rPr>
  </w:style>
  <w:style w:type="character" w:customStyle="1" w:styleId="94">
    <w:name w:val="headline-content2"/>
    <w:basedOn w:val="50"/>
    <w:qFormat/>
    <w:uiPriority w:val="0"/>
  </w:style>
  <w:style w:type="character" w:customStyle="1" w:styleId="95">
    <w:name w:val="样式 表内容 +1 Char"/>
    <w:link w:val="96"/>
    <w:qFormat/>
    <w:uiPriority w:val="0"/>
    <w:rPr>
      <w:rFonts w:ascii="宋体" w:hAnsi="宋体" w:eastAsia="宋体" w:cs="Arial"/>
      <w:sz w:val="18"/>
      <w:szCs w:val="18"/>
      <w:lang w:val="en-US" w:eastAsia="zh-CN" w:bidi="ar-SA"/>
    </w:rPr>
  </w:style>
  <w:style w:type="paragraph" w:customStyle="1" w:styleId="96">
    <w:name w:val="样式 表内容 +1"/>
    <w:basedOn w:val="1"/>
    <w:link w:val="95"/>
    <w:qFormat/>
    <w:uiPriority w:val="0"/>
    <w:pPr>
      <w:adjustRightInd w:val="0"/>
      <w:spacing w:line="0" w:lineRule="atLeast"/>
      <w:jc w:val="center"/>
    </w:pPr>
    <w:rPr>
      <w:rFonts w:ascii="宋体" w:hAnsi="宋体" w:cs="Arial"/>
      <w:kern w:val="0"/>
      <w:sz w:val="18"/>
      <w:szCs w:val="18"/>
    </w:rPr>
  </w:style>
  <w:style w:type="character" w:customStyle="1" w:styleId="97">
    <w:name w:val="样式 样式 样式 正文@ + 首行缩进:  2 字符 字距调整小四 紧缩量  0.2 磅 + 首行缩进:  2 字符 + 加宽量... Char"/>
    <w:link w:val="98"/>
    <w:qFormat/>
    <w:uiPriority w:val="0"/>
    <w:rPr>
      <w:rFonts w:ascii="宋体" w:hAnsi="宋体" w:eastAsia="宋体" w:cs="宋体"/>
      <w:spacing w:val="4"/>
      <w:kern w:val="24"/>
      <w:sz w:val="24"/>
      <w:szCs w:val="24"/>
      <w:lang w:val="en-US" w:eastAsia="zh-CN" w:bidi="ar-SA"/>
    </w:rPr>
  </w:style>
  <w:style w:type="paragraph" w:customStyle="1" w:styleId="98">
    <w:name w:val="样式 样式 样式 正文@ + 首行缩进:  2 字符 字距调整小四 紧缩量  0.2 磅 + 首行缩进:  2 字符 + 加宽量..."/>
    <w:basedOn w:val="1"/>
    <w:link w:val="97"/>
    <w:qFormat/>
    <w:uiPriority w:val="0"/>
    <w:pPr>
      <w:spacing w:line="360" w:lineRule="auto"/>
      <w:ind w:firstLine="480" w:firstLineChars="200"/>
    </w:pPr>
    <w:rPr>
      <w:rFonts w:ascii="宋体" w:hAnsi="宋体" w:cs="宋体"/>
      <w:spacing w:val="4"/>
      <w:kern w:val="24"/>
      <w:sz w:val="24"/>
      <w:szCs w:val="24"/>
    </w:rPr>
  </w:style>
  <w:style w:type="character" w:customStyle="1" w:styleId="99">
    <w:name w:val="样式 正文@ + 首行缩进:  2 字符 Char"/>
    <w:basedOn w:val="100"/>
    <w:link w:val="103"/>
    <w:qFormat/>
    <w:uiPriority w:val="0"/>
    <w:rPr>
      <w:rFonts w:ascii="宋体" w:hAnsi="宋体" w:eastAsia="宋体" w:cs="宋体"/>
      <w:color w:val="000000"/>
      <w:kern w:val="2"/>
      <w:sz w:val="24"/>
      <w:lang w:val="en-US" w:eastAsia="zh-CN" w:bidi="ar-SA"/>
    </w:rPr>
  </w:style>
  <w:style w:type="character" w:customStyle="1" w:styleId="100">
    <w:name w:val="正文@ Char"/>
    <w:link w:val="101"/>
    <w:qFormat/>
    <w:uiPriority w:val="0"/>
    <w:rPr>
      <w:rFonts w:ascii="宋体" w:hAnsi="宋体" w:eastAsia="宋体" w:cs="宋体"/>
      <w:color w:val="000000"/>
      <w:kern w:val="2"/>
      <w:sz w:val="24"/>
      <w:lang w:val="en-US" w:eastAsia="zh-CN" w:bidi="ar-SA"/>
    </w:rPr>
  </w:style>
  <w:style w:type="paragraph" w:customStyle="1" w:styleId="101">
    <w:name w:val="正文@"/>
    <w:basedOn w:val="102"/>
    <w:link w:val="100"/>
    <w:qFormat/>
    <w:uiPriority w:val="0"/>
    <w:pPr>
      <w:ind w:firstLine="200" w:firstLineChars="200"/>
      <w:jc w:val="left"/>
    </w:pPr>
    <w:rPr>
      <w:color w:val="000000"/>
      <w:sz w:val="24"/>
    </w:rPr>
  </w:style>
  <w:style w:type="paragraph" w:customStyle="1" w:styleId="102">
    <w:name w:val="样式 宋体 首行缩进:  2 字符 段前: 2.5 磅 段后: 2.5 磅 行距: 1.5 倍行距"/>
    <w:basedOn w:val="1"/>
    <w:qFormat/>
    <w:uiPriority w:val="0"/>
    <w:pPr>
      <w:spacing w:line="360" w:lineRule="auto"/>
    </w:pPr>
    <w:rPr>
      <w:rFonts w:ascii="宋体" w:hAnsi="宋体" w:cs="宋体"/>
    </w:rPr>
  </w:style>
  <w:style w:type="paragraph" w:customStyle="1" w:styleId="103">
    <w:name w:val="样式 正文@ + 首行缩进:  2 字符"/>
    <w:basedOn w:val="101"/>
    <w:link w:val="99"/>
    <w:qFormat/>
    <w:uiPriority w:val="0"/>
  </w:style>
  <w:style w:type="character" w:customStyle="1" w:styleId="104">
    <w:name w:val="样式 样式 样式 正文@ + 首行缩进:  2 字符 字距调整小四 紧缩量  0.2 磅 + 首行缩进:  2 字符 + Char"/>
    <w:link w:val="105"/>
    <w:qFormat/>
    <w:uiPriority w:val="0"/>
    <w:rPr>
      <w:rFonts w:ascii="宋体" w:hAnsi="宋体" w:eastAsia="宋体" w:cs="宋体"/>
      <w:sz w:val="24"/>
      <w:szCs w:val="24"/>
      <w:lang w:val="en-US" w:eastAsia="zh-CN" w:bidi="ar-SA"/>
    </w:rPr>
  </w:style>
  <w:style w:type="paragraph" w:customStyle="1" w:styleId="105">
    <w:name w:val="样式 样式 样式 正文@ + 首行缩进:  2 字符 字距调整小四 紧缩量  0.2 磅 + 首行缩进:  2 字符 +"/>
    <w:basedOn w:val="1"/>
    <w:link w:val="104"/>
    <w:qFormat/>
    <w:uiPriority w:val="0"/>
    <w:pPr>
      <w:spacing w:line="360" w:lineRule="auto"/>
      <w:ind w:firstLine="480" w:firstLineChars="200"/>
    </w:pPr>
    <w:rPr>
      <w:rFonts w:ascii="宋体" w:hAnsi="宋体" w:cs="宋体"/>
      <w:kern w:val="0"/>
      <w:sz w:val="24"/>
      <w:szCs w:val="24"/>
    </w:rPr>
  </w:style>
  <w:style w:type="character" w:customStyle="1" w:styleId="106">
    <w:name w:val="Char Char1"/>
    <w:qFormat/>
    <w:uiPriority w:val="0"/>
    <w:rPr>
      <w:rFonts w:ascii="宋体" w:hAnsi="宋体" w:eastAsia="宋体" w:cs="Arial"/>
      <w:snapToGrid w:val="0"/>
      <w:kern w:val="2"/>
      <w:sz w:val="21"/>
      <w:szCs w:val="24"/>
      <w:lang w:val="en-US" w:eastAsia="zh-CN" w:bidi="ar-SA"/>
    </w:rPr>
  </w:style>
  <w:style w:type="character" w:customStyle="1" w:styleId="107">
    <w:name w:val="样式 样式 样式 样式 样式 正文@ + 首行缩进:  2 字符 字距调整小四 紧缩量  0.2 磅 + 首行缩进:  2 字符... Char"/>
    <w:basedOn w:val="90"/>
    <w:link w:val="108"/>
    <w:qFormat/>
    <w:uiPriority w:val="0"/>
    <w:rPr>
      <w:rFonts w:ascii="宋体" w:hAnsi="宋体" w:eastAsia="宋体" w:cs="宋体"/>
      <w:kern w:val="24"/>
      <w:sz w:val="24"/>
      <w:szCs w:val="24"/>
      <w:lang w:val="en-US" w:eastAsia="zh-CN" w:bidi="ar-SA"/>
    </w:rPr>
  </w:style>
  <w:style w:type="paragraph" w:customStyle="1" w:styleId="108">
    <w:name w:val="样式 样式 样式 样式 样式 正文@ + 首行缩进:  2 字符 字距调整小四 紧缩量  0.2 磅 + 首行缩进:  2 字符..."/>
    <w:basedOn w:val="93"/>
    <w:link w:val="107"/>
    <w:qFormat/>
    <w:uiPriority w:val="0"/>
    <w:pPr>
      <w:spacing w:line="360" w:lineRule="auto"/>
      <w:ind w:firstLine="200"/>
    </w:pPr>
  </w:style>
  <w:style w:type="character" w:customStyle="1" w:styleId="109">
    <w:name w:val="样式 正文@ + 黑色 图案: 清除 (白色) Char"/>
    <w:link w:val="110"/>
    <w:qFormat/>
    <w:uiPriority w:val="0"/>
    <w:rPr>
      <w:rFonts w:ascii="宋体" w:hAnsi="宋体" w:eastAsia="宋体" w:cs="宋体"/>
      <w:color w:val="000000"/>
      <w:kern w:val="2"/>
      <w:sz w:val="24"/>
      <w:shd w:val="clear" w:color="auto" w:fill="FFFFFF"/>
      <w:lang w:val="en-US" w:eastAsia="zh-CN" w:bidi="ar-SA"/>
    </w:rPr>
  </w:style>
  <w:style w:type="paragraph" w:customStyle="1" w:styleId="110">
    <w:name w:val="样式 正文@ + 黑色 图案: 清除 (白色)"/>
    <w:basedOn w:val="1"/>
    <w:link w:val="109"/>
    <w:qFormat/>
    <w:uiPriority w:val="0"/>
    <w:pPr>
      <w:spacing w:line="360" w:lineRule="auto"/>
      <w:ind w:firstLine="200" w:firstLineChars="200"/>
    </w:pPr>
    <w:rPr>
      <w:rFonts w:ascii="宋体" w:hAnsi="宋体" w:cs="宋体"/>
      <w:color w:val="000000"/>
      <w:sz w:val="24"/>
      <w:shd w:val="clear" w:color="auto" w:fill="FFFFFF"/>
    </w:rPr>
  </w:style>
  <w:style w:type="character" w:customStyle="1" w:styleId="111">
    <w:name w:val="表头@ Char"/>
    <w:link w:val="112"/>
    <w:qFormat/>
    <w:uiPriority w:val="0"/>
    <w:rPr>
      <w:rFonts w:ascii="宋体" w:hAnsi="宋体" w:eastAsia="宋体" w:cs="宋体"/>
      <w:kern w:val="2"/>
      <w:sz w:val="21"/>
      <w:lang w:val="en-US" w:eastAsia="zh-CN" w:bidi="ar-SA"/>
    </w:rPr>
  </w:style>
  <w:style w:type="paragraph" w:customStyle="1" w:styleId="112">
    <w:name w:val="表头@"/>
    <w:basedOn w:val="1"/>
    <w:link w:val="111"/>
    <w:qFormat/>
    <w:uiPriority w:val="0"/>
    <w:pPr>
      <w:jc w:val="center"/>
    </w:pPr>
    <w:rPr>
      <w:rFonts w:ascii="宋体" w:hAnsi="宋体" w:cs="宋体"/>
    </w:rPr>
  </w:style>
  <w:style w:type="character" w:customStyle="1" w:styleId="113">
    <w:name w:val="样式11 Char"/>
    <w:link w:val="114"/>
    <w:qFormat/>
    <w:uiPriority w:val="0"/>
    <w:rPr>
      <w:rFonts w:ascii="宋体" w:hAnsi="宋体" w:eastAsia="宋体" w:cs="宋体"/>
      <w:kern w:val="2"/>
      <w:sz w:val="24"/>
      <w:lang w:val="en-US" w:eastAsia="zh-CN" w:bidi="ar-SA"/>
    </w:rPr>
  </w:style>
  <w:style w:type="paragraph" w:customStyle="1" w:styleId="114">
    <w:name w:val="样式11"/>
    <w:basedOn w:val="115"/>
    <w:link w:val="113"/>
    <w:qFormat/>
    <w:uiPriority w:val="0"/>
    <w:pPr>
      <w:ind w:firstLine="436"/>
    </w:pPr>
  </w:style>
  <w:style w:type="paragraph" w:customStyle="1" w:styleId="115">
    <w:name w:val="样式 样式 正文@ + 首行缩进:  2 字符 + 首行缩进:  2 字符"/>
    <w:basedOn w:val="103"/>
    <w:link w:val="130"/>
    <w:qFormat/>
    <w:uiPriority w:val="0"/>
    <w:pPr>
      <w:ind w:firstLine="480"/>
    </w:pPr>
  </w:style>
  <w:style w:type="character" w:customStyle="1" w:styleId="116">
    <w:name w:val="段落 Char"/>
    <w:link w:val="117"/>
    <w:qFormat/>
    <w:uiPriority w:val="0"/>
    <w:rPr>
      <w:rFonts w:eastAsia="宋体"/>
      <w:sz w:val="24"/>
      <w:szCs w:val="24"/>
      <w:lang w:val="zh-CN" w:eastAsia="zh-CN" w:bidi="ar-SA"/>
    </w:rPr>
  </w:style>
  <w:style w:type="paragraph" w:customStyle="1" w:styleId="117">
    <w:name w:val="段落"/>
    <w:basedOn w:val="1"/>
    <w:link w:val="116"/>
    <w:qFormat/>
    <w:uiPriority w:val="0"/>
    <w:pPr>
      <w:topLinePunct/>
      <w:ind w:firstLine="200" w:firstLineChars="200"/>
      <w:jc w:val="left"/>
    </w:pPr>
    <w:rPr>
      <w:kern w:val="0"/>
      <w:sz w:val="24"/>
      <w:szCs w:val="24"/>
      <w:lang w:val="zh-CN"/>
    </w:rPr>
  </w:style>
  <w:style w:type="character" w:customStyle="1" w:styleId="118">
    <w:name w:val="样式 表内容@ + 行距: 最小值 0 磅 Char"/>
    <w:basedOn w:val="119"/>
    <w:link w:val="120"/>
    <w:qFormat/>
    <w:uiPriority w:val="0"/>
    <w:rPr>
      <w:rFonts w:ascii="宋体" w:hAnsi="宋体" w:eastAsia="宋体" w:cs="宋体"/>
      <w:kern w:val="2"/>
      <w:sz w:val="24"/>
      <w:lang w:val="en-US" w:eastAsia="zh-CN" w:bidi="ar-SA"/>
    </w:rPr>
  </w:style>
  <w:style w:type="character" w:customStyle="1" w:styleId="119">
    <w:name w:val="表内容@ Char"/>
    <w:link w:val="82"/>
    <w:qFormat/>
    <w:uiPriority w:val="0"/>
    <w:rPr>
      <w:rFonts w:ascii="宋体" w:hAnsi="宋体" w:eastAsia="宋体" w:cs="宋体"/>
      <w:kern w:val="2"/>
      <w:sz w:val="24"/>
      <w:lang w:val="en-US" w:eastAsia="zh-CN" w:bidi="ar-SA"/>
    </w:rPr>
  </w:style>
  <w:style w:type="paragraph" w:customStyle="1" w:styleId="120">
    <w:name w:val="样式 表内容@ + 行距: 最小值 0 磅"/>
    <w:basedOn w:val="82"/>
    <w:link w:val="118"/>
    <w:qFormat/>
    <w:uiPriority w:val="0"/>
    <w:pPr>
      <w:adjustRightInd w:val="0"/>
    </w:pPr>
  </w:style>
  <w:style w:type="character" w:customStyle="1" w:styleId="121">
    <w:name w:val="样式 样式 首行缩进:  2 字符 + 首行缩进:  2 字符 Char"/>
    <w:link w:val="122"/>
    <w:qFormat/>
    <w:locked/>
    <w:uiPriority w:val="0"/>
    <w:rPr>
      <w:rFonts w:ascii="宋体" w:hAnsi="宋体" w:eastAsia="宋体" w:cs="宋体"/>
      <w:kern w:val="2"/>
      <w:sz w:val="24"/>
      <w:lang w:val="en-US" w:eastAsia="zh-CN" w:bidi="ar-SA"/>
    </w:rPr>
  </w:style>
  <w:style w:type="paragraph" w:customStyle="1" w:styleId="122">
    <w:name w:val="样式 样式 首行缩进:  2 字符 + 首行缩进:  2 字符"/>
    <w:basedOn w:val="1"/>
    <w:link w:val="121"/>
    <w:qFormat/>
    <w:uiPriority w:val="0"/>
    <w:pPr>
      <w:spacing w:line="360" w:lineRule="auto"/>
      <w:ind w:firstLine="200" w:firstLineChars="200"/>
    </w:pPr>
    <w:rPr>
      <w:rFonts w:ascii="宋体" w:hAnsi="宋体" w:cs="宋体"/>
      <w:sz w:val="24"/>
    </w:rPr>
  </w:style>
  <w:style w:type="character" w:customStyle="1" w:styleId="123">
    <w:name w:val="标题 4 Char"/>
    <w:link w:val="7"/>
    <w:qFormat/>
    <w:uiPriority w:val="0"/>
    <w:rPr>
      <w:rFonts w:ascii="Arial" w:hAnsi="Arial" w:eastAsia="黑体"/>
      <w:b/>
      <w:bCs/>
      <w:kern w:val="2"/>
      <w:sz w:val="28"/>
      <w:szCs w:val="28"/>
      <w:lang w:val="en-US" w:eastAsia="zh-CN" w:bidi="ar-SA"/>
    </w:rPr>
  </w:style>
  <w:style w:type="character" w:customStyle="1" w:styleId="124">
    <w:name w:val="题注 Char"/>
    <w:link w:val="15"/>
    <w:qFormat/>
    <w:uiPriority w:val="0"/>
    <w:rPr>
      <w:rFonts w:ascii="宋体" w:hAnsi="Arial" w:eastAsia="宋体" w:cs="Arial"/>
      <w:kern w:val="2"/>
      <w:sz w:val="21"/>
      <w:lang w:val="en-US" w:eastAsia="zh-CN" w:bidi="ar-SA"/>
    </w:rPr>
  </w:style>
  <w:style w:type="character" w:customStyle="1" w:styleId="125">
    <w:name w:val="正文（首行缩进两字） Char Char Char Char1"/>
    <w:qFormat/>
    <w:uiPriority w:val="0"/>
    <w:rPr>
      <w:rFonts w:ascii="Arial" w:hAnsi="Arial" w:eastAsia="宋体"/>
      <w:kern w:val="2"/>
      <w:sz w:val="24"/>
      <w:szCs w:val="24"/>
      <w:lang w:val="en-US" w:eastAsia="zh-CN" w:bidi="ar-SA"/>
    </w:rPr>
  </w:style>
  <w:style w:type="character" w:customStyle="1" w:styleId="126">
    <w:name w:val="样式 样式 样式 正文 + 首行缩进:  2 字符 + 首行缩进:  2 字符 + 首行缩进:  2 字符 Char"/>
    <w:link w:val="127"/>
    <w:qFormat/>
    <w:uiPriority w:val="0"/>
    <w:rPr>
      <w:rFonts w:ascii="宋体" w:hAnsi="宋体" w:eastAsia="宋体" w:cs="宋体"/>
      <w:kern w:val="2"/>
      <w:sz w:val="24"/>
      <w:lang w:val="en-US" w:eastAsia="zh-CN" w:bidi="ar-SA"/>
    </w:rPr>
  </w:style>
  <w:style w:type="paragraph" w:customStyle="1" w:styleId="127">
    <w:name w:val="样式 样式 样式 正文 + 首行缩进:  2 字符 + 首行缩进:  2 字符 + 首行缩进:  2 字符"/>
    <w:basedOn w:val="1"/>
    <w:link w:val="126"/>
    <w:qFormat/>
    <w:uiPriority w:val="0"/>
    <w:pPr>
      <w:ind w:firstLine="200" w:firstLineChars="200"/>
    </w:pPr>
    <w:rPr>
      <w:rFonts w:ascii="宋体" w:hAnsi="宋体" w:cs="宋体"/>
      <w:sz w:val="24"/>
    </w:rPr>
  </w:style>
  <w:style w:type="character" w:customStyle="1" w:styleId="128">
    <w:name w:val="正文缩进 Char"/>
    <w:link w:val="5"/>
    <w:qFormat/>
    <w:uiPriority w:val="99"/>
    <w:rPr>
      <w:rFonts w:eastAsia="宋体"/>
      <w:kern w:val="2"/>
      <w:sz w:val="21"/>
      <w:lang w:val="en-US" w:eastAsia="zh-CN" w:bidi="ar-SA"/>
    </w:rPr>
  </w:style>
  <w:style w:type="character" w:customStyle="1" w:styleId="129">
    <w:name w:val="表格 Char"/>
    <w:link w:val="59"/>
    <w:qFormat/>
    <w:uiPriority w:val="0"/>
    <w:rPr>
      <w:sz w:val="21"/>
      <w:szCs w:val="21"/>
    </w:rPr>
  </w:style>
  <w:style w:type="character" w:customStyle="1" w:styleId="130">
    <w:name w:val="样式 样式 正文@ + 首行缩进:  2 字符 + 首行缩进:  2 字符 Char"/>
    <w:link w:val="115"/>
    <w:qFormat/>
    <w:uiPriority w:val="0"/>
    <w:rPr>
      <w:rFonts w:ascii="宋体" w:hAnsi="宋体" w:eastAsia="宋体" w:cs="宋体"/>
      <w:kern w:val="2"/>
      <w:sz w:val="24"/>
      <w:lang w:val="en-US" w:eastAsia="zh-CN" w:bidi="ar-SA"/>
    </w:rPr>
  </w:style>
  <w:style w:type="character" w:customStyle="1" w:styleId="131">
    <w:name w:val="样式 表图头@ + 段前: 0.5 行 Char"/>
    <w:link w:val="132"/>
    <w:qFormat/>
    <w:uiPriority w:val="0"/>
    <w:rPr>
      <w:rFonts w:ascii="宋体" w:hAnsi="宋体" w:eastAsia="宋体" w:cs="宋体"/>
      <w:kern w:val="2"/>
      <w:sz w:val="21"/>
      <w:lang w:val="en-US" w:eastAsia="zh-CN" w:bidi="ar-SA"/>
    </w:rPr>
  </w:style>
  <w:style w:type="paragraph" w:customStyle="1" w:styleId="132">
    <w:name w:val="样式 表图头@ + 段前: 0.5 行"/>
    <w:basedOn w:val="1"/>
    <w:link w:val="131"/>
    <w:qFormat/>
    <w:uiPriority w:val="0"/>
    <w:pPr>
      <w:adjustRightInd w:val="0"/>
      <w:jc w:val="center"/>
    </w:pPr>
    <w:rPr>
      <w:rFonts w:ascii="宋体" w:hAnsi="宋体" w:cs="宋体"/>
    </w:rPr>
  </w:style>
  <w:style w:type="paragraph" w:styleId="133">
    <w:name w:val="List Paragraph"/>
    <w:basedOn w:val="1"/>
    <w:link w:val="205"/>
    <w:qFormat/>
    <w:uiPriority w:val="99"/>
    <w:pPr>
      <w:ind w:firstLine="420" w:firstLineChars="200"/>
    </w:pPr>
    <w:rPr>
      <w:rFonts w:ascii="Calibri" w:hAnsi="Calibri"/>
      <w:szCs w:val="22"/>
    </w:rPr>
  </w:style>
  <w:style w:type="paragraph" w:customStyle="1" w:styleId="134">
    <w:name w:val="Table Paragraph"/>
    <w:basedOn w:val="1"/>
    <w:qFormat/>
    <w:uiPriority w:val="1"/>
    <w:pPr>
      <w:widowControl/>
      <w:jc w:val="left"/>
    </w:pPr>
    <w:rPr>
      <w:kern w:val="0"/>
    </w:rPr>
  </w:style>
  <w:style w:type="paragraph" w:customStyle="1" w:styleId="135">
    <w:name w:val="表头1号"/>
    <w:basedOn w:val="1"/>
    <w:qFormat/>
    <w:uiPriority w:val="0"/>
    <w:pPr>
      <w:keepNext/>
      <w:widowControl/>
      <w:jc w:val="center"/>
    </w:pPr>
    <w:rPr>
      <w:b/>
      <w:sz w:val="24"/>
    </w:rPr>
  </w:style>
  <w:style w:type="paragraph" w:customStyle="1" w:styleId="136">
    <w:name w:val="Char1 Char Char Char Char Char Char Char Char Char Char Char Char Char Char Char Char"/>
    <w:basedOn w:val="4"/>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kern w:val="2"/>
      <w:sz w:val="24"/>
      <w:szCs w:val="24"/>
    </w:rPr>
  </w:style>
  <w:style w:type="paragraph" w:customStyle="1" w:styleId="137">
    <w:name w:val="Char"/>
    <w:basedOn w:val="5"/>
    <w:semiHidden/>
    <w:qFormat/>
    <w:uiPriority w:val="0"/>
    <w:pPr>
      <w:keepNext/>
      <w:adjustRightInd w:val="0"/>
      <w:snapToGrid w:val="0"/>
      <w:spacing w:line="500" w:lineRule="exact"/>
      <w:ind w:firstLine="200" w:firstLineChars="200"/>
    </w:pPr>
    <w:rPr>
      <w:rFonts w:ascii="Verdana" w:hAnsi="Verdana" w:eastAsia="仿宋_GB2312"/>
      <w:color w:val="000000"/>
      <w:spacing w:val="8"/>
      <w:kern w:val="0"/>
      <w:sz w:val="28"/>
      <w:lang w:eastAsia="en-US"/>
    </w:rPr>
  </w:style>
  <w:style w:type="paragraph" w:customStyle="1" w:styleId="138">
    <w:name w:val="样式 样式 标题 2标题2，@ + 段前: 0.5 行 段后: 0.5 行 + 段前: 0.5 行 段后: 0.5 行"/>
    <w:basedOn w:val="1"/>
    <w:qFormat/>
    <w:uiPriority w:val="0"/>
    <w:pPr>
      <w:numPr>
        <w:ilvl w:val="1"/>
        <w:numId w:val="2"/>
      </w:numPr>
      <w:spacing w:beforeLines="50" w:afterLines="50" w:line="360" w:lineRule="auto"/>
      <w:outlineLvl w:val="1"/>
    </w:pPr>
    <w:rPr>
      <w:rFonts w:ascii="宋体" w:hAnsi="宋体" w:cs="宋体"/>
      <w:b/>
      <w:bCs/>
      <w:sz w:val="24"/>
    </w:rPr>
  </w:style>
  <w:style w:type="paragraph" w:customStyle="1" w:styleId="139">
    <w:name w:val="12二级标题"/>
    <w:next w:val="140"/>
    <w:qFormat/>
    <w:uiPriority w:val="0"/>
    <w:pPr>
      <w:spacing w:line="360" w:lineRule="auto"/>
      <w:jc w:val="both"/>
      <w:outlineLvl w:val="1"/>
    </w:pPr>
    <w:rPr>
      <w:rFonts w:ascii="Times New Roman" w:hAnsi="Times New Roman" w:eastAsia="黑体" w:cs="宋体"/>
      <w:kern w:val="2"/>
      <w:sz w:val="30"/>
      <w:lang w:val="en-US" w:eastAsia="zh-CN" w:bidi="ar-SA"/>
    </w:rPr>
  </w:style>
  <w:style w:type="paragraph" w:customStyle="1" w:styleId="140">
    <w:name w:val="15正文"/>
    <w:qFormat/>
    <w:uiPriority w:val="0"/>
    <w:pPr>
      <w:spacing w:line="360" w:lineRule="auto"/>
      <w:ind w:firstLine="480" w:firstLineChars="200"/>
    </w:pPr>
    <w:rPr>
      <w:rFonts w:ascii="Times New Roman" w:hAnsi="Times New Roman" w:eastAsia="宋体" w:cs="仿宋_GB2312"/>
      <w:kern w:val="2"/>
      <w:sz w:val="24"/>
      <w:szCs w:val="24"/>
      <w:lang w:val="en-US" w:eastAsia="zh-CN" w:bidi="ar-SA"/>
    </w:rPr>
  </w:style>
  <w:style w:type="paragraph" w:customStyle="1" w:styleId="141">
    <w:name w:val="样式 标题 1@1.标题 1H1Chapter Headline章chap标题 章Charb1章节标题MB..."/>
    <w:basedOn w:val="2"/>
    <w:qFormat/>
    <w:uiPriority w:val="0"/>
    <w:pPr>
      <w:numPr>
        <w:ilvl w:val="0"/>
        <w:numId w:val="2"/>
      </w:numPr>
      <w:spacing w:beforeLines="50" w:afterLines="50" w:line="360" w:lineRule="auto"/>
    </w:pPr>
    <w:rPr>
      <w:rFonts w:ascii="宋体" w:hAnsi="宋体" w:cs="宋体"/>
      <w:kern w:val="2"/>
      <w:szCs w:val="20"/>
    </w:rPr>
  </w:style>
  <w:style w:type="paragraph" w:customStyle="1" w:styleId="142">
    <w:name w:val="_Style 2"/>
    <w:basedOn w:val="1"/>
    <w:qFormat/>
    <w:uiPriority w:val="34"/>
    <w:pPr>
      <w:ind w:firstLine="420" w:firstLineChars="200"/>
    </w:pPr>
  </w:style>
  <w:style w:type="paragraph" w:customStyle="1" w:styleId="143">
    <w:name w:val="Char Char5 Char Char Char Char Char Char Char Char Char Char Char Char Char Char Char1"/>
    <w:basedOn w:val="4"/>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kern w:val="2"/>
      <w:sz w:val="24"/>
      <w:szCs w:val="24"/>
    </w:rPr>
  </w:style>
  <w:style w:type="paragraph" w:customStyle="1" w:styleId="144">
    <w:name w:val="段落1"/>
    <w:basedOn w:val="46"/>
    <w:qFormat/>
    <w:uiPriority w:val="0"/>
    <w:pPr>
      <w:ind w:firstLine="200"/>
    </w:pPr>
    <w:rPr>
      <w:rFonts w:ascii="Calibri" w:hAnsi="Calibri"/>
    </w:rPr>
  </w:style>
  <w:style w:type="paragraph" w:customStyle="1" w:styleId="145">
    <w:name w:val="Char1"/>
    <w:basedOn w:val="5"/>
    <w:semiHidden/>
    <w:qFormat/>
    <w:uiPriority w:val="0"/>
    <w:pPr>
      <w:keepNext/>
      <w:adjustRightInd w:val="0"/>
      <w:snapToGrid w:val="0"/>
      <w:spacing w:line="500" w:lineRule="exact"/>
      <w:ind w:firstLine="200" w:firstLineChars="200"/>
    </w:pPr>
    <w:rPr>
      <w:rFonts w:ascii="Verdana" w:hAnsi="Verdana" w:eastAsia="仿宋_GB2312"/>
      <w:color w:val="000000"/>
      <w:spacing w:val="8"/>
      <w:kern w:val="0"/>
      <w:sz w:val="28"/>
      <w:lang w:eastAsia="en-US"/>
    </w:rPr>
  </w:style>
  <w:style w:type="paragraph" w:customStyle="1" w:styleId="146">
    <w:name w:val="表格2"/>
    <w:basedOn w:val="1"/>
    <w:qFormat/>
    <w:uiPriority w:val="0"/>
    <w:pPr>
      <w:spacing w:line="320" w:lineRule="exact"/>
      <w:jc w:val="center"/>
    </w:pPr>
    <w:rPr>
      <w:sz w:val="24"/>
      <w:szCs w:val="28"/>
    </w:rPr>
  </w:style>
  <w:style w:type="paragraph" w:customStyle="1" w:styleId="147">
    <w:name w:val="_Style 23"/>
    <w:basedOn w:val="1"/>
    <w:next w:val="5"/>
    <w:qFormat/>
    <w:uiPriority w:val="0"/>
    <w:pPr>
      <w:ind w:firstLine="420"/>
    </w:pPr>
  </w:style>
  <w:style w:type="paragraph" w:customStyle="1" w:styleId="148">
    <w:name w:val="Lee正文"/>
    <w:basedOn w:val="1"/>
    <w:next w:val="45"/>
    <w:qFormat/>
    <w:uiPriority w:val="0"/>
    <w:pPr>
      <w:adjustRightInd w:val="0"/>
      <w:snapToGrid w:val="0"/>
      <w:spacing w:line="480" w:lineRule="exact"/>
      <w:ind w:firstLine="200" w:firstLineChars="200"/>
    </w:pPr>
    <w:rPr>
      <w:kern w:val="0"/>
      <w:sz w:val="24"/>
      <w:szCs w:val="22"/>
    </w:rPr>
  </w:style>
  <w:style w:type="paragraph" w:customStyle="1" w:styleId="149">
    <w:name w:val="z报告书正文  小四1.5倍"/>
    <w:basedOn w:val="1"/>
    <w:qFormat/>
    <w:uiPriority w:val="0"/>
    <w:pPr>
      <w:spacing w:line="360" w:lineRule="auto"/>
      <w:ind w:firstLine="480" w:firstLineChars="200"/>
    </w:pPr>
    <w:rPr>
      <w:sz w:val="24"/>
      <w:szCs w:val="21"/>
      <w:lang w:val="zh-CN"/>
    </w:rPr>
  </w:style>
  <w:style w:type="paragraph" w:customStyle="1" w:styleId="150">
    <w:name w:val="（一）"/>
    <w:basedOn w:val="1"/>
    <w:qFormat/>
    <w:uiPriority w:val="0"/>
    <w:pPr>
      <w:spacing w:line="460" w:lineRule="exact"/>
    </w:pPr>
    <w:rPr>
      <w:sz w:val="24"/>
    </w:rPr>
  </w:style>
  <w:style w:type="paragraph" w:customStyle="1" w:styleId="151">
    <w:name w:val="表"/>
    <w:basedOn w:val="152"/>
    <w:qFormat/>
    <w:uiPriority w:val="0"/>
    <w:pPr>
      <w:keepNext/>
      <w:keepLines/>
      <w:autoSpaceDE w:val="0"/>
      <w:autoSpaceDN w:val="0"/>
      <w:adjustRightInd w:val="0"/>
      <w:spacing w:line="240" w:lineRule="exact"/>
      <w:jc w:val="center"/>
    </w:pPr>
    <w:rPr>
      <w:snapToGrid w:val="0"/>
      <w:w w:val="80"/>
      <w:kern w:val="0"/>
      <w:szCs w:val="21"/>
    </w:rPr>
  </w:style>
  <w:style w:type="paragraph" w:customStyle="1" w:styleId="152">
    <w:name w:val="1.1"/>
    <w:basedOn w:val="1"/>
    <w:qFormat/>
    <w:uiPriority w:val="0"/>
    <w:rPr>
      <w:rFonts w:ascii="黑体"/>
      <w:sz w:val="30"/>
    </w:rPr>
  </w:style>
  <w:style w:type="paragraph" w:customStyle="1" w:styleId="153">
    <w:name w:val="标题4"/>
    <w:basedOn w:val="1"/>
    <w:qFormat/>
    <w:uiPriority w:val="0"/>
    <w:pPr>
      <w:spacing w:line="480" w:lineRule="exact"/>
      <w:ind w:firstLine="600" w:firstLineChars="200"/>
      <w:jc w:val="left"/>
    </w:pPr>
    <w:rPr>
      <w:rFonts w:ascii="Calibri" w:hAnsi="Calibri" w:cs="Calibri"/>
      <w:b/>
      <w:bCs/>
      <w:sz w:val="24"/>
      <w:szCs w:val="24"/>
    </w:rPr>
  </w:style>
  <w:style w:type="paragraph" w:customStyle="1" w:styleId="154">
    <w:name w:val="内容11"/>
    <w:basedOn w:val="6"/>
    <w:qFormat/>
    <w:uiPriority w:val="0"/>
    <w:pPr>
      <w:adjustRightInd w:val="0"/>
      <w:spacing w:line="360" w:lineRule="auto"/>
      <w:ind w:right="-92" w:rightChars="-44" w:firstLine="415" w:firstLineChars="179"/>
      <w:textAlignment w:val="baseline"/>
    </w:pPr>
    <w:rPr>
      <w:rFonts w:hAnsi="宋体" w:cs="宋体"/>
      <w:spacing w:val="-4"/>
      <w:position w:val="6"/>
      <w:sz w:val="24"/>
      <w:szCs w:val="24"/>
    </w:rPr>
  </w:style>
  <w:style w:type="paragraph" w:customStyle="1" w:styleId="155">
    <w:name w:val="Char2 Char Char Char Char Char Char Char Char Char Char Char Char Char Char Char Char Char Char Char Char Char Char Char Char Char Char Char Char"/>
    <w:basedOn w:val="4"/>
    <w:semiHidden/>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snapToGrid w:val="0"/>
      <w:color w:val="FF0000"/>
      <w:kern w:val="2"/>
      <w:sz w:val="24"/>
      <w:szCs w:val="24"/>
    </w:rPr>
  </w:style>
  <w:style w:type="paragraph" w:customStyle="1" w:styleId="156">
    <w:name w:val="1"/>
    <w:basedOn w:val="1"/>
    <w:next w:val="1"/>
    <w:qFormat/>
    <w:uiPriority w:val="0"/>
    <w:pPr>
      <w:snapToGrid w:val="0"/>
      <w:ind w:firstLine="548" w:firstLineChars="200"/>
      <w:jc w:val="center"/>
    </w:pPr>
    <w:rPr>
      <w:rFonts w:ascii="Arial" w:hAnsi="Arial"/>
      <w:sz w:val="24"/>
    </w:rPr>
  </w:style>
  <w:style w:type="paragraph" w:customStyle="1" w:styleId="157">
    <w:name w:val="w4"/>
    <w:basedOn w:val="1"/>
    <w:qFormat/>
    <w:uiPriority w:val="0"/>
    <w:pPr>
      <w:adjustRightInd w:val="0"/>
      <w:spacing w:line="360" w:lineRule="auto"/>
      <w:ind w:left="1200" w:firstLine="654"/>
      <w:textAlignment w:val="baseline"/>
    </w:pPr>
    <w:rPr>
      <w:rFonts w:ascii="宋体"/>
      <w:kern w:val="0"/>
      <w:sz w:val="28"/>
    </w:rPr>
  </w:style>
  <w:style w:type="paragraph" w:customStyle="1" w:styleId="158">
    <w:name w:val="Char2 Char Char Char Char Char Char Char Char Char Char Char Char Char Char Char Char Char Char Char Char Char Char Char Char Char Char Char Char1"/>
    <w:basedOn w:val="4"/>
    <w:semiHidden/>
    <w:qFormat/>
    <w:uiPriority w:val="0"/>
    <w:pPr>
      <w:widowControl w:val="0"/>
      <w:tabs>
        <w:tab w:val="left" w:pos="360"/>
        <w:tab w:val="left" w:pos="900"/>
      </w:tabs>
      <w:snapToGrid w:val="0"/>
      <w:spacing w:before="120" w:after="120" w:line="360" w:lineRule="auto"/>
      <w:ind w:left="542" w:leftChars="-12" w:firstLine="200" w:firstLineChars="200"/>
    </w:pPr>
    <w:rPr>
      <w:rFonts w:eastAsia="黑体"/>
      <w:b w:val="0"/>
      <w:color w:val="FF0000"/>
      <w:kern w:val="2"/>
      <w:sz w:val="24"/>
      <w:szCs w:val="24"/>
    </w:rPr>
  </w:style>
  <w:style w:type="paragraph" w:customStyle="1" w:styleId="159">
    <w:name w:val="_Style 17"/>
    <w:basedOn w:val="1"/>
    <w:next w:val="5"/>
    <w:qFormat/>
    <w:uiPriority w:val="0"/>
    <w:pPr>
      <w:widowControl/>
      <w:ind w:firstLine="539"/>
    </w:pPr>
    <w:rPr>
      <w:rFonts w:ascii="Arial" w:hAnsi="Arial"/>
      <w:kern w:val="0"/>
      <w:sz w:val="24"/>
    </w:rPr>
  </w:style>
  <w:style w:type="paragraph" w:customStyle="1" w:styleId="160">
    <w:name w:val="正文样式"/>
    <w:basedOn w:val="1"/>
    <w:link w:val="215"/>
    <w:qFormat/>
    <w:uiPriority w:val="0"/>
    <w:pPr>
      <w:spacing w:line="400" w:lineRule="exact"/>
      <w:ind w:firstLine="200" w:firstLineChars="200"/>
    </w:pPr>
    <w:rPr>
      <w:sz w:val="24"/>
    </w:rPr>
  </w:style>
  <w:style w:type="paragraph" w:customStyle="1" w:styleId="161">
    <w:name w:val="表格正文"/>
    <w:basedOn w:val="5"/>
    <w:next w:val="1"/>
    <w:qFormat/>
    <w:uiPriority w:val="0"/>
    <w:rPr>
      <w:spacing w:val="12"/>
      <w:kern w:val="1"/>
    </w:rPr>
  </w:style>
  <w:style w:type="paragraph" w:customStyle="1" w:styleId="162">
    <w:name w:val="样式 样式 样式 样式 正文@ + 首行缩进:  2 字符 字距调整小四 紧缩量  0.2 磅 + 首行缩进:  2 字符 + ..."/>
    <w:basedOn w:val="92"/>
    <w:qFormat/>
    <w:uiPriority w:val="0"/>
    <w:pPr>
      <w:ind w:firstLine="0" w:firstLineChars="0"/>
      <w:outlineLvl w:val="0"/>
    </w:pPr>
    <w:rPr>
      <w:rFonts w:ascii="黑体" w:hAnsi="Times New Roman" w:eastAsia="黑体"/>
      <w:kern w:val="2"/>
      <w:sz w:val="28"/>
    </w:rPr>
  </w:style>
  <w:style w:type="character" w:customStyle="1" w:styleId="163">
    <w:name w:val="页脚 Char"/>
    <w:link w:val="30"/>
    <w:qFormat/>
    <w:uiPriority w:val="99"/>
    <w:rPr>
      <w:kern w:val="2"/>
      <w:sz w:val="18"/>
    </w:rPr>
  </w:style>
  <w:style w:type="character" w:customStyle="1" w:styleId="164">
    <w:name w:val="标题 8 Char"/>
    <w:link w:val="11"/>
    <w:qFormat/>
    <w:uiPriority w:val="0"/>
    <w:rPr>
      <w:rFonts w:ascii="Arial" w:hAnsi="Arial" w:eastAsia="黑体"/>
      <w:kern w:val="2"/>
      <w:sz w:val="24"/>
      <w:szCs w:val="24"/>
    </w:rPr>
  </w:style>
  <w:style w:type="character" w:customStyle="1" w:styleId="165">
    <w:name w:val="正文首行缩进 Char"/>
    <w:link w:val="45"/>
    <w:qFormat/>
    <w:uiPriority w:val="0"/>
    <w:rPr>
      <w:kern w:val="2"/>
      <w:sz w:val="21"/>
    </w:rPr>
  </w:style>
  <w:style w:type="paragraph" w:customStyle="1" w:styleId="166">
    <w:name w:val="表格11"/>
    <w:basedOn w:val="151"/>
    <w:qFormat/>
    <w:uiPriority w:val="0"/>
    <w:pPr>
      <w:ind w:firstLine="200" w:firstLineChars="200"/>
      <w:jc w:val="left"/>
    </w:pPr>
  </w:style>
  <w:style w:type="character" w:customStyle="1" w:styleId="167">
    <w:name w:val="font21"/>
    <w:qFormat/>
    <w:uiPriority w:val="0"/>
    <w:rPr>
      <w:rFonts w:hint="eastAsia" w:ascii="宋体" w:hAnsi="宋体" w:eastAsia="宋体"/>
      <w:color w:val="000000"/>
      <w:sz w:val="21"/>
      <w:szCs w:val="21"/>
      <w:u w:val="none"/>
    </w:rPr>
  </w:style>
  <w:style w:type="character" w:customStyle="1" w:styleId="168">
    <w:name w:val="font11"/>
    <w:qFormat/>
    <w:uiPriority w:val="0"/>
    <w:rPr>
      <w:rFonts w:hint="default" w:ascii="Times New Roman" w:hAnsi="Times New Roman" w:cs="Times New Roman"/>
      <w:color w:val="000000"/>
      <w:sz w:val="21"/>
      <w:szCs w:val="21"/>
      <w:u w:val="none"/>
    </w:rPr>
  </w:style>
  <w:style w:type="character" w:customStyle="1" w:styleId="169">
    <w:name w:val="font01"/>
    <w:qFormat/>
    <w:uiPriority w:val="0"/>
    <w:rPr>
      <w:rFonts w:hint="default" w:ascii="Times New Roman" w:hAnsi="Times New Roman" w:cs="Times New Roman"/>
      <w:color w:val="000000"/>
      <w:sz w:val="10"/>
      <w:szCs w:val="10"/>
      <w:u w:val="none"/>
    </w:rPr>
  </w:style>
  <w:style w:type="character" w:customStyle="1" w:styleId="170">
    <w:name w:val="font31"/>
    <w:basedOn w:val="50"/>
    <w:qFormat/>
    <w:uiPriority w:val="0"/>
    <w:rPr>
      <w:rFonts w:hint="default" w:ascii="Times New Roman" w:hAnsi="Times New Roman" w:cs="Times New Roman"/>
      <w:color w:val="000000"/>
      <w:sz w:val="10"/>
      <w:szCs w:val="10"/>
      <w:u w:val="none"/>
    </w:rPr>
  </w:style>
  <w:style w:type="paragraph" w:customStyle="1" w:styleId="171">
    <w:name w:val="1正文"/>
    <w:basedOn w:val="1"/>
    <w:next w:val="21"/>
    <w:link w:val="193"/>
    <w:qFormat/>
    <w:uiPriority w:val="0"/>
    <w:pPr>
      <w:spacing w:line="440" w:lineRule="exact"/>
      <w:ind w:firstLine="200" w:firstLineChars="200"/>
    </w:pPr>
    <w:rPr>
      <w:snapToGrid w:val="0"/>
      <w:sz w:val="24"/>
      <w:szCs w:val="24"/>
    </w:rPr>
  </w:style>
  <w:style w:type="paragraph" w:customStyle="1" w:styleId="172">
    <w:name w:val="正文缩进1"/>
    <w:basedOn w:val="22"/>
    <w:qFormat/>
    <w:uiPriority w:val="0"/>
    <w:pPr>
      <w:adjustRightInd w:val="0"/>
      <w:spacing w:line="440" w:lineRule="exact"/>
      <w:ind w:firstLine="200" w:firstLineChars="200"/>
    </w:pPr>
    <w:rPr>
      <w:rFonts w:ascii="Times New Roman" w:cs="宋体"/>
      <w:spacing w:val="4"/>
      <w:kern w:val="0"/>
    </w:rPr>
  </w:style>
  <w:style w:type="paragraph" w:customStyle="1" w:styleId="173">
    <w:name w:val="1表格文字"/>
    <w:basedOn w:val="146"/>
    <w:next w:val="1"/>
    <w:qFormat/>
    <w:uiPriority w:val="0"/>
    <w:pPr>
      <w:tabs>
        <w:tab w:val="left" w:pos="0"/>
        <w:tab w:val="left" w:pos="360"/>
        <w:tab w:val="left" w:pos="900"/>
      </w:tabs>
      <w:topLinePunct/>
      <w:autoSpaceDE w:val="0"/>
      <w:autoSpaceDN w:val="0"/>
      <w:adjustRightInd w:val="0"/>
      <w:snapToGrid w:val="0"/>
      <w:spacing w:line="240" w:lineRule="auto"/>
      <w:textAlignment w:val="baseline"/>
    </w:pPr>
    <w:rPr>
      <w:bCs/>
      <w:spacing w:val="-12"/>
      <w:kern w:val="0"/>
      <w:sz w:val="21"/>
      <w:szCs w:val="20"/>
    </w:rPr>
  </w:style>
  <w:style w:type="paragraph" w:customStyle="1" w:styleId="174">
    <w:name w:val="2表格标题"/>
    <w:basedOn w:val="43"/>
    <w:next w:val="43"/>
    <w:qFormat/>
    <w:uiPriority w:val="0"/>
    <w:pPr>
      <w:tabs>
        <w:tab w:val="left" w:pos="360"/>
        <w:tab w:val="left" w:pos="900"/>
      </w:tabs>
      <w:adjustRightInd w:val="0"/>
      <w:snapToGrid w:val="0"/>
      <w:spacing w:before="0" w:after="0" w:line="440" w:lineRule="exact"/>
      <w:outlineLvl w:val="9"/>
    </w:pPr>
    <w:rPr>
      <w:rFonts w:ascii="Times New Roman" w:hAnsi="Times New Roman" w:eastAsia="宋体" w:cs="Times New Roman"/>
      <w:bCs w:val="0"/>
      <w:snapToGrid w:val="0"/>
      <w:sz w:val="24"/>
      <w:szCs w:val="24"/>
    </w:rPr>
  </w:style>
  <w:style w:type="character" w:customStyle="1" w:styleId="175">
    <w:name w:val="标题 Char"/>
    <w:basedOn w:val="50"/>
    <w:link w:val="43"/>
    <w:qFormat/>
    <w:uiPriority w:val="0"/>
    <w:rPr>
      <w:rFonts w:asciiTheme="majorHAnsi" w:hAnsiTheme="majorHAnsi" w:eastAsiaTheme="majorEastAsia" w:cstheme="majorBidi"/>
      <w:b/>
      <w:bCs/>
      <w:kern w:val="2"/>
      <w:sz w:val="32"/>
      <w:szCs w:val="32"/>
    </w:rPr>
  </w:style>
  <w:style w:type="character" w:customStyle="1" w:styleId="176">
    <w:name w:val="正文缩进 字符1"/>
    <w:qFormat/>
    <w:uiPriority w:val="99"/>
    <w:rPr>
      <w:kern w:val="2"/>
      <w:sz w:val="24"/>
    </w:rPr>
  </w:style>
  <w:style w:type="character" w:customStyle="1" w:styleId="177">
    <w:name w:val="表文 Char"/>
    <w:link w:val="178"/>
    <w:qFormat/>
    <w:uiPriority w:val="0"/>
    <w:rPr>
      <w:spacing w:val="-12"/>
      <w:sz w:val="21"/>
      <w:szCs w:val="21"/>
    </w:rPr>
  </w:style>
  <w:style w:type="paragraph" w:customStyle="1" w:styleId="178">
    <w:name w:val="表文"/>
    <w:basedOn w:val="1"/>
    <w:link w:val="177"/>
    <w:qFormat/>
    <w:uiPriority w:val="0"/>
    <w:pPr>
      <w:widowControl/>
      <w:adjustRightInd w:val="0"/>
      <w:snapToGrid w:val="0"/>
      <w:spacing w:line="240" w:lineRule="atLeast"/>
      <w:jc w:val="center"/>
    </w:pPr>
    <w:rPr>
      <w:spacing w:val="-12"/>
      <w:kern w:val="0"/>
      <w:szCs w:val="21"/>
    </w:rPr>
  </w:style>
  <w:style w:type="character" w:customStyle="1" w:styleId="179">
    <w:name w:val="正文－R Char"/>
    <w:link w:val="180"/>
    <w:qFormat/>
    <w:uiPriority w:val="0"/>
    <w:rPr>
      <w:sz w:val="24"/>
    </w:rPr>
  </w:style>
  <w:style w:type="paragraph" w:customStyle="1" w:styleId="180">
    <w:name w:val="正文－R"/>
    <w:basedOn w:val="1"/>
    <w:link w:val="179"/>
    <w:qFormat/>
    <w:uiPriority w:val="0"/>
    <w:pPr>
      <w:spacing w:line="440" w:lineRule="exact"/>
      <w:ind w:firstLine="200" w:firstLineChars="200"/>
    </w:pPr>
    <w:rPr>
      <w:kern w:val="0"/>
      <w:sz w:val="24"/>
    </w:rPr>
  </w:style>
  <w:style w:type="paragraph" w:customStyle="1" w:styleId="181">
    <w:name w:val="正文（首行缩进两字） Char Char"/>
    <w:basedOn w:val="1"/>
    <w:next w:val="5"/>
    <w:qFormat/>
    <w:uiPriority w:val="0"/>
    <w:pPr>
      <w:widowControl/>
      <w:adjustRightInd w:val="0"/>
      <w:snapToGrid w:val="0"/>
      <w:spacing w:line="440" w:lineRule="exact"/>
      <w:ind w:firstLine="200" w:firstLineChars="200"/>
    </w:pPr>
    <w:rPr>
      <w:snapToGrid w:val="0"/>
      <w:sz w:val="24"/>
    </w:rPr>
  </w:style>
  <w:style w:type="paragraph" w:customStyle="1" w:styleId="182">
    <w:name w:val="表头文字"/>
    <w:basedOn w:val="1"/>
    <w:link w:val="183"/>
    <w:qFormat/>
    <w:uiPriority w:val="0"/>
    <w:pPr>
      <w:jc w:val="center"/>
    </w:pPr>
    <w:rPr>
      <w:b/>
      <w:sz w:val="24"/>
      <w:szCs w:val="24"/>
    </w:rPr>
  </w:style>
  <w:style w:type="character" w:customStyle="1" w:styleId="183">
    <w:name w:val="表头文字 Char"/>
    <w:basedOn w:val="50"/>
    <w:link w:val="182"/>
    <w:qFormat/>
    <w:uiPriority w:val="0"/>
    <w:rPr>
      <w:b/>
      <w:kern w:val="2"/>
      <w:sz w:val="24"/>
      <w:szCs w:val="24"/>
    </w:rPr>
  </w:style>
  <w:style w:type="character" w:customStyle="1" w:styleId="184">
    <w:name w:val="正文1 Char1"/>
    <w:link w:val="33"/>
    <w:qFormat/>
    <w:uiPriority w:val="0"/>
    <w:rPr>
      <w:snapToGrid w:val="0"/>
      <w:sz w:val="24"/>
    </w:rPr>
  </w:style>
  <w:style w:type="paragraph" w:customStyle="1" w:styleId="185">
    <w:name w:val="_Style 7"/>
    <w:basedOn w:val="4"/>
    <w:qFormat/>
    <w:uiPriority w:val="0"/>
    <w:pPr>
      <w:widowControl w:val="0"/>
      <w:tabs>
        <w:tab w:val="left" w:pos="360"/>
        <w:tab w:val="left" w:pos="900"/>
      </w:tabs>
      <w:snapToGrid w:val="0"/>
      <w:spacing w:before="120" w:after="120" w:line="360" w:lineRule="auto"/>
      <w:ind w:left="542" w:leftChars="-12" w:firstLine="200" w:firstLineChars="200"/>
    </w:pPr>
    <w:rPr>
      <w:bCs/>
      <w:kern w:val="2"/>
      <w:szCs w:val="32"/>
    </w:rPr>
  </w:style>
  <w:style w:type="paragraph" w:customStyle="1" w:styleId="186">
    <w:name w:val="【表格】"/>
    <w:next w:val="45"/>
    <w:qFormat/>
    <w:uiPriority w:val="0"/>
    <w:pPr>
      <w:spacing w:line="300" w:lineRule="exact"/>
      <w:jc w:val="center"/>
    </w:pPr>
    <w:rPr>
      <w:rFonts w:ascii="Times New Roman" w:hAnsi="Times New Roman" w:eastAsia="宋体" w:cs="Times New Roman"/>
      <w:sz w:val="21"/>
      <w:szCs w:val="24"/>
      <w:lang w:val="en-US" w:eastAsia="zh-CN" w:bidi="ar-SA"/>
    </w:rPr>
  </w:style>
  <w:style w:type="paragraph" w:customStyle="1" w:styleId="187">
    <w:name w:val="【表头】"/>
    <w:basedOn w:val="1"/>
    <w:link w:val="188"/>
    <w:qFormat/>
    <w:uiPriority w:val="0"/>
    <w:pPr>
      <w:widowControl/>
      <w:jc w:val="center"/>
    </w:pPr>
    <w:rPr>
      <w:b/>
      <w:kern w:val="0"/>
      <w:sz w:val="24"/>
      <w:szCs w:val="24"/>
    </w:rPr>
  </w:style>
  <w:style w:type="character" w:customStyle="1" w:styleId="188">
    <w:name w:val="【表头】 Char"/>
    <w:link w:val="187"/>
    <w:qFormat/>
    <w:locked/>
    <w:uiPriority w:val="0"/>
    <w:rPr>
      <w:b/>
      <w:sz w:val="24"/>
      <w:szCs w:val="24"/>
    </w:rPr>
  </w:style>
  <w:style w:type="character" w:customStyle="1" w:styleId="189">
    <w:name w:val="样式2 Char"/>
    <w:link w:val="190"/>
    <w:qFormat/>
    <w:uiPriority w:val="0"/>
    <w:rPr>
      <w:rFonts w:ascii="宋体" w:hAnsi="宋体"/>
      <w:kern w:val="2"/>
      <w:sz w:val="24"/>
      <w:szCs w:val="24"/>
    </w:rPr>
  </w:style>
  <w:style w:type="paragraph" w:customStyle="1" w:styleId="190">
    <w:name w:val="样式2"/>
    <w:basedOn w:val="1"/>
    <w:link w:val="189"/>
    <w:qFormat/>
    <w:uiPriority w:val="0"/>
    <w:pPr>
      <w:widowControl/>
      <w:snapToGrid w:val="0"/>
      <w:spacing w:line="440" w:lineRule="exact"/>
      <w:ind w:firstLine="200" w:firstLineChars="200"/>
      <w:jc w:val="left"/>
    </w:pPr>
    <w:rPr>
      <w:rFonts w:ascii="宋体" w:hAnsi="宋体"/>
      <w:sz w:val="24"/>
      <w:szCs w:val="24"/>
    </w:rPr>
  </w:style>
  <w:style w:type="character" w:customStyle="1" w:styleId="191">
    <w:name w:val="普通(网站) Char"/>
    <w:link w:val="41"/>
    <w:qFormat/>
    <w:locked/>
    <w:uiPriority w:val="99"/>
    <w:rPr>
      <w:rFonts w:ascii="宋体" w:hAnsi="宋体" w:cs="宋体"/>
      <w:color w:val="000000"/>
      <w:sz w:val="24"/>
      <w:szCs w:val="24"/>
    </w:rPr>
  </w:style>
  <w:style w:type="paragraph" w:customStyle="1" w:styleId="192">
    <w:name w:val="A正文"/>
    <w:basedOn w:val="1"/>
    <w:qFormat/>
    <w:uiPriority w:val="99"/>
    <w:pPr>
      <w:spacing w:line="440" w:lineRule="exact"/>
      <w:ind w:firstLine="200" w:firstLineChars="200"/>
    </w:pPr>
    <w:rPr>
      <w:rFonts w:hint="eastAsia"/>
      <w:sz w:val="24"/>
    </w:rPr>
  </w:style>
  <w:style w:type="character" w:customStyle="1" w:styleId="193">
    <w:name w:val="1正文 Char"/>
    <w:link w:val="171"/>
    <w:qFormat/>
    <w:uiPriority w:val="0"/>
    <w:rPr>
      <w:snapToGrid w:val="0"/>
      <w:kern w:val="2"/>
      <w:sz w:val="24"/>
      <w:szCs w:val="24"/>
    </w:rPr>
  </w:style>
  <w:style w:type="paragraph" w:customStyle="1" w:styleId="194">
    <w:name w:val="兰天 规划 正文"/>
    <w:basedOn w:val="1"/>
    <w:qFormat/>
    <w:uiPriority w:val="99"/>
    <w:pPr>
      <w:widowControl/>
      <w:adjustRightInd w:val="0"/>
      <w:snapToGrid w:val="0"/>
      <w:spacing w:line="440" w:lineRule="exact"/>
      <w:ind w:firstLine="200" w:firstLineChars="200"/>
    </w:pPr>
    <w:rPr>
      <w:rFonts w:ascii="宋体" w:hAnsi="宋体"/>
      <w:color w:val="0070C0"/>
      <w:spacing w:val="4"/>
      <w:kern w:val="0"/>
      <w:sz w:val="24"/>
      <w:szCs w:val="22"/>
    </w:rPr>
  </w:style>
  <w:style w:type="paragraph" w:customStyle="1" w:styleId="195">
    <w:name w:val="2表格字体"/>
    <w:basedOn w:val="1"/>
    <w:qFormat/>
    <w:uiPriority w:val="99"/>
    <w:pPr>
      <w:adjustRightInd w:val="0"/>
      <w:snapToGrid w:val="0"/>
      <w:jc w:val="center"/>
    </w:pPr>
    <w:rPr>
      <w:rFonts w:ascii="Arial" w:hAnsi="Arial"/>
      <w:kern w:val="0"/>
      <w:sz w:val="24"/>
    </w:rPr>
  </w:style>
  <w:style w:type="character" w:customStyle="1" w:styleId="196">
    <w:name w:val="报告正文 字符"/>
    <w:link w:val="197"/>
    <w:qFormat/>
    <w:uiPriority w:val="0"/>
    <w:rPr>
      <w:color w:val="000000"/>
      <w:kern w:val="2"/>
      <w:sz w:val="24"/>
      <w:szCs w:val="24"/>
      <w:lang w:val="zh-CN"/>
    </w:rPr>
  </w:style>
  <w:style w:type="paragraph" w:customStyle="1" w:styleId="197">
    <w:name w:val="报告正文"/>
    <w:basedOn w:val="1"/>
    <w:link w:val="196"/>
    <w:qFormat/>
    <w:uiPriority w:val="0"/>
    <w:pPr>
      <w:adjustRightInd w:val="0"/>
      <w:snapToGrid w:val="0"/>
      <w:spacing w:line="440" w:lineRule="exact"/>
      <w:ind w:firstLine="200" w:firstLineChars="200"/>
    </w:pPr>
    <w:rPr>
      <w:color w:val="000000"/>
      <w:sz w:val="24"/>
      <w:szCs w:val="24"/>
      <w:lang w:val="zh-CN"/>
    </w:rPr>
  </w:style>
  <w:style w:type="character" w:customStyle="1" w:styleId="198">
    <w:name w:val="标题 3 Char1"/>
    <w:qFormat/>
    <w:uiPriority w:val="0"/>
    <w:rPr>
      <w:b/>
      <w:bCs/>
      <w:kern w:val="2"/>
      <w:sz w:val="32"/>
      <w:szCs w:val="32"/>
    </w:rPr>
  </w:style>
  <w:style w:type="character" w:customStyle="1" w:styleId="199">
    <w:name w:val="HTML 预设格式 Char1"/>
    <w:qFormat/>
    <w:uiPriority w:val="0"/>
    <w:rPr>
      <w:rFonts w:ascii="Courier New" w:hAnsi="Courier New" w:cs="Courier New"/>
      <w:kern w:val="2"/>
    </w:rPr>
  </w:style>
  <w:style w:type="paragraph" w:customStyle="1" w:styleId="200">
    <w:name w:val="表格文字"/>
    <w:basedOn w:val="173"/>
    <w:qFormat/>
    <w:uiPriority w:val="0"/>
    <w:pPr>
      <w:spacing w:line="240" w:lineRule="exact"/>
    </w:pPr>
    <w:rPr>
      <w:w w:val="90"/>
    </w:rPr>
  </w:style>
  <w:style w:type="character" w:customStyle="1" w:styleId="201">
    <w:name w:val="表头 Char Char"/>
    <w:qFormat/>
    <w:uiPriority w:val="0"/>
    <w:rPr>
      <w:rFonts w:cstheme="minorBidi"/>
      <w:b/>
      <w:kern w:val="2"/>
      <w:sz w:val="24"/>
      <w:szCs w:val="22"/>
    </w:rPr>
  </w:style>
  <w:style w:type="character" w:customStyle="1" w:styleId="202">
    <w:name w:val="HTML 预设格式 Char"/>
    <w:basedOn w:val="50"/>
    <w:link w:val="40"/>
    <w:qFormat/>
    <w:uiPriority w:val="0"/>
    <w:rPr>
      <w:rFonts w:ascii="宋体" w:hAnsi="宋体" w:cs="宋体"/>
      <w:sz w:val="24"/>
      <w:szCs w:val="24"/>
    </w:rPr>
  </w:style>
  <w:style w:type="paragraph" w:customStyle="1" w:styleId="203">
    <w:name w:val="文"/>
    <w:basedOn w:val="1"/>
    <w:qFormat/>
    <w:uiPriority w:val="0"/>
    <w:pPr>
      <w:spacing w:line="360" w:lineRule="auto"/>
      <w:ind w:firstLine="480" w:firstLineChars="200"/>
    </w:pPr>
    <w:rPr>
      <w:sz w:val="24"/>
      <w:szCs w:val="24"/>
    </w:rPr>
  </w:style>
  <w:style w:type="paragraph" w:customStyle="1" w:styleId="204">
    <w:name w:val="表头居中"/>
    <w:basedOn w:val="1"/>
    <w:next w:val="1"/>
    <w:qFormat/>
    <w:uiPriority w:val="0"/>
    <w:pPr>
      <w:spacing w:line="440" w:lineRule="exact"/>
      <w:jc w:val="center"/>
    </w:pPr>
    <w:rPr>
      <w:b/>
      <w:color w:val="000000"/>
      <w:kern w:val="0"/>
      <w:sz w:val="24"/>
      <w:szCs w:val="22"/>
    </w:rPr>
  </w:style>
  <w:style w:type="character" w:customStyle="1" w:styleId="205">
    <w:name w:val="列出段落 Char"/>
    <w:link w:val="133"/>
    <w:qFormat/>
    <w:uiPriority w:val="99"/>
    <w:rPr>
      <w:rFonts w:ascii="Calibri" w:hAnsi="Calibri"/>
      <w:kern w:val="2"/>
      <w:sz w:val="21"/>
      <w:szCs w:val="22"/>
    </w:rPr>
  </w:style>
  <w:style w:type="paragraph" w:customStyle="1" w:styleId="206">
    <w:name w:val="修订1"/>
    <w:hidden/>
    <w:semiHidden/>
    <w:qFormat/>
    <w:uiPriority w:val="99"/>
    <w:rPr>
      <w:rFonts w:ascii="Times New Roman" w:hAnsi="Times New Roman" w:eastAsia="宋体" w:cs="Times New Roman"/>
      <w:kern w:val="2"/>
      <w:sz w:val="21"/>
      <w:lang w:val="en-US" w:eastAsia="zh-CN" w:bidi="ar-SA"/>
    </w:rPr>
  </w:style>
  <w:style w:type="paragraph" w:customStyle="1" w:styleId="207">
    <w:name w:val="质量报告书正文"/>
    <w:basedOn w:val="1"/>
    <w:qFormat/>
    <w:uiPriority w:val="0"/>
    <w:pPr>
      <w:spacing w:line="440" w:lineRule="exact"/>
      <w:ind w:firstLine="560" w:firstLineChars="200"/>
    </w:pPr>
    <w:rPr>
      <w:rFonts w:eastAsia="仿宋_GB2312" w:cstheme="minorBidi"/>
      <w:sz w:val="28"/>
      <w:szCs w:val="22"/>
    </w:rPr>
  </w:style>
  <w:style w:type="paragraph" w:customStyle="1" w:styleId="208">
    <w:name w:val="正文首行缩进1"/>
    <w:basedOn w:val="21"/>
    <w:qFormat/>
    <w:uiPriority w:val="0"/>
    <w:pPr>
      <w:spacing w:before="149" w:after="120"/>
      <w:ind w:left="220" w:firstLine="420"/>
    </w:pPr>
    <w:rPr>
      <w:rFonts w:hAnsi="仿宋_GB2312" w:cs="仿宋_GB2312"/>
      <w:sz w:val="21"/>
      <w:szCs w:val="24"/>
      <w:lang w:val="zh-CN" w:bidi="zh-CN"/>
    </w:rPr>
  </w:style>
  <w:style w:type="paragraph" w:customStyle="1" w:styleId="209">
    <w:name w:val="C2"/>
    <w:basedOn w:val="1"/>
    <w:qFormat/>
    <w:uiPriority w:val="0"/>
    <w:pPr>
      <w:autoSpaceDE w:val="0"/>
      <w:autoSpaceDN w:val="0"/>
      <w:jc w:val="left"/>
    </w:pPr>
    <w:rPr>
      <w:rFonts w:ascii="宋体" w:hAnsi="宋体" w:cs="宋体"/>
      <w:kern w:val="0"/>
      <w:sz w:val="28"/>
      <w:lang w:val="zh-CN" w:bidi="zh-CN"/>
    </w:rPr>
  </w:style>
  <w:style w:type="paragraph" w:customStyle="1" w:styleId="210">
    <w:name w:val="样式 样式 样式 首行缩进:  1 字符 + 首行缩进:  2 字符2 + 首行缩进:  2 字符 行距: 固定值 23 磅"/>
    <w:basedOn w:val="1"/>
    <w:qFormat/>
    <w:uiPriority w:val="0"/>
    <w:pPr>
      <w:autoSpaceDE w:val="0"/>
      <w:autoSpaceDN w:val="0"/>
      <w:adjustRightInd w:val="0"/>
      <w:snapToGrid w:val="0"/>
      <w:spacing w:line="360" w:lineRule="auto"/>
      <w:ind w:firstLine="200" w:firstLineChars="200"/>
      <w:jc w:val="left"/>
    </w:pPr>
    <w:rPr>
      <w:rFonts w:ascii="宋体" w:hAnsi="宋体" w:cs="宋体"/>
      <w:kern w:val="0"/>
      <w:sz w:val="24"/>
      <w:szCs w:val="22"/>
      <w:lang w:val="zh-CN" w:bidi="zh-CN"/>
    </w:rPr>
  </w:style>
  <w:style w:type="character" w:customStyle="1" w:styleId="211">
    <w:name w:val="页脚 字符"/>
    <w:basedOn w:val="50"/>
    <w:qFormat/>
    <w:uiPriority w:val="99"/>
  </w:style>
  <w:style w:type="character" w:customStyle="1" w:styleId="212">
    <w:name w:val="fontstyle01"/>
    <w:qFormat/>
    <w:uiPriority w:val="0"/>
    <w:rPr>
      <w:rFonts w:hint="eastAsia" w:ascii="宋体" w:hAnsi="宋体" w:eastAsia="宋体"/>
      <w:color w:val="000000"/>
      <w:sz w:val="24"/>
      <w:szCs w:val="24"/>
    </w:rPr>
  </w:style>
  <w:style w:type="character" w:customStyle="1" w:styleId="213">
    <w:name w:val="1项目名称 Char"/>
    <w:link w:val="214"/>
    <w:qFormat/>
    <w:uiPriority w:val="0"/>
    <w:rPr>
      <w:b/>
      <w:sz w:val="32"/>
      <w:szCs w:val="24"/>
    </w:rPr>
  </w:style>
  <w:style w:type="paragraph" w:customStyle="1" w:styleId="214">
    <w:name w:val="1项目名称"/>
    <w:link w:val="213"/>
    <w:qFormat/>
    <w:uiPriority w:val="0"/>
    <w:pPr>
      <w:spacing w:line="360" w:lineRule="auto"/>
      <w:ind w:hanging="1480" w:hangingChars="434"/>
    </w:pPr>
    <w:rPr>
      <w:rFonts w:ascii="Times New Roman" w:hAnsi="Times New Roman" w:eastAsia="宋体" w:cs="Times New Roman"/>
      <w:b/>
      <w:sz w:val="32"/>
      <w:szCs w:val="24"/>
      <w:lang w:val="en-US" w:eastAsia="zh-CN" w:bidi="ar-SA"/>
    </w:rPr>
  </w:style>
  <w:style w:type="character" w:customStyle="1" w:styleId="215">
    <w:name w:val="正文样式 Char"/>
    <w:link w:val="160"/>
    <w:qFormat/>
    <w:uiPriority w:val="0"/>
    <w:rPr>
      <w:kern w:val="2"/>
      <w:sz w:val="24"/>
    </w:rPr>
  </w:style>
  <w:style w:type="table" w:customStyle="1" w:styleId="216">
    <w:name w:val="Table Normal"/>
    <w:semiHidden/>
    <w:unhideWhenUsed/>
    <w:qFormat/>
    <w:uiPriority w:val="2"/>
    <w:pPr>
      <w:widowControl w:val="0"/>
    </w:pPr>
    <w:rPr>
      <w:rFonts w:asciiTheme="minorHAnsi" w:hAnsiTheme="minorHAnsi" w:eastAsiaTheme="minorEastAsia" w:cstheme="minorBidi"/>
      <w:sz w:val="22"/>
      <w:szCs w:val="22"/>
      <w:lang w:eastAsia="en-US"/>
    </w:rPr>
    <w:tblPr>
      <w:tblCellMar>
        <w:top w:w="0" w:type="dxa"/>
        <w:left w:w="0" w:type="dxa"/>
        <w:bottom w:w="0" w:type="dxa"/>
        <w:right w:w="0" w:type="dxa"/>
      </w:tblCellMar>
    </w:tblPr>
  </w:style>
  <w:style w:type="paragraph" w:customStyle="1" w:styleId="217">
    <w:name w:val="修订2"/>
    <w:hidden/>
    <w:semiHidden/>
    <w:qFormat/>
    <w:uiPriority w:val="99"/>
    <w:rPr>
      <w:rFonts w:ascii="Times New Roman" w:hAnsi="Times New Roman" w:eastAsia="宋体" w:cs="Times New Roman"/>
      <w:kern w:val="2"/>
      <w:sz w:val="21"/>
      <w:lang w:val="en-US" w:eastAsia="zh-CN" w:bidi="ar-SA"/>
    </w:rPr>
  </w:style>
  <w:style w:type="paragraph" w:customStyle="1" w:styleId="218">
    <w:name w:val="正文01"/>
    <w:basedOn w:val="1"/>
    <w:qFormat/>
    <w:uiPriority w:val="0"/>
    <w:pPr>
      <w:spacing w:before="60" w:line="460" w:lineRule="exact"/>
      <w:ind w:firstLine="200" w:firstLineChars="200"/>
    </w:pPr>
    <w:rPr>
      <w:sz w:val="24"/>
      <w:szCs w:val="24"/>
    </w:rPr>
  </w:style>
  <w:style w:type="paragraph" w:customStyle="1" w:styleId="219">
    <w:name w:val="TOC 标题1"/>
    <w:basedOn w:val="2"/>
    <w:next w:val="1"/>
    <w:unhideWhenUsed/>
    <w:qFormat/>
    <w:uiPriority w:val="39"/>
    <w:pPr>
      <w:keepNext/>
      <w:keepLines/>
      <w:pageBreakBefore w:val="0"/>
      <w:widowControl/>
      <w:spacing w:before="240" w:line="259" w:lineRule="auto"/>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220">
    <w:name w:val="content-right_8zs40"/>
    <w:basedOn w:val="50"/>
    <w:qFormat/>
    <w:uiPriority w:val="0"/>
  </w:style>
  <w:style w:type="character" w:customStyle="1" w:styleId="221">
    <w:name w:val="【正文】 Char"/>
    <w:link w:val="222"/>
    <w:qFormat/>
    <w:uiPriority w:val="0"/>
    <w:rPr>
      <w:sz w:val="24"/>
    </w:rPr>
  </w:style>
  <w:style w:type="paragraph" w:customStyle="1" w:styleId="222">
    <w:name w:val="【正文】"/>
    <w:basedOn w:val="1"/>
    <w:link w:val="221"/>
    <w:qFormat/>
    <w:uiPriority w:val="0"/>
    <w:pPr>
      <w:spacing w:line="440" w:lineRule="exact"/>
      <w:ind w:firstLine="200" w:firstLineChars="200"/>
    </w:pPr>
    <w:rPr>
      <w:kern w:val="0"/>
      <w:sz w:val="24"/>
    </w:rPr>
  </w:style>
  <w:style w:type="character" w:customStyle="1" w:styleId="223">
    <w:name w:val="【表中文字】 Char"/>
    <w:link w:val="224"/>
    <w:qFormat/>
    <w:uiPriority w:val="0"/>
    <w:rPr>
      <w:sz w:val="21"/>
    </w:rPr>
  </w:style>
  <w:style w:type="paragraph" w:customStyle="1" w:styleId="224">
    <w:name w:val="【表中文字】"/>
    <w:basedOn w:val="1"/>
    <w:link w:val="223"/>
    <w:qFormat/>
    <w:uiPriority w:val="0"/>
    <w:pPr>
      <w:jc w:val="center"/>
    </w:pPr>
    <w:rPr>
      <w:kern w:val="0"/>
    </w:rPr>
  </w:style>
  <w:style w:type="paragraph" w:customStyle="1" w:styleId="225">
    <w:name w:val="0--表格文字"/>
    <w:basedOn w:val="1"/>
    <w:qFormat/>
    <w:uiPriority w:val="0"/>
    <w:pPr>
      <w:spacing w:line="240" w:lineRule="exact"/>
      <w:contextualSpacing/>
      <w:jc w:val="center"/>
    </w:pPr>
    <w:rPr>
      <w:bCs/>
      <w:spacing w:val="-6"/>
      <w:w w:val="90"/>
      <w:kern w:val="0"/>
      <w:szCs w:val="21"/>
    </w:rPr>
  </w:style>
  <w:style w:type="paragraph" w:customStyle="1" w:styleId="226">
    <w:name w:val="表格格式"/>
    <w:basedOn w:val="35"/>
    <w:next w:val="1"/>
    <w:qFormat/>
    <w:uiPriority w:val="0"/>
    <w:pPr>
      <w:jc w:val="center"/>
    </w:pPr>
    <w:rPr>
      <w:snapToGrid w:val="0"/>
      <w:sz w:val="20"/>
    </w:rPr>
  </w:style>
  <w:style w:type="paragraph" w:customStyle="1" w:styleId="227">
    <w:name w:val="...正文"/>
    <w:basedOn w:val="1"/>
    <w:qFormat/>
    <w:uiPriority w:val="0"/>
    <w:pPr>
      <w:widowControl/>
      <w:spacing w:line="480" w:lineRule="exact"/>
      <w:ind w:firstLine="200" w:firstLineChars="200"/>
    </w:pPr>
    <w:rPr>
      <w:sz w:val="24"/>
    </w:rPr>
  </w:style>
  <w:style w:type="paragraph" w:customStyle="1" w:styleId="228">
    <w:name w:val="Table Text"/>
    <w:basedOn w:val="1"/>
    <w:semiHidden/>
    <w:qFormat/>
    <w:uiPriority w:val="0"/>
    <w:rPr>
      <w:rFonts w:ascii="宋体" w:hAnsi="宋体" w:eastAsia="宋体" w:cs="宋体"/>
      <w:sz w:val="20"/>
      <w:szCs w:val="20"/>
      <w:lang w:val="en-US" w:eastAsia="en-US" w:bidi="ar-SA"/>
    </w:rPr>
  </w:style>
  <w:style w:type="paragraph" w:customStyle="1" w:styleId="229">
    <w:name w:val="Other|1"/>
    <w:basedOn w:val="1"/>
    <w:qFormat/>
    <w:uiPriority w:val="0"/>
    <w:pPr>
      <w:spacing w:after="260"/>
      <w:ind w:firstLine="400"/>
    </w:pPr>
    <w:rPr>
      <w:rFonts w:ascii="宋体" w:hAnsi="宋体" w:cs="宋体"/>
      <w:sz w:val="28"/>
      <w:szCs w:val="28"/>
      <w:lang w:val="zh-TW" w:eastAsia="zh-TW" w:bidi="zh-TW"/>
    </w:rPr>
  </w:style>
  <w:style w:type="paragraph" w:customStyle="1" w:styleId="230">
    <w:name w:val="Body text|1"/>
    <w:basedOn w:val="1"/>
    <w:qFormat/>
    <w:uiPriority w:val="0"/>
    <w:pPr>
      <w:spacing w:line="257" w:lineRule="auto"/>
    </w:pPr>
    <w:rPr>
      <w:rFonts w:ascii="宋体" w:hAnsi="宋体" w:cs="宋体"/>
      <w:sz w:val="19"/>
      <w:szCs w:val="19"/>
      <w:lang w:val="zh-TW" w:eastAsia="zh-TW" w:bidi="zh-TW"/>
    </w:rPr>
  </w:style>
  <w:style w:type="character" w:customStyle="1" w:styleId="231">
    <w:name w:val="NormalCharacter"/>
    <w:qFormat/>
    <w:uiPriority w:val="0"/>
    <w:rPr>
      <w:rFonts w:ascii="Times New Roman" w:hAnsi="Times New Roman" w:eastAsia="宋体"/>
    </w:rPr>
  </w:style>
  <w:style w:type="paragraph" w:customStyle="1" w:styleId="232">
    <w:name w:val="lh-表格文字-报告表"/>
    <w:qFormat/>
    <w:uiPriority w:val="0"/>
    <w:pPr>
      <w:jc w:val="center"/>
    </w:pPr>
    <w:rPr>
      <w:rFonts w:ascii="Times New Roman" w:hAnsi="Times New Roman" w:eastAsia="宋体" w:cs="Times New Roman"/>
      <w:snapToGrid w:val="0"/>
      <w:sz w:val="21"/>
      <w:szCs w:val="24"/>
      <w:lang w:val="en-US" w:eastAsia="zh-CN" w:bidi="ar-SA"/>
    </w:rPr>
  </w:style>
  <w:style w:type="character" w:customStyle="1" w:styleId="233">
    <w:name w:val="bjh-strong"/>
    <w:qFormat/>
    <w:uiPriority w:val="0"/>
  </w:style>
  <w:style w:type="character" w:customStyle="1" w:styleId="234">
    <w:name w:val="bjh-p"/>
    <w:qFormat/>
    <w:uiPriority w:val="0"/>
  </w:style>
  <w:style w:type="paragraph" w:customStyle="1" w:styleId="235">
    <w:name w:val="中文报告书样式"/>
    <w:basedOn w:val="1"/>
    <w:qFormat/>
    <w:uiPriority w:val="0"/>
    <w:pPr>
      <w:adjustRightInd w:val="0"/>
      <w:spacing w:line="480" w:lineRule="atLeast"/>
      <w:ind w:firstLine="482"/>
      <w:textAlignment w:val="baseline"/>
    </w:pPr>
    <w:rPr>
      <w:kern w:val="24"/>
      <w:sz w:val="24"/>
    </w:rPr>
  </w:style>
  <w:style w:type="paragraph" w:customStyle="1" w:styleId="236">
    <w:name w:val="表内文本"/>
    <w:basedOn w:val="1"/>
    <w:qFormat/>
    <w:uiPriority w:val="0"/>
    <w:pPr>
      <w:adjustRightInd w:val="0"/>
      <w:snapToGrid w:val="0"/>
      <w:jc w:val="center"/>
    </w:pPr>
    <w:rPr>
      <w:bCs/>
      <w:szCs w:val="21"/>
    </w:rPr>
  </w:style>
  <w:style w:type="paragraph" w:customStyle="1" w:styleId="237">
    <w:name w:val="正文-报告表"/>
    <w:qFormat/>
    <w:uiPriority w:val="0"/>
    <w:pPr>
      <w:autoSpaceDE w:val="0"/>
      <w:autoSpaceDN w:val="0"/>
      <w:adjustRightInd w:val="0"/>
      <w:snapToGrid w:val="0"/>
      <w:spacing w:line="360" w:lineRule="auto"/>
      <w:ind w:firstLine="200" w:firstLineChars="200"/>
      <w:jc w:val="both"/>
    </w:pPr>
    <w:rPr>
      <w:rFonts w:ascii="宋体" w:hAnsi="宋体" w:eastAsia="宋体" w:cs="宋体"/>
      <w:sz w:val="21"/>
      <w:szCs w:val="21"/>
      <w:lang w:val="en-US" w:eastAsia="zh-CN" w:bidi="ar-SA"/>
    </w:rPr>
  </w:style>
  <w:style w:type="paragraph" w:customStyle="1" w:styleId="238">
    <w:name w:val="正文-报告表-行前0.5行"/>
    <w:basedOn w:val="237"/>
    <w:next w:val="237"/>
    <w:qFormat/>
    <w:uiPriority w:val="0"/>
    <w:pPr>
      <w:spacing w:before="50" w:beforeLines="50"/>
    </w:pPr>
  </w:style>
  <w:style w:type="paragraph" w:customStyle="1" w:styleId="239">
    <w:name w:val="书正文"/>
    <w:basedOn w:val="1"/>
    <w:qFormat/>
    <w:uiPriority w:val="0"/>
    <w:pPr>
      <w:spacing w:line="500" w:lineRule="exact"/>
      <w:ind w:firstLine="640" w:firstLineChars="200"/>
    </w:pPr>
  </w:style>
  <w:style w:type="paragraph" w:customStyle="1" w:styleId="240">
    <w:name w:val="04 正文"/>
    <w:basedOn w:val="1"/>
    <w:qFormat/>
    <w:uiPriority w:val="0"/>
    <w:pPr>
      <w:spacing w:line="400" w:lineRule="exact"/>
      <w:ind w:firstLine="480" w:firstLineChars="200"/>
      <w:jc w:val="both"/>
    </w:pPr>
    <w:rPr>
      <w:bCs/>
      <w:color w:val="000000"/>
      <w:sz w:val="24"/>
      <w:szCs w:val="21"/>
    </w:rPr>
  </w:style>
  <w:style w:type="paragraph" w:customStyle="1" w:styleId="241">
    <w:name w:val="正文_7"/>
    <w:qFormat/>
    <w:uiPriority w:val="0"/>
    <w:pPr>
      <w:widowControl w:val="0"/>
      <w:spacing w:line="380" w:lineRule="exact"/>
      <w:ind w:firstLine="720" w:firstLineChars="200"/>
      <w:jc w:val="both"/>
    </w:pPr>
    <w:rPr>
      <w:rFonts w:ascii="Times New Roman" w:hAnsi="Times New Roman" w:eastAsia="宋体" w:cs="Times New Roman"/>
      <w:kern w:val="2"/>
      <w:sz w:val="24"/>
      <w:lang w:val="en-US" w:eastAsia="zh-CN" w:bidi="ar-SA"/>
    </w:rPr>
  </w:style>
  <w:style w:type="paragraph" w:customStyle="1" w:styleId="242">
    <w:name w:val="正文_29"/>
    <w:basedOn w:val="21"/>
    <w:qFormat/>
    <w:uiPriority w:val="0"/>
    <w:pPr>
      <w:spacing w:before="0" w:after="0" w:line="360" w:lineRule="auto"/>
      <w:ind w:right="0" w:firstLine="420" w:firstLineChars="200"/>
    </w:pPr>
    <w:rPr>
      <w:sz w:val="21"/>
      <w:szCs w:val="21"/>
    </w:rPr>
  </w:style>
  <w:style w:type="paragraph" w:customStyle="1" w:styleId="243">
    <w:name w:val="表内"/>
    <w:basedOn w:val="1"/>
    <w:qFormat/>
    <w:uiPriority w:val="0"/>
    <w:pPr>
      <w:spacing w:line="240" w:lineRule="auto"/>
      <w:ind w:firstLine="0" w:firstLineChars="0"/>
      <w:jc w:val="center"/>
    </w:pPr>
    <w:rPr>
      <w:sz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8.png"/><Relationship Id="rId16" Type="http://schemas.openxmlformats.org/officeDocument/2006/relationships/image" Target="media/image7.wmf"/><Relationship Id="rId15" Type="http://schemas.openxmlformats.org/officeDocument/2006/relationships/image" Target="media/image6.wmf"/><Relationship Id="rId14" Type="http://schemas.openxmlformats.org/officeDocument/2006/relationships/image" Target="media/image5.wmf"/><Relationship Id="rId13" Type="http://schemas.openxmlformats.org/officeDocument/2006/relationships/image" Target="media/image4.wmf"/><Relationship Id="rId12" Type="http://schemas.openxmlformats.org/officeDocument/2006/relationships/image" Target="media/image3.wmf"/><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29579;&#38745;\&#29615;&#22659;&#24433;&#21709;&#25253;&#34920;\&#35780;&#20215;&#21333;&#20301;.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f70674f6-a5d0-436b-8dba-75df438cf290</errorID>
      <errorWord>污水厂</errorWord>
      <group>L1_Word</group>
      <groupName>字词问题</groupName>
      <ability>L2_Typo</ability>
      <abilityName>字词错误</abilityName>
      <candidateList>
        <item>污水处理厂</item>
      </candidateList>
      <explain/>
      <paraID>640EAEAE</paraID>
      <start>102</start>
      <end>105</end>
      <status>unmodified</status>
      <modifiedWord/>
      <trackRevisions>false</trackRevisions>
    </reviewItem>
    <reviewItem>
      <errorID>ebe9adc0-12cb-4d2f-83b8-91bb2c01e1d1</errorID>
      <errorWord>，</errorWord>
      <group>L1_Word</group>
      <groupName>字词问题</groupName>
      <ability>L2_Typo</ability>
      <abilityName>字词错误</abilityName>
      <candidateList>
        <item>，以</item>
      </candidateList>
      <explain/>
      <paraID>6874CBE5</paraID>
      <start>146</start>
      <end>147</end>
      <status>unmodified</status>
      <modifiedWord/>
      <trackRevisions>false</trackRevisions>
    </reviewItem>
    <reviewItem>
      <errorID>d6b5c6ec-2d62-40f5-94bd-eb534765139a</errorID>
      <errorWord>延</errorWord>
      <group>L1_Word</group>
      <groupName>字词问题</groupName>
      <ability>L2_Typo</ability>
      <abilityName>字词错误</abilityName>
      <candidateList>
        <item>沿</item>
      </candidateList>
      <explain>存在发音相同字词的误用。</explain>
      <paraID>5BD306C7</paraID>
      <start>179</start>
      <end>180</end>
      <status>unmodified</status>
      <modifiedWord/>
      <trackRevisions>false</trackRevisions>
    </reviewItem>
    <reviewItem>
      <errorID>22929e6b-093b-4666-ac5d-8cf4f7e3ce67</errorID>
      <errorWord>，</errorWord>
      <group>L1_Word</group>
      <groupName>字词问题</groupName>
      <ability>L2_Typo</ability>
      <abilityName>字词错误</abilityName>
      <candidateList>
        <item>，以</item>
      </candidateList>
      <explain/>
      <paraID>2CA07519</paraID>
      <start>121</start>
      <end>122</end>
      <status>unmodified</status>
      <modifiedWord/>
      <trackRevisions>false</trackRevisions>
    </reviewItem>
    <reviewItem>
      <errorID>6bc43431-51e8-4347-b381-8d67d9de887f</errorID>
      <errorWord>设置</errorWord>
      <group>L1_Word</group>
      <groupName>字词问题</groupName>
      <ability>L2_Typo</ability>
      <abilityName>字词错误</abilityName>
      <candidateList>
        <item>设施</item>
      </candidateList>
      <explain/>
      <paraID>6C21B7D4</paraID>
      <start>11</start>
      <end>13</end>
      <status>unmodified</status>
      <modifiedWord/>
      <trackRevisions>false</trackRevisions>
    </reviewItem>
    <reviewItem>
      <errorID>7bda4604-c6d2-46e6-b9b7-d90ae1c26ed4</errorID>
      <errorWord>策</errorWord>
      <group>L1_Word</group>
      <groupName>字词问题</groupName>
      <ability>L2_Typo</ability>
      <abilityName>字词错误</abilityName>
      <candidateList>
        <item>策标</item>
      </candidateList>
      <explain/>
      <paraID>5073B5C5</paraID>
      <start>1</start>
      <end>2</end>
      <status>unmodified</status>
      <modifiedWord/>
      <trackRevisions>false</trackRevisions>
    </reviewItem>
    <reviewItem>
      <errorID>ba023382-cc3e-4846-8df9-7e03289be93a</errorID>
      <errorWord>程</errorWord>
      <group>L1_Word</group>
      <groupName>字词问题</groupName>
      <ability>L2_Typo</ability>
      <abilityName>字词错误</abilityName>
      <candidateList>
        <item>程中</item>
      </candidateList>
      <explain/>
      <paraID>1DF2D7A0</paraID>
      <start>10</start>
      <end>11</end>
      <status>unmodified</status>
      <modifiedWord/>
      <trackRevisions>false</trackRevisions>
    </reviewItem>
    <reviewItem>
      <errorID>9201e731-40f7-4095-abab-bd5b6bc9ab87</errorID>
      <errorWord>风</errorWord>
      <group>L1_Word</group>
      <groupName>字词问题</groupName>
      <ability>L2_Typo</ability>
      <abilityName>字词错误</abilityName>
      <candidateList>
        <item>风险</item>
      </candidateList>
      <explain>〈名〉可能发生的危险：担～｜冒着～去搞试验。</explain>
      <paraID> 50DFB7E</paraID>
      <start>2</start>
      <end>3</end>
      <status>unmodified</status>
      <modifiedWord/>
      <trackRevisions>false</trackRevisions>
    </reviewItem>
    <reviewItem>
      <errorID>cbc7fd1c-bd7a-43d5-8bd8-f08f95891f1f</errorID>
      <errorWord>设</errorWord>
      <group>L1_Word</group>
      <groupName>字词问题</groupName>
      <ability>L2_Typo</ability>
      <abilityName>字词错误</abilityName>
      <candidateList>
        <item>设立</item>
      </candidateList>
      <explain/>
      <paraID>6F93293B</paraID>
      <start>5</start>
      <end>6</end>
      <status>unmodified</status>
      <modifiedWord/>
      <trackRevisions>false</trackRevisions>
    </reviewItem>
    <reviewItem>
      <errorID>9167188a-9483-4252-aa5e-b66158df7e41</errorID>
      <errorWord>~</errorWord>
      <group>L1_Format</group>
      <groupName>格式问题</groupName>
      <ability>L2_HalfPunc</ability>
      <abilityName>全半角检查</abilityName>
      <candidateList>
        <item>～</item>
      </candidateList>
      <explain>文本全半角错误。</explain>
      <paraID> 1533E67</paraID>
      <start>35</start>
      <end>36</end>
      <status>unmodified</status>
      <modifiedWord/>
      <trackRevisions>false</trackRevisions>
    </reviewItem>
    <reviewItem>
      <errorID>dc1a7fe5-902b-4779-9f4a-8b2827322af5</errorID>
      <errorWord>厂房内</errorWord>
      <group>L1_Word</group>
      <groupName>字词问题</groupName>
      <ability>L2_Typo</ability>
      <abilityName>字词错误</abilityName>
      <candidateList>
        <item>厂房</item>
      </candidateList>
      <explain/>
      <paraID>30957D50</paraID>
      <start>8</start>
      <end>11</end>
      <status>unmodified</status>
      <modifiedWord/>
      <trackRevisions>false</trackRevisions>
    </reviewItem>
    <reviewItem>
      <errorID>232e199b-bdad-4083-824d-580fb7347066</errorID>
      <errorWord>有</errorWord>
      <group>L1_Word</group>
      <groupName>字词问题</groupName>
      <ability>L2_Typo</ability>
      <abilityName>字词错误</abilityName>
      <candidateList>
        <item>由</item>
      </candidateList>
      <explain>存在发音相同字词的误用。</explain>
      <paraID> 58735A6</paraID>
      <start>38</start>
      <end>39</end>
      <status>unmodified</status>
      <modifiedWord/>
      <trackRevisions>false</trackRevisions>
    </reviewItem>
    <reviewItem>
      <errorID>d6f326a2-b30f-4992-904d-47177f331ebb</errorID>
      <errorWord>涉</errorWord>
      <group>L1_Word</group>
      <groupName>字词问题</groupName>
      <ability>L2_Typo</ability>
      <abilityName>字词错误</abilityName>
      <candidateList>
        <item>涉及</item>
      </candidateList>
      <explain>〈动〉牵涉到；关联到：案子～好几个人｜这个问题～面很广。</explain>
      <paraID>49C081B8</paraID>
      <start>33</start>
      <end>34</end>
      <status>unmodified</status>
      <modifiedWord/>
      <trackRevisions>false</trackRevisions>
    </reviewItem>
    <reviewItem>
      <errorID>9609407f-c4b3-43df-8654-b4e957cdb1ea</errorID>
      <errorWord>侧</errorWord>
      <group>L1_Word</group>
      <groupName>字词问题</groupName>
      <ability>L2_Typo</ability>
      <abilityName>字词错误</abilityName>
      <candidateList>
        <item>侧为</item>
      </candidateList>
      <explain/>
      <paraID>5A529AF4</paraID>
      <start>28</start>
      <end>29</end>
      <status>unmodified</status>
      <modifiedWord/>
      <trackRevisions>false</trackRevisions>
    </reviewItem>
    <reviewItem>
      <errorID>1f8690fe-217c-4d80-81bd-0daea3611af2</errorID>
      <errorWord>生物多样性维护</errorWord>
      <group>L1_Political</group>
      <groupName>政治性问题</groupName>
      <ability>L2_Keyword</ability>
      <abilityName>固定表述</abilityName>
      <candidateList>
        <item>生物多样性保护</item>
      </candidateList>
      <explain>词汇“生物多样性保护”在特定场景下为固定表述形式，请确认此处的“生物多样性维护”是否存在不当。</explain>
      <paraID>5A529AF4</paraID>
      <start>122</start>
      <end>129</end>
      <status>unmodified</status>
      <modifiedWord/>
      <trackRevisions>false</trackRevisions>
    </reviewItem>
    <reviewItem>
      <errorID>910c16aa-363a-42c7-ba83-f9ebe02b1297</errorID>
      <errorWord>河北省水污染防治条例</errorWord>
      <group>L1_Knowledge</group>
      <groupName>知识性问题</groupName>
      <ability>L2_Knowledge</ability>
      <abilityName>其他知识</abilityName>
      <candidateList/>
      <explain>该法规已废止，请注意检查引用是否正确。</explain>
      <paraID>7579A8D2</paraID>
      <start>1</start>
      <end>11</end>
      <status>unmodified</status>
      <modifiedWord/>
      <trackRevisions>false</trackRevisions>
    </reviewItem>
    <reviewItem>
      <errorID>9191fa5f-37a6-4567-a6c0-8c86202a0a51</errorID>
      <errorWord>（2016）150号</errorWord>
      <group>L1_Knowledge</group>
      <groupName>知识性问题</groupName>
      <ability>L2_Knowledge</ability>
      <abilityName>其他知识</abilityName>
      <candidateList>
        <item>〔2016〕150号</item>
      </candidateList>
      <explain>发文字号格式错误。</explain>
      <paraID>7FE38358</paraID>
      <start>6</start>
      <end>16</end>
      <status>unmodified</status>
      <modifiedWord/>
      <trackRevisions>false</trackRevisions>
    </reviewItem>
    <reviewItem>
      <errorID>93b7fa38-2b92-400b-ba00-af20b08c70eb</errorID>
      <errorWord>生物多样性维护</errorWord>
      <group>L1_Political</group>
      <groupName>政治性问题</groupName>
      <ability>L2_Keyword</ability>
      <abilityName>固定表述</abilityName>
      <candidateList>
        <item>生物多样性保护</item>
      </candidateList>
      <explain>词汇“生物多样性保护”在特定场景下为固定表述形式，请确认此处的“生物多样性维护”是否存在不当。</explain>
      <paraID>15FE04AA</paraID>
      <start>143</start>
      <end>150</end>
      <status>unmodified</status>
      <modifiedWord/>
      <trackRevisions>false</trackRevisions>
    </reviewItem>
    <reviewItem>
      <errorID>b3d7f5f6-1a84-4361-a87e-aa0eaa62910b</errorID>
      <errorWord>或者</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2D966D35</paraID>
      <start>68</start>
      <end>70</end>
      <status>unmodified</status>
      <modifiedWord/>
      <trackRevisions>false</trackRevisions>
    </reviewItem>
    <reviewItem>
      <errorID>b9007544-64b9-48c1-a471-584cc55c4366</errorID>
      <errorWord>污染物</errorWord>
      <group>L1_Word</group>
      <groupName>字词问题</groupName>
      <ability>L2_Typo</ability>
      <abilityName>字词错误</abilityName>
      <candidateList>
        <item>污染</item>
      </candidateList>
      <explain/>
      <paraID>1464CB23</paraID>
      <start>14</start>
      <end>17</end>
      <status>unmodified</status>
      <modifiedWord/>
      <trackRevisions>false</trackRevisions>
    </reviewItem>
    <reviewItem>
      <errorID>4a48500b-158f-43d5-8e49-f4c84b014c45</errorID>
      <errorWord>手</errorWord>
      <group>L1_Word</group>
      <groupName>字词问题</groupName>
      <ability>L2_Typo</ability>
      <abilityName>字词错误</abilityName>
      <candidateList>
        <item>手续</item>
      </candidateList>
      <explain/>
      <paraID>78AAF6C5</paraID>
      <start>36</start>
      <end>37</end>
      <status>unmodified</status>
      <modifiedWord/>
      <trackRevisions>false</trackRevisions>
    </reviewItem>
    <reviewItem>
      <errorID>7b023dde-b43a-4472-ab75-36dab0de5e82</errorID>
      <errorWord>原住居民</errorWord>
      <group>L1_Sensitive</group>
      <groupName>敏感问题</groupName>
      <ability>L2_Violent</ability>
      <abilityName>暴恐词条</abilityName>
      <candidateList/>
      <explain>【暴恐词条】句中包含暴恐类敏感词条，请注意甄别。</explain>
      <paraID>3DC40C44</paraID>
      <start>1</start>
      <end>5</end>
      <status>unmodified</status>
      <modifiedWord/>
      <trackRevisions>false</trackRevisions>
    </reviewItem>
    <reviewItem>
      <errorID>ee750924-93a6-4d2e-a7e6-56d5b8e937bd</errorID>
      <errorWord>原住居民</errorWord>
      <group>L1_Sensitive</group>
      <groupName>敏感问题</groupName>
      <ability>L2_Violent</ability>
      <abilityName>暴恐词条</abilityName>
      <candidateList/>
      <explain>【暴恐词条】句中包含暴恐类敏感词条，请注意甄别。</explain>
      <paraID>3DC40C44</paraID>
      <start>43</start>
      <end>47</end>
      <status>unmodified</status>
      <modifiedWord/>
      <trackRevisions>false</trackRevisions>
    </reviewItem>
    <reviewItem>
      <errorID>36a22263-8ed5-4ba3-a357-c6372adf616d</errorID>
      <errorWord>原住居民</errorWord>
      <group>L1_Sensitive</group>
      <groupName>敏感问题</groupName>
      <ability>L2_Violent</ability>
      <abilityName>暴恐词条</abilityName>
      <candidateList/>
      <explain>【暴恐词条】句中包含暴恐类敏感词条，请注意甄别。</explain>
      <paraID>3DC40C44</paraID>
      <start>110</start>
      <end>114</end>
      <status>unmodified</status>
      <modifiedWord/>
      <trackRevisions>false</trackRevisions>
    </reviewItem>
    <reviewItem>
      <errorID>1489a4cc-5221-4962-806d-6fd95abcb7c3</errorID>
      <errorWord>战略新兴产业</errorWord>
      <group>L1_Political</group>
      <groupName>政治性问题</groupName>
      <ability>L2_Keyword</ability>
      <abilityName>固定表述</abilityName>
      <candidateList>
        <item>战略性新兴产业</item>
      </candidateList>
      <explain>词汇“战略性新兴产业”在特定场景下为固定表述形式，请确认此处的“战略新兴产业”是否存在不当。</explain>
      <paraID>3B0AEB52</paraID>
      <start>37</start>
      <end>43</end>
      <status>unmodified</status>
      <modifiedWord/>
      <trackRevisions>false</trackRevisions>
    </reviewItem>
    <reviewItem>
      <errorID>82b98f91-ace9-41d5-8e2c-bba19e8a478f</errorID>
      <errorWord>.项</errorWord>
      <group>L1_Word</group>
      <groupName>字词问题</groupName>
      <ability>L2_Typo</ability>
      <abilityName>字词错误</abilityName>
      <candidateList>
        <item>.</item>
      </candidateList>
      <explain/>
      <paraID>5C991CDC</paraID>
      <start>30</start>
      <end>32</end>
      <status>unmodified</status>
      <modifiedWord/>
      <trackRevisions>false</trackRevisions>
    </reviewItem>
    <reviewItem>
      <errorID>9acb7b9c-37ef-4046-8ceb-3d5229fe4015</errorID>
      <errorWord>区区</errorWord>
      <group>L1_Word</group>
      <groupName>字词问题</groupName>
      <ability>L2_Typo</ability>
      <abilityName>字词错误</abilityName>
      <candidateList>
        <item>区</item>
      </candidateList>
      <explain>（區）qū❶区别；划分：～分。❷地区；区域：山～｜市～｜解放～｜工业～｜风景～。❸〈名〉行政区划单位，如自治区、市辖区、县辖区等。</explain>
      <paraID>21C4DECC</paraID>
      <start>11</start>
      <end>13</end>
      <status>unmodified</status>
      <modifiedWord/>
      <trackRevisions>false</trackRevisions>
    </reviewItem>
    <reviewItem>
      <errorID>0e1da862-ffda-4d53-98f3-9644e05a43e0</errorID>
      <errorWord>水污染防治法</errorWord>
      <group>L1_Knowledge</group>
      <groupName>知识性问题</groupName>
      <ability>L2_Knowledge</ability>
      <abilityName>其他知识</abilityName>
      <candidateList>
        <item>中华人民共和国水污染防治法</item>
      </candidateList>
      <explain>当前法律法规名称使用简称，请注意是否应当使用全称。</explain>
      <paraID>115F48E3</paraID>
      <start>16</start>
      <end>22</end>
      <status>unmodified</status>
      <modifiedWord/>
      <trackRevisions>false</trackRevisions>
    </reviewItem>
    <reviewItem>
      <errorID>1b468060-15ec-44c4-9f8d-a54da89df7dd</errorID>
      <errorWord>》</errorWord>
      <group>L1_Word</group>
      <groupName>字词问题</groupName>
      <ability>L2_Typo</ability>
      <abilityName>字词错误</abilityName>
      <candidateList>
        <item>》等</item>
      </candidateList>
      <explain/>
      <paraID>115F48E3</paraID>
      <start>58</start>
      <end>59</end>
      <status>unmodified</status>
      <modifiedWord/>
      <trackRevisions>false</trackRevisions>
    </reviewItem>
    <reviewItem>
      <errorID>c15131d3-6a88-4e6b-b7bf-d2f39b2d496a</errorID>
      <errorWord>“十大”</errorWord>
      <group>L1_Word</group>
      <groupName>字词问题</groupName>
      <ability>L2_Typo</ability>
      <abilityName>字词错误</abilityName>
      <candidateList/>
      <explain>无建议</explain>
      <paraID>3C0D3546</paraID>
      <start>40</start>
      <end>44</end>
      <status>unmodified</status>
      <modifiedWord/>
      <trackRevisions>false</trackRevisions>
    </reviewItem>
    <reviewItem>
      <errorID>219940a8-f5e8-4d53-94f0-f3a87a6e4cde</errorID>
      <errorWord>“十大”</errorWord>
      <group>L1_Word</group>
      <groupName>字词问题</groupName>
      <ability>L2_Typo</ability>
      <abilityName>字词错误</abilityName>
      <candidateList/>
      <explain>无建议</explain>
      <paraID>2FCB8BC3</paraID>
      <start>8</start>
      <end>12</end>
      <status>unmodified</status>
      <modifiedWord/>
      <trackRevisions>false</trackRevisions>
    </reviewItem>
    <reviewItem>
      <errorID>7ec89ab7-e8d8-4345-91b1-d07391768215</errorID>
      <errorWord>“十大”</errorWord>
      <group>L1_Word</group>
      <groupName>字词问题</groupName>
      <ability>L2_Typo</ability>
      <abilityName>字词错误</abilityName>
      <candidateList/>
      <explain>无建议</explain>
      <paraID> 7262967</paraID>
      <start>175</start>
      <end>179</end>
      <status>unmodified</status>
      <modifiedWord/>
      <trackRevisions>false</trackRevisions>
    </reviewItem>
    <reviewItem>
      <errorID>edd08781-f54b-427e-9bfc-6155f7f34643</errorID>
      <errorWord>“十大”</errorWord>
      <group>L1_Word</group>
      <groupName>字词问题</groupName>
      <ability>L2_Typo</ability>
      <abilityName>字词错误</abilityName>
      <candidateList/>
      <explain>无建议</explain>
      <paraID>7E11B278</paraID>
      <start>55</start>
      <end>59</end>
      <status>unmodified</status>
      <modifiedWord/>
      <trackRevisions>false</trackRevisions>
    </reviewItem>
    <reviewItem>
      <errorID>43461e98-4460-4714-aa37-04896dfb8a39</errorID>
      <errorWord>有限</errorWord>
      <group>L1_Word</group>
      <groupName>字词问题</groupName>
      <ability>L2_Typo</ability>
      <abilityName>字词错误</abilityName>
      <candidateList>
        <item>优先</item>
      </candidateList>
      <explain/>
      <paraID>64D8658B</paraID>
      <start>74</start>
      <end>76</end>
      <status>unmodified</status>
      <modifiedWord/>
      <trackRevisions>false</trackRevisions>
    </reviewItem>
    <reviewItem>
      <errorID>96dd41e4-02b2-4200-9979-c836662255be</errorID>
      <errorWord>泼洒</errorWord>
      <group>L1_Word</group>
      <groupName>字词问题</groupName>
      <ability>L2_Typo</ability>
      <abilityName>字词错误</abilityName>
      <candidateList>
        <item>喷洒</item>
      </candidateList>
      <explain>〈动〉喷射散落（多用于液体）：～农药。</explain>
      <paraID>114693C7</paraID>
      <start>25</start>
      <end>27</end>
      <status>unmodified</status>
      <modifiedWord/>
      <trackRevisions>false</trackRevisions>
    </reviewItem>
    <reviewItem>
      <errorID>192beef1-dfb8-4753-bc6d-8f537bb36de6</errorID>
      <errorWord>大气污染处理</errorWord>
      <group>L1_Knowledge</group>
      <groupName>知识性问题</groupName>
      <ability>L2_Term</ability>
      <abilityName>专业术语</abilityName>
      <candidateList>
        <item>大气污染治理</item>
      </candidateList>
      <explain/>
      <paraID>6595681E</paraID>
      <start>223</start>
      <end>229</end>
      <status>unmodified</status>
      <modifiedWord/>
      <trackRevisions>false</trackRevisions>
    </reviewItem>
    <reviewItem>
      <errorID>efc11c03-722b-490a-bb07-c505085ba93c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102225DD</paraID>
      <start>34</start>
      <end>35</end>
      <status>unmodified</status>
      <modifiedWord/>
      <trackRevisions>false</trackRevisions>
    </reviewItem>
    <reviewItem>
      <errorID>efc20da3-ab92-4c96-a6c1-7eacc7370ce5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102225DD</paraID>
      <start>50</start>
      <end>51</end>
      <status>unmodified</status>
      <modifiedWord/>
      <trackRevisions>false</trackRevisions>
    </reviewItem>
    <reviewItem>
      <errorID>31f618d4-8b6c-48f2-aef9-35734832ea18</errorID>
      <errorWord>一次</errorWord>
      <group>L1_Knowledge</group>
      <groupName>知识性问题</groupName>
      <ability>L2_Knowledge</ability>
      <abilityName>其他知识</abilityName>
      <candidateList>
        <item>一种</item>
      </candidateList>
      <explain/>
      <paraID>35330340</paraID>
      <start>37</start>
      <end>39</end>
      <status>unmodified</status>
      <modifiedWord/>
      <trackRevisions>false</trackRevisions>
    </reviewItem>
    <reviewItem>
      <errorID>abb7ac3e-5cc8-4aa8-9ad1-1901aeebd886</errorID>
      <errorWord>散装</errorWord>
      <group>L1_Word</group>
      <groupName>字词问题</groupName>
      <ability>L2_Typo</ability>
      <abilityName>字词错误</abilityName>
      <candidateList>
        <item>散状</item>
      </candidateList>
      <explain/>
      <paraID>166A471B</paraID>
      <start>63</start>
      <end>65</end>
      <status>unmodified</status>
      <modifiedWord/>
      <trackRevisions>false</trackRevisions>
    </reviewItem>
    <reviewItem>
      <errorID>614e95a8-7758-4cdd-b948-fadbdb8a532b</errorID>
      <errorWord>浇注</errorWord>
      <group>L1_Word</group>
      <groupName>字词问题</groupName>
      <ability>L2_Typo</ability>
      <abilityName>字词错误</abilityName>
      <candidateList>
        <item>浇筑</item>
      </candidateList>
      <explain/>
      <paraID> AD9D9C6</paraID>
      <start>51</start>
      <end>53</end>
      <status>unmodified</status>
      <modifiedWord/>
      <trackRevisions>false</trackRevisions>
    </reviewItem>
    <reviewItem>
      <errorID>f1ec0ebd-7c23-42d6-9989-a33aab7c6aab</errorID>
      <errorWord>，</errorWord>
      <group>L1_Word</group>
      <groupName>字词问题</groupName>
      <ability>L2_Typo</ability>
      <abilityName>字词错误</abilityName>
      <candidateList>
        <item>，使</item>
      </candidateList>
      <explain/>
      <paraID> AD9D9C6</paraID>
      <start>64</start>
      <end>65</end>
      <status>unmodified</status>
      <modifiedWord/>
      <trackRevisions>false</trackRevisions>
    </reviewItem>
    <reviewItem>
      <errorID>834f2c09-8957-443c-bdf2-46e052d7fd89</errorID>
      <errorWord>外逸</errorWord>
      <group>L1_Word</group>
      <groupName>字词问题</groupName>
      <ability>L2_Typo</ability>
      <abilityName>字词错误</abilityName>
      <candidateList>
        <item>外溢</item>
      </candidateList>
      <explain/>
      <paraID> AD9D9C6</paraID>
      <start>190</start>
      <end>192</end>
      <status>unmodified</status>
      <modifiedWord/>
      <trackRevisions>false</trackRevisions>
    </reviewItem>
    <reviewItem>
      <errorID>5b3760a6-4467-48f3-9294-15b699d1ca30</errorID>
      <errorWord>浇注</errorWord>
      <group>L1_Word</group>
      <groupName>字词问题</groupName>
      <ability>L2_Typo</ability>
      <abilityName>字词错误</abilityName>
      <candidateList>
        <item>浇筑</item>
      </candidateList>
      <explain/>
      <paraID> AD9D9C6</paraID>
      <start>235</start>
      <end>237</end>
      <status>unmodified</status>
      <modifiedWord/>
      <trackRevisions>false</trackRevisions>
    </reviewItem>
    <reviewItem>
      <errorID>3331a03b-3221-4eea-beb1-9f6d339963fc</errorID>
      <errorWord>外逸</errorWord>
      <group>L1_Word</group>
      <groupName>字词问题</groupName>
      <ability>L2_Typo</ability>
      <abilityName>字词错误</abilityName>
      <candidateList>
        <item>外溢</item>
      </candidateList>
      <explain/>
      <paraID> AD9D9C6</paraID>
      <start>352</start>
      <end>354</end>
      <status>unmodified</status>
      <modifiedWord/>
      <trackRevisions>false</trackRevisions>
    </reviewItem>
    <reviewItem>
      <errorID>89fc91aa-6319-4fdb-af04-093dc5cb65b6</errorID>
      <errorWord>浇注</errorWord>
      <group>L1_Word</group>
      <groupName>字词问题</groupName>
      <ability>L2_Typo</ability>
      <abilityName>字词错误</abilityName>
      <candidateList>
        <item>浇筑</item>
      </candidateList>
      <explain/>
      <paraID>36936D84</paraID>
      <start>2</start>
      <end>4</end>
      <status>unmodified</status>
      <modifiedWord/>
      <trackRevisions>false</trackRevisions>
    </reviewItem>
    <reviewItem>
      <errorID>e36e345a-4afc-4481-a319-e1c753bde6d6</errorID>
      <errorWord>规</errorWord>
      <group>L1_Word</group>
      <groupName>字词问题</groupName>
      <ability>L2_Typo</ability>
      <abilityName>字词错误</abilityName>
      <candidateList>
        <item>规和</item>
      </candidateList>
      <explain/>
      <paraID>406894D4</paraID>
      <start>57</start>
      <end>58</end>
      <status>unmodified</status>
      <modifiedWord/>
      <trackRevisions>false</trackRevisions>
    </reviewItem>
    <reviewItem>
      <errorID>c8a15f01-79b8-49ea-9ac9-556d23614961</errorID>
      <errorWord>准</errorWord>
      <group>L1_Word</group>
      <groupName>字词问题</groupName>
      <ability>L2_Typo</ability>
      <abilityName>字词错误</abilityName>
      <candidateList>
        <item>准和</item>
      </candidateList>
      <explain/>
      <paraID>6B60DF48</paraID>
      <start>31</start>
      <end>32</end>
      <status>unmodified</status>
      <modifiedWord/>
      <trackRevisions>false</trackRevisions>
    </reviewItem>
    <reviewItem>
      <errorID>833f1cc1-2930-4359-9006-3037146a6599</errorID>
      <errorWord>环保治理</errorWord>
      <group>L1_Word</group>
      <groupName>字词问题</groupName>
      <ability>L2_Typo</ability>
      <abilityName>字词错误</abilityName>
      <candidateList>
        <item>环境治理</item>
      </candidateList>
      <explain/>
      <paraID>20F984C5</paraID>
      <start>2</start>
      <end>6</end>
      <status>unmodified</status>
      <modifiedWord/>
      <trackRevisions>false</trackRevisions>
    </reviewItem>
    <reviewItem>
      <errorID>8966afaa-7e03-4f74-b430-c5b8512530e1</errorID>
      <errorWord>《</errorWord>
      <group>L1_Punc</group>
      <groupName>标点问题</groupName>
      <ability>L2_Punc</ability>
      <abilityName>标点符号检查</abilityName>
      <candidateList/>
      <explain/>
      <paraID> 26E3407</paraID>
      <start>43</start>
      <end>44</end>
      <status>unmodified</status>
      <modifiedWord/>
      <trackRevisions>false</trackRevisions>
    </reviewItem>
    <reviewItem>
      <errorID>5f45e6b9-3884-49c5-b3aa-a3b689888679</errorID>
      <errorWord>侧</errorWord>
      <group>L1_Word</group>
      <groupName>字词问题</groupName>
      <ability>L2_Typo</ability>
      <abilityName>字词错误</abilityName>
      <candidateList>
        <item>侧为</item>
      </candidateList>
      <explain/>
      <paraID>11581643</paraID>
      <start>28</start>
      <end>29</end>
      <status>unmodified</status>
      <modifiedWord/>
      <trackRevisions>false</trackRevisions>
    </reviewItem>
    <reviewItem>
      <errorID>faf99b6b-3907-4027-9542-4e8b00624e40</errorID>
      <errorWord>建</errorWord>
      <group>L1_Word</group>
      <groupName>字词问题</groupName>
      <ability>L2_Typo</ability>
      <abilityName>字词错误</abilityName>
      <candidateList>
        <item>建筑</item>
      </candidateList>
      <explain/>
      <paraID>1EA6D144</paraID>
      <start>13</start>
      <end>14</end>
      <status>unmodified</status>
      <modifiedWord/>
      <trackRevisions>false</trackRevisions>
    </reviewItem>
    <reviewItem>
      <errorID>f6454d11-3674-4653-b2bd-1a668863ad53</errorID>
      <errorWord>浇注</errorWord>
      <group>L1_Word</group>
      <groupName>字词问题</groupName>
      <ability>L2_Typo</ability>
      <abilityName>字词错误</abilityName>
      <candidateList>
        <item>浇筑</item>
      </candidateList>
      <explain/>
      <paraID>51BADA43</paraID>
      <start>5</start>
      <end>7</end>
      <status>unmodified</status>
      <modifiedWord/>
      <trackRevisions>false</trackRevisions>
    </reviewItem>
    <reviewItem>
      <errorID>57fea1fd-f44c-4ceb-85ce-1a688537a183</errorID>
      <errorWord>黏土</errorWord>
      <group>L1_Word</group>
      <groupName>字词问题</groupName>
      <ability>L2_Typo</ability>
      <abilityName>字词错误</abilityName>
      <candidateList>
        <item>粘土</item>
      </candidateList>
      <explain/>
      <paraID>3EE758DE</paraID>
      <start>19</start>
      <end>21</end>
      <status>unmodified</status>
      <modifiedWord/>
      <trackRevisions>false</trackRevisions>
    </reviewItem>
    <reviewItem>
      <errorID>c9f976ec-44fe-4e75-afd0-59390e748353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3EE758DE</paraID>
      <start>39</start>
      <end>40</end>
      <status>unmodified</status>
      <modifiedWord/>
      <trackRevisions>false</trackRevisions>
    </reviewItem>
    <reviewItem>
      <errorID>1a38a558-f258-4655-8e89-20874f1db909</errorID>
      <errorWord>浇注</errorWord>
      <group>L1_Word</group>
      <groupName>字词问题</groupName>
      <ability>L2_Typo</ability>
      <abilityName>字词错误</abilityName>
      <candidateList>
        <item>浇筑</item>
      </candidateList>
      <explain/>
      <paraID>7B891544</paraID>
      <start>0</start>
      <end>2</end>
      <status>unmodified</status>
      <modifiedWord/>
      <trackRevisions>false</trackRevisions>
    </reviewItem>
    <reviewItem>
      <errorID>fcb6eeb5-3fbf-4a58-9ae6-5d09e90b4bea</errorID>
      <errorWord>施工期</errorWord>
      <group>L1_Word</group>
      <groupName>字词问题</groupName>
      <ability>L2_Typo</ability>
      <abilityName>字词错误</abilityName>
      <candidateList>
        <item>施工</item>
      </candidateList>
      <explain>〈动〉按照设计的规格和要求建筑房屋、桥梁、道路、水利工程等。</explain>
      <paraID>480D6B64</paraID>
      <start>81</start>
      <end>84</end>
      <status>unmodified</status>
      <modifiedWord/>
      <trackRevisions>false</trackRevisions>
    </reviewItem>
    <reviewItem>
      <errorID>8092cb7e-82a1-4080-a175-f0481ae66875</errorID>
      <errorWord>~</errorWord>
      <group>L1_Format</group>
      <groupName>格式问题</groupName>
      <ability>L2_HalfPunc</ability>
      <abilityName>全半角检查</abilityName>
      <candidateList>
        <item>～</item>
      </candidateList>
      <explain>文本全半角错误。</explain>
      <paraID>261B0C71</paraID>
      <start>120</start>
      <end>121</end>
      <status>unmodified</status>
      <modifiedWord/>
      <trackRevisions>false</trackRevisions>
    </reviewItem>
    <reviewItem>
      <errorID>5d844037-7b17-4c8f-83d8-d1cb06b2dafb</errorID>
      <errorWord>化学成份</errorWord>
      <group>L1_Word</group>
      <groupName>字词问题</groupName>
      <ability>L2_Variant</ability>
      <abilityName>异形词</abilityName>
      <candidateList>
        <item>化学成分</item>
      </candidateList>
      <explain>词汇[化学成份]的规范词形写作[化学成分]。</explain>
      <paraID>51C921A0</paraID>
      <start>60</start>
      <end>64</end>
      <status>unmodified</status>
      <modifiedWord/>
      <trackRevisions>false</trackRevisions>
    </reviewItem>
    <reviewItem>
      <errorID>a5c8e175-144c-46a0-ae2a-794a6473d6d2</errorID>
      <errorWord>浇注</errorWord>
      <group>L1_Word</group>
      <groupName>字词问题</groupName>
      <ability>L2_Typo</ability>
      <abilityName>字词错误</abilityName>
      <candidateList>
        <item>浇筑</item>
      </candidateList>
      <explain/>
      <paraID>662D2272</paraID>
      <start>3</start>
      <end>5</end>
      <status>unmodified</status>
      <modifiedWord/>
      <trackRevisions>false</trackRevisions>
    </reviewItem>
    <reviewItem>
      <errorID>44cff830-1697-4cba-8742-36b6f2c85d9c</errorID>
      <errorWord>浇注</errorWord>
      <group>L1_Word</group>
      <groupName>字词问题</groupName>
      <ability>L2_Typo</ability>
      <abilityName>字词错误</abilityName>
      <candidateList>
        <item>浇筑</item>
      </candidateList>
      <explain/>
      <paraID>238DB368</paraID>
      <start>7</start>
      <end>9</end>
      <status>unmodified</status>
      <modifiedWord/>
      <trackRevisions>false</trackRevisions>
    </reviewItem>
    <reviewItem>
      <errorID>50b7172b-4cef-46c6-87b7-bae2a7b6435e</errorID>
      <errorWord>浇注</errorWord>
      <group>L1_Word</group>
      <groupName>字词问题</groupName>
      <ability>L2_Typo</ability>
      <abilityName>字词错误</abilityName>
      <candidateList>
        <item>浇筑</item>
      </candidateList>
      <explain/>
      <paraID>24A7E422</paraID>
      <start>41</start>
      <end>43</end>
      <status>unmodified</status>
      <modifiedWord/>
      <trackRevisions>false</trackRevisions>
    </reviewItem>
    <reviewItem>
      <errorID>1b09fcc5-4e99-4c63-8c11-a600112735d1</errorID>
      <errorWord>浇注</errorWord>
      <group>L1_Word</group>
      <groupName>字词问题</groupName>
      <ability>L2_Typo</ability>
      <abilityName>字词错误</abilityName>
      <candidateList>
        <item>浇筑</item>
      </candidateList>
      <explain/>
      <paraID>6AD48FFB</paraID>
      <start>19</start>
      <end>21</end>
      <status>unmodified</status>
      <modifiedWord/>
      <trackRevisions>false</trackRevisions>
    </reviewItem>
    <reviewItem>
      <errorID>26fd10d5-26f0-4c1d-9742-9dc997418fe0</errorID>
      <errorWord>震动</errorWord>
      <group>L1_Word</group>
      <groupName>字词问题</groupName>
      <ability>L2_Typo</ability>
      <abilityName>字词错误</abilityName>
      <candidateList>
        <item>振动</item>
      </candidateList>
      <explain>存在发音相同字词的误用。</explain>
      <paraID>6AD48FFB</paraID>
      <start>34</start>
      <end>36</end>
      <status>unmodified</status>
      <modifiedWord/>
      <trackRevisions>false</trackRevisions>
    </reviewItem>
    <reviewItem>
      <errorID>56d22690-7395-4d82-8121-7d59058aec7a</errorID>
      <errorWord>浇注</errorWord>
      <group>L1_Word</group>
      <groupName>字词问题</groupName>
      <ability>L2_Typo</ability>
      <abilityName>字词错误</abilityName>
      <candidateList>
        <item>浇筑</item>
      </candidateList>
      <explain/>
      <paraID>508F420B</paraID>
      <start>0</start>
      <end>2</end>
      <status>unmodified</status>
      <modifiedWord/>
      <trackRevisions>false</trackRevisions>
    </reviewItem>
    <reviewItem>
      <errorID>0acd894b-7885-432b-b264-8cdc7670561d</errorID>
      <errorWord>年</errorWord>
      <group>L1_Word</group>
      <groupName>字词问题</groupName>
      <ability>L2_Typo</ability>
      <abilityName>字词错误</abilityName>
      <candidateList>
        <item>年度</item>
      </candidateList>
      <explain/>
      <paraID>7CD28B61</paraID>
      <start>0</start>
      <end>1</end>
      <status>unmodified</status>
      <modifiedWord/>
      <trackRevisions>false</trackRevisions>
    </reviewItem>
    <reviewItem>
      <errorID>976c145d-79c9-4210-b06d-7319c5a7e88b</errorID>
      <errorWord>〔2023〕0932号</errorWord>
      <group>L1_Knowledge</group>
      <groupName>知识性问题</groupName>
      <ability>L2_Knowledge</ability>
      <abilityName>其他知识</abilityName>
      <candidateList>
        <item>〔2023〕932号</item>
      </candidateList>
      <explain>发文字号格式错误。</explain>
      <paraID> 5E01C2A</paraID>
      <start>91</start>
      <end>102</end>
      <status>unmodified</status>
      <modifiedWord/>
      <trackRevisions>false</trackRevisions>
    </reviewItem>
    <reviewItem>
      <errorID>f64e9bcb-ed22-43a6-b5df-eec1d789e37b</errorID>
      <errorWord>:</errorWord>
      <group>L1_Format</group>
      <groupName>格式问题</groupName>
      <ability>L2_HalfPunc</ability>
      <abilityName>全半角检查</abilityName>
      <candidateList>
        <item>：</item>
      </candidateList>
      <explain>文本全半角错误。</explain>
      <paraID>  57FB58</paraID>
      <start>159</start>
      <end>160</end>
      <status>unmodified</status>
      <modifiedWord/>
      <trackRevisions>false</trackRevisions>
    </reviewItem>
    <reviewItem>
      <errorID>87dc5513-5da8-41ae-bb9b-69c64587a160</errorID>
      <errorWord>浇注</errorWord>
      <group>L1_Word</group>
      <groupName>字词问题</groupName>
      <ability>L2_Typo</ability>
      <abilityName>字词错误</abilityName>
      <candidateList>
        <item>浇筑</item>
      </candidateList>
      <explain/>
      <paraID>612EFE6A</paraID>
      <start>5</start>
      <end>7</end>
      <status>unmodified</status>
      <modifiedWord/>
      <trackRevisions>false</trackRevisions>
    </reviewItem>
    <reviewItem>
      <errorID>b99bf94d-34ef-49b9-a450-013a247fac3e</errorID>
      <errorWord>修定</errorWord>
      <group>L1_Word</group>
      <groupName>字词问题</groupName>
      <ability>L2_Typo</ability>
      <abilityName>字词错误</abilityName>
      <candidateList>
        <item>修订</item>
      </candidateList>
      <explain>〈动〉修改订正（书籍、计划等）：～本｜～教学大纲。</explain>
      <paraID>39FCA6BB</paraID>
      <start>98</start>
      <end>100</end>
      <status>unmodified</status>
      <modifiedWord/>
      <trackRevisions>false</trackRevisions>
    </reviewItem>
    <reviewItem>
      <errorID>a5d79036-f71a-418e-a8be-eb1077237d57</errorID>
      <errorWord>：</errorWord>
      <group>L1_Format</group>
      <groupName>格式问题</groupName>
      <ability>L2_HalfPunc</ability>
      <abilityName>全半角检查</abilityName>
      <candidateList>
        <item>:</item>
      </candidateList>
      <explain>文本全半角错误。</explain>
      <paraID>7200B6B8</paraID>
      <start>69</start>
      <end>70</end>
      <status>unmodified</status>
      <modifiedWord/>
      <trackRevisions>false</trackRevisions>
    </reviewItem>
    <reviewItem>
      <errorID>66e56188-c2a3-4166-8a4b-3fed1e649b3e</errorID>
      <errorWord>：</errorWord>
      <group>L1_Format</group>
      <groupName>格式问题</groupName>
      <ability>L2_HalfPunc</ability>
      <abilityName>全半角检查</abilityName>
      <candidateList>
        <item>:</item>
      </candidateList>
      <explain>文本全半角错误。</explain>
      <paraID>47A680CE</paraID>
      <start>30</start>
      <end>31</end>
      <status>unmodified</status>
      <modifiedWord/>
      <trackRevisions>false</trackRevisions>
    </reviewItem>
    <reviewItem>
      <errorID>31062201-5547-40c6-885a-5d80e6490a51</errorID>
      <errorWord>必需</errorWord>
      <group>L1_Word</group>
      <groupName>字词问题</groupName>
      <ability>L2_Typo</ability>
      <abilityName>字词错误</abilityName>
      <candidateList>
        <item>必须</item>
      </candidateList>
      <explain>〈副〉❶表示事理上和情理上必要；一定要：学习～刻苦钻研。❷加强命令语气：明天你～来。‖注意“必须”的否定是“无须”、“不须”或“不必”。</explain>
      <paraID>3977EFD5</paraID>
      <start>27</start>
      <end>29</end>
      <status>unmodified</status>
      <modifiedWord/>
      <trackRevisions>false</trackRevisions>
    </reviewItem>
    <reviewItem>
      <errorID>777d638b-a85d-403c-9cdd-e90b0f08cc86</errorID>
      <errorWord>浇注</errorWord>
      <group>L1_Word</group>
      <groupName>字词问题</groupName>
      <ability>L2_Typo</ability>
      <abilityName>字词错误</abilityName>
      <candidateList>
        <item>浇筑</item>
      </candidateList>
      <explain/>
      <paraID>7A05E56E</paraID>
      <start>8</start>
      <end>10</end>
      <status>unmodified</status>
      <modifiedWord/>
      <trackRevisions>false</trackRevisions>
    </reviewItem>
    <reviewItem>
      <errorID>b7d57863-1a6b-4a6b-94a4-8016056be08a</errorID>
      <errorWord>JB</errorWord>
      <group>L1_Sensitive</group>
      <groupName>敏感问题</groupName>
      <ability>L2_Abuse</ability>
      <abilityName>侮辱言辞</abilityName>
      <candidateList/>
      <explain>【侮辱言辞】句中涉及侮辱性的敏感内容，请注意甄别。</explain>
      <paraID>4887FE0F</paraID>
      <start>32</start>
      <end>34</end>
      <status>unmodified</status>
      <modifiedWord/>
      <trackRevisions>false</trackRevisions>
    </reviewItem>
    <reviewItem>
      <errorID>d05f7da0-332a-48cc-939e-662614ca0003</errorID>
      <errorWord>浇注</errorWord>
      <group>L1_Word</group>
      <groupName>字词问题</groupName>
      <ability>L2_Typo</ability>
      <abilityName>字词错误</abilityName>
      <candidateList>
        <item>浇筑</item>
      </candidateList>
      <explain/>
      <paraID>5F5D180F</paraID>
      <start>13</start>
      <end>15</end>
      <status>unmodified</status>
      <modifiedWord/>
      <trackRevisions>false</trackRevisions>
    </reviewItem>
    <reviewItem>
      <errorID>5f8ad5e4-af72-421c-afa2-f1956551161d</errorID>
      <errorWord>浇注</errorWord>
      <group>L1_Word</group>
      <groupName>字词问题</groupName>
      <ability>L2_Typo</ability>
      <abilityName>字词错误</abilityName>
      <candidateList>
        <item>浇筑</item>
      </candidateList>
      <explain/>
      <paraID>26BBE344</paraID>
      <start>0</start>
      <end>2</end>
      <status>unmodified</status>
      <modifiedWord/>
      <trackRevisions>false</trackRevisions>
    </reviewItem>
    <reviewItem>
      <errorID>8a198f09-64d8-4510-8b07-89314bc7b1e4</errorID>
      <errorWord>JB</errorWord>
      <group>L1_Sensitive</group>
      <groupName>敏感问题</groupName>
      <ability>L2_Abuse</ability>
      <abilityName>侮辱言辞</abilityName>
      <candidateList/>
      <explain>【侮辱言辞】句中涉及侮辱性的敏感内容，请注意甄别。</explain>
      <paraID>30581F73</paraID>
      <start>33</start>
      <end>35</end>
      <status>unmodified</status>
      <modifiedWord/>
      <trackRevisions>false</trackRevisions>
    </reviewItem>
    <reviewItem>
      <errorID>45bafc3f-f3a3-4f83-abfa-dd02742ba656</errorID>
      <errorWord>酒水</errorWord>
      <group>L1_Word</group>
      <groupName>字词问题</groupName>
      <ability>L2_Typo</ability>
      <abilityName>字词错误</abilityName>
      <candidateList>
        <item>洒水</item>
      </candidateList>
      <explain/>
      <paraID>469B6470</paraID>
      <start>15</start>
      <end>17</end>
      <status>unmodified</status>
      <modifiedWord/>
      <trackRevisions>false</trackRevisions>
    </reviewItem>
    <reviewItem>
      <errorID>af00b3f3-fdd2-4f37-a823-fb91ff17fe08</errorID>
      <errorWord>，</errorWord>
      <group>L1_Format</group>
      <groupName>格式问题</groupName>
      <ability>L2_HalfPunc</ability>
      <abilityName>全半角检查</abilityName>
      <candidateList>
        <item>,</item>
      </candidateList>
      <explain>文本全半角错误。</explain>
      <paraID>12543FAC</paraID>
      <start>11</start>
      <end>12</end>
      <status>unmodified</status>
      <modifiedWord/>
      <trackRevisions>false</trackRevisions>
    </reviewItem>
    <reviewItem>
      <errorID>c87a3a82-3d57-4904-9e50-064e72980474</errorID>
      <errorWord>，</errorWord>
      <group>L1_Format</group>
      <groupName>格式问题</groupName>
      <ability>L2_HalfPunc</ability>
      <abilityName>全半角检查</abilityName>
      <candidateList>
        <item>,</item>
      </candidateList>
      <explain>文本全半角错误。</explain>
      <paraID>4998747C</paraID>
      <start>10</start>
      <end>11</end>
      <status>unmodified</status>
      <modifiedWord/>
      <trackRevisions>false</trackRevisions>
    </reviewItem>
    <reviewItem>
      <errorID>164cf4e0-c115-420f-8bb3-4cb6a9168728</errorID>
      <errorWord>，</errorWord>
      <group>L1_Format</group>
      <groupName>格式问题</groupName>
      <ability>L2_HalfPunc</ability>
      <abilityName>全半角检查</abilityName>
      <candidateList>
        <item>,</item>
      </candidateList>
      <explain>文本全半角错误。</explain>
      <paraID>5FA81EAB</paraID>
      <start>11</start>
      <end>12</end>
      <status>unmodified</status>
      <modifiedWord/>
      <trackRevisions>false</trackRevisions>
    </reviewItem>
    <reviewItem>
      <errorID>91893ed1-0672-4fbb-8e69-75e37ca832d9</errorID>
      <errorWord>排放排放</errorWord>
      <group>L1_Word</group>
      <groupName>字词问题</groupName>
      <ability>L2_Typo</ability>
      <abilityName>字词错误</abilityName>
      <candidateList>
        <item>排放</item>
      </candidateList>
      <explain/>
      <paraID>169C280B</paraID>
      <start>13</start>
      <end>17</end>
      <status>unmodified</status>
      <modifiedWord/>
      <trackRevisions>false</trackRevisions>
    </reviewItem>
    <reviewItem>
      <errorID>90761a9c-b034-4264-a65e-06fbd0a9d54c</errorID>
      <errorWord>，</errorWord>
      <group>L1_Word</group>
      <groupName>字词问题</groupName>
      <ability>L2_Typo</ability>
      <abilityName>字词错误</abilityName>
      <candidateList>
        <item>，在</item>
      </candidateList>
      <explain/>
      <paraID>1E8351EF</paraID>
      <start>37</start>
      <end>38</end>
      <status>unmodified</status>
      <modifiedWord/>
      <trackRevisions>false</trackRevisions>
    </reviewItem>
    <reviewItem>
      <errorID>82fa1f79-b606-4f3f-817d-169586ad4156</errorID>
      <errorWord>浓度限制</errorWord>
      <group>L1_Word</group>
      <groupName>字词问题</groupName>
      <ability>L2_Typo</ability>
      <abilityName>字词错误</abilityName>
      <candidateList>
        <item>浓度限值</item>
      </candidateList>
      <explain/>
      <paraID>56AF5986</paraID>
      <start>38</start>
      <end>42</end>
      <status>unmodified</status>
      <modifiedWord/>
      <trackRevisions>false</trackRevisions>
    </reviewItem>
    <reviewItem>
      <errorID>aed45193-3168-41b6-b7cb-ace995bda2ca</errorID>
      <errorWord>使用范围</errorWord>
      <group>L1_Word</group>
      <groupName>字词问题</groupName>
      <ability>L2_Typo</ability>
      <abilityName>字词错误</abilityName>
      <candidateList>
        <item>适用范围</item>
      </candidateList>
      <explain>存在发音相同字词的误用。</explain>
      <paraID> 3485D6A</paraID>
      <start>0</start>
      <end>4</end>
      <status>unmodified</status>
      <modifiedWord/>
      <trackRevisions>false</trackRevisions>
    </reviewItem>
    <reviewItem>
      <errorID>620b7f98-59f1-47e8-98e7-94df1983f9b8</errorID>
      <errorWord>~</errorWord>
      <group>L1_Format</group>
      <groupName>格式问题</groupName>
      <ability>L2_HalfPunc</ability>
      <abilityName>全半角检查</abilityName>
      <candidateList>
        <item>～</item>
      </candidateList>
      <explain>文本全半角错误。</explain>
      <paraID>274F54AA</paraID>
      <start>2</start>
      <end>3</end>
      <status>unmodified</status>
      <modifiedWord/>
      <trackRevisions>false</trackRevisions>
    </reviewItem>
    <reviewItem>
      <errorID>acaad570-7499-410c-a449-0bd603475d9c</errorID>
      <errorWord>~</errorWord>
      <group>L1_Format</group>
      <groupName>格式问题</groupName>
      <ability>L2_HalfPunc</ability>
      <abilityName>全半角检查</abilityName>
      <candidateList>
        <item>～</item>
      </candidateList>
      <explain>文本全半角错误。</explain>
      <paraID>59D75A7A</paraID>
      <start>2</start>
      <end>3</end>
      <status>unmodified</status>
      <modifiedWord/>
      <trackRevisions>false</trackRevisions>
    </reviewItem>
    <reviewItem>
      <errorID>9dcce945-37bf-408a-9ded-164466bf0e53</errorID>
      <errorWord>粘结</errorWord>
      <group>L1_Word</group>
      <groupName>字词问题</groupName>
      <ability>L2_Typo</ability>
      <abilityName>字词错误</abilityName>
      <candidateList>
        <item>黏结</item>
      </candidateList>
      <explain>存在发音相同字词的误用。</explain>
      <paraID>60804AA2</paraID>
      <start>16</start>
      <end>18</end>
      <status>unmodified</status>
      <modifiedWord/>
      <trackRevisions>false</trackRevisions>
    </reviewItem>
    <reviewItem>
      <errorID>61ca70b7-8b45-480e-8707-9d546f700965</errorID>
      <errorWord>＞</errorWord>
      <group>L1_Format</group>
      <groupName>格式问题</groupName>
      <ability>L2_HalfPunc</ability>
      <abilityName>全半角检查</abilityName>
      <candidateList>
        <item>&gt;</item>
      </candidateList>
      <explain>文本全半角错误。</explain>
      <paraID>734C355B</paraID>
      <start>0</start>
      <end>1</end>
      <status>unmodified</status>
      <modifiedWord/>
      <trackRevisions>false</trackRevisions>
    </reviewItem>
    <reviewItem>
      <errorID>7487a735-92a3-476d-af5f-553b32e726af</errorID>
      <errorWord>~</errorWord>
      <group>L1_Format</group>
      <groupName>格式问题</groupName>
      <ability>L2_HalfPunc</ability>
      <abilityName>全半角检查</abilityName>
      <candidateList>
        <item>～</item>
      </candidateList>
      <explain>文本全半角错误。</explain>
      <paraID> 3011BA4</paraID>
      <start>2</start>
      <end>3</end>
      <status>unmodified</status>
      <modifiedWord/>
      <trackRevisions>false</trackRevisions>
    </reviewItem>
    <reviewItem>
      <errorID>96560f27-b10b-4c60-9ad6-2a15df00a970</errorID>
      <errorWord>成</errorWord>
      <group>L1_Word</group>
      <groupName>字词问题</groupName>
      <ability>L2_Typo</ability>
      <abilityName>字词错误</abilityName>
      <candidateList>
        <item>呈</item>
      </candidateList>
      <explain>❶〈动〉具有（某种形式）；呈现（某种颜色、状态）：果实～长圆形｜毛皮～暗褐色。❷〈动〉恭敬地送上去：谨～｜～上名片。❸呈文：签～。❹（Chénɡ）〈名〉姓。</explain>
      <paraID>4A1CA598</paraID>
      <start>43</start>
      <end>44</end>
      <status>unmodified</status>
      <modifiedWord/>
      <trackRevisions>false</trackRevisions>
    </reviewItem>
    <reviewItem>
      <errorID>11b10618-8e1d-4fae-b09b-5988bddbfdf5</errorID>
      <errorWord>空隙</errorWord>
      <group>L1_Word</group>
      <groupName>字词问题</groupName>
      <ability>L2_Typo</ability>
      <abilityName>字词错误</abilityName>
      <candidateList>
        <item>孔隙</item>
      </candidateList>
      <explain/>
      <paraID>4A1CA598</paraID>
      <start>50</start>
      <end>52</end>
      <status>unmodified</status>
      <modifiedWord/>
      <trackRevisions>false</trackRevisions>
    </reviewItem>
    <reviewItem>
      <errorID>a56be116-c273-4094-8dc1-d3c02dbe0433</errorID>
      <errorWord>空隙</errorWord>
      <group>L1_Word</group>
      <groupName>字词问题</groupName>
      <ability>L2_Typo</ability>
      <abilityName>字词错误</abilityName>
      <candidateList>
        <item>孔隙</item>
      </candidateList>
      <explain>存在发音相同字词的误用。</explain>
      <paraID>4A1CA598</paraID>
      <start>135</start>
      <end>137</end>
      <status>unmodified</status>
      <modifiedWord/>
      <trackRevisions>false</trackRevisions>
    </reviewItem>
    <reviewItem>
      <errorID>5f65453d-9ff7-4e1d-b610-7e7212cc7356</errorID>
      <errorWord>源源</errorWord>
      <group>L1_Word</group>
      <groupName>字词问题</groupName>
      <ability>L2_Typo</ability>
      <abilityName>字词错误</abilityName>
      <candidateList>
        <item>源</item>
      </candidateList>
      <explain/>
      <paraID>7ED7BCF6</paraID>
      <start>1</start>
      <end>3</end>
      <status>unmodified</status>
      <modifiedWord/>
      <trackRevisions>false</trackRevisions>
    </reviewItem>
    <reviewItem>
      <errorID>15b5b47f-cd19-4c1c-a8c2-6cce7606fbba</errorID>
      <errorWord>源源</errorWord>
      <group>L1_Word</group>
      <groupName>字词问题</groupName>
      <ability>L2_Typo</ability>
      <abilityName>字词错误</abilityName>
      <candidateList>
        <item>源</item>
      </candidateList>
      <explain/>
      <paraID> 2AA4378</paraID>
      <start>1</start>
      <end>3</end>
      <status>unmodified</status>
      <modifiedWord/>
      <trackRevisions>false</trackRevisions>
    </reviewItem>
    <reviewItem>
      <errorID>42926f84-ccd0-4539-aaff-a2cc179faf75</errorID>
      <errorWord>（</errorWord>
      <group>L1_Punc</group>
      <groupName>标点问题</groupName>
      <ability>L2_Punc</ability>
      <abilityName>标点符号检查</abilityName>
      <candidateList>
        <item/>
      </candidateList>
      <explain>同一形式括号套用。</explain>
      <paraID>6CBF5FC1</paraID>
      <start>3</start>
      <end>4</end>
      <status>unmodified</status>
      <modifiedWord/>
      <trackRevisions>false</trackRevisions>
    </reviewItem>
    <reviewItem>
      <errorID>c0686484-635a-47bb-b465-06b3b334a750</errorID>
      <errorWord>）</errorWord>
      <group>L1_Punc</group>
      <groupName>标点问题</groupName>
      <ability>L2_Punc</ability>
      <abilityName>标点符号检查</abilityName>
      <candidateList/>
      <explain>同一形式括号套用。</explain>
      <paraID>6CBF5FC1</paraID>
      <start>9</start>
      <end>10</end>
      <status>unmodified</status>
      <modifiedWord/>
      <trackRevisions>false</trackRevisions>
    </reviewItem>
    <reviewItem>
      <errorID>6190f8ee-7d48-4948-a761-a3a0f21b82ca</errorID>
      <errorWord>（</errorWord>
      <group>L1_Punc</group>
      <groupName>标点问题</groupName>
      <ability>L2_Punc</ability>
      <abilityName>标点符号检查</abilityName>
      <candidateList>
        <item/>
      </candidateList>
      <explain>同一形式括号套用。</explain>
      <paraID>145E9003</paraID>
      <start>4</start>
      <end>5</end>
      <status>unmodified</status>
      <modifiedWord/>
      <trackRevisions>false</trackRevisions>
    </reviewItem>
    <reviewItem>
      <errorID>e3f08b57-2d4f-4e23-b2a9-04ccee464e9c</errorID>
      <errorWord>）</errorWord>
      <group>L1_Punc</group>
      <groupName>标点问题</groupName>
      <ability>L2_Punc</ability>
      <abilityName>标点符号检查</abilityName>
      <candidateList/>
      <explain>同一形式括号套用。</explain>
      <paraID>145E9003</paraID>
      <start>10</start>
      <end>11</end>
      <status>unmodified</status>
      <modifiedWord/>
      <trackRevisions>false</trackRevisions>
    </reviewItem>
    <reviewItem>
      <errorID>b2a49b66-7a0d-47ca-9344-69557b294c8e</errorID>
      <errorWord>（</errorWord>
      <group>L1_Format</group>
      <groupName>格式问题</groupName>
      <ability>L2_HalfPunc</ability>
      <abilityName>全半角检查</abilityName>
      <candidateList>
        <item>(</item>
      </candidateList>
      <explain>文本全半角错误。</explain>
      <paraID>16312D7C</paraID>
      <start>3</start>
      <end>4</end>
      <status>unmodified</status>
      <modifiedWord/>
      <trackRevisions>false</trackRevisions>
    </reviewItem>
    <reviewItem>
      <errorID>05e047a9-0031-4835-ba05-c35dd7567a0a</errorID>
      <errorWord>）</errorWord>
      <group>L1_Format</group>
      <groupName>格式问题</groupName>
      <ability>L2_HalfPunc</ability>
      <abilityName>全半角检查</abilityName>
      <candidateList>
        <item>)</item>
      </candidateList>
      <explain>文本全半角错误。</explain>
      <paraID>16312D7C</paraID>
      <start>5</start>
      <end>6</end>
      <status>unmodified</status>
      <modifiedWord/>
      <trackRevisions>false</trackRevisions>
    </reviewItem>
    <reviewItem>
      <errorID>b22db4a0-ca8d-41a1-a240-06512f6d35f1</errorID>
      <errorWord>浇注</errorWord>
      <group>L1_Word</group>
      <groupName>字词问题</groupName>
      <ability>L2_Typo</ability>
      <abilityName>字词错误</abilityName>
      <candidateList>
        <item>浇筑</item>
      </candidateList>
      <explain/>
      <paraID> 30ABFA0</paraID>
      <start>29</start>
      <end>31</end>
      <status>unmodified</status>
      <modifiedWord/>
      <trackRevisions>false</trackRevisions>
    </reviewItem>
    <reviewItem>
      <errorID>96cd5a8c-3b4b-431d-8f46-92b5980492a8</errorID>
      <errorWord>浇注</errorWord>
      <group>L1_Word</group>
      <groupName>字词问题</groupName>
      <ability>L2_Typo</ability>
      <abilityName>字词错误</abilityName>
      <candidateList>
        <item>浇筑</item>
      </candidateList>
      <explain/>
      <paraID>70CCA17E</paraID>
      <start>18</start>
      <end>20</end>
      <status>unmodified</status>
      <modifiedWord/>
      <trackRevisions>false</trackRevisions>
    </reviewItem>
    <reviewItem>
      <errorID>8606a86d-e393-449d-afec-722b7c380fef</errorID>
      <errorWord>维护</errorWord>
      <group>L1_Word</group>
      <groupName>字词问题</groupName>
      <ability>L2_Typo</ability>
      <abilityName>字词错误</abilityName>
      <candidateList>
        <item>围护</item>
      </candidateList>
      <explain/>
      <paraID>4E25261A</paraID>
      <start>49</start>
      <end>51</end>
      <status>unmodified</status>
      <modifiedWord/>
      <trackRevisions>false</trackRevisions>
    </reviewItem>
    <reviewItem>
      <errorID>8fff0d70-eb37-4517-a8a9-8fbe487ec84a</errorID>
      <errorWord>,</errorWord>
      <group>L1_Format</group>
      <groupName>格式问题</groupName>
      <ability>L2_HalfPunc</ability>
      <abilityName>全半角检查</abilityName>
      <candidateList>
        <item>，</item>
      </candidateList>
      <explain>文本全半角错误。</explain>
      <paraID>76BDDE6E</paraID>
      <start>91</start>
      <end>92</end>
      <status>unmodified</status>
      <modifiedWord/>
      <trackRevisions>false</trackRevisions>
    </reviewItem>
    <reviewItem>
      <errorID>0b881ff7-1495-4cbb-895e-fbc42f4e3bdc</errorID>
      <errorWord>律</errorWord>
      <group>L1_Word</group>
      <groupName>字词问题</groupName>
      <ability>L2_Typo</ability>
      <abilityName>字词错误</abilityName>
      <candidateList>
        <item>律法</item>
      </candidateList>
      <explain/>
      <paraID>449DDCFA</paraID>
      <start>28</start>
      <end>29</end>
      <status>unmodified</status>
      <modifiedWord/>
      <trackRevisions>false</trackRevisions>
    </reviewItem>
    <reviewItem>
      <errorID>22d74855-a9b6-43b4-b63f-70923fdd042d</errorID>
      <errorWord>，</errorWord>
      <group>L1_Format</group>
      <groupName>格式问题</groupName>
      <ability>L2_HalfPunc</ability>
      <abilityName>全半角检查</abilityName>
      <candidateList>
        <item>, </item>
      </candidateList>
      <explain>文本全半角错误。</explain>
      <paraID>1A5A1FF1</paraID>
      <start>1</start>
      <end>2</end>
      <status>unmodified</status>
      <modifiedWord/>
      <trackRevisions>false</trackRevisions>
    </reviewItem>
    <reviewItem>
      <errorID>18afae90-ae7c-42c8-bbf5-bcca296f8727</errorID>
      <errorWord>，</errorWord>
      <group>L1_Format</group>
      <groupName>格式问题</groupName>
      <ability>L2_HalfPunc</ability>
      <abilityName>全半角检查</abilityName>
      <candidateList>
        <item>, </item>
      </candidateList>
      <explain>文本全半角错误。</explain>
      <paraID>652E1C82</paraID>
      <start>1</start>
      <end>2</end>
      <status>unmodified</status>
      <modifiedWord/>
      <trackRevisions>false</trackRevisions>
    </reviewItem>
    <reviewItem>
      <errorID>29544b4b-f176-4fa6-84d0-7c6a98af65ea</errorID>
      <errorWord>，</errorWord>
      <group>L1_Format</group>
      <groupName>格式问题</groupName>
      <ability>L2_HalfPunc</ability>
      <abilityName>全半角检查</abilityName>
      <candidateList>
        <item>, </item>
      </candidateList>
      <explain>文本全半角错误。</explain>
      <paraID>65FE3A6A</paraID>
      <start>1</start>
      <end>2</end>
      <status>unmodified</status>
      <modifiedWord/>
      <trackRevisions>false</trackRevisions>
    </reviewItem>
    <reviewItem>
      <errorID>434462ee-9396-46d4-8927-676382053159</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3480010C</paraID>
      <start>48</start>
      <end>49</end>
      <status>unmodified</status>
      <modifiedWord/>
      <trackRevisions>false</trackRevisions>
    </reviewItem>
    <reviewItem>
      <errorID>271092fb-0d22-4e10-98b2-d39cb25ba7f6</errorID>
      <errorWord>泄露</errorWord>
      <group>L1_Word</group>
      <groupName>字词问题</groupName>
      <ability>L2_Typo</ability>
      <abilityName>字词错误</abilityName>
      <candidateList>
        <item>泄漏</item>
      </candidateList>
      <explain/>
      <paraID>5250ED60</paraID>
      <start>8</start>
      <end>10</end>
      <status>unmodified</status>
      <modifiedWord/>
      <trackRevisions>false</trackRevisions>
    </reviewItem>
    <reviewItem>
      <errorID>f05f2e58-34a6-4f25-9d54-c03c7ec78ae4</errorID>
      <errorWord>加入到</errorWord>
      <group>L1_Word</group>
      <groupName>字词问题</groupName>
      <ability>L2_Typo</ability>
      <abilityName>字词错误</abilityName>
      <candidateList>
        <item>加入</item>
      </candidateList>
      <explain>〈动〉❶加上；掺进去：～食糖少许。❷参加进去：～工会｜～足球队。</explain>
      <paraID>7CB4F2E7</paraID>
      <start>8</start>
      <end>11</end>
      <status>unmodified</status>
      <modifiedWord/>
      <trackRevisions>false</trackRevisions>
    </reviewItem>
    <reviewItem>
      <errorID>9e2792aa-8180-4da3-8064-f0525ffa00f9</errorID>
      <errorWord>砂土</errorWord>
      <group>L1_Word</group>
      <groupName>字词问题</groupName>
      <ability>L2_Typo</ability>
      <abilityName>字词错误</abilityName>
      <candidateList>
        <item>沙土</item>
      </candidateList>
      <explain/>
      <paraID>7CB4F2E7</paraID>
      <start>36</start>
      <end>38</end>
      <status>unmodified</status>
      <modifiedWord/>
      <trackRevisions>false</trackRevisions>
    </reviewItem>
    <reviewItem>
      <errorID>80e61dfe-3db4-486b-a54a-eb1b3c1f5db6</errorID>
      <errorWord>浇注</errorWord>
      <group>L1_Word</group>
      <groupName>字词问题</groupName>
      <ability>L2_Typo</ability>
      <abilityName>字词错误</abilityName>
      <candidateList>
        <item>浇筑</item>
      </candidateList>
      <explain/>
      <paraID>28EFC27B</paraID>
      <start>7</start>
      <end>9</end>
      <status>unmodified</status>
      <modifiedWord/>
      <trackRevisions>false</trackRevisions>
    </reviewItem>
    <reviewItem>
      <errorID>f3d6fc59-faec-4f36-b53b-865c3ef7a001</errorID>
      <errorWord>浓度限制</errorWord>
      <group>L1_Word</group>
      <groupName>字词问题</groupName>
      <ability>L2_Typo</ability>
      <abilityName>字词错误</abilityName>
      <candidateList>
        <item>浓度限值</item>
      </candidateList>
      <explain/>
      <paraID>7320F890</paraID>
      <start>38</start>
      <end>42</end>
      <status>unmodified</status>
      <modifiedWord/>
      <trackRevisions>false</trackRevisions>
    </reviewItem>
    <reviewItem>
      <errorID>6d9aaab0-00ca-48f2-b2a1-6849718fbd94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25CCE660</paraID>
      <start>49</start>
      <end>50</end>
      <status>unmodified</status>
      <modifiedWord/>
      <trackRevisions>false</trackRevisions>
    </reviewItem>
    <reviewItem>
      <errorID>683051cb-818c-4b95-a10f-e7d7b571aa73</errorID>
      <errorWord>加入到</errorWord>
      <group>L1_Word</group>
      <groupName>字词问题</groupName>
      <ability>L2_Typo</ability>
      <abilityName>字词错误</abilityName>
      <candidateList>
        <item>加入</item>
      </candidateList>
      <explain>〈动〉❶加上；掺进去：～食糖少许。❷参加进去：～工会｜～足球队。</explain>
      <paraID> F8CA46D</paraID>
      <start>8</start>
      <end>11</end>
      <status>unmodified</status>
      <modifiedWord/>
      <trackRevisions>false</trackRevisions>
    </reviewItem>
    <reviewItem>
      <errorID>ececf943-63d1-4db6-87b3-925a1c7fd841</errorID>
      <errorWord>砂土</errorWord>
      <group>L1_Word</group>
      <groupName>字词问题</groupName>
      <ability>L2_Typo</ability>
      <abilityName>字词错误</abilityName>
      <candidateList>
        <item>沙土</item>
      </candidateList>
      <explain/>
      <paraID> F8CA46D</paraID>
      <start>36</start>
      <end>38</end>
      <status>unmodified</status>
      <modifiedWord/>
      <trackRevisions>false</trackRevisions>
    </reviewItem>
    <reviewItem>
      <errorID>d0f1fccf-6f70-4bf6-a8cc-96303fd25cfd</errorID>
      <errorWord>标示牌</errorWord>
      <group>L1_Word</group>
      <groupName>字词问题</groupName>
      <ability>L2_Typo</ability>
      <abilityName>字词错误</abilityName>
      <candidateList>
        <item>标识牌</item>
      </candidateList>
      <explain>存在发音相同字词的误用。</explain>
      <paraID>2160D074</paraID>
      <start>54</start>
      <end>57</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3efd9d-d88f-47f5-b90f-bb4cfc422b30}">
  <ds:schemaRefs/>
</ds:datastoreItem>
</file>

<file path=customXml/itemProps3.xml><?xml version="1.0" encoding="utf-8"?>
<ds:datastoreItem xmlns:ds="http://schemas.openxmlformats.org/officeDocument/2006/customXml" ds:itemID="{D93E07D9-C49B-4D22-81BD-7FE9995FC251}">
  <ds:schemaRefs/>
</ds:datastoreItem>
</file>

<file path=docProps/app.xml><?xml version="1.0" encoding="utf-8"?>
<Properties xmlns="http://schemas.openxmlformats.org/officeDocument/2006/extended-properties" xmlns:vt="http://schemas.openxmlformats.org/officeDocument/2006/docPropsVTypes">
  <Template>评价单位</Template>
  <Company>Microsoft</Company>
  <Pages>82</Pages>
  <Words>31226</Words>
  <Characters>32564</Characters>
  <Lines>1</Lines>
  <Paragraphs>1</Paragraphs>
  <TotalTime>0</TotalTime>
  <ScaleCrop>false</ScaleCrop>
  <LinksUpToDate>false</LinksUpToDate>
  <CharactersWithSpaces>32662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2021-02-26T02:53:00Z</dcterms:created>
  <dc:creator>fc</dc:creator>
  <cp:lastModifiedBy>lenovo</cp:lastModifiedBy>
  <cp:lastPrinted>2024-01-24T02:59:00Z</cp:lastPrinted>
  <dcterms:modified xsi:type="dcterms:W3CDTF">2026-03-30T02:51:45Z</dcterms:modified>
  <dc:title>评价单位                             (公章)</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6339FFBB9D7E425FAB7AE63A490A7FD1_13</vt:lpwstr>
  </property>
  <property fmtid="{D5CDD505-2E9C-101B-9397-08002B2CF9AE}" pid="4" name="KSOTemplateDocerSaveRecord">
    <vt:lpwstr>eyJoZGlkIjoiZTdlMjFhZGY0NDZkMjNiZTljYzRlMjhhOGI2M2FiZmMiLCJ1c2VySWQiOiIxMTY4MzcyMzI2In0=</vt:lpwstr>
  </property>
</Properties>
</file>