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FFF6">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2FE470FE">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026E4F13">
      <w:pPr>
        <w:adjustRightInd w:val="0"/>
        <w:snapToGrid w:val="0"/>
        <w:jc w:val="center"/>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77640C67">
      <w:pPr>
        <w:adjustRightInd w:val="0"/>
        <w:snapToGrid w:val="0"/>
        <w:spacing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3B79B6AF">
      <w:pPr>
        <w:adjustRightInd w:val="0"/>
        <w:snapToGrid w:val="0"/>
        <w:spacing w:line="288" w:lineRule="auto"/>
        <w:jc w:val="center"/>
        <w:rPr>
          <w:rFonts w:hint="default" w:ascii="Times New Roman" w:hAnsi="Times New Roman" w:eastAsia="华文仿宋" w:cs="Times New Roman"/>
          <w:color w:val="auto"/>
          <w:kern w:val="44"/>
          <w:sz w:val="44"/>
          <w:szCs w:val="44"/>
          <w:highlight w:val="none"/>
        </w:rPr>
      </w:pPr>
    </w:p>
    <w:p w14:paraId="5FAB53B8">
      <w:pPr>
        <w:jc w:val="center"/>
        <w:rPr>
          <w:rFonts w:hint="default" w:ascii="Times New Roman" w:hAnsi="Times New Roman" w:eastAsia="仿宋" w:cs="Times New Roman"/>
          <w:color w:val="auto"/>
          <w:sz w:val="52"/>
          <w:szCs w:val="52"/>
          <w:highlight w:val="none"/>
        </w:rPr>
      </w:pPr>
    </w:p>
    <w:p w14:paraId="73A398C6">
      <w:pPr>
        <w:rPr>
          <w:rFonts w:hint="default" w:ascii="Times New Roman" w:hAnsi="Times New Roman" w:eastAsia="仿宋" w:cs="Times New Roman"/>
          <w:color w:val="auto"/>
          <w:sz w:val="44"/>
          <w:szCs w:val="44"/>
          <w:highlight w:val="none"/>
        </w:rPr>
      </w:pPr>
    </w:p>
    <w:p w14:paraId="6511B589">
      <w:pPr>
        <w:pStyle w:val="2"/>
        <w:rPr>
          <w:rFonts w:hint="default" w:ascii="Times New Roman" w:hAnsi="Times New Roman" w:eastAsia="仿宋" w:cs="Times New Roman"/>
          <w:color w:val="auto"/>
          <w:sz w:val="44"/>
          <w:szCs w:val="44"/>
          <w:highlight w:val="none"/>
        </w:rPr>
      </w:pPr>
    </w:p>
    <w:p w14:paraId="634F3486">
      <w:pPr>
        <w:pStyle w:val="21"/>
        <w:rPr>
          <w:rFonts w:hint="default" w:ascii="Times New Roman" w:hAnsi="Times New Roman" w:eastAsia="仿宋" w:cs="Times New Roman"/>
          <w:color w:val="auto"/>
          <w:sz w:val="44"/>
          <w:szCs w:val="44"/>
          <w:highlight w:val="none"/>
        </w:rPr>
      </w:pPr>
    </w:p>
    <w:p w14:paraId="3249D961">
      <w:pPr>
        <w:rPr>
          <w:rFonts w:hint="default" w:ascii="Times New Roman" w:hAnsi="Times New Roman" w:eastAsia="仿宋" w:cs="Times New Roman"/>
          <w:color w:val="auto"/>
          <w:sz w:val="44"/>
          <w:szCs w:val="44"/>
          <w:highlight w:val="none"/>
        </w:rPr>
      </w:pPr>
    </w:p>
    <w:p w14:paraId="3E5F1A26">
      <w:pPr>
        <w:adjustRightInd w:val="0"/>
        <w:snapToGrid w:val="0"/>
        <w:spacing w:line="360" w:lineRule="auto"/>
        <w:ind w:left="1800" w:hanging="1800" w:hangingChars="500"/>
        <w:rPr>
          <w:rFonts w:hint="default" w:ascii="Times New Roman" w:hAnsi="Times New Roman" w:eastAsia="仿宋_GB2312" w:cs="Times New Roman"/>
          <w:color w:val="auto"/>
          <w:sz w:val="36"/>
          <w:szCs w:val="36"/>
          <w:highlight w:val="none"/>
          <w:u w:val="single"/>
          <w:lang w:val="en-US" w:eastAsia="zh-CN"/>
        </w:rPr>
      </w:pPr>
      <w:bookmarkStart w:id="0" w:name="_Hlk57884087"/>
      <w:r>
        <w:rPr>
          <w:rFonts w:hint="default" w:ascii="Times New Roman" w:hAnsi="Times New Roman" w:eastAsia="仿宋_GB2312" w:cs="Times New Roman"/>
          <w:color w:val="auto"/>
          <w:sz w:val="36"/>
          <w:szCs w:val="36"/>
          <w:highlight w:val="none"/>
        </w:rPr>
        <w:t>项目名称：</w:t>
      </w:r>
      <w:r>
        <w:rPr>
          <w:rFonts w:hint="default" w:ascii="Times New Roman" w:hAnsi="Times New Roman" w:eastAsia="仿宋_GB2312" w:cs="Times New Roman"/>
          <w:color w:val="auto"/>
          <w:sz w:val="36"/>
          <w:szCs w:val="36"/>
          <w:highlight w:val="none"/>
          <w:u w:val="single"/>
          <w:lang w:val="en-US" w:eastAsia="zh-CN"/>
        </w:rPr>
        <w:t xml:space="preserve">   </w:t>
      </w:r>
      <w:r>
        <w:rPr>
          <w:rFonts w:hint="default" w:ascii="Times New Roman" w:hAnsi="Times New Roman" w:eastAsia="仿宋_GB2312" w:cs="Times New Roman"/>
          <w:color w:val="auto"/>
          <w:sz w:val="36"/>
          <w:szCs w:val="36"/>
          <w:highlight w:val="none"/>
          <w:u w:val="single"/>
          <w:lang w:eastAsia="zh-CN"/>
        </w:rPr>
        <w:t>钢制边框复合隔墙板及砂浆</w:t>
      </w:r>
      <w:r>
        <w:rPr>
          <w:rFonts w:hint="default" w:ascii="Times New Roman" w:hAnsi="Times New Roman" w:eastAsia="仿宋_GB2312" w:cs="Times New Roman"/>
          <w:color w:val="auto"/>
          <w:sz w:val="36"/>
          <w:szCs w:val="36"/>
          <w:highlight w:val="none"/>
          <w:u w:val="single"/>
          <w:lang w:val="en-US" w:eastAsia="zh-CN"/>
        </w:rPr>
        <w:t>生产</w:t>
      </w:r>
      <w:r>
        <w:rPr>
          <w:rFonts w:hint="default" w:ascii="Times New Roman" w:hAnsi="Times New Roman" w:eastAsia="仿宋_GB2312" w:cs="Times New Roman"/>
          <w:color w:val="auto"/>
          <w:sz w:val="36"/>
          <w:szCs w:val="36"/>
          <w:highlight w:val="none"/>
          <w:u w:val="single"/>
          <w:lang w:eastAsia="zh-CN"/>
        </w:rPr>
        <w:t>项目</w:t>
      </w:r>
      <w:r>
        <w:rPr>
          <w:rFonts w:hint="default" w:ascii="Times New Roman" w:hAnsi="Times New Roman" w:eastAsia="仿宋_GB2312" w:cs="Times New Roman"/>
          <w:color w:val="auto"/>
          <w:sz w:val="36"/>
          <w:szCs w:val="36"/>
          <w:highlight w:val="none"/>
          <w:u w:val="single"/>
        </w:rPr>
        <w:t xml:space="preserve">    </w:t>
      </w:r>
    </w:p>
    <w:p w14:paraId="41F18DF3">
      <w:pPr>
        <w:adjustRightInd w:val="0"/>
        <w:snapToGrid w:val="0"/>
        <w:spacing w:line="360" w:lineRule="auto"/>
        <w:rPr>
          <w:rFonts w:hint="default" w:ascii="Times New Roman" w:hAnsi="Times New Roman" w:eastAsia="仿宋_GB2312" w:cs="Times New Roman"/>
          <w:color w:val="auto"/>
          <w:sz w:val="36"/>
          <w:szCs w:val="36"/>
          <w:highlight w:val="none"/>
        </w:rPr>
      </w:pPr>
      <w:r>
        <w:rPr>
          <w:rFonts w:hint="default" w:ascii="Times New Roman" w:hAnsi="Times New Roman" w:eastAsia="仿宋_GB2312" w:cs="Times New Roman"/>
          <w:color w:val="auto"/>
          <w:sz w:val="36"/>
          <w:szCs w:val="36"/>
          <w:highlight w:val="none"/>
        </w:rPr>
        <w:t>建设单位（盖章）：</w:t>
      </w:r>
      <w:r>
        <w:rPr>
          <w:rFonts w:hint="default" w:ascii="Times New Roman" w:hAnsi="Times New Roman" w:eastAsia="仿宋_GB2312" w:cs="Times New Roman"/>
          <w:color w:val="auto"/>
          <w:sz w:val="36"/>
          <w:szCs w:val="36"/>
          <w:highlight w:val="none"/>
          <w:u w:val="single"/>
        </w:rPr>
        <w:t xml:space="preserve">  </w:t>
      </w:r>
      <w:r>
        <w:rPr>
          <w:rFonts w:hint="default" w:ascii="Times New Roman" w:hAnsi="Times New Roman" w:eastAsia="仿宋_GB2312" w:cs="Times New Roman"/>
          <w:color w:val="auto"/>
          <w:sz w:val="36"/>
          <w:szCs w:val="36"/>
          <w:highlight w:val="none"/>
          <w:u w:val="single"/>
          <w:lang w:eastAsia="zh-CN"/>
        </w:rPr>
        <w:t>河北鑫山建材有限公司</w:t>
      </w:r>
      <w:r>
        <w:rPr>
          <w:rFonts w:hint="default" w:ascii="Times New Roman" w:hAnsi="Times New Roman" w:eastAsia="仿宋_GB2312" w:cs="Times New Roman"/>
          <w:color w:val="auto"/>
          <w:sz w:val="36"/>
          <w:szCs w:val="36"/>
          <w:highlight w:val="none"/>
          <w:u w:val="single"/>
        </w:rPr>
        <w:t xml:space="preserve">          </w:t>
      </w:r>
    </w:p>
    <w:p w14:paraId="52AEB264">
      <w:pPr>
        <w:adjustRightInd w:val="0"/>
        <w:snapToGrid w:val="0"/>
        <w:spacing w:line="360" w:lineRule="auto"/>
        <w:rPr>
          <w:rFonts w:hint="default" w:ascii="Times New Roman" w:hAnsi="Times New Roman" w:eastAsia="仿宋_GB2312" w:cs="Times New Roman"/>
          <w:color w:val="auto"/>
          <w:sz w:val="36"/>
          <w:szCs w:val="36"/>
          <w:highlight w:val="none"/>
          <w:u w:val="single"/>
        </w:rPr>
      </w:pPr>
      <w:r>
        <w:rPr>
          <w:rFonts w:hint="default" w:ascii="Times New Roman" w:hAnsi="Times New Roman" w:eastAsia="仿宋_GB2312" w:cs="Times New Roman"/>
          <w:color w:val="auto"/>
          <w:sz w:val="36"/>
          <w:szCs w:val="36"/>
          <w:highlight w:val="none"/>
        </w:rPr>
        <w:t>编制日期：</w:t>
      </w:r>
      <w:r>
        <w:rPr>
          <w:rFonts w:hint="default" w:ascii="Times New Roman" w:hAnsi="Times New Roman" w:eastAsia="仿宋_GB2312" w:cs="Times New Roman"/>
          <w:color w:val="auto"/>
          <w:sz w:val="36"/>
          <w:szCs w:val="36"/>
          <w:highlight w:val="none"/>
          <w:u w:val="single"/>
        </w:rPr>
        <w:t xml:space="preserve">               202</w:t>
      </w:r>
      <w:r>
        <w:rPr>
          <w:rFonts w:hint="default" w:ascii="Times New Roman" w:hAnsi="Times New Roman" w:eastAsia="仿宋_GB2312" w:cs="Times New Roman"/>
          <w:color w:val="auto"/>
          <w:sz w:val="36"/>
          <w:szCs w:val="36"/>
          <w:highlight w:val="none"/>
          <w:u w:val="single"/>
          <w:lang w:val="en-US" w:eastAsia="zh-CN"/>
        </w:rPr>
        <w:t>5</w:t>
      </w:r>
      <w:r>
        <w:rPr>
          <w:rFonts w:hint="default" w:ascii="Times New Roman" w:hAnsi="Times New Roman" w:eastAsia="仿宋_GB2312" w:cs="Times New Roman"/>
          <w:color w:val="auto"/>
          <w:sz w:val="36"/>
          <w:szCs w:val="36"/>
          <w:highlight w:val="none"/>
          <w:u w:val="single"/>
        </w:rPr>
        <w:t>年</w:t>
      </w:r>
      <w:r>
        <w:rPr>
          <w:rFonts w:hint="default" w:ascii="Times New Roman" w:hAnsi="Times New Roman" w:eastAsia="仿宋_GB2312" w:cs="Times New Roman"/>
          <w:color w:val="auto"/>
          <w:sz w:val="36"/>
          <w:szCs w:val="36"/>
          <w:highlight w:val="none"/>
          <w:u w:val="single"/>
          <w:lang w:val="en-US" w:eastAsia="zh-CN"/>
        </w:rPr>
        <w:t>12</w:t>
      </w:r>
      <w:r>
        <w:rPr>
          <w:rFonts w:hint="default" w:ascii="Times New Roman" w:hAnsi="Times New Roman" w:eastAsia="仿宋_GB2312" w:cs="Times New Roman"/>
          <w:color w:val="auto"/>
          <w:sz w:val="36"/>
          <w:szCs w:val="36"/>
          <w:highlight w:val="none"/>
          <w:u w:val="single"/>
        </w:rPr>
        <w:t xml:space="preserve">月              </w:t>
      </w:r>
    </w:p>
    <w:p w14:paraId="1FA70236">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71BC999">
      <w:pPr>
        <w:adjustRightInd w:val="0"/>
        <w:snapToGrid w:val="0"/>
        <w:spacing w:line="288" w:lineRule="auto"/>
        <w:rPr>
          <w:rFonts w:hint="default" w:ascii="Times New Roman" w:hAnsi="Times New Roman" w:eastAsia="仿宋_GB2312" w:cs="Times New Roman"/>
          <w:color w:val="auto"/>
          <w:sz w:val="36"/>
          <w:szCs w:val="36"/>
          <w:highlight w:val="none"/>
        </w:rPr>
      </w:pPr>
    </w:p>
    <w:p w14:paraId="6BFFD04B">
      <w:pPr>
        <w:pStyle w:val="2"/>
        <w:rPr>
          <w:rFonts w:hint="default" w:ascii="Times New Roman" w:hAnsi="Times New Roman" w:eastAsia="仿宋_GB2312" w:cs="Times New Roman"/>
          <w:color w:val="auto"/>
          <w:highlight w:val="none"/>
        </w:rPr>
      </w:pPr>
    </w:p>
    <w:p w14:paraId="1CDFE576">
      <w:pPr>
        <w:rPr>
          <w:rFonts w:hint="default" w:ascii="Times New Roman" w:hAnsi="Times New Roman" w:cs="Times New Roman"/>
          <w:color w:val="auto"/>
          <w:highlight w:val="none"/>
        </w:rPr>
      </w:pPr>
    </w:p>
    <w:p w14:paraId="53343E96">
      <w:pPr>
        <w:pStyle w:val="2"/>
        <w:rPr>
          <w:rFonts w:hint="default" w:ascii="Times New Roman" w:hAnsi="Times New Roman" w:cs="Times New Roman"/>
          <w:color w:val="auto"/>
          <w:highlight w:val="none"/>
        </w:rPr>
      </w:pPr>
    </w:p>
    <w:p w14:paraId="1C15CE64">
      <w:pPr>
        <w:pStyle w:val="21"/>
        <w:rPr>
          <w:rFonts w:hint="default" w:ascii="Times New Roman" w:hAnsi="Times New Roman" w:cs="Times New Roman"/>
          <w:color w:val="auto"/>
          <w:highlight w:val="none"/>
        </w:rPr>
      </w:pPr>
    </w:p>
    <w:p w14:paraId="52CECEE1">
      <w:pPr>
        <w:pStyle w:val="21"/>
        <w:rPr>
          <w:rFonts w:hint="default" w:ascii="Times New Roman" w:hAnsi="Times New Roman" w:cs="Times New Roman"/>
          <w:color w:val="auto"/>
          <w:highlight w:val="none"/>
        </w:rPr>
      </w:pPr>
    </w:p>
    <w:p w14:paraId="586101D8">
      <w:pPr>
        <w:pStyle w:val="21"/>
        <w:rPr>
          <w:rFonts w:hint="default" w:ascii="Times New Roman" w:hAnsi="Times New Roman" w:cs="Times New Roman"/>
          <w:color w:val="auto"/>
          <w:highlight w:val="none"/>
        </w:rPr>
      </w:pPr>
    </w:p>
    <w:p w14:paraId="4C08F426">
      <w:pPr>
        <w:pStyle w:val="21"/>
        <w:rPr>
          <w:rFonts w:hint="default" w:ascii="Times New Roman" w:hAnsi="Times New Roman" w:cs="Times New Roman"/>
          <w:color w:val="auto"/>
          <w:highlight w:val="none"/>
        </w:rPr>
      </w:pPr>
    </w:p>
    <w:bookmarkEnd w:id="0"/>
    <w:p w14:paraId="15D4B2F6">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34BA76A4">
      <w:pPr>
        <w:rPr>
          <w:rFonts w:hint="default" w:ascii="Times New Roman" w:hAnsi="Times New Roman" w:eastAsia="楷体_GB2312" w:cs="Times New Roman"/>
          <w:color w:val="auto"/>
          <w:sz w:val="36"/>
          <w:szCs w:val="36"/>
          <w:highlight w:val="none"/>
        </w:rPr>
      </w:pPr>
    </w:p>
    <w:p w14:paraId="3E7B8F19">
      <w:pPr>
        <w:pStyle w:val="14"/>
        <w:rPr>
          <w:rFonts w:hint="default" w:ascii="Times New Roman" w:hAnsi="Times New Roman" w:eastAsia="楷体_GB2312" w:cs="Times New Roman"/>
          <w:color w:val="auto"/>
          <w:sz w:val="36"/>
          <w:szCs w:val="36"/>
          <w:highlight w:val="none"/>
        </w:rPr>
      </w:pPr>
    </w:p>
    <w:p w14:paraId="0B875637">
      <w:pPr>
        <w:rPr>
          <w:rFonts w:hint="default" w:ascii="Times New Roman" w:hAnsi="Times New Roman" w:cs="Times New Roman"/>
          <w:color w:val="auto"/>
          <w:highlight w:val="none"/>
        </w:rPr>
        <w:sectPr>
          <w:footerReference r:id="rId3" w:type="default"/>
          <w:footerReference r:id="rId4"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p>
    <w:p w14:paraId="7F9E03F8">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40"/>
        <w:tblW w:w="880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43"/>
        <w:gridCol w:w="1025"/>
        <w:gridCol w:w="2282"/>
        <w:gridCol w:w="2025"/>
        <w:gridCol w:w="2931"/>
      </w:tblGrid>
      <w:tr w14:paraId="20BED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8" w:hRule="atLeast"/>
          <w:jc w:val="center"/>
        </w:trPr>
        <w:tc>
          <w:tcPr>
            <w:tcW w:w="1568" w:type="dxa"/>
            <w:gridSpan w:val="2"/>
            <w:tcMar>
              <w:top w:w="16" w:type="dxa"/>
              <w:left w:w="16" w:type="dxa"/>
              <w:right w:w="16" w:type="dxa"/>
            </w:tcMar>
            <w:vAlign w:val="center"/>
          </w:tcPr>
          <w:p w14:paraId="22D88EC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建设项目名称</w:t>
            </w:r>
          </w:p>
        </w:tc>
        <w:tc>
          <w:tcPr>
            <w:tcW w:w="7238" w:type="dxa"/>
            <w:gridSpan w:val="3"/>
            <w:vAlign w:val="center"/>
          </w:tcPr>
          <w:p w14:paraId="118C5E9C">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p>
        </w:tc>
      </w:tr>
      <w:tr w14:paraId="1A69C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2B300A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项目代码</w:t>
            </w:r>
          </w:p>
        </w:tc>
        <w:tc>
          <w:tcPr>
            <w:tcW w:w="7238" w:type="dxa"/>
            <w:gridSpan w:val="3"/>
            <w:vAlign w:val="center"/>
          </w:tcPr>
          <w:p w14:paraId="3F6C83E1">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2309-130107-89-01-170721</w:t>
            </w:r>
          </w:p>
        </w:tc>
      </w:tr>
      <w:tr w14:paraId="5DA6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F0414ED">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建设单位联系人</w:t>
            </w:r>
          </w:p>
        </w:tc>
        <w:tc>
          <w:tcPr>
            <w:tcW w:w="2282" w:type="dxa"/>
            <w:shd w:val="clear" w:color="auto" w:fill="auto"/>
            <w:vAlign w:val="center"/>
          </w:tcPr>
          <w:p w14:paraId="4FFBA889">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储建锋</w:t>
            </w:r>
          </w:p>
        </w:tc>
        <w:tc>
          <w:tcPr>
            <w:tcW w:w="2025" w:type="dxa"/>
            <w:shd w:val="clear" w:color="auto" w:fill="auto"/>
            <w:vAlign w:val="center"/>
          </w:tcPr>
          <w:p w14:paraId="5D747D98">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联系方式</w:t>
            </w:r>
          </w:p>
        </w:tc>
        <w:tc>
          <w:tcPr>
            <w:tcW w:w="2931" w:type="dxa"/>
            <w:shd w:val="clear" w:color="auto" w:fill="auto"/>
            <w:vAlign w:val="center"/>
          </w:tcPr>
          <w:p w14:paraId="11D0587B">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18830127728</w:t>
            </w:r>
          </w:p>
        </w:tc>
      </w:tr>
      <w:tr w14:paraId="3E5AF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395D77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建设地点</w:t>
            </w:r>
          </w:p>
        </w:tc>
        <w:tc>
          <w:tcPr>
            <w:tcW w:w="7238" w:type="dxa"/>
            <w:gridSpan w:val="3"/>
            <w:vAlign w:val="center"/>
          </w:tcPr>
          <w:p w14:paraId="2F3A33D4">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河北省石家庄市井陉矿区丰达产业园东区7号</w:t>
            </w:r>
          </w:p>
        </w:tc>
      </w:tr>
      <w:tr w14:paraId="1AE95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0B0EB57C">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地理坐标</w:t>
            </w:r>
          </w:p>
        </w:tc>
        <w:tc>
          <w:tcPr>
            <w:tcW w:w="7238" w:type="dxa"/>
            <w:gridSpan w:val="3"/>
            <w:vAlign w:val="center"/>
          </w:tcPr>
          <w:p w14:paraId="148D4362">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val="en-US" w:eastAsia="zh-CN"/>
              </w:rPr>
              <w:t>（东经</w:t>
            </w:r>
            <w:r>
              <w:rPr>
                <w:rFonts w:hint="default" w:ascii="Times New Roman" w:hAnsi="Times New Roman" w:cs="Times New Roman"/>
                <w:color w:val="auto"/>
                <w:sz w:val="24"/>
                <w:highlight w:val="none"/>
              </w:rPr>
              <w:t>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北纬38°4′25.827″）</w:t>
            </w:r>
          </w:p>
        </w:tc>
      </w:tr>
      <w:tr w14:paraId="05434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68" w:type="dxa"/>
            <w:gridSpan w:val="2"/>
            <w:tcMar>
              <w:top w:w="16" w:type="dxa"/>
              <w:left w:w="16" w:type="dxa"/>
              <w:right w:w="16" w:type="dxa"/>
            </w:tcMar>
            <w:vAlign w:val="center"/>
          </w:tcPr>
          <w:p w14:paraId="76C9C54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国民经济</w:t>
            </w:r>
          </w:p>
          <w:p w14:paraId="735371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行业类别</w:t>
            </w:r>
          </w:p>
        </w:tc>
        <w:tc>
          <w:tcPr>
            <w:tcW w:w="2282" w:type="dxa"/>
            <w:vAlign w:val="center"/>
          </w:tcPr>
          <w:p w14:paraId="727262A4">
            <w:pPr>
              <w:keepNext w:val="0"/>
              <w:keepLines w:val="0"/>
              <w:widowControl/>
              <w:suppressLineNumbers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3024轻质建筑材料制造</w:t>
            </w:r>
          </w:p>
          <w:p w14:paraId="4A2D07D4">
            <w:pPr>
              <w:keepNext w:val="0"/>
              <w:keepLines w:val="0"/>
              <w:widowControl/>
              <w:suppressLineNumbers w:val="0"/>
              <w:jc w:val="center"/>
              <w:rPr>
                <w:rFonts w:hint="default"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3034隔热和隔音材料制造</w:t>
            </w:r>
          </w:p>
          <w:p w14:paraId="26353C0C">
            <w:pPr>
              <w:keepNext w:val="0"/>
              <w:keepLines w:val="0"/>
              <w:widowControl/>
              <w:suppressLineNumbers w:val="0"/>
              <w:jc w:val="center"/>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C3039 其他建筑材料制造</w:t>
            </w:r>
          </w:p>
        </w:tc>
        <w:tc>
          <w:tcPr>
            <w:tcW w:w="2025" w:type="dxa"/>
            <w:vAlign w:val="center"/>
          </w:tcPr>
          <w:p w14:paraId="535C512B">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建设项目</w:t>
            </w:r>
          </w:p>
          <w:p w14:paraId="3521EC61">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行业类别</w:t>
            </w:r>
          </w:p>
        </w:tc>
        <w:tc>
          <w:tcPr>
            <w:tcW w:w="2931" w:type="dxa"/>
            <w:vAlign w:val="center"/>
          </w:tcPr>
          <w:p w14:paraId="3E21086F">
            <w:pPr>
              <w:pStyle w:val="31"/>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二十七、非金属矿物制品业 5</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 xml:space="preserve"> </w:t>
            </w:r>
            <w:r>
              <w:rPr>
                <w:rFonts w:hint="default" w:ascii="Times New Roman" w:hAnsi="Times New Roman" w:cs="Times New Roman"/>
                <w:color w:val="auto"/>
                <w:sz w:val="24"/>
                <w:szCs w:val="24"/>
                <w:highlight w:val="none"/>
                <w:lang w:val="en-US" w:eastAsia="zh-CN"/>
              </w:rPr>
              <w:t>石膏、水泥制品及类似制品制造 302-水泥制品制造</w:t>
            </w:r>
          </w:p>
          <w:p w14:paraId="1A774C74">
            <w:pPr>
              <w:pStyle w:val="31"/>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lang w:eastAsia="zh-CN"/>
              </w:rPr>
              <w:t>二十七、非金属矿物制品业 56 砖瓦、石材等建筑材料制造 303-</w:t>
            </w:r>
            <w:r>
              <w:rPr>
                <w:rFonts w:hint="default" w:ascii="Times New Roman" w:hAnsi="Times New Roman" w:cs="Times New Roman"/>
                <w:color w:val="auto"/>
                <w:sz w:val="24"/>
                <w:szCs w:val="24"/>
                <w:highlight w:val="none"/>
                <w:lang w:val="en-US" w:eastAsia="zh-CN"/>
              </w:rPr>
              <w:t>隔热、隔音材料制造；</w:t>
            </w:r>
            <w:r>
              <w:rPr>
                <w:rFonts w:hint="default" w:ascii="Times New Roman" w:hAnsi="Times New Roman" w:cs="Times New Roman"/>
                <w:color w:val="auto"/>
                <w:sz w:val="24"/>
                <w:szCs w:val="24"/>
                <w:highlight w:val="none"/>
                <w:lang w:eastAsia="zh-CN"/>
              </w:rPr>
              <w:t>其他建筑材料制造(含干粉砂浆搅拌站)</w:t>
            </w:r>
          </w:p>
        </w:tc>
      </w:tr>
      <w:tr w14:paraId="4F302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568" w:type="dxa"/>
            <w:gridSpan w:val="2"/>
            <w:tcMar>
              <w:top w:w="16" w:type="dxa"/>
              <w:left w:w="16" w:type="dxa"/>
              <w:right w:w="16" w:type="dxa"/>
            </w:tcMar>
            <w:vAlign w:val="center"/>
          </w:tcPr>
          <w:p w14:paraId="1742212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建设性质</w:t>
            </w:r>
          </w:p>
        </w:tc>
        <w:tc>
          <w:tcPr>
            <w:tcW w:w="2282" w:type="dxa"/>
            <w:vAlign w:val="center"/>
          </w:tcPr>
          <w:p w14:paraId="1FFF0B7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52"/>
            </w:r>
            <w:r>
              <w:rPr>
                <w:rFonts w:hint="default" w:ascii="Times New Roman" w:hAnsi="Times New Roman" w:cs="Times New Roman"/>
                <w:color w:val="auto"/>
                <w:sz w:val="24"/>
                <w:highlight w:val="none"/>
              </w:rPr>
              <w:t>新建（迁建）</w:t>
            </w:r>
          </w:p>
          <w:p w14:paraId="6EB1C6DA">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改建</w:t>
            </w:r>
          </w:p>
          <w:p w14:paraId="259B31B9">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扩建</w:t>
            </w:r>
          </w:p>
          <w:p w14:paraId="6871CA9B">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技术改造</w:t>
            </w:r>
          </w:p>
        </w:tc>
        <w:tc>
          <w:tcPr>
            <w:tcW w:w="2025" w:type="dxa"/>
            <w:vAlign w:val="center"/>
          </w:tcPr>
          <w:p w14:paraId="2C32E6D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w:t>
            </w:r>
          </w:p>
          <w:p w14:paraId="014F413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申报情形</w:t>
            </w:r>
          </w:p>
        </w:tc>
        <w:tc>
          <w:tcPr>
            <w:tcW w:w="2931" w:type="dxa"/>
            <w:vAlign w:val="center"/>
          </w:tcPr>
          <w:p w14:paraId="731A340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☑首次申报项目             </w:t>
            </w:r>
          </w:p>
          <w:p w14:paraId="1578BE6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□不予批准后再次申报项目</w:t>
            </w:r>
          </w:p>
          <w:p w14:paraId="2A5FEF66">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□超五年重新审核项目     </w:t>
            </w:r>
          </w:p>
          <w:p w14:paraId="2997882C">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□重大变动重新报批项目</w:t>
            </w:r>
          </w:p>
        </w:tc>
      </w:tr>
      <w:tr w14:paraId="3BBC8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568" w:type="dxa"/>
            <w:gridSpan w:val="2"/>
            <w:tcMar>
              <w:top w:w="16" w:type="dxa"/>
              <w:left w:w="16" w:type="dxa"/>
              <w:right w:w="16" w:type="dxa"/>
            </w:tcMar>
            <w:vAlign w:val="center"/>
          </w:tcPr>
          <w:p w14:paraId="1A428441">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项目审批（核准/备案）部门（选填）</w:t>
            </w:r>
          </w:p>
        </w:tc>
        <w:tc>
          <w:tcPr>
            <w:tcW w:w="2282" w:type="dxa"/>
            <w:vAlign w:val="center"/>
          </w:tcPr>
          <w:p w14:paraId="0202DF0D">
            <w:pPr>
              <w:spacing w:line="300" w:lineRule="exact"/>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石家庄市井陉矿区</w:t>
            </w:r>
          </w:p>
          <w:p w14:paraId="1C086219">
            <w:pPr>
              <w:spacing w:line="300" w:lineRule="exact"/>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数据和政务服务局</w:t>
            </w:r>
          </w:p>
        </w:tc>
        <w:tc>
          <w:tcPr>
            <w:tcW w:w="2025" w:type="dxa"/>
            <w:vAlign w:val="center"/>
          </w:tcPr>
          <w:p w14:paraId="4836DDD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w:t>
            </w:r>
          </w:p>
          <w:p w14:paraId="4E0E545E">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备案）文号（选填）</w:t>
            </w:r>
          </w:p>
        </w:tc>
        <w:tc>
          <w:tcPr>
            <w:tcW w:w="2931" w:type="dxa"/>
            <w:vAlign w:val="center"/>
          </w:tcPr>
          <w:p w14:paraId="00482DC3">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矿</w:t>
            </w:r>
            <w:r>
              <w:rPr>
                <w:rFonts w:hint="default" w:ascii="Times New Roman" w:hAnsi="Times New Roman" w:cs="Times New Roman"/>
                <w:color w:val="auto"/>
                <w:sz w:val="24"/>
                <w:highlight w:val="none"/>
                <w:lang w:val="en-US" w:eastAsia="zh-CN"/>
              </w:rPr>
              <w:t>行审投资</w:t>
            </w:r>
            <w:r>
              <w:rPr>
                <w:rFonts w:hint="default" w:ascii="Times New Roman" w:hAnsi="Times New Roman" w:eastAsia="宋体" w:cs="Times New Roman"/>
                <w:color w:val="auto"/>
                <w:sz w:val="24"/>
                <w:highlight w:val="none"/>
                <w:lang w:val="en-US" w:eastAsia="zh-CN"/>
              </w:rPr>
              <w:t>备字（2024）</w:t>
            </w:r>
            <w:r>
              <w:rPr>
                <w:rFonts w:hint="default" w:ascii="Times New Roman" w:hAnsi="Times New Roman" w:cs="Times New Roman"/>
                <w:color w:val="auto"/>
                <w:sz w:val="24"/>
                <w:highlight w:val="none"/>
                <w:lang w:val="en-US" w:eastAsia="zh-CN"/>
              </w:rPr>
              <w:t>83</w:t>
            </w:r>
            <w:r>
              <w:rPr>
                <w:rFonts w:hint="default" w:ascii="Times New Roman" w:hAnsi="Times New Roman" w:eastAsia="宋体" w:cs="Times New Roman"/>
                <w:color w:val="auto"/>
                <w:sz w:val="24"/>
                <w:highlight w:val="none"/>
                <w:lang w:val="en-US" w:eastAsia="zh-CN"/>
              </w:rPr>
              <w:t>号</w:t>
            </w:r>
          </w:p>
        </w:tc>
      </w:tr>
      <w:tr w14:paraId="29EB0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6904BEB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总投资（万元）</w:t>
            </w:r>
          </w:p>
        </w:tc>
        <w:tc>
          <w:tcPr>
            <w:tcW w:w="2282" w:type="dxa"/>
            <w:vAlign w:val="center"/>
          </w:tcPr>
          <w:p w14:paraId="6A75F040">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10550</w:t>
            </w:r>
          </w:p>
        </w:tc>
        <w:tc>
          <w:tcPr>
            <w:tcW w:w="2025" w:type="dxa"/>
            <w:tcMar>
              <w:top w:w="16" w:type="dxa"/>
              <w:left w:w="16" w:type="dxa"/>
              <w:right w:w="16" w:type="dxa"/>
            </w:tcMar>
            <w:vAlign w:val="center"/>
          </w:tcPr>
          <w:p w14:paraId="3D3A2C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环保投资（万元）</w:t>
            </w:r>
          </w:p>
        </w:tc>
        <w:tc>
          <w:tcPr>
            <w:tcW w:w="2931" w:type="dxa"/>
            <w:vAlign w:val="center"/>
          </w:tcPr>
          <w:p w14:paraId="52C6004D">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80</w:t>
            </w:r>
          </w:p>
        </w:tc>
      </w:tr>
      <w:tr w14:paraId="60E1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DC65C00">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环保投资占比（%）</w:t>
            </w:r>
          </w:p>
        </w:tc>
        <w:tc>
          <w:tcPr>
            <w:tcW w:w="2282" w:type="dxa"/>
            <w:vAlign w:val="center"/>
          </w:tcPr>
          <w:p w14:paraId="792B764F">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0.76</w:t>
            </w:r>
          </w:p>
        </w:tc>
        <w:tc>
          <w:tcPr>
            <w:tcW w:w="2025" w:type="dxa"/>
            <w:tcMar>
              <w:top w:w="16" w:type="dxa"/>
              <w:left w:w="16" w:type="dxa"/>
              <w:right w:w="16" w:type="dxa"/>
            </w:tcMar>
            <w:vAlign w:val="center"/>
          </w:tcPr>
          <w:p w14:paraId="6B3B7D3F">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施工工期</w:t>
            </w:r>
          </w:p>
        </w:tc>
        <w:tc>
          <w:tcPr>
            <w:tcW w:w="2931" w:type="dxa"/>
            <w:vAlign w:val="center"/>
          </w:tcPr>
          <w:p w14:paraId="1F19092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个月</w:t>
            </w:r>
          </w:p>
        </w:tc>
      </w:tr>
      <w:tr w14:paraId="3A1556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4BD8A8D9">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是否开工建设</w:t>
            </w:r>
          </w:p>
        </w:tc>
        <w:tc>
          <w:tcPr>
            <w:tcW w:w="2282" w:type="dxa"/>
            <w:vAlign w:val="center"/>
          </w:tcPr>
          <w:p w14:paraId="0C11313E">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☑否</w:t>
            </w:r>
          </w:p>
          <w:p w14:paraId="561A7C9F">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w:t>
            </w:r>
          </w:p>
        </w:tc>
        <w:tc>
          <w:tcPr>
            <w:tcW w:w="2025" w:type="dxa"/>
            <w:tcMar>
              <w:top w:w="16" w:type="dxa"/>
              <w:left w:w="16" w:type="dxa"/>
              <w:right w:w="16" w:type="dxa"/>
            </w:tcMar>
            <w:vAlign w:val="center"/>
          </w:tcPr>
          <w:p w14:paraId="095FC30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用地（用海）</w:t>
            </w:r>
          </w:p>
          <w:p w14:paraId="229065A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w:t>
            </w:r>
          </w:p>
        </w:tc>
        <w:tc>
          <w:tcPr>
            <w:tcW w:w="2931" w:type="dxa"/>
            <w:vAlign w:val="center"/>
          </w:tcPr>
          <w:p w14:paraId="08D629C5">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15951.18</w:t>
            </w:r>
          </w:p>
        </w:tc>
      </w:tr>
      <w:tr w14:paraId="5CED6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568" w:type="dxa"/>
            <w:gridSpan w:val="2"/>
            <w:vAlign w:val="center"/>
          </w:tcPr>
          <w:p w14:paraId="0BAD54F2">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专项评价设置情况</w:t>
            </w:r>
          </w:p>
        </w:tc>
        <w:tc>
          <w:tcPr>
            <w:tcW w:w="7238" w:type="dxa"/>
            <w:gridSpan w:val="3"/>
            <w:vAlign w:val="center"/>
          </w:tcPr>
          <w:p w14:paraId="5C6B3F3F">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2"/>
                <w:sz w:val="24"/>
                <w:szCs w:val="20"/>
                <w:highlight w:val="none"/>
                <w:lang w:val="en-US" w:eastAsia="zh-CN"/>
              </w:rPr>
              <w:t>对照《建设项目环境影响报告表编制技术指南 污染影响类（试行）》</w:t>
            </w:r>
            <w:r>
              <w:rPr>
                <w:rFonts w:hint="default" w:ascii="Times New Roman" w:hAnsi="Times New Roman" w:eastAsia="宋体" w:cs="Times New Roman"/>
                <w:color w:val="auto"/>
                <w:kern w:val="2"/>
                <w:sz w:val="24"/>
                <w:szCs w:val="20"/>
                <w:highlight w:val="none"/>
                <w:lang w:eastAsia="zh-CN"/>
              </w:rPr>
              <w:t>专项评价设置原则，根据本项目排污特点及周边环境敏感程度，本项目</w:t>
            </w:r>
            <w:r>
              <w:rPr>
                <w:rFonts w:hint="default" w:ascii="Times New Roman" w:hAnsi="Times New Roman" w:cs="Times New Roman"/>
                <w:color w:val="auto"/>
                <w:kern w:val="2"/>
                <w:sz w:val="24"/>
                <w:szCs w:val="20"/>
                <w:highlight w:val="none"/>
                <w:lang w:eastAsia="zh-CN"/>
              </w:rPr>
              <w:t>不需要设置</w:t>
            </w:r>
            <w:r>
              <w:rPr>
                <w:rFonts w:hint="default" w:ascii="Times New Roman" w:hAnsi="Times New Roman" w:eastAsia="宋体" w:cs="Times New Roman"/>
                <w:color w:val="auto"/>
                <w:kern w:val="2"/>
                <w:sz w:val="24"/>
                <w:szCs w:val="20"/>
                <w:highlight w:val="none"/>
                <w:lang w:eastAsia="zh-CN"/>
              </w:rPr>
              <w:t>专项评价。</w:t>
            </w:r>
          </w:p>
        </w:tc>
      </w:tr>
      <w:tr w14:paraId="7ED40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68" w:type="dxa"/>
            <w:gridSpan w:val="2"/>
            <w:vAlign w:val="center"/>
          </w:tcPr>
          <w:p w14:paraId="72421BD1">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规划情况</w:t>
            </w:r>
          </w:p>
        </w:tc>
        <w:tc>
          <w:tcPr>
            <w:tcW w:w="7238" w:type="dxa"/>
            <w:gridSpan w:val="3"/>
            <w:vAlign w:val="center"/>
          </w:tcPr>
          <w:p w14:paraId="056A5CA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①</w:t>
            </w:r>
            <w:r>
              <w:rPr>
                <w:rFonts w:hint="default" w:ascii="Times New Roman" w:hAnsi="Times New Roman" w:eastAsia="宋体" w:cs="Times New Roman"/>
                <w:color w:val="auto"/>
                <w:kern w:val="0"/>
                <w:sz w:val="24"/>
                <w:highlight w:val="none"/>
                <w:lang w:val="en-US" w:eastAsia="zh-CN"/>
              </w:rPr>
              <w:t>《河北石家庄矿区工业园区总体发展规划（2022-2030）》</w:t>
            </w:r>
          </w:p>
          <w:p w14:paraId="7281183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kern w:val="0"/>
                <w:sz w:val="24"/>
                <w:highlight w:val="none"/>
                <w:lang w:eastAsia="zh-CN"/>
              </w:rPr>
              <w:t>②《井陉矿区国土空间总体规划（2021-2035年）》</w:t>
            </w:r>
          </w:p>
        </w:tc>
      </w:tr>
      <w:tr w14:paraId="743EF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8" w:type="dxa"/>
            <w:gridSpan w:val="2"/>
            <w:vAlign w:val="center"/>
          </w:tcPr>
          <w:p w14:paraId="089ADFD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规划环境影响评价情况</w:t>
            </w:r>
          </w:p>
        </w:tc>
        <w:tc>
          <w:tcPr>
            <w:tcW w:w="7238" w:type="dxa"/>
            <w:gridSpan w:val="3"/>
            <w:vAlign w:val="center"/>
          </w:tcPr>
          <w:p w14:paraId="5FD66A32">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规划环境影响评价名称：《河北石家庄矿区工业园区总体发展规划（2022-2030）环境影响报告书》；</w:t>
            </w:r>
          </w:p>
          <w:p w14:paraId="7039CAE0">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审查机关：河北省生态环境厅；</w:t>
            </w:r>
          </w:p>
          <w:p w14:paraId="490B6DF9">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kern w:val="2"/>
                <w:sz w:val="24"/>
                <w:szCs w:val="20"/>
                <w:highlight w:val="none"/>
                <w:lang w:val="en-US" w:eastAsia="zh-CN"/>
              </w:rPr>
              <w:t>审查文件及文号：《河北省生态环境厅关于&lt;河北石家庄矿区工业园区总体发展规划（2022-2030）环境影响报告书&gt;的审查意见》（冀环环评函[2025]1318号）。</w:t>
            </w:r>
          </w:p>
        </w:tc>
      </w:tr>
      <w:tr w14:paraId="282A6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1139457C">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规划及规划环境影响评价符合性分析</w:t>
            </w:r>
          </w:p>
        </w:tc>
        <w:tc>
          <w:tcPr>
            <w:tcW w:w="8263" w:type="dxa"/>
            <w:gridSpan w:val="4"/>
            <w:vAlign w:val="center"/>
          </w:tcPr>
          <w:p w14:paraId="7B3A9CB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textAlignment w:val="auto"/>
              <w:rPr>
                <w:rFonts w:hint="default" w:ascii="Times New Roman" w:hAnsi="Times New Roman" w:eastAsia="宋体"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一</w:t>
            </w:r>
            <w:r>
              <w:rPr>
                <w:rFonts w:hint="default" w:ascii="Times New Roman" w:hAnsi="Times New Roman" w:cs="Times New Roman"/>
                <w:b/>
                <w:bCs/>
                <w:color w:val="auto"/>
                <w:kern w:val="0"/>
                <w:sz w:val="24"/>
                <w:highlight w:val="none"/>
              </w:rPr>
              <w:t>、</w:t>
            </w:r>
            <w:r>
              <w:rPr>
                <w:rFonts w:hint="default" w:ascii="Times New Roman" w:hAnsi="Times New Roman" w:cs="Times New Roman"/>
                <w:b/>
                <w:bCs/>
                <w:color w:val="auto"/>
                <w:kern w:val="0"/>
                <w:sz w:val="24"/>
                <w:highlight w:val="none"/>
                <w:lang w:eastAsia="zh-CN"/>
              </w:rPr>
              <w:t>与河北石家庄矿区工业园区总体发展规划（2022-2030）符合性分析</w:t>
            </w:r>
          </w:p>
          <w:p w14:paraId="59D1868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用地布局符合性</w:t>
            </w:r>
          </w:p>
          <w:p w14:paraId="6F2D57B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河北石家庄矿区工业园区总规划范围 1775.19 公顷，分为四个片区：</w:t>
            </w:r>
          </w:p>
          <w:p w14:paraId="6A74125F">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石钢片区：东至南寨村、新王舍村及西岗头社区西侧，南至世纪大道、张家井村北侧，西至西环旅游路，北至西四排，规划面积 880.52 公顷。</w:t>
            </w:r>
          </w:p>
          <w:p w14:paraId="55B5FF1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天汇片区：东至矿区垃圾填埋场西侧，南至冯家沟村北侧，西至南寨村东侧、南寨水库西侧，北至峰矿水泥厂采石场，规划面积 184.13 公顷。</w:t>
            </w:r>
          </w:p>
          <w:p w14:paraId="3DE08F0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丰达片区：东至冶金新材料装备产业园，南至秋树坡村北侧，西至赵村店东侧及古桥北街，北至赵村铺南侧，规划面积 210.23 公顷。</w:t>
            </w:r>
          </w:p>
          <w:p w14:paraId="77CE10E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融合片区分为一区和二区：一区东至绵左支渠东侧，南至贾天公路南侧，西至红星路西侧，北至北清线，规划面积 409.51 公顷；二区东至西南正村西侧，南至井矿快速路北侧，西至青泉村东侧，北至北清线、古桥南街，规划面积 71.16 公顷。</w:t>
            </w:r>
          </w:p>
          <w:p w14:paraId="6C9184A3">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项目位于河北省石家庄市井陉矿区丰达产业园东区7号，厂址中心地理坐标为</w:t>
            </w:r>
            <w:r>
              <w:rPr>
                <w:rFonts w:hint="default" w:ascii="Times New Roman" w:hAnsi="Times New Roman" w:eastAsia="宋体" w:cs="Times New Roman"/>
                <w:color w:val="auto"/>
                <w:kern w:val="0"/>
                <w:sz w:val="24"/>
                <w:highlight w:val="none"/>
                <w:lang w:eastAsia="zh-CN"/>
              </w:rPr>
              <w:t>东经114°</w:t>
            </w:r>
            <w:r>
              <w:rPr>
                <w:rFonts w:hint="default" w:ascii="Times New Roman" w:hAnsi="Times New Roman" w:cs="Times New Roman"/>
                <w:color w:val="auto"/>
                <w:kern w:val="0"/>
                <w:sz w:val="24"/>
                <w:highlight w:val="none"/>
                <w:lang w:val="en-US" w:eastAsia="zh-CN"/>
              </w:rPr>
              <w:t>5</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40.156</w:t>
            </w:r>
            <w:r>
              <w:rPr>
                <w:rFonts w:hint="default" w:ascii="Times New Roman" w:hAnsi="Times New Roman" w:eastAsia="宋体" w:cs="Times New Roman"/>
                <w:color w:val="auto"/>
                <w:kern w:val="0"/>
                <w:sz w:val="24"/>
                <w:highlight w:val="none"/>
                <w:lang w:eastAsia="zh-CN"/>
              </w:rPr>
              <w:t>″，北纬38°4′</w:t>
            </w:r>
            <w:r>
              <w:rPr>
                <w:rFonts w:hint="default" w:ascii="Times New Roman" w:hAnsi="Times New Roman" w:cs="Times New Roman"/>
                <w:color w:val="auto"/>
                <w:kern w:val="0"/>
                <w:sz w:val="24"/>
                <w:highlight w:val="none"/>
                <w:lang w:val="en-US" w:eastAsia="zh-CN"/>
              </w:rPr>
              <w:t>25.827</w:t>
            </w:r>
            <w:r>
              <w:rPr>
                <w:rFonts w:hint="default" w:ascii="Times New Roman" w:hAnsi="Times New Roman" w:eastAsia="宋体" w:cs="Times New Roman"/>
                <w:color w:val="auto"/>
                <w:kern w:val="0"/>
                <w:sz w:val="24"/>
                <w:highlight w:val="none"/>
                <w:lang w:eastAsia="zh-CN"/>
              </w:rPr>
              <w:t>″，属于丰达片区。根据河北石家庄矿区工业园区管理委员会出具的证明，本项目用地性质为工业用地，符合</w:t>
            </w:r>
            <w:r>
              <w:rPr>
                <w:rFonts w:hint="default" w:ascii="Times New Roman" w:hAnsi="Times New Roman" w:cs="Times New Roman"/>
                <w:color w:val="auto"/>
                <w:kern w:val="0"/>
                <w:sz w:val="24"/>
                <w:highlight w:val="none"/>
                <w:lang w:eastAsia="zh-CN"/>
              </w:rPr>
              <w:t>园区</w:t>
            </w:r>
            <w:r>
              <w:rPr>
                <w:rFonts w:hint="default" w:ascii="Times New Roman" w:hAnsi="Times New Roman" w:eastAsia="宋体" w:cs="Times New Roman"/>
                <w:color w:val="auto"/>
                <w:kern w:val="0"/>
                <w:sz w:val="24"/>
                <w:highlight w:val="none"/>
                <w:lang w:eastAsia="zh-CN"/>
              </w:rPr>
              <w:t>总体规划。</w:t>
            </w:r>
            <w:r>
              <w:rPr>
                <w:rFonts w:hint="default" w:ascii="Times New Roman" w:hAnsi="Times New Roman" w:cs="Times New Roman"/>
                <w:color w:val="auto"/>
                <w:kern w:val="0"/>
                <w:sz w:val="24"/>
                <w:highlight w:val="none"/>
                <w:lang w:eastAsia="zh-CN"/>
              </w:rPr>
              <w:t>用地规划图见附图</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p>
          <w:p w14:paraId="167221C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产业</w:t>
            </w:r>
            <w:r>
              <w:rPr>
                <w:rFonts w:hint="default" w:ascii="Times New Roman" w:hAnsi="Times New Roman" w:cs="Times New Roman"/>
                <w:color w:val="auto"/>
                <w:kern w:val="0"/>
                <w:sz w:val="24"/>
                <w:highlight w:val="none"/>
                <w:lang w:eastAsia="zh-CN"/>
              </w:rPr>
              <w:t>发展规划</w:t>
            </w:r>
          </w:p>
          <w:p w14:paraId="40BFB7F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）产业发展定位</w:t>
            </w:r>
          </w:p>
          <w:p w14:paraId="3B72AA3B">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园区产业发展战略为：以特钢上下游、高端装备制造、新材料为主导产业，着眼各主导产业全生命周期，大力发展循环经济。</w:t>
            </w:r>
          </w:p>
          <w:p w14:paraId="6FFA94A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具体产业发展方向为：大力发展特钢上下游产业，做大做强高端装备制造产业，加快发展新材料产业，用高新技术改造传统产业，推进传统产业的转型升级。</w:t>
            </w:r>
          </w:p>
          <w:p w14:paraId="7E4874E1">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lang w:eastAsia="zh-CN"/>
              </w:rPr>
              <w:t>）产业发展思路</w:t>
            </w:r>
          </w:p>
          <w:p w14:paraId="10973EF3">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以绿色化、生态化为方向，对传统产业进行节能提升改造，加快培育、发展高新技术产业，用高新技术改造传统产业，以信息化带动工业化，走出一条科技含量高、经济效益好、资源消耗低、环境污染少、人力资源优势得到充分发挥的新型工业化道路，促进传统产业和高新技术产业的协调发展，大力推进特钢上下游、高端装备制造、新材料三大主导产业发展，延伸产业链条，促进循环经济发展。</w:t>
            </w:r>
          </w:p>
          <w:p w14:paraId="57EF841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3</w:t>
            </w:r>
            <w:r>
              <w:rPr>
                <w:rFonts w:hint="default" w:ascii="Times New Roman" w:hAnsi="Times New Roman" w:cs="Times New Roman"/>
                <w:color w:val="auto"/>
                <w:kern w:val="0"/>
                <w:sz w:val="24"/>
                <w:highlight w:val="none"/>
                <w:lang w:eastAsia="zh-CN"/>
              </w:rPr>
              <w:t>）重点产业发展方向</w:t>
            </w:r>
          </w:p>
          <w:p w14:paraId="0BA64FC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园区重点产业发展方向见下表。</w:t>
            </w:r>
          </w:p>
          <w:p w14:paraId="21F2EFD8">
            <w:pPr>
              <w:keepNext w:val="0"/>
              <w:keepLines w:val="0"/>
              <w:pageBreakBefore w:val="0"/>
              <w:widowControl w:val="0"/>
              <w:kinsoku/>
              <w:wordWrap/>
              <w:overflowPunct/>
              <w:topLinePunct w:val="0"/>
              <w:autoSpaceDE w:val="0"/>
              <w:autoSpaceDN w:val="0"/>
              <w:bidi w:val="0"/>
              <w:adjustRightInd w:val="0"/>
              <w:snapToGrid w:val="0"/>
              <w:spacing w:line="480" w:lineRule="exact"/>
              <w:jc w:val="center"/>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val="en-US" w:eastAsia="zh-CN"/>
              </w:rPr>
              <w:t>1-1  园区各片区发展方向一览表</w:t>
            </w:r>
          </w:p>
          <w:tbl>
            <w:tblPr>
              <w:tblStyle w:val="41"/>
              <w:tblW w:w="8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gridCol w:w="548"/>
              <w:gridCol w:w="7175"/>
            </w:tblGrid>
            <w:tr w14:paraId="6CC8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30FB0E5B">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序号</w:t>
                  </w:r>
                </w:p>
              </w:tc>
              <w:tc>
                <w:tcPr>
                  <w:tcW w:w="548" w:type="dxa"/>
                  <w:tcMar>
                    <w:top w:w="0" w:type="dxa"/>
                    <w:left w:w="6" w:type="dxa"/>
                    <w:bottom w:w="0" w:type="dxa"/>
                    <w:right w:w="6" w:type="dxa"/>
                  </w:tcMar>
                  <w:vAlign w:val="center"/>
                </w:tcPr>
                <w:p w14:paraId="37825F9A">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产业</w:t>
                  </w:r>
                </w:p>
                <w:p w14:paraId="47D260B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定位</w:t>
                  </w:r>
                </w:p>
              </w:tc>
              <w:tc>
                <w:tcPr>
                  <w:tcW w:w="7175" w:type="dxa"/>
                  <w:tcMar>
                    <w:top w:w="0" w:type="dxa"/>
                    <w:left w:w="6" w:type="dxa"/>
                    <w:bottom w:w="0" w:type="dxa"/>
                    <w:right w:w="6" w:type="dxa"/>
                  </w:tcMar>
                  <w:vAlign w:val="center"/>
                </w:tcPr>
                <w:p w14:paraId="464D596C">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重点发展方向</w:t>
                  </w:r>
                </w:p>
              </w:tc>
            </w:tr>
            <w:tr w14:paraId="2206B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2C4EDA9">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1</w:t>
                  </w:r>
                </w:p>
              </w:tc>
              <w:tc>
                <w:tcPr>
                  <w:tcW w:w="548" w:type="dxa"/>
                  <w:tcMar>
                    <w:top w:w="0" w:type="dxa"/>
                    <w:left w:w="6" w:type="dxa"/>
                    <w:bottom w:w="0" w:type="dxa"/>
                    <w:right w:w="6" w:type="dxa"/>
                  </w:tcMar>
                  <w:vAlign w:val="center"/>
                </w:tcPr>
                <w:p w14:paraId="4D27E1E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特钢</w:t>
                  </w:r>
                </w:p>
                <w:p w14:paraId="37448BC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上下</w:t>
                  </w:r>
                </w:p>
                <w:p w14:paraId="0134B4A8">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游</w:t>
                  </w:r>
                </w:p>
              </w:tc>
              <w:tc>
                <w:tcPr>
                  <w:tcW w:w="7175" w:type="dxa"/>
                  <w:tcMar>
                    <w:top w:w="0" w:type="dxa"/>
                    <w:left w:w="6" w:type="dxa"/>
                    <w:bottom w:w="0" w:type="dxa"/>
                    <w:right w:w="6" w:type="dxa"/>
                  </w:tcMar>
                  <w:vAlign w:val="center"/>
                </w:tcPr>
                <w:p w14:paraId="7386E40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以特种钢产业为主导，形成以机加工为突破口、以关键部件和基础零部件为支撑的“1+2”产业构架，打造河北省战略性新兴产业示范基地、京津冀晋特钢精深加工区域中心。产业主要发展方向包括：</w:t>
                  </w:r>
                </w:p>
                <w:p w14:paraId="37532C7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1）围绕石钢齿轮钢、弹簧钢、易切削钢、轴承钢等产品，以石钢后部处理工序为主要内容，将石钢自有生产线与外部后处理环节外包、外协企业结合，加快推进精密棒材银亮、冷拔、探伤、精密锻造等系列项目建设，推进产品向“近终型”发展，发展特钢后部精细加工业；（2）依托石钢特钢项目，重点发展关键核心零部件产业；（3）围绕石钢生产配套发展钢铁装备维修、加工业，带动传统中小型机械加工企业转型升级，形成特钢生产配套体系。特钢上下游产业主要分布在石钢片区。</w:t>
                  </w:r>
                </w:p>
              </w:tc>
            </w:tr>
            <w:tr w14:paraId="5515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1FF51B7">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2</w:t>
                  </w:r>
                </w:p>
              </w:tc>
              <w:tc>
                <w:tcPr>
                  <w:tcW w:w="548" w:type="dxa"/>
                  <w:tcMar>
                    <w:top w:w="0" w:type="dxa"/>
                    <w:left w:w="6" w:type="dxa"/>
                    <w:bottom w:w="0" w:type="dxa"/>
                    <w:right w:w="6" w:type="dxa"/>
                  </w:tcMar>
                  <w:vAlign w:val="center"/>
                </w:tcPr>
                <w:p w14:paraId="05170D4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高端</w:t>
                  </w:r>
                </w:p>
                <w:p w14:paraId="261A9ACB">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装备</w:t>
                  </w:r>
                </w:p>
                <w:p w14:paraId="5DDDC8B5">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制造</w:t>
                  </w:r>
                </w:p>
              </w:tc>
              <w:tc>
                <w:tcPr>
                  <w:tcW w:w="7175" w:type="dxa"/>
                  <w:tcMar>
                    <w:top w:w="0" w:type="dxa"/>
                    <w:left w:w="6" w:type="dxa"/>
                    <w:bottom w:w="0" w:type="dxa"/>
                    <w:right w:w="6" w:type="dxa"/>
                  </w:tcMar>
                  <w:vAlign w:val="center"/>
                </w:tcPr>
                <w:p w14:paraId="5A251930">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依托上游特钢上下游产业优势，建成在河北省具有一定特色，涵盖汽车、矿山、铁路交通、工程机械、电气机械和器材等领域的装备制造基地，使之成为推动园区经济快速发展的成长产业和新的增长极。装备制造产业发展思路紧抓国家出台《装备制造业调整和振兴规划》的契机，对园区装备制造业进行整合升级，做大做强现有企业，做精现有产品，做好优势产品，配合石家庄和园区近期及中长期发展需要，积极招商引资，引进大型装备制造企业，打造装备制造产业链，实现产品类型多样化、全面化发展，促进园区乃至石家庄装备制造业的快速发展。高端装备制造产业主要分布在丰达片区和融合片区，另外在石钢片区和天汇片区也有少量分布。</w:t>
                  </w:r>
                </w:p>
              </w:tc>
            </w:tr>
            <w:tr w14:paraId="55A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AB27CD6">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3</w:t>
                  </w:r>
                </w:p>
              </w:tc>
              <w:tc>
                <w:tcPr>
                  <w:tcW w:w="548" w:type="dxa"/>
                  <w:tcMar>
                    <w:top w:w="0" w:type="dxa"/>
                    <w:left w:w="6" w:type="dxa"/>
                    <w:bottom w:w="0" w:type="dxa"/>
                    <w:right w:w="6" w:type="dxa"/>
                  </w:tcMar>
                  <w:vAlign w:val="center"/>
                </w:tcPr>
                <w:p w14:paraId="1EA38AAF">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新材</w:t>
                  </w:r>
                </w:p>
                <w:p w14:paraId="0538F27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料</w:t>
                  </w:r>
                </w:p>
              </w:tc>
              <w:tc>
                <w:tcPr>
                  <w:tcW w:w="7175" w:type="dxa"/>
                  <w:tcMar>
                    <w:top w:w="0" w:type="dxa"/>
                    <w:left w:w="6" w:type="dxa"/>
                    <w:bottom w:w="0" w:type="dxa"/>
                    <w:right w:w="6" w:type="dxa"/>
                  </w:tcMar>
                  <w:vAlign w:val="center"/>
                </w:tcPr>
                <w:p w14:paraId="0CAD202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绿色化、生态化为方向，激发传统产业在新材料方向发展新动能，深入挖掘矿峰水泥等大型本地企业资源，加快推进建材行业提档升级，转型发展。主要发展方向为：依托矿峰水泥，打造新材料产业基地，大力发展新型建材等产业。优化新材料产业布局和结构，建立完善的产业链条、提升产业集聚度、推动产业结构升级、加强企业技术创新，推广绿色生产技术、开发环保型新材料产品、建立循环经济体系，促进新材料产业的健康可持续发展。新型金属材料主要包括：高性能金属材料及特殊合金材料生产技术；电子元器件用金属功能材料制造技术；半导体材料生产技术；特殊功能有色金属材料及应用技术；金属及非金属材料先进制备、加工和成型技术等。新型无机非金属材料主要包括：高性能结构陶瓷强化增韧技术；高性能功能陶瓷制造技术；节能与环保用新型无机非金属材料制造技术。新材料产业主要分布在天汇片区，另外在石钢片区和丰达片区也有少量分布。</w:t>
                  </w:r>
                </w:p>
              </w:tc>
            </w:tr>
            <w:tr w14:paraId="0952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427FD73">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4</w:t>
                  </w:r>
                </w:p>
              </w:tc>
              <w:tc>
                <w:tcPr>
                  <w:tcW w:w="548" w:type="dxa"/>
                  <w:tcMar>
                    <w:top w:w="0" w:type="dxa"/>
                    <w:left w:w="6" w:type="dxa"/>
                    <w:bottom w:w="0" w:type="dxa"/>
                    <w:right w:w="6" w:type="dxa"/>
                  </w:tcMar>
                  <w:vAlign w:val="center"/>
                </w:tcPr>
                <w:p w14:paraId="61CD28D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循环</w:t>
                  </w:r>
                </w:p>
                <w:p w14:paraId="3FF218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经济</w:t>
                  </w:r>
                </w:p>
              </w:tc>
              <w:tc>
                <w:tcPr>
                  <w:tcW w:w="7175" w:type="dxa"/>
                  <w:tcMar>
                    <w:top w:w="0" w:type="dxa"/>
                    <w:left w:w="6" w:type="dxa"/>
                    <w:bottom w:w="0" w:type="dxa"/>
                    <w:right w:w="6" w:type="dxa"/>
                  </w:tcMar>
                  <w:vAlign w:val="center"/>
                </w:tcPr>
                <w:p w14:paraId="5D8854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全面推进园区能源资源的梯级利用和系统优化，加强园区内产业循环耦合，创建生态工业示范园区和绿色产业示范基地，推动园区各产业跨行业废旧资源综合利用融合发展、集聚发展，积极做好碳达峰、碳中和工作。主要发展方向为：（1）围绕各产业生产工艺以及配套公辅工程等环节产生的废旧资源进行回收利用，为特钢、先进装备制造、新材料等产业生产提供废钢资源、稀有金属辅配料、特钢材料等原材料，实现物质流循环（2）充分利用石钢、矿峰水泥余热，实现能量流循环。</w:t>
                  </w:r>
                </w:p>
              </w:tc>
            </w:tr>
          </w:tbl>
          <w:p w14:paraId="0D3E1C7D">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项目依托矿峰水泥等大型本地企业资源，生产钢制边框复合隔墙板、石膏砂浆、防火保温砂浆，均属于新型材料。隔墙板主要原料为脱硫石膏、珍珠岩等，</w:t>
            </w:r>
            <w:r>
              <w:rPr>
                <w:rFonts w:hint="default" w:ascii="Times New Roman" w:hAnsi="Times New Roman" w:cs="Times New Roman"/>
                <w:color w:val="auto"/>
                <w:kern w:val="0"/>
                <w:sz w:val="24"/>
                <w:highlight w:val="none"/>
                <w:lang w:eastAsia="zh-CN"/>
              </w:rPr>
              <w:t>具有良好的防火、保温、隔音性能，同时具备一定的强度和稳定性；石膏砂浆属于一种新型墙体抹灰涂料，与传统的水泥基形态有很大的区别，属于一种创新材料，它有着极强的附着性，可以很轻松的附着在物体表面，还具有抗裂、隔音、隔热、自动调节室内温度等诸多优势；防火保温砂浆是一种用于建筑物内外墙粉刷的新型保温节能砂浆材料，采用容重轻、导热系数小、不燃的无机保温材料为主要原料。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，本项目</w:t>
            </w:r>
            <w:r>
              <w:rPr>
                <w:rFonts w:hint="default" w:ascii="Times New Roman" w:hAnsi="Times New Roman" w:cs="Times New Roman"/>
                <w:color w:val="auto"/>
                <w:kern w:val="0"/>
                <w:sz w:val="24"/>
                <w:highlight w:val="none"/>
                <w:lang w:val="en-US" w:eastAsia="zh-CN"/>
              </w:rPr>
              <w:t>符合开发区总体规划</w:t>
            </w:r>
            <w:r>
              <w:rPr>
                <w:rFonts w:hint="default" w:ascii="Times New Roman" w:hAnsi="Times New Roman" w:cs="Times New Roman"/>
                <w:color w:val="auto"/>
                <w:kern w:val="0"/>
                <w:sz w:val="24"/>
                <w:highlight w:val="none"/>
                <w:lang w:eastAsia="zh-CN"/>
              </w:rPr>
              <w:t>，因此，本项目符合</w:t>
            </w:r>
            <w:r>
              <w:rPr>
                <w:rFonts w:hint="default" w:ascii="Times New Roman" w:hAnsi="Times New Roman" w:eastAsia="宋体" w:cs="Times New Roman"/>
                <w:color w:val="auto"/>
                <w:kern w:val="0"/>
                <w:sz w:val="24"/>
                <w:highlight w:val="none"/>
                <w:lang w:eastAsia="zh-CN"/>
              </w:rPr>
              <w:t>河北石家庄矿区工业园区</w:t>
            </w:r>
            <w:r>
              <w:rPr>
                <w:rFonts w:hint="default" w:ascii="Times New Roman" w:hAnsi="Times New Roman" w:cs="Times New Roman"/>
                <w:color w:val="auto"/>
                <w:kern w:val="0"/>
                <w:sz w:val="24"/>
                <w:highlight w:val="none"/>
                <w:lang w:eastAsia="zh-CN"/>
              </w:rPr>
              <w:t>及丰达片区的产业发展方向。产业规划图见附图</w:t>
            </w:r>
            <w:r>
              <w:rPr>
                <w:rFonts w:hint="default" w:ascii="Times New Roman" w:hAnsi="Times New Roman" w:cs="Times New Roman"/>
                <w:color w:val="auto"/>
                <w:kern w:val="0"/>
                <w:sz w:val="24"/>
                <w:highlight w:val="none"/>
                <w:lang w:val="en-US" w:eastAsia="zh-CN"/>
              </w:rPr>
              <w:t>6</w:t>
            </w:r>
            <w:r>
              <w:rPr>
                <w:rFonts w:hint="default" w:ascii="Times New Roman" w:hAnsi="Times New Roman" w:cs="Times New Roman"/>
                <w:color w:val="auto"/>
                <w:kern w:val="0"/>
                <w:sz w:val="24"/>
                <w:highlight w:val="none"/>
                <w:lang w:eastAsia="zh-CN"/>
              </w:rPr>
              <w:t>。</w:t>
            </w:r>
          </w:p>
          <w:p w14:paraId="1F52A33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3</w:t>
            </w:r>
            <w:r>
              <w:rPr>
                <w:rFonts w:hint="default" w:ascii="Times New Roman" w:hAnsi="Times New Roman" w:eastAsia="宋体" w:cs="Times New Roman"/>
                <w:color w:val="auto"/>
                <w:kern w:val="0"/>
                <w:sz w:val="24"/>
                <w:highlight w:val="none"/>
                <w:lang w:eastAsia="zh-CN"/>
              </w:rPr>
              <w:t>、基础设施规划符合性分析</w:t>
            </w:r>
          </w:p>
          <w:p w14:paraId="5C4AA75E">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（1）供水工程</w:t>
            </w:r>
          </w:p>
          <w:p w14:paraId="6B1F104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规划园区水源以地表水和再生水为主，地下水作为紧急备用水源</w:t>
            </w:r>
            <w:r>
              <w:rPr>
                <w:rFonts w:hint="default" w:ascii="Times New Roman" w:hAnsi="Times New Roman" w:cs="Times New Roman"/>
                <w:color w:val="auto"/>
                <w:kern w:val="0"/>
                <w:sz w:val="24"/>
                <w:highlight w:val="none"/>
                <w:lang w:eastAsia="zh-CN"/>
              </w:rPr>
              <w:t>。园区的用水结构为地表水优先供应生活用水；再生水优先供应石钢公司工业用水，其次供应其他企业工业用水、景观用水、浇洒道路、市政用水。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/d；贾庄再生水厂位于石钢片区北侧，设计规模为1500m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w:t>
            </w:r>
          </w:p>
          <w:p w14:paraId="3D83A5E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项目新鲜水用量为</w:t>
            </w:r>
            <w:r>
              <w:rPr>
                <w:rFonts w:hint="default" w:ascii="Times New Roman" w:hAnsi="Times New Roman" w:cs="Times New Roman"/>
                <w:color w:val="auto"/>
                <w:kern w:val="0"/>
                <w:sz w:val="24"/>
                <w:highlight w:val="none"/>
                <w:lang w:val="en-US" w:eastAsia="zh-CN"/>
              </w:rPr>
              <w:t>12.26</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r>
              <w:rPr>
                <w:rFonts w:hint="default" w:ascii="Times New Roman" w:hAnsi="Times New Roman" w:cs="Times New Roman"/>
                <w:color w:val="auto"/>
                <w:kern w:val="0"/>
                <w:sz w:val="24"/>
                <w:highlight w:val="none"/>
                <w:lang w:val="en-US" w:eastAsia="zh-CN"/>
              </w:rPr>
              <w:t>3678</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/a），由园区供水管网集中供给，可满足项目生产生活用水需求。</w:t>
            </w:r>
          </w:p>
          <w:p w14:paraId="1139AF2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（2）排水</w:t>
            </w:r>
          </w:p>
          <w:p w14:paraId="3480739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规划排水体制采用雨污分流制。</w:t>
            </w:r>
            <w:r>
              <w:rPr>
                <w:rFonts w:hint="default" w:ascii="Times New Roman" w:hAnsi="Times New Roman" w:cs="Times New Roman"/>
                <w:color w:val="auto"/>
                <w:kern w:val="0"/>
                <w:sz w:val="24"/>
                <w:highlight w:val="none"/>
                <w:lang w:eastAsia="zh-CN"/>
              </w:rPr>
              <w:t>污水处理</w:t>
            </w:r>
            <w:r>
              <w:rPr>
                <w:rFonts w:hint="default" w:ascii="Times New Roman" w:hAnsi="Times New Roman" w:eastAsia="宋体" w:cs="Times New Roman"/>
                <w:color w:val="auto"/>
                <w:kern w:val="0"/>
                <w:sz w:val="24"/>
                <w:highlight w:val="none"/>
                <w:lang w:eastAsia="zh-CN"/>
              </w:rPr>
              <w:t>遵守水源保护地准保护区政策，生产污水处理采用企业自行处理方式，实现生产污水处理零排放，后期对企业进行跟踪，严令禁止排放污水。生活污水由污水管道排入矿区绿洁污水处理厂和贾庄污水处理厂。</w:t>
            </w:r>
          </w:p>
          <w:p w14:paraId="34DA8EB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规划保留现状 2 座生活污水处理厂，矿区绿洁污水处理厂位于城区东南侧，设计规模为 2 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/d；贾庄污水处理厂位于石钢片区北侧，设计规模为 1500m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p>
          <w:p w14:paraId="3497140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本项目车辆冲洗水、模具冲洗水</w:t>
            </w:r>
            <w:r>
              <w:rPr>
                <w:rFonts w:hint="default" w:ascii="Times New Roman" w:hAnsi="Times New Roman" w:eastAsia="宋体" w:cs="Times New Roman"/>
                <w:color w:val="auto"/>
                <w:kern w:val="0"/>
                <w:sz w:val="24"/>
                <w:highlight w:val="none"/>
                <w:lang w:val="en-US" w:eastAsia="zh-CN"/>
              </w:rPr>
              <w:t>经各自沉淀池沉淀后回用，不外排；生活污水，排入厂区化粪池，定期清掏，废水不外排</w:t>
            </w:r>
            <w:r>
              <w:rPr>
                <w:rFonts w:hint="default" w:ascii="Times New Roman" w:hAnsi="Times New Roman" w:eastAsia="宋体" w:cs="Times New Roman"/>
                <w:color w:val="auto"/>
                <w:kern w:val="0"/>
                <w:sz w:val="24"/>
                <w:highlight w:val="none"/>
                <w:lang w:eastAsia="zh-CN"/>
              </w:rPr>
              <w:t>。</w:t>
            </w:r>
          </w:p>
          <w:p w14:paraId="60807E6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（3）</w:t>
            </w:r>
            <w:r>
              <w:rPr>
                <w:rFonts w:hint="default" w:ascii="Times New Roman" w:hAnsi="Times New Roman" w:cs="Times New Roman"/>
                <w:color w:val="auto"/>
                <w:kern w:val="0"/>
                <w:sz w:val="24"/>
                <w:highlight w:val="none"/>
                <w:lang w:eastAsia="zh-CN"/>
              </w:rPr>
              <w:t>供热</w:t>
            </w:r>
          </w:p>
          <w:p w14:paraId="3F3276D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天然气、电能等清洁能源为补充，远期视园区发展情况而定。</w:t>
            </w:r>
          </w:p>
          <w:p w14:paraId="7A2131C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项目生产</w:t>
            </w:r>
            <w:r>
              <w:rPr>
                <w:rFonts w:hint="default" w:ascii="Times New Roman" w:hAnsi="Times New Roman" w:cs="Times New Roman"/>
                <w:color w:val="auto"/>
                <w:kern w:val="0"/>
                <w:sz w:val="24"/>
                <w:highlight w:val="none"/>
                <w:lang w:val="en-US" w:eastAsia="zh-CN"/>
              </w:rPr>
              <w:t>不</w:t>
            </w:r>
            <w:r>
              <w:rPr>
                <w:rFonts w:hint="default" w:ascii="Times New Roman" w:hAnsi="Times New Roman" w:eastAsia="宋体" w:cs="Times New Roman"/>
                <w:color w:val="auto"/>
                <w:kern w:val="0"/>
                <w:sz w:val="24"/>
                <w:highlight w:val="none"/>
                <w:lang w:eastAsia="zh-CN"/>
              </w:rPr>
              <w:t>用热，冬季办公室取暖由空调提供。</w:t>
            </w:r>
          </w:p>
          <w:p w14:paraId="5ED4A822">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w:t>
            </w:r>
            <w:r>
              <w:rPr>
                <w:rFonts w:hint="default" w:ascii="Times New Roman" w:hAnsi="Times New Roman" w:cs="Times New Roman"/>
                <w:color w:val="auto"/>
                <w:kern w:val="0"/>
                <w:sz w:val="24"/>
                <w:highlight w:val="none"/>
                <w:lang w:eastAsia="zh-CN"/>
              </w:rPr>
              <w:t>）燃气规划</w:t>
            </w:r>
          </w:p>
          <w:p w14:paraId="3F830AD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根据矿区国土空间总体规划，保留现状矿区门站，续建贾庄门站，规模为 12万m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/h。加强应急储气保障，规划结合贾庄门站新建LNG储配站1座。</w:t>
            </w:r>
          </w:p>
          <w:p w14:paraId="02DB005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本项目不使用天然气。</w:t>
            </w:r>
          </w:p>
          <w:p w14:paraId="5978838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0"/>
                <w:sz w:val="24"/>
                <w:highlight w:val="none"/>
                <w:lang w:eastAsia="zh-CN"/>
              </w:rPr>
              <w:t>供电</w:t>
            </w:r>
          </w:p>
          <w:p w14:paraId="7A73AF3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220kv变电站建设保留现状园区井矿220kV变电站。110kv变电站建设规划新增110千伏凤凰站一座，位于南区西南侧，规模为150MVA，占地0.52公顷。扩建升级现状35千伏洪州站为110千伏站，规模为100MVA，占地0.62公顷。保留现状110kv王舍、西王、清泉变电站。</w:t>
            </w:r>
          </w:p>
          <w:p w14:paraId="61ACC89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本项目年用电量27万kWh/a，依托园区供电设施，能够满足项目需求。</w:t>
            </w:r>
          </w:p>
          <w:p w14:paraId="385AB0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4、生态环境准入清单</w:t>
            </w:r>
          </w:p>
          <w:p w14:paraId="017CF1A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根据规划环评，“开发区规划范围内除优先保护单元外，其他区域主要以工业用地分布为主，属于开发区以产业发展为主要功能的区域，评价将该区域划定为重点管控单元。本评价建议开发区的规划、建设和发展要坚持高起点、高标准和高水平，要选择发展基础好、工艺技术和产品先进、拥有自主知识产权和具有较强竞争力及带动性的优势企业作为开发区龙头企业和主导产业。立足用先进适用技术改造传统产业，积极发展高新技术产业。严格控制土地供应，保护有限的土地资源，提高土地资源的利用效率，发挥开发区的辐射作用，带动区域经济整体发展，减轻资源环境压力。”</w:t>
            </w:r>
          </w:p>
          <w:p w14:paraId="527BB22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结合河北省、石家庄市“三线一单”指标限值要求，根据园区规划产业类别及对应相关产业政策及环境准入要求，规划环评提出园区生态环境准入清单见下表。本项目所在区域属于重点管控单元，本项目建设与规划环评提出的生态环境准入清单要求符合性分析见下表。</w:t>
            </w:r>
          </w:p>
          <w:p w14:paraId="71A4F66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1-2  </w:t>
            </w:r>
            <w:r>
              <w:rPr>
                <w:rFonts w:hint="default" w:ascii="Times New Roman" w:hAnsi="Times New Roman" w:cs="Times New Roman"/>
                <w:b/>
                <w:bCs/>
                <w:color w:val="auto"/>
                <w:kern w:val="0"/>
                <w:sz w:val="24"/>
                <w:highlight w:val="none"/>
              </w:rPr>
              <w:t>本项目与规划环评</w:t>
            </w:r>
            <w:r>
              <w:rPr>
                <w:rFonts w:hint="default" w:ascii="Times New Roman" w:hAnsi="Times New Roman" w:cs="Times New Roman"/>
                <w:b/>
                <w:bCs/>
                <w:color w:val="auto"/>
                <w:kern w:val="0"/>
                <w:sz w:val="24"/>
                <w:highlight w:val="none"/>
                <w:lang w:eastAsia="zh-CN"/>
              </w:rPr>
              <w:t>提出</w:t>
            </w:r>
            <w:r>
              <w:rPr>
                <w:rFonts w:hint="default" w:ascii="Times New Roman" w:hAnsi="Times New Roman" w:cs="Times New Roman"/>
                <w:b/>
                <w:bCs/>
                <w:color w:val="auto"/>
                <w:kern w:val="0"/>
                <w:sz w:val="24"/>
                <w:highlight w:val="none"/>
              </w:rPr>
              <w:t>的</w:t>
            </w:r>
            <w:r>
              <w:rPr>
                <w:rFonts w:hint="default" w:ascii="Times New Roman" w:hAnsi="Times New Roman" w:cs="Times New Roman"/>
                <w:b/>
                <w:bCs/>
                <w:color w:val="auto"/>
                <w:kern w:val="0"/>
                <w:sz w:val="24"/>
                <w:highlight w:val="none"/>
                <w:lang w:eastAsia="zh-CN"/>
              </w:rPr>
              <w:t>园区总体</w:t>
            </w:r>
            <w:r>
              <w:rPr>
                <w:rFonts w:hint="default" w:ascii="Times New Roman" w:hAnsi="Times New Roman" w:cs="Times New Roman"/>
                <w:b/>
                <w:bCs/>
                <w:color w:val="auto"/>
                <w:kern w:val="0"/>
                <w:sz w:val="24"/>
                <w:highlight w:val="none"/>
              </w:rPr>
              <w:t>生态环境准入清单要求符合性分析</w:t>
            </w:r>
          </w:p>
          <w:tbl>
            <w:tblPr>
              <w:tblStyle w:val="40"/>
              <w:tblW w:w="8085" w:type="dxa"/>
              <w:tblInd w:w="0" w:type="dxa"/>
              <w:tblLayout w:type="fixed"/>
              <w:tblCellMar>
                <w:top w:w="0" w:type="dxa"/>
                <w:left w:w="0" w:type="dxa"/>
                <w:bottom w:w="0" w:type="dxa"/>
                <w:right w:w="0" w:type="dxa"/>
              </w:tblCellMar>
            </w:tblPr>
            <w:tblGrid>
              <w:gridCol w:w="440"/>
              <w:gridCol w:w="441"/>
              <w:gridCol w:w="5056"/>
              <w:gridCol w:w="1550"/>
              <w:gridCol w:w="598"/>
            </w:tblGrid>
            <w:tr w14:paraId="3084B6BD">
              <w:tblPrEx>
                <w:tblCellMar>
                  <w:top w:w="0" w:type="dxa"/>
                  <w:left w:w="0" w:type="dxa"/>
                  <w:bottom w:w="0" w:type="dxa"/>
                  <w:right w:w="0" w:type="dxa"/>
                </w:tblCellMar>
              </w:tblPrEx>
              <w:trPr>
                <w:trHeight w:val="0" w:hRule="atLeast"/>
                <w:tblHeader/>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68B3DF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清单类型</w:t>
                  </w:r>
                </w:p>
              </w:tc>
              <w:tc>
                <w:tcPr>
                  <w:tcW w:w="3126" w:type="pct"/>
                  <w:tcBorders>
                    <w:top w:val="single" w:color="000000" w:sz="4" w:space="0"/>
                    <w:left w:val="single" w:color="000000" w:sz="4" w:space="0"/>
                    <w:bottom w:val="single" w:color="000000" w:sz="4" w:space="0"/>
                    <w:right w:val="single" w:color="000000" w:sz="4" w:space="0"/>
                  </w:tcBorders>
                  <w:vAlign w:val="center"/>
                </w:tcPr>
                <w:p w14:paraId="25E63B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准入要求</w:t>
                  </w:r>
                </w:p>
              </w:tc>
              <w:tc>
                <w:tcPr>
                  <w:tcW w:w="958" w:type="pct"/>
                  <w:tcBorders>
                    <w:top w:val="single" w:color="000000" w:sz="4" w:space="0"/>
                    <w:left w:val="single" w:color="000000" w:sz="4" w:space="0"/>
                    <w:bottom w:val="single" w:color="000000" w:sz="4" w:space="0"/>
                    <w:right w:val="single" w:color="000000" w:sz="4" w:space="0"/>
                  </w:tcBorders>
                  <w:vAlign w:val="center"/>
                </w:tcPr>
                <w:p w14:paraId="3AA10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69" w:type="pct"/>
                  <w:tcBorders>
                    <w:top w:val="single" w:color="000000" w:sz="4" w:space="0"/>
                    <w:left w:val="single" w:color="000000" w:sz="4" w:space="0"/>
                    <w:bottom w:val="single" w:color="000000" w:sz="4" w:space="0"/>
                    <w:right w:val="single" w:color="000000" w:sz="4" w:space="0"/>
                  </w:tcBorders>
                  <w:vAlign w:val="center"/>
                </w:tcPr>
                <w:p w14:paraId="7D3835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C85AF7F">
              <w:tblPrEx>
                <w:tblCellMar>
                  <w:top w:w="0" w:type="dxa"/>
                  <w:left w:w="0" w:type="dxa"/>
                  <w:bottom w:w="0" w:type="dxa"/>
                  <w:right w:w="0" w:type="dxa"/>
                </w:tblCellMar>
              </w:tblPrEx>
              <w:trPr>
                <w:trHeight w:val="0" w:hRule="atLeast"/>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08A445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全市总体要求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5EB0E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按照《石家庄市人民政府关于加快实施“三线一单”生态环境分区管控的意见》（石政函[2021]40号）及《石家庄市生态环境准入清单（2023年版）》中全市总体准入要求执行，具体内容不再列出。</w:t>
                  </w:r>
                </w:p>
              </w:tc>
              <w:tc>
                <w:tcPr>
                  <w:tcW w:w="958" w:type="pct"/>
                  <w:tcBorders>
                    <w:top w:val="single" w:color="000000" w:sz="4" w:space="0"/>
                    <w:left w:val="single" w:color="000000" w:sz="4" w:space="0"/>
                    <w:bottom w:val="single" w:color="000000" w:sz="4" w:space="0"/>
                    <w:right w:val="single" w:color="000000" w:sz="4" w:space="0"/>
                  </w:tcBorders>
                  <w:vAlign w:val="center"/>
                </w:tcPr>
                <w:p w14:paraId="7A61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.本项目符合石家庄市总体准入要求，具体内容详见表1-7。</w:t>
                  </w:r>
                </w:p>
              </w:tc>
              <w:tc>
                <w:tcPr>
                  <w:tcW w:w="369" w:type="pct"/>
                  <w:tcBorders>
                    <w:top w:val="single" w:color="000000" w:sz="4" w:space="0"/>
                    <w:left w:val="single" w:color="000000" w:sz="4" w:space="0"/>
                    <w:bottom w:val="single" w:color="000000" w:sz="4" w:space="0"/>
                    <w:right w:val="single" w:color="000000" w:sz="4" w:space="0"/>
                  </w:tcBorders>
                  <w:vAlign w:val="center"/>
                </w:tcPr>
                <w:p w14:paraId="13F34D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1BFD1D4">
              <w:tblPrEx>
                <w:tblCellMar>
                  <w:top w:w="0" w:type="dxa"/>
                  <w:left w:w="0" w:type="dxa"/>
                  <w:bottom w:w="0" w:type="dxa"/>
                  <w:right w:w="0" w:type="dxa"/>
                </w:tblCellMar>
              </w:tblPrEx>
              <w:trPr>
                <w:trHeight w:val="0" w:hRule="atLeast"/>
              </w:trPr>
              <w:tc>
                <w:tcPr>
                  <w:tcW w:w="272" w:type="pct"/>
                  <w:vMerge w:val="restart"/>
                  <w:tcBorders>
                    <w:top w:val="single" w:color="000000" w:sz="4" w:space="0"/>
                    <w:left w:val="single" w:color="000000" w:sz="4" w:space="0"/>
                    <w:right w:val="single" w:color="000000" w:sz="4" w:space="0"/>
                  </w:tcBorders>
                  <w:vAlign w:val="center"/>
                </w:tcPr>
                <w:p w14:paraId="7FD175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规划环评补充要求</w:t>
                  </w:r>
                </w:p>
              </w:tc>
              <w:tc>
                <w:tcPr>
                  <w:tcW w:w="272" w:type="pct"/>
                  <w:tcBorders>
                    <w:top w:val="single" w:color="000000" w:sz="4" w:space="0"/>
                    <w:left w:val="single" w:color="000000" w:sz="4" w:space="0"/>
                    <w:bottom w:val="single" w:color="000000" w:sz="4" w:space="0"/>
                    <w:right w:val="single" w:color="000000" w:sz="4" w:space="0"/>
                  </w:tcBorders>
                  <w:vAlign w:val="center"/>
                </w:tcPr>
                <w:p w14:paraId="57C7D3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产业及政策准入管理要求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14B358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1.禁止“两高”项目入驻，园区钢铁行业不得突破现状产能规模（年产钢坯200万吨、年产钢材192万吨）；水泥行业不得突破现状产能规模（年产水泥熟料240万吨，年产水泥151万吨）；</w:t>
                  </w:r>
                </w:p>
                <w:p w14:paraId="671F0B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2.禁止建设电镀、酸洗、碱洗、磷化等专门从事表面处理的建设项目；</w:t>
                  </w:r>
                </w:p>
                <w:p w14:paraId="3B6C0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3.禁止建设镍氢电池、铅蓄电池、锌锰电池制造项目；</w:t>
                  </w:r>
                </w:p>
                <w:p w14:paraId="392C9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4.严格落实《工业和信息化部 国家发展和改革委员会 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3CB43E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5.禁止建设与园区产业无关联的废弃资源综合利用项目，与园区特种钢、高端装备制造、新材料等产业相关联的、利于形成园区循环经济产业链的项目方可入园；</w:t>
                  </w:r>
                </w:p>
                <w:p w14:paraId="0D0AE0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6.禁止建设集中收集、贮存、利用、处置危险废物项目。</w:t>
                  </w:r>
                </w:p>
              </w:tc>
              <w:tc>
                <w:tcPr>
                  <w:tcW w:w="958" w:type="pct"/>
                  <w:tcBorders>
                    <w:top w:val="single" w:color="000000" w:sz="4" w:space="0"/>
                    <w:left w:val="single" w:color="000000" w:sz="4" w:space="0"/>
                    <w:bottom w:val="single" w:color="000000" w:sz="4" w:space="0"/>
                    <w:right w:val="single" w:color="000000" w:sz="4" w:space="0"/>
                  </w:tcBorders>
                  <w:vAlign w:val="center"/>
                </w:tcPr>
                <w:p w14:paraId="4912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1、不属于“两高”项目，不属于钢铁和水泥行业；</w:t>
                  </w:r>
                </w:p>
                <w:p w14:paraId="77B5BA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2、不涉及表面处理；</w:t>
                  </w:r>
                </w:p>
                <w:p w14:paraId="784AA9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7AD134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54114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5、不属于废弃资源综合利用项目，不违背园区产业规划；</w:t>
                  </w:r>
                </w:p>
                <w:p w14:paraId="1B06C4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00D262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803BBD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45695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ECDB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3126" w:type="pct"/>
                  <w:tcBorders>
                    <w:top w:val="single" w:color="000000" w:sz="4" w:space="0"/>
                    <w:left w:val="single" w:color="000000" w:sz="4" w:space="0"/>
                    <w:bottom w:val="single" w:color="000000" w:sz="4" w:space="0"/>
                    <w:right w:val="single" w:color="000000" w:sz="4" w:space="0"/>
                  </w:tcBorders>
                  <w:vAlign w:val="center"/>
                </w:tcPr>
                <w:p w14:paraId="772BC5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.规划范围内城镇开发边界外的区域维持现状不变；基本农田范围未经依法调整，需按照《基本农田保护条例》对上述区域进行严格保护，园区规划建设一律不得占用；</w:t>
                  </w:r>
                </w:p>
                <w:p w14:paraId="4E92B1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禁止在公园绿地、广场绿地等规划绿地范围内开展与绿地无关的建设活动，禁止占用公路用地红线；</w:t>
                  </w:r>
                </w:p>
                <w:p w14:paraId="39B7C3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3.将现状村庄和规划居住区作为环境敏感点予以保护，合理控制周边建设项目布局，根据不同的区位特点进行差别化管控；</w:t>
                  </w:r>
                </w:p>
                <w:p w14:paraId="0E239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.清凉湾湿地公园周边禁止倾倒有毒有害物质、废弃物、垃圾和其他破坏湿地及其生态功能的活动；</w:t>
                  </w:r>
                </w:p>
                <w:p w14:paraId="5985F4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禁止建设集中收集、利用、处置易溶性、有毒有害废弃物的暂存和转运设施；</w:t>
                  </w:r>
                </w:p>
                <w:p w14:paraId="33EE9D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03C03A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立用地污染物含量超过国家或者地方有关建设用地土壤污染风险管控标准的，应当开展详细调查、风险评估、风险管控、治理与修复等活动。</w:t>
                  </w:r>
                </w:p>
              </w:tc>
              <w:tc>
                <w:tcPr>
                  <w:tcW w:w="958" w:type="pct"/>
                  <w:tcBorders>
                    <w:top w:val="single" w:color="000000" w:sz="4" w:space="0"/>
                    <w:left w:val="single" w:color="000000" w:sz="4" w:space="0"/>
                    <w:bottom w:val="single" w:color="000000" w:sz="4" w:space="0"/>
                    <w:right w:val="single" w:color="000000" w:sz="4" w:space="0"/>
                  </w:tcBorders>
                  <w:vAlign w:val="center"/>
                </w:tcPr>
                <w:p w14:paraId="2F4B31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1、项目占地为工业用地，位于规划的城镇开发边界内，不属于基本农田；</w:t>
                  </w:r>
                </w:p>
                <w:p w14:paraId="01ADD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2、项目用地不属于绿地、公路用地；</w:t>
                  </w:r>
                </w:p>
                <w:p w14:paraId="1F790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3、项目周边调查范围内不涉及村庄和规划居住区；</w:t>
                  </w:r>
                </w:p>
                <w:p w14:paraId="53D0B4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4、本项目距离清凉湾湿地公园约2.9km，不会破坏湿地及其生态功能；</w:t>
                  </w:r>
                </w:p>
                <w:p w14:paraId="560BE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587AB7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6、本项目不属于水污染较重的项目；</w:t>
                  </w:r>
                </w:p>
                <w:p w14:paraId="1A148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516462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419484F">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21CC42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8AC1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4195A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入区项目需满足建设项目污染物排放总量控制要求，重点行业建设项目按照《关于加强重点行业建设项目区域削减措施监督管理的通知(环办环评(2020)36号)》要求，严格落实区域主要污染物削减方案；</w:t>
                  </w:r>
                </w:p>
                <w:p w14:paraId="7DF0F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2.入区项目污染物排放必须满足国家、河北省、石家庄市等规定的标准要求，排放指标必须满足清洁生产指标要求(如有)；</w:t>
                  </w:r>
                </w:p>
                <w:p w14:paraId="6F64B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3.固体废物零排放，其中危险废物收集、贮存、运输、处置、利用等须满足</w:t>
                  </w:r>
                  <w:r>
                    <w:rPr>
                      <w:rFonts w:hint="eastAsia" w:cs="Times New Roman"/>
                      <w:color w:val="auto"/>
                      <w:sz w:val="18"/>
                      <w:szCs w:val="18"/>
                      <w:highlight w:val="none"/>
                      <w:lang w:eastAsia="zh-CN"/>
                    </w:rPr>
                    <w:t>《中华人民共和国固体废物污染环境防治法》</w:t>
                  </w:r>
                  <w:r>
                    <w:rPr>
                      <w:rFonts w:hint="default" w:ascii="Times New Roman" w:hAnsi="Times New Roman" w:cs="Times New Roman"/>
                      <w:color w:val="auto"/>
                      <w:sz w:val="18"/>
                      <w:szCs w:val="18"/>
                      <w:highlight w:val="none"/>
                      <w:lang w:eastAsia="zh-CN"/>
                    </w:rPr>
                    <w:t>、《危险废物收集 贮存 运输技术规范》、《危险废物贮存污染控制标准》等国家、地方相关法律去规、技术规范、标准要求；</w:t>
                  </w:r>
                </w:p>
                <w:p w14:paraId="65FB0A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4.入区企业生产废水经处理后全部回用，不外排；</w:t>
                  </w:r>
                </w:p>
                <w:p w14:paraId="6404CA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5.新建具有绩效评级要求的涉气入区建设项目，应达到B级及以上水平；</w:t>
                  </w:r>
                </w:p>
                <w:p w14:paraId="4779C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6.严格落实区域减排方案，开发区污染物排放量不得突破允许排放量：颗粒物459.538t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a、二氧化硫120.165t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a、氮氧化物617.954t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a、VOCs17.332t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a；存量源削减量：颗粒物72.348t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a、二氧化硫3.721t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a、氮氧化物166.783t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a、VOCs2.017t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a；新增源控制量：颗粒物34.307t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a、二氧化硫1.804t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a、氮氧化物29.005t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a、VOCs3.349t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ECB00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cs="Times New Roman"/>
                      <w:color w:val="auto"/>
                      <w:sz w:val="18"/>
                      <w:szCs w:val="18"/>
                      <w:highlight w:val="none"/>
                      <w:lang w:eastAsia="zh-CN"/>
                    </w:rPr>
                    <w:t>.园区废水污染物允许排放量（排入集中污水处理厂）：COD9.928t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a、氨氮0.496t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A053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8.碳排放及强度：碳排放量401.29万t/a、碳排放强度1.38t/万元产值。</w:t>
                  </w:r>
                </w:p>
              </w:tc>
              <w:tc>
                <w:tcPr>
                  <w:tcW w:w="958" w:type="pct"/>
                  <w:tcBorders>
                    <w:top w:val="single" w:color="000000" w:sz="4" w:space="0"/>
                    <w:left w:val="single" w:color="000000" w:sz="4" w:space="0"/>
                    <w:bottom w:val="single" w:color="000000" w:sz="4" w:space="0"/>
                    <w:right w:val="single" w:color="000000" w:sz="4" w:space="0"/>
                  </w:tcBorders>
                  <w:vAlign w:val="center"/>
                </w:tcPr>
                <w:p w14:paraId="5B0604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1.本项目不涉及SO</w:t>
                  </w:r>
                  <w:r>
                    <w:rPr>
                      <w:rFonts w:hint="default" w:ascii="Times New Roman" w:hAnsi="Times New Roman" w:cs="Times New Roman"/>
                      <w:color w:val="auto"/>
                      <w:sz w:val="18"/>
                      <w:szCs w:val="18"/>
                      <w:highlight w:val="none"/>
                      <w:vertAlign w:val="subscript"/>
                      <w:lang w:val="en-US" w:eastAsia="zh-CN"/>
                    </w:rPr>
                    <w:t>2</w:t>
                  </w:r>
                  <w:r>
                    <w:rPr>
                      <w:rFonts w:hint="default" w:ascii="Times New Roman" w:hAnsi="Times New Roman" w:cs="Times New Roman"/>
                      <w:color w:val="auto"/>
                      <w:sz w:val="18"/>
                      <w:szCs w:val="18"/>
                      <w:highlight w:val="none"/>
                      <w:lang w:val="en-US" w:eastAsia="zh-CN"/>
                    </w:rPr>
                    <w:t>、NOx、COD、氨氮污染物排放，不涉及需要落实区域削减的重点行业。</w:t>
                  </w:r>
                </w:p>
                <w:p w14:paraId="189CF9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2.本项目污染物排放满足国家及地方标准要求。</w:t>
                  </w:r>
                </w:p>
                <w:p w14:paraId="1336C6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3.本项目固体废物零排放，不涉及危险废物。</w:t>
                  </w:r>
                </w:p>
                <w:p w14:paraId="5734A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4.本项目生产废水全部回用，不外排。</w:t>
                  </w:r>
                </w:p>
                <w:p w14:paraId="1E050F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5.符合要求。</w:t>
                  </w:r>
                </w:p>
                <w:p w14:paraId="72BEDA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6.颗粒物排放量在控制范围内，不涉及二氧化硫、氮氧化物、VOCs排放。</w:t>
                  </w:r>
                </w:p>
                <w:p w14:paraId="2C283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7.不涉及废水排放。</w:t>
                  </w:r>
                </w:p>
                <w:p w14:paraId="26B82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8.符合要求。</w:t>
                  </w:r>
                </w:p>
              </w:tc>
              <w:tc>
                <w:tcPr>
                  <w:tcW w:w="369" w:type="pct"/>
                  <w:tcBorders>
                    <w:top w:val="single" w:color="000000" w:sz="4" w:space="0"/>
                    <w:left w:val="single" w:color="000000" w:sz="4" w:space="0"/>
                    <w:bottom w:val="single" w:color="000000" w:sz="4" w:space="0"/>
                    <w:right w:val="single" w:color="000000" w:sz="4" w:space="0"/>
                  </w:tcBorders>
                  <w:vAlign w:val="center"/>
                </w:tcPr>
                <w:p w14:paraId="4B28E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D89C38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04807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28AD7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5FFB52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.重点监管企业和园区周边土壤和地下水环境污染风险防控：定期开展监督性监测，重点监测重金属和持久性有机污染物；</w:t>
                  </w:r>
                </w:p>
                <w:p w14:paraId="3E2816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2.加强园区与周边敏感区环境风险防范设施建设；</w:t>
                  </w:r>
                </w:p>
                <w:p w14:paraId="74E54D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3.对于易导致环境风险的有毒有害和易燃易爆物质的生产、使用、排放、贮运等新建、改扩建项目，风险防控措施应满足本评价提出的环境风险管理要求。</w:t>
                  </w:r>
                </w:p>
                <w:p w14:paraId="4AF5D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.实施“三级防控”措施，将事故废水严格控制在一定区域范围内。各入区涉水企业设置废水事故池，事故状态下废水送事故池存放，待废水处理站事故消除后，将事故池废水送废水站处理，不得排入外环境。</w:t>
                  </w:r>
                </w:p>
                <w:p w14:paraId="68F25A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7BE3F5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cs="Times New Roman"/>
                      <w:color w:val="auto"/>
                      <w:sz w:val="18"/>
                      <w:szCs w:val="18"/>
                      <w:highlight w:val="none"/>
                      <w:lang w:eastAsia="zh-CN"/>
                    </w:rPr>
                    <w:t>建设用地风险管控和修复：用途变更为“一住两公”地块、腾退工矿企业用地、土壤污染重点监管单位在终止生产经营活动前应依法</w:t>
                  </w:r>
                  <w:r>
                    <w:rPr>
                      <w:rFonts w:hint="eastAsia" w:cs="Times New Roman"/>
                      <w:color w:val="auto"/>
                      <w:sz w:val="18"/>
                      <w:szCs w:val="18"/>
                      <w:highlight w:val="none"/>
                      <w:lang w:eastAsia="zh-CN"/>
                    </w:rPr>
                    <w:t>开展</w:t>
                  </w:r>
                  <w:r>
                    <w:rPr>
                      <w:rFonts w:hint="default" w:ascii="Times New Roman" w:hAnsi="Times New Roman" w:cs="Times New Roman"/>
                      <w:color w:val="auto"/>
                      <w:sz w:val="18"/>
                      <w:szCs w:val="18"/>
                      <w:highlight w:val="none"/>
                      <w:lang w:eastAsia="zh-CN"/>
                    </w:rPr>
                    <w:t>土壤和地下水环境初步调查，编制调查报告。土壤和地下水环境初步调查发现该重点单位用地污染物含量超过国家或者地方有关建设用地土壤污染风险管控标准的，应当开展详细调</w:t>
                  </w:r>
                  <w:r>
                    <w:rPr>
                      <w:rFonts w:hint="eastAsia" w:cs="Times New Roman"/>
                      <w:color w:val="auto"/>
                      <w:sz w:val="18"/>
                      <w:szCs w:val="18"/>
                      <w:highlight w:val="none"/>
                      <w:lang w:eastAsia="zh-CN"/>
                    </w:rPr>
                    <w:t>查</w:t>
                  </w:r>
                  <w:r>
                    <w:rPr>
                      <w:rFonts w:hint="default" w:ascii="Times New Roman" w:hAnsi="Times New Roman" w:cs="Times New Roman"/>
                      <w:color w:val="auto"/>
                      <w:sz w:val="18"/>
                      <w:szCs w:val="18"/>
                      <w:highlight w:val="none"/>
                      <w:lang w:eastAsia="zh-CN"/>
                    </w:rPr>
                    <w:t>、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958" w:type="pct"/>
                  <w:tcBorders>
                    <w:top w:val="single" w:color="000000" w:sz="4" w:space="0"/>
                    <w:left w:val="single" w:color="000000" w:sz="4" w:space="0"/>
                    <w:bottom w:val="single" w:color="000000" w:sz="4" w:space="0"/>
                    <w:right w:val="single" w:color="000000" w:sz="4" w:space="0"/>
                  </w:tcBorders>
                  <w:vAlign w:val="center"/>
                </w:tcPr>
                <w:p w14:paraId="399E6B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1.本项目不涉及重金属和持久性有机污染物。</w:t>
                  </w:r>
                </w:p>
                <w:p w14:paraId="5FF8EB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2.本项目距离周边敏感区较远，环境风险影响很小。</w:t>
                  </w:r>
                </w:p>
                <w:p w14:paraId="7E53ED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4B5911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4.本项目废水全部回用于生产，不外排，设废水收集池，事故状态下废水不外排。</w:t>
                  </w:r>
                </w:p>
                <w:p w14:paraId="3CA73E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68BAD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6F5C8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0F4FC81">
              <w:tblPrEx>
                <w:tblCellMar>
                  <w:top w:w="0" w:type="dxa"/>
                  <w:left w:w="0" w:type="dxa"/>
                  <w:bottom w:w="0" w:type="dxa"/>
                  <w:right w:w="0" w:type="dxa"/>
                </w:tblCellMar>
              </w:tblPrEx>
              <w:trPr>
                <w:trHeight w:val="0" w:hRule="atLeast"/>
              </w:trPr>
              <w:tc>
                <w:tcPr>
                  <w:tcW w:w="272" w:type="pct"/>
                  <w:vMerge w:val="continue"/>
                  <w:tcBorders>
                    <w:left w:val="single" w:color="000000" w:sz="4" w:space="0"/>
                    <w:bottom w:val="single" w:color="000000" w:sz="4" w:space="0"/>
                    <w:right w:val="single" w:color="000000" w:sz="4" w:space="0"/>
                  </w:tcBorders>
                  <w:vAlign w:val="center"/>
                </w:tcPr>
                <w:p w14:paraId="77BE6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7965C0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资源开发利用要求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07DC5F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.入区项目资源和能源消耗量应满足开发区划定的土地、水、能源等主要资源能源可开发利用总量上线：能源利用上线：煤炭用量39.67万t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a；天然气用量为4102.91万m</w:t>
                  </w:r>
                  <w:r>
                    <w:rPr>
                      <w:rFonts w:hint="default" w:ascii="Times New Roman" w:hAnsi="Times New Roman" w:cs="Times New Roman"/>
                      <w:color w:val="auto"/>
                      <w:sz w:val="18"/>
                      <w:szCs w:val="18"/>
                      <w:highlight w:val="none"/>
                      <w:vertAlign w:val="superscript"/>
                      <w:lang w:val="en-US" w:eastAsia="zh-CN"/>
                    </w:rPr>
                    <w:t>3</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a；水资源利用上线：新水量为432.945万m/a；土地利用上线：工业用地面积864.20hm</w:t>
                  </w:r>
                  <w:r>
                    <w:rPr>
                      <w:rFonts w:hint="default" w:ascii="Times New Roman" w:hAnsi="Times New Roman" w:cs="Times New Roman"/>
                      <w:color w:val="auto"/>
                      <w:sz w:val="18"/>
                      <w:szCs w:val="18"/>
                      <w:highlight w:val="none"/>
                      <w:vertAlign w:val="superscript"/>
                      <w:lang w:val="en-US" w:eastAsia="zh-CN"/>
                    </w:rPr>
                    <w:t>2</w:t>
                  </w:r>
                  <w:r>
                    <w:rPr>
                      <w:rFonts w:hint="default" w:ascii="Times New Roman" w:hAnsi="Times New Roman" w:cs="Times New Roman"/>
                      <w:color w:val="auto"/>
                      <w:sz w:val="18"/>
                      <w:szCs w:val="18"/>
                      <w:highlight w:val="none"/>
                      <w:lang w:eastAsia="zh-CN"/>
                    </w:rPr>
                    <w:t>。</w:t>
                  </w:r>
                </w:p>
                <w:p w14:paraId="70F90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2.不断优化能源消费结构，优先利用区域集中供热和工业余热资源，禁止建设分散燃煤供热设施。</w:t>
                  </w:r>
                </w:p>
                <w:p w14:paraId="2966E3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3.加快推进水源切换，现有拥有合法手续的自备水井给予保留备用，南寨地表水厂建成后，园区内自备水井进行封井；封井前，开发区现有企业应严格落实取水许可制度，不得突破地下水取水许可量。</w:t>
                  </w:r>
                </w:p>
              </w:tc>
              <w:tc>
                <w:tcPr>
                  <w:tcW w:w="958" w:type="pct"/>
                  <w:tcBorders>
                    <w:top w:val="single" w:color="000000" w:sz="4" w:space="0"/>
                    <w:left w:val="single" w:color="000000" w:sz="4" w:space="0"/>
                    <w:bottom w:val="single" w:color="000000" w:sz="4" w:space="0"/>
                    <w:right w:val="single" w:color="000000" w:sz="4" w:space="0"/>
                  </w:tcBorders>
                  <w:vAlign w:val="center"/>
                </w:tcPr>
                <w:p w14:paraId="1F06A8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1.项目资源和能源消耗量满足开发区划定的主要资源能源可开发利用总量上线。</w:t>
                  </w:r>
                </w:p>
                <w:p w14:paraId="653994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2.本项目生产不用热，办公采暖采用空调，不涉及燃煤供热设施。</w:t>
                  </w:r>
                </w:p>
                <w:p w14:paraId="1EE55B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3.本项目用水依托开发区供水管网，不涉及地下水取水。</w:t>
                  </w:r>
                </w:p>
              </w:tc>
              <w:tc>
                <w:tcPr>
                  <w:tcW w:w="369" w:type="pct"/>
                  <w:tcBorders>
                    <w:top w:val="single" w:color="000000" w:sz="4" w:space="0"/>
                    <w:left w:val="single" w:color="000000" w:sz="4" w:space="0"/>
                    <w:bottom w:val="single" w:color="000000" w:sz="4" w:space="0"/>
                    <w:right w:val="single" w:color="000000" w:sz="4" w:space="0"/>
                  </w:tcBorders>
                  <w:vAlign w:val="center"/>
                </w:tcPr>
                <w:p w14:paraId="12D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4D33F4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lang w:val="en-US" w:eastAsia="zh-CN"/>
              </w:rPr>
              <w:t xml:space="preserve">表1-3  </w:t>
            </w:r>
            <w:r>
              <w:rPr>
                <w:rFonts w:hint="default" w:ascii="Times New Roman" w:hAnsi="Times New Roman" w:cs="Times New Roman"/>
                <w:b/>
                <w:bCs/>
                <w:color w:val="auto"/>
                <w:kern w:val="0"/>
                <w:sz w:val="21"/>
                <w:szCs w:val="21"/>
                <w:highlight w:val="none"/>
              </w:rPr>
              <w:t>本项目与规划环评</w:t>
            </w:r>
            <w:r>
              <w:rPr>
                <w:rFonts w:hint="default" w:ascii="Times New Roman" w:hAnsi="Times New Roman" w:cs="Times New Roman"/>
                <w:b/>
                <w:bCs/>
                <w:color w:val="auto"/>
                <w:kern w:val="0"/>
                <w:sz w:val="21"/>
                <w:szCs w:val="21"/>
                <w:highlight w:val="none"/>
                <w:lang w:eastAsia="zh-CN"/>
              </w:rPr>
              <w:t>提出</w:t>
            </w:r>
            <w:r>
              <w:rPr>
                <w:rFonts w:hint="default" w:ascii="Times New Roman" w:hAnsi="Times New Roman" w:cs="Times New Roman"/>
                <w:b/>
                <w:bCs/>
                <w:color w:val="auto"/>
                <w:kern w:val="0"/>
                <w:sz w:val="21"/>
                <w:szCs w:val="21"/>
                <w:highlight w:val="none"/>
              </w:rPr>
              <w:t>的</w:t>
            </w:r>
            <w:r>
              <w:rPr>
                <w:rFonts w:hint="default" w:ascii="Times New Roman" w:hAnsi="Times New Roman" w:cs="Times New Roman"/>
                <w:b/>
                <w:bCs/>
                <w:color w:val="auto"/>
                <w:kern w:val="0"/>
                <w:sz w:val="21"/>
                <w:szCs w:val="21"/>
                <w:highlight w:val="none"/>
                <w:lang w:eastAsia="zh-CN"/>
              </w:rPr>
              <w:t>园区丰达片区</w:t>
            </w:r>
            <w:r>
              <w:rPr>
                <w:rFonts w:hint="default" w:ascii="Times New Roman" w:hAnsi="Times New Roman" w:cs="Times New Roman"/>
                <w:b/>
                <w:bCs/>
                <w:color w:val="auto"/>
                <w:kern w:val="0"/>
                <w:sz w:val="21"/>
                <w:szCs w:val="21"/>
                <w:highlight w:val="none"/>
              </w:rPr>
              <w:t>生态环境准入清单要求符合性分析</w:t>
            </w:r>
          </w:p>
          <w:tbl>
            <w:tblPr>
              <w:tblStyle w:val="40"/>
              <w:tblW w:w="8083" w:type="dxa"/>
              <w:jc w:val="center"/>
              <w:tblLayout w:type="fixed"/>
              <w:tblCellMar>
                <w:top w:w="0" w:type="dxa"/>
                <w:left w:w="0" w:type="dxa"/>
                <w:bottom w:w="0" w:type="dxa"/>
                <w:right w:w="0" w:type="dxa"/>
              </w:tblCellMar>
            </w:tblPr>
            <w:tblGrid>
              <w:gridCol w:w="240"/>
              <w:gridCol w:w="248"/>
              <w:gridCol w:w="2370"/>
              <w:gridCol w:w="3815"/>
              <w:gridCol w:w="1035"/>
              <w:gridCol w:w="375"/>
            </w:tblGrid>
            <w:tr w14:paraId="4C1CE4C5">
              <w:tblPrEx>
                <w:tblCellMar>
                  <w:top w:w="0" w:type="dxa"/>
                  <w:left w:w="0" w:type="dxa"/>
                  <w:bottom w:w="0" w:type="dxa"/>
                  <w:right w:w="0" w:type="dxa"/>
                </w:tblCellMar>
              </w:tblPrEx>
              <w:trPr>
                <w:trHeight w:val="0" w:hRule="atLeast"/>
                <w:jc w:val="center"/>
              </w:trPr>
              <w:tc>
                <w:tcPr>
                  <w:tcW w:w="1767" w:type="pct"/>
                  <w:gridSpan w:val="3"/>
                  <w:tcBorders>
                    <w:top w:val="single" w:color="000000" w:sz="4" w:space="0"/>
                    <w:left w:val="single" w:color="000000" w:sz="4" w:space="0"/>
                    <w:bottom w:val="single" w:color="000000" w:sz="4" w:space="0"/>
                    <w:right w:val="single" w:color="000000" w:sz="4" w:space="0"/>
                  </w:tcBorders>
                  <w:vAlign w:val="center"/>
                </w:tcPr>
                <w:p w14:paraId="539ACD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石家庄市“三线一单”准入要求</w:t>
                  </w:r>
                </w:p>
              </w:tc>
              <w:tc>
                <w:tcPr>
                  <w:tcW w:w="2359" w:type="pct"/>
                  <w:tcBorders>
                    <w:top w:val="single" w:color="000000" w:sz="4" w:space="0"/>
                    <w:left w:val="single" w:color="000000" w:sz="4" w:space="0"/>
                    <w:bottom w:val="single" w:color="000000" w:sz="4" w:space="0"/>
                    <w:right w:val="single" w:color="000000" w:sz="4" w:space="0"/>
                  </w:tcBorders>
                  <w:vAlign w:val="center"/>
                </w:tcPr>
                <w:p w14:paraId="018FE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规划环评建议补充的准入要求</w:t>
                  </w:r>
                </w:p>
              </w:tc>
              <w:tc>
                <w:tcPr>
                  <w:tcW w:w="640" w:type="pct"/>
                  <w:tcBorders>
                    <w:top w:val="single" w:color="000000" w:sz="4" w:space="0"/>
                    <w:left w:val="single" w:color="000000" w:sz="4" w:space="0"/>
                    <w:bottom w:val="single" w:color="000000" w:sz="4" w:space="0"/>
                    <w:right w:val="single" w:color="000000" w:sz="4" w:space="0"/>
                  </w:tcBorders>
                  <w:vAlign w:val="center"/>
                </w:tcPr>
                <w:p w14:paraId="57055B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231" w:type="pct"/>
                  <w:tcBorders>
                    <w:top w:val="single" w:color="000000" w:sz="4" w:space="0"/>
                    <w:left w:val="single" w:color="000000" w:sz="4" w:space="0"/>
                    <w:bottom w:val="single" w:color="000000" w:sz="4" w:space="0"/>
                    <w:right w:val="single" w:color="000000" w:sz="4" w:space="0"/>
                  </w:tcBorders>
                  <w:vAlign w:val="center"/>
                </w:tcPr>
                <w:p w14:paraId="64AB0B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BA45AED">
              <w:tblPrEx>
                <w:tblCellMar>
                  <w:top w:w="0" w:type="dxa"/>
                  <w:left w:w="0" w:type="dxa"/>
                  <w:bottom w:w="0" w:type="dxa"/>
                  <w:right w:w="0" w:type="dxa"/>
                </w:tblCellMar>
              </w:tblPrEx>
              <w:trPr>
                <w:trHeight w:val="0" w:hRule="atLeast"/>
                <w:jc w:val="center"/>
              </w:trPr>
              <w:tc>
                <w:tcPr>
                  <w:tcW w:w="148" w:type="pct"/>
                  <w:vMerge w:val="restart"/>
                  <w:tcBorders>
                    <w:top w:val="single" w:color="000000" w:sz="4" w:space="0"/>
                    <w:left w:val="single" w:color="000000" w:sz="4" w:space="0"/>
                    <w:right w:val="single" w:color="000000" w:sz="4" w:space="0"/>
                  </w:tcBorders>
                  <w:vAlign w:val="center"/>
                </w:tcPr>
                <w:p w14:paraId="78BFAC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园区丰达片区（重点管控单元</w:t>
                  </w:r>
                  <w:r>
                    <w:rPr>
                      <w:rFonts w:hint="default" w:ascii="Times New Roman" w:hAnsi="Times New Roman" w:cs="Times New Roman"/>
                      <w:color w:val="auto"/>
                      <w:sz w:val="18"/>
                      <w:szCs w:val="18"/>
                      <w:highlight w:val="none"/>
                      <w:lang w:val="en-US" w:eastAsia="zh-CN"/>
                    </w:rPr>
                    <w:t>1、重点管控单元4</w:t>
                  </w:r>
                  <w:r>
                    <w:rPr>
                      <w:rFonts w:hint="default" w:ascii="Times New Roman" w:hAnsi="Times New Roman" w:cs="Times New Roman"/>
                      <w:color w:val="auto"/>
                      <w:sz w:val="18"/>
                      <w:szCs w:val="18"/>
                      <w:highlight w:val="none"/>
                      <w:lang w:eastAsia="zh-CN"/>
                    </w:rPr>
                    <w:t>）</w:t>
                  </w:r>
                </w:p>
              </w:tc>
              <w:tc>
                <w:tcPr>
                  <w:tcW w:w="153" w:type="pct"/>
                  <w:tcBorders>
                    <w:top w:val="single" w:color="000000" w:sz="4" w:space="0"/>
                    <w:left w:val="single" w:color="000000" w:sz="4" w:space="0"/>
                    <w:bottom w:val="single" w:color="000000" w:sz="4" w:space="0"/>
                    <w:right w:val="single" w:color="000000" w:sz="4" w:space="0"/>
                  </w:tcBorders>
                  <w:vAlign w:val="center"/>
                </w:tcPr>
                <w:p w14:paraId="516C9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1466" w:type="pct"/>
                  <w:tcBorders>
                    <w:top w:val="single" w:color="000000" w:sz="4" w:space="0"/>
                    <w:left w:val="single" w:color="000000" w:sz="4" w:space="0"/>
                    <w:bottom w:val="single" w:color="000000" w:sz="4" w:space="0"/>
                    <w:right w:val="single" w:color="000000" w:sz="4" w:space="0"/>
                  </w:tcBorders>
                  <w:vAlign w:val="center"/>
                </w:tcPr>
                <w:p w14:paraId="09FB30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4D0366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.严格落实国家、河北省以及石家庄市最新产业目录准入要求。</w:t>
                  </w:r>
                </w:p>
                <w:p w14:paraId="5F3AEA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严格落实最新规划环评及其批复文牛制定的环境准入要求。</w:t>
                  </w:r>
                </w:p>
                <w:p w14:paraId="61A2B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7DA0D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1.加快城市建成区工业企业搬迁入园或关闭退出。</w:t>
                  </w:r>
                </w:p>
              </w:tc>
              <w:tc>
                <w:tcPr>
                  <w:tcW w:w="2359" w:type="pct"/>
                  <w:tcBorders>
                    <w:top w:val="single" w:color="000000" w:sz="4" w:space="0"/>
                    <w:left w:val="single" w:color="000000" w:sz="4" w:space="0"/>
                    <w:bottom w:val="single" w:color="000000" w:sz="4" w:space="0"/>
                    <w:right w:val="single" w:color="000000" w:sz="4" w:space="0"/>
                  </w:tcBorders>
                  <w:vAlign w:val="center"/>
                </w:tcPr>
                <w:p w14:paraId="7CE1E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1.将位于水土保持和水源涵养一般生态空间部分划为优先保护区域，严格按照水土保持和水源涵养的管控要求进行开发建设。</w:t>
                  </w:r>
                </w:p>
                <w:p w14:paraId="668BA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282DF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3.居住用地、教育用地 50 米范围内布局办公区、仓储区或机械加工区，50~100m 范围内禁止新上涉及表面处理和石墨化工的重污染项目；新增涉及喷漆、喷涂工序的生产企业通过使用水性、粉末、高固体分、无溶剂、辐射固化等低 VOCs 含量的涂料降低有机废气排放，使用涂料应满足《低挥发性有机化合物含量涂料产品技术要求》；采用《排污许可证申请与核发技术规范 铁路、船舶、航空航天和其他运输设备制造业》附录 A 表面处理（涂装）排污单位中可行技术，禁止使用单一低温等离子、光氧化、光催化、非水溶性 VOCs 废气处理技术。</w:t>
                  </w:r>
                </w:p>
                <w:p w14:paraId="7B370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4.临近生态保护红线、居住区一侧布设 20m 绿化带减缓对</w:t>
                  </w:r>
                  <w:r>
                    <w:rPr>
                      <w:rFonts w:hint="eastAsia" w:cs="Times New Roman"/>
                      <w:color w:val="auto"/>
                      <w:sz w:val="18"/>
                      <w:szCs w:val="18"/>
                      <w:highlight w:val="none"/>
                      <w:lang w:eastAsia="zh-CN"/>
                    </w:rPr>
                    <w:t>其影响</w:t>
                  </w:r>
                  <w:r>
                    <w:rPr>
                      <w:rFonts w:hint="default" w:ascii="Times New Roman" w:hAnsi="Times New Roman" w:cs="Times New Roman"/>
                      <w:color w:val="auto"/>
                      <w:sz w:val="18"/>
                      <w:szCs w:val="18"/>
                      <w:highlight w:val="none"/>
                      <w:lang w:eastAsia="zh-CN"/>
                    </w:rPr>
                    <w:t>。</w:t>
                  </w:r>
                </w:p>
              </w:tc>
              <w:tc>
                <w:tcPr>
                  <w:tcW w:w="640" w:type="pct"/>
                  <w:tcBorders>
                    <w:top w:val="single" w:color="000000" w:sz="4" w:space="0"/>
                    <w:left w:val="single" w:color="000000" w:sz="4" w:space="0"/>
                    <w:bottom w:val="single" w:color="000000" w:sz="4" w:space="0"/>
                    <w:right w:val="single" w:color="000000" w:sz="4" w:space="0"/>
                  </w:tcBorders>
                  <w:vAlign w:val="center"/>
                </w:tcPr>
                <w:p w14:paraId="04904E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本项目符合国家及地方最新产业目录准入要求，项目选址不涉及优先保护区域，不涉及采空区、塌陷影响区，选址周边50米内不涉及居住用地、教育用地，周边不涉及生态保护红线和居住区。</w:t>
                  </w:r>
                </w:p>
              </w:tc>
              <w:tc>
                <w:tcPr>
                  <w:tcW w:w="231" w:type="pct"/>
                  <w:tcBorders>
                    <w:top w:val="single" w:color="000000" w:sz="4" w:space="0"/>
                    <w:left w:val="single" w:color="000000" w:sz="4" w:space="0"/>
                    <w:bottom w:val="single" w:color="000000" w:sz="4" w:space="0"/>
                    <w:right w:val="single" w:color="000000" w:sz="4" w:space="0"/>
                  </w:tcBorders>
                  <w:vAlign w:val="center"/>
                </w:tcPr>
                <w:p w14:paraId="51A1BC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D4F5414">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46152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6FEB4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36DF9F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617FA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1.涉挥发性有机物企业排放标准执行《工业企业挥发性有机物排放控制标准》（DB12/2322-2016）和《挥发性有机物无组织排放控制标准》（GB37822-2019）。</w:t>
                  </w:r>
                </w:p>
                <w:p w14:paraId="6EC44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2.新(改、扩)建向环境水体直接排放污水的排污单位执行《子牙河流域水污染物排放标准》(DB13/2796-2018)排放限值。</w:t>
                  </w:r>
                </w:p>
                <w:p w14:paraId="22D89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2E844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1.重点行业依法实施强制性清洁生产审核。</w:t>
                  </w:r>
                </w:p>
                <w:p w14:paraId="458A0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2.加快配套管网建设。新（改、扩）建向环境水体直接排放污水的排污单位执行《子牙河流域水污染物排放标准》(DB13/2796-2018)排放限值。</w:t>
                  </w:r>
                </w:p>
                <w:p w14:paraId="56F7D5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3.提高城镇生活污水收集处理效率。</w:t>
                  </w:r>
                </w:p>
              </w:tc>
              <w:tc>
                <w:tcPr>
                  <w:tcW w:w="2359" w:type="pct"/>
                  <w:tcBorders>
                    <w:top w:val="single" w:color="000000" w:sz="4" w:space="0"/>
                    <w:left w:val="single" w:color="000000" w:sz="4" w:space="0"/>
                    <w:bottom w:val="single" w:color="000000" w:sz="4" w:space="0"/>
                    <w:right w:val="single" w:color="000000" w:sz="4" w:space="0"/>
                  </w:tcBorders>
                  <w:vAlign w:val="center"/>
                </w:tcPr>
                <w:p w14:paraId="3F38C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1.重点关注挥发性有机物排放管控，禁止使用高 VOCs 含量涂料或胶粘剂。挥发性有机物治理工艺禁止采用低温等离子、光氧化/催化、劣质活性炭吸附、喷淋吸收等单一低效治理技术；采用活性炭吸附工艺的应满足《石家庄市涉 VOCs 企业活性炭吸附脱附技术指南》的要求；</w:t>
                  </w:r>
                </w:p>
                <w:p w14:paraId="258805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2.入区企业生产废水经处理后全部回用，不外排。生活污水经收集后排入贾庄污水处理厂或矿区绿洁污水处理厂处理，不得向环境水体直接排放污水。</w:t>
                  </w:r>
                </w:p>
              </w:tc>
              <w:tc>
                <w:tcPr>
                  <w:tcW w:w="640" w:type="pct"/>
                  <w:tcBorders>
                    <w:top w:val="single" w:color="000000" w:sz="4" w:space="0"/>
                    <w:left w:val="single" w:color="000000" w:sz="4" w:space="0"/>
                    <w:bottom w:val="single" w:color="000000" w:sz="4" w:space="0"/>
                    <w:right w:val="single" w:color="000000" w:sz="4" w:space="0"/>
                  </w:tcBorders>
                  <w:vAlign w:val="center"/>
                </w:tcPr>
                <w:p w14:paraId="167650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1.不涉及挥发性有机物排放。</w:t>
                  </w:r>
                </w:p>
                <w:p w14:paraId="2A3D5A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2.本项目生产废水全部回用不外排，生活污水采用化粪池收集处理，定期清掏用作农肥，不向环境水体直接排放污水。</w:t>
                  </w:r>
                </w:p>
              </w:tc>
              <w:tc>
                <w:tcPr>
                  <w:tcW w:w="231" w:type="pct"/>
                  <w:tcBorders>
                    <w:top w:val="single" w:color="000000" w:sz="4" w:space="0"/>
                    <w:left w:val="single" w:color="000000" w:sz="4" w:space="0"/>
                    <w:bottom w:val="single" w:color="000000" w:sz="4" w:space="0"/>
                    <w:right w:val="single" w:color="000000" w:sz="4" w:space="0"/>
                  </w:tcBorders>
                  <w:vAlign w:val="center"/>
                </w:tcPr>
                <w:p w14:paraId="46536D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AD4AA21">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2277EF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783066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2F8AD3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5ED375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园区按照相关要求，建立完善环境风险管理相关制度和有效的事故风险防范体系。</w:t>
                  </w:r>
                </w:p>
              </w:tc>
              <w:tc>
                <w:tcPr>
                  <w:tcW w:w="2359" w:type="pct"/>
                  <w:tcBorders>
                    <w:top w:val="single" w:color="000000" w:sz="4" w:space="0"/>
                    <w:left w:val="single" w:color="000000" w:sz="4" w:space="0"/>
                    <w:bottom w:val="single" w:color="000000" w:sz="4" w:space="0"/>
                    <w:right w:val="single" w:color="000000" w:sz="4" w:space="0"/>
                  </w:tcBorders>
                  <w:vAlign w:val="center"/>
                </w:tcPr>
                <w:p w14:paraId="65B03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1.结合道路绿化、居住区绿地布置，合理布置涉及风险物质的生产单元，涉重大危险源生产装置和储罐区的项目不得紧邻居住区布局。加强重大危险源企业环境风险管理。</w:t>
                  </w:r>
                </w:p>
                <w:p w14:paraId="1ABEBF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2.对园区内已规划为工业用地的刘赵村实施搬迁，加强与居住区临近的现有企业环境风险管理。</w:t>
                  </w:r>
                </w:p>
                <w:p w14:paraId="78D59D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3.各企业做好分区防渗，强化地下水及土壤环境监管。</w:t>
                  </w:r>
                </w:p>
              </w:tc>
              <w:tc>
                <w:tcPr>
                  <w:tcW w:w="640" w:type="pct"/>
                  <w:tcBorders>
                    <w:top w:val="single" w:color="000000" w:sz="4" w:space="0"/>
                    <w:left w:val="single" w:color="000000" w:sz="4" w:space="0"/>
                    <w:bottom w:val="single" w:color="000000" w:sz="4" w:space="0"/>
                    <w:right w:val="single" w:color="000000" w:sz="4" w:space="0"/>
                  </w:tcBorders>
                  <w:vAlign w:val="center"/>
                </w:tcPr>
                <w:p w14:paraId="087B1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1.不涉及重大危险源。</w:t>
                  </w:r>
                </w:p>
                <w:p w14:paraId="4A58A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10978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3.采取分区防渗措施，不会对地下水及土壤环境造成污染。</w:t>
                  </w:r>
                </w:p>
              </w:tc>
              <w:tc>
                <w:tcPr>
                  <w:tcW w:w="231" w:type="pct"/>
                  <w:tcBorders>
                    <w:top w:val="single" w:color="000000" w:sz="4" w:space="0"/>
                    <w:left w:val="single" w:color="000000" w:sz="4" w:space="0"/>
                    <w:bottom w:val="single" w:color="000000" w:sz="4" w:space="0"/>
                    <w:right w:val="single" w:color="000000" w:sz="4" w:space="0"/>
                  </w:tcBorders>
                  <w:vAlign w:val="center"/>
                </w:tcPr>
                <w:p w14:paraId="773B5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DFAAF6C">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bottom w:val="single" w:color="000000" w:sz="4" w:space="0"/>
                    <w:right w:val="single" w:color="000000" w:sz="4" w:space="0"/>
                  </w:tcBorders>
                  <w:vAlign w:val="center"/>
                </w:tcPr>
                <w:p w14:paraId="0F1877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53DA40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资源利用效率</w:t>
                  </w:r>
                </w:p>
              </w:tc>
              <w:tc>
                <w:tcPr>
                  <w:tcW w:w="1466" w:type="pct"/>
                  <w:tcBorders>
                    <w:top w:val="single" w:color="000000" w:sz="4" w:space="0"/>
                    <w:left w:val="single" w:color="000000" w:sz="4" w:space="0"/>
                    <w:bottom w:val="single" w:color="000000" w:sz="4" w:space="0"/>
                    <w:right w:val="single" w:color="000000" w:sz="4" w:space="0"/>
                  </w:tcBorders>
                  <w:vAlign w:val="center"/>
                </w:tcPr>
                <w:p w14:paraId="2A6697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337536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提高中水回用率。</w:t>
                  </w:r>
                </w:p>
                <w:p w14:paraId="348881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.鼓励开展余热利用，提高能源利用效率。</w:t>
                  </w:r>
                </w:p>
                <w:p w14:paraId="088A0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5D5516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1.淘汰集中供热管网覆盖范围内的散煤</w:t>
                  </w:r>
                </w:p>
              </w:tc>
              <w:tc>
                <w:tcPr>
                  <w:tcW w:w="2359" w:type="pct"/>
                  <w:tcBorders>
                    <w:top w:val="single" w:color="000000" w:sz="4" w:space="0"/>
                    <w:left w:val="single" w:color="000000" w:sz="4" w:space="0"/>
                    <w:bottom w:val="single" w:color="000000" w:sz="4" w:space="0"/>
                    <w:right w:val="single" w:color="000000" w:sz="4" w:space="0"/>
                  </w:tcBorders>
                  <w:vAlign w:val="center"/>
                </w:tcPr>
                <w:p w14:paraId="0D24A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1.加快生活污水及再生水管网建设，提高污水收集率和再生水的回用率，减轻对地表水利用的压力；</w:t>
                  </w:r>
                </w:p>
                <w:p w14:paraId="3E3592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2.装备制造行业中的中频炉熔融、退火、烘干等工序用热使用电或天然气，采暖优先通过自身生产余热供给；根据行业特点充分利用生产余热为主力热源，电能等清洁能源为补充。</w:t>
                  </w:r>
                </w:p>
              </w:tc>
              <w:tc>
                <w:tcPr>
                  <w:tcW w:w="640" w:type="pct"/>
                  <w:tcBorders>
                    <w:top w:val="single" w:color="000000" w:sz="4" w:space="0"/>
                    <w:left w:val="single" w:color="000000" w:sz="4" w:space="0"/>
                    <w:bottom w:val="single" w:color="000000" w:sz="4" w:space="0"/>
                    <w:right w:val="single" w:color="000000" w:sz="4" w:space="0"/>
                  </w:tcBorders>
                  <w:vAlign w:val="center"/>
                </w:tcPr>
                <w:p w14:paraId="15E39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w:t>
                  </w:r>
                </w:p>
                <w:p w14:paraId="39B9E0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tc>
              <w:tc>
                <w:tcPr>
                  <w:tcW w:w="231" w:type="pct"/>
                  <w:tcBorders>
                    <w:top w:val="single" w:color="000000" w:sz="4" w:space="0"/>
                    <w:left w:val="single" w:color="000000" w:sz="4" w:space="0"/>
                    <w:bottom w:val="single" w:color="000000" w:sz="4" w:space="0"/>
                    <w:right w:val="single" w:color="000000" w:sz="4" w:space="0"/>
                  </w:tcBorders>
                  <w:vAlign w:val="center"/>
                </w:tcPr>
                <w:p w14:paraId="29C2E7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3B3B8FC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二</w:t>
            </w:r>
            <w:r>
              <w:rPr>
                <w:rFonts w:hint="default" w:ascii="Times New Roman" w:hAnsi="Times New Roman" w:cs="Times New Roman"/>
                <w:b/>
                <w:bCs/>
                <w:color w:val="auto"/>
                <w:kern w:val="0"/>
                <w:sz w:val="24"/>
                <w:highlight w:val="none"/>
              </w:rPr>
              <w:t>、项目与规划环境影响评价结论的符合性分析</w:t>
            </w:r>
          </w:p>
          <w:p w14:paraId="221BDE7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项目与</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w:t>
            </w:r>
            <w:r>
              <w:rPr>
                <w:rFonts w:hint="default" w:ascii="Times New Roman" w:hAnsi="Times New Roman" w:cs="Times New Roman"/>
                <w:color w:val="auto"/>
                <w:kern w:val="0"/>
                <w:sz w:val="24"/>
                <w:highlight w:val="none"/>
                <w:lang w:eastAsia="zh-CN"/>
              </w:rPr>
              <w:t>》主要</w:t>
            </w:r>
            <w:r>
              <w:rPr>
                <w:rFonts w:hint="default" w:ascii="Times New Roman" w:hAnsi="Times New Roman" w:cs="Times New Roman"/>
                <w:color w:val="auto"/>
                <w:kern w:val="0"/>
                <w:sz w:val="24"/>
                <w:highlight w:val="none"/>
              </w:rPr>
              <w:t>结论的符合性分析见表</w:t>
            </w:r>
            <w:r>
              <w:rPr>
                <w:rFonts w:hint="default" w:ascii="Times New Roman" w:hAnsi="Times New Roman" w:cs="Times New Roman"/>
                <w:color w:val="auto"/>
                <w:kern w:val="0"/>
                <w:sz w:val="24"/>
                <w:highlight w:val="none"/>
                <w:lang w:val="en-US" w:eastAsia="zh-CN"/>
              </w:rPr>
              <w:t>1-4</w:t>
            </w:r>
            <w:r>
              <w:rPr>
                <w:rFonts w:hint="default" w:ascii="Times New Roman" w:hAnsi="Times New Roman" w:cs="Times New Roman"/>
                <w:color w:val="auto"/>
                <w:kern w:val="0"/>
                <w:sz w:val="24"/>
                <w:highlight w:val="none"/>
              </w:rPr>
              <w:t>。</w:t>
            </w:r>
          </w:p>
          <w:p w14:paraId="52F78DE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1-4  </w:t>
            </w:r>
            <w:r>
              <w:rPr>
                <w:rFonts w:hint="default" w:ascii="Times New Roman" w:hAnsi="Times New Roman" w:cs="Times New Roman"/>
                <w:b/>
                <w:bCs/>
                <w:color w:val="auto"/>
                <w:kern w:val="0"/>
                <w:sz w:val="24"/>
                <w:highlight w:val="none"/>
              </w:rPr>
              <w:t>本项目与规划环境影响评价</w:t>
            </w:r>
            <w:r>
              <w:rPr>
                <w:rFonts w:hint="default" w:ascii="Times New Roman" w:hAnsi="Times New Roman" w:cs="Times New Roman"/>
                <w:b/>
                <w:bCs/>
                <w:color w:val="auto"/>
                <w:kern w:val="0"/>
                <w:sz w:val="24"/>
                <w:highlight w:val="none"/>
                <w:lang w:eastAsia="zh-CN"/>
              </w:rPr>
              <w:t>主要</w:t>
            </w:r>
            <w:r>
              <w:rPr>
                <w:rFonts w:hint="default" w:ascii="Times New Roman" w:hAnsi="Times New Roman" w:cs="Times New Roman"/>
                <w:b/>
                <w:bCs/>
                <w:color w:val="auto"/>
                <w:kern w:val="0"/>
                <w:sz w:val="24"/>
                <w:highlight w:val="none"/>
              </w:rPr>
              <w:t>结论的符合性分析</w:t>
            </w:r>
          </w:p>
          <w:tbl>
            <w:tblPr>
              <w:tblStyle w:val="40"/>
              <w:tblW w:w="8097" w:type="dxa"/>
              <w:jc w:val="center"/>
              <w:tblLayout w:type="fixed"/>
              <w:tblCellMar>
                <w:top w:w="0" w:type="dxa"/>
                <w:left w:w="0" w:type="dxa"/>
                <w:bottom w:w="0" w:type="dxa"/>
                <w:right w:w="0" w:type="dxa"/>
              </w:tblCellMar>
            </w:tblPr>
            <w:tblGrid>
              <w:gridCol w:w="385"/>
              <w:gridCol w:w="4920"/>
              <w:gridCol w:w="2230"/>
              <w:gridCol w:w="562"/>
            </w:tblGrid>
            <w:tr w14:paraId="712E074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54486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3038" w:type="pct"/>
                  <w:tcBorders>
                    <w:top w:val="single" w:color="000000" w:sz="4" w:space="0"/>
                    <w:left w:val="single" w:color="000000" w:sz="4" w:space="0"/>
                    <w:bottom w:val="single" w:color="000000" w:sz="4" w:space="0"/>
                    <w:right w:val="single" w:color="000000" w:sz="4" w:space="0"/>
                  </w:tcBorders>
                  <w:vAlign w:val="center"/>
                </w:tcPr>
                <w:p w14:paraId="2502486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规划环境影响评价</w:t>
                  </w:r>
                  <w:r>
                    <w:rPr>
                      <w:rFonts w:hint="default" w:ascii="Times New Roman" w:hAnsi="Times New Roman" w:cs="Times New Roman"/>
                      <w:color w:val="auto"/>
                      <w:sz w:val="18"/>
                      <w:szCs w:val="18"/>
                      <w:highlight w:val="none"/>
                      <w:lang w:eastAsia="zh-CN"/>
                    </w:rPr>
                    <w:t>主要</w:t>
                  </w:r>
                  <w:r>
                    <w:rPr>
                      <w:rFonts w:hint="default" w:ascii="Times New Roman" w:hAnsi="Times New Roman" w:cs="Times New Roman"/>
                      <w:color w:val="auto"/>
                      <w:sz w:val="18"/>
                      <w:szCs w:val="18"/>
                      <w:highlight w:val="none"/>
                    </w:rPr>
                    <w:t>结论</w:t>
                  </w:r>
                </w:p>
              </w:tc>
              <w:tc>
                <w:tcPr>
                  <w:tcW w:w="1377" w:type="pct"/>
                  <w:tcBorders>
                    <w:top w:val="single" w:color="000000" w:sz="4" w:space="0"/>
                    <w:left w:val="single" w:color="000000" w:sz="4" w:space="0"/>
                    <w:bottom w:val="single" w:color="000000" w:sz="4" w:space="0"/>
                    <w:right w:val="single" w:color="000000" w:sz="4" w:space="0"/>
                  </w:tcBorders>
                  <w:vAlign w:val="center"/>
                </w:tcPr>
                <w:p w14:paraId="0ADBCAE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47" w:type="pct"/>
                  <w:tcBorders>
                    <w:top w:val="single" w:color="000000" w:sz="4" w:space="0"/>
                    <w:left w:val="single" w:color="000000" w:sz="4" w:space="0"/>
                    <w:bottom w:val="single" w:color="000000" w:sz="4" w:space="0"/>
                    <w:right w:val="single" w:color="000000" w:sz="4" w:space="0"/>
                  </w:tcBorders>
                  <w:vAlign w:val="center"/>
                </w:tcPr>
                <w:p w14:paraId="50E9516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45B7E1C">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E0493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3038" w:type="pct"/>
                  <w:tcBorders>
                    <w:top w:val="single" w:color="000000" w:sz="4" w:space="0"/>
                    <w:left w:val="single" w:color="000000" w:sz="4" w:space="0"/>
                    <w:bottom w:val="single" w:color="000000" w:sz="4" w:space="0"/>
                    <w:right w:val="single" w:color="000000" w:sz="4" w:space="0"/>
                  </w:tcBorders>
                  <w:vAlign w:val="center"/>
                </w:tcPr>
                <w:p w14:paraId="1F2C1534">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大气环境影响评价结论：本次规划实施后，在入区企业严格按照环评建议提出的要求，采取完善的环境治理措施的前提下，落实规划提出的削减措施的前提下，对区域环境空气的影响程度在可接受范围之内。</w:t>
                  </w:r>
                </w:p>
              </w:tc>
              <w:tc>
                <w:tcPr>
                  <w:tcW w:w="1377" w:type="pct"/>
                  <w:tcBorders>
                    <w:top w:val="single" w:color="000000" w:sz="4" w:space="0"/>
                    <w:left w:val="single" w:color="000000" w:sz="4" w:space="0"/>
                    <w:bottom w:val="single" w:color="000000" w:sz="4" w:space="0"/>
                    <w:right w:val="single" w:color="000000" w:sz="4" w:space="0"/>
                  </w:tcBorders>
                  <w:vAlign w:val="center"/>
                </w:tcPr>
                <w:p w14:paraId="62D4BAE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本项目废气采取可行的治理措施后，达标排放，对区域环境空气的影响程度较小，在可接受范围之内。</w:t>
                  </w:r>
                </w:p>
              </w:tc>
              <w:tc>
                <w:tcPr>
                  <w:tcW w:w="347" w:type="pct"/>
                  <w:tcBorders>
                    <w:top w:val="single" w:color="000000" w:sz="4" w:space="0"/>
                    <w:left w:val="single" w:color="000000" w:sz="4" w:space="0"/>
                    <w:bottom w:val="single" w:color="000000" w:sz="4" w:space="0"/>
                    <w:right w:val="single" w:color="000000" w:sz="4" w:space="0"/>
                  </w:tcBorders>
                  <w:vAlign w:val="center"/>
                </w:tcPr>
                <w:p w14:paraId="05A965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FADDBD5">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54BC4F7A">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3038" w:type="pct"/>
                  <w:tcBorders>
                    <w:top w:val="single" w:color="000000" w:sz="4" w:space="0"/>
                    <w:left w:val="single" w:color="000000" w:sz="4" w:space="0"/>
                    <w:bottom w:val="single" w:color="000000" w:sz="4" w:space="0"/>
                    <w:right w:val="single" w:color="000000" w:sz="4" w:space="0"/>
                  </w:tcBorders>
                  <w:vAlign w:val="center"/>
                </w:tcPr>
                <w:p w14:paraId="6ED3A6F7">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地表水环境影响评价结论：园区规划实施后，矿区绿洁污水处理厂处理后废水中COD、BOD</w:t>
                  </w:r>
                  <w:r>
                    <w:rPr>
                      <w:rFonts w:hint="default" w:ascii="Times New Roman" w:hAnsi="Times New Roman" w:cs="Times New Roman"/>
                      <w:color w:val="auto"/>
                      <w:sz w:val="18"/>
                      <w:szCs w:val="18"/>
                      <w:highlight w:val="none"/>
                      <w:vertAlign w:val="subscript"/>
                      <w:lang w:eastAsia="zh-CN"/>
                    </w:rPr>
                    <w:t>5</w:t>
                  </w:r>
                  <w:r>
                    <w:rPr>
                      <w:rFonts w:hint="default" w:ascii="Times New Roman" w:hAnsi="Times New Roman" w:cs="Times New Roman"/>
                      <w:color w:val="auto"/>
                      <w:sz w:val="18"/>
                      <w:szCs w:val="18"/>
                      <w:highlight w:val="none"/>
                      <w:lang w:eastAsia="zh-CN"/>
                    </w:rPr>
                    <w:t>、氨氮、总氮、总磷排放浓度满足《子牙河流域水污染物排放标准》(DB13/2796-2018)表1中重点控制区排放限值、《城市污水再生利用 工业用水水质》(GB/T19923-2005)表1冷却用水标准和《农田灌溉水质标准》(GB/5084-2021)标准要求，部分回用于河钢集团石家庄钢铁有限责任公司特殊钢分公司内部生产、杏花沟生态补水、城市道路洒扫降尘、城市绿化，剩余中水排入长岗沟，进行生态补水。根据《石家庄市矿区绿洁污水处理有限公司环境影响报告书》，矿区绿洁污水处理厂污水处理后外排可行。</w:t>
                  </w:r>
                </w:p>
                <w:p w14:paraId="74270530">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另外，本次评价提出了入区企业和园区污水处理厂事故状态下的防范措施，保证事故工况下不会对区域地表水产生污染影响。综上分析，本次规划实施后对区域地表水环境影响可接受。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60EE3DC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本项目生产废水全部回用不外排，生活污水采用化粪池处理，定期清掏用作农肥，废水不外排，不会对区域地表水产生污染影响。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0D72A5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E03010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1245454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3038" w:type="pct"/>
                  <w:tcBorders>
                    <w:top w:val="single" w:color="000000" w:sz="4" w:space="0"/>
                    <w:left w:val="single" w:color="000000" w:sz="4" w:space="0"/>
                    <w:bottom w:val="single" w:color="000000" w:sz="4" w:space="0"/>
                    <w:right w:val="single" w:color="000000" w:sz="4" w:space="0"/>
                  </w:tcBorders>
                  <w:vAlign w:val="center"/>
                </w:tcPr>
                <w:p w14:paraId="0BFB2C38">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下水环境影响评价结论：园区内企业在严格落实防渗措施，建立健全地下水水质监测系统，突发事件预警预报系统和事故应急防范措施的基础上，园区内企业对地下水环境影响较小。因此在强化管理切实落实各项环保措施的前提下，从地下水保护的角度分析，本评价认为该园区规划是可行的。</w:t>
                  </w:r>
                </w:p>
              </w:tc>
              <w:tc>
                <w:tcPr>
                  <w:tcW w:w="1377" w:type="pct"/>
                  <w:tcBorders>
                    <w:top w:val="single" w:color="000000" w:sz="4" w:space="0"/>
                    <w:left w:val="single" w:color="000000" w:sz="4" w:space="0"/>
                    <w:bottom w:val="single" w:color="000000" w:sz="4" w:space="0"/>
                    <w:right w:val="single" w:color="000000" w:sz="4" w:space="0"/>
                  </w:tcBorders>
                  <w:vAlign w:val="center"/>
                </w:tcPr>
                <w:p w14:paraId="6015CAEF">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本项目采取分区防渗措施，不会对地下水环境造成影响。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68A5D54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D854128">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452AA40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3038" w:type="pct"/>
                  <w:tcBorders>
                    <w:top w:val="single" w:color="000000" w:sz="4" w:space="0"/>
                    <w:left w:val="single" w:color="000000" w:sz="4" w:space="0"/>
                    <w:bottom w:val="single" w:color="000000" w:sz="4" w:space="0"/>
                    <w:right w:val="single" w:color="000000" w:sz="4" w:space="0"/>
                  </w:tcBorders>
                  <w:vAlign w:val="center"/>
                </w:tcPr>
                <w:p w14:paraId="73534FEC">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声环境影响评价结论</w:t>
                  </w:r>
                  <w:r>
                    <w:rPr>
                      <w:rFonts w:hint="default" w:ascii="Times New Roman" w:hAnsi="Times New Roman" w:cs="Times New Roman"/>
                      <w:color w:val="auto"/>
                      <w:sz w:val="18"/>
                      <w:szCs w:val="18"/>
                      <w:highlight w:val="none"/>
                      <w:lang w:eastAsia="zh-CN"/>
                    </w:rPr>
                    <w:t>：</w:t>
                  </w:r>
                </w:p>
                <w:p w14:paraId="2201A6D4">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根据园区规划布局和预测结果可知，园区规划道路全部建成通车后，高速路的交通噪声40m以内区域满足《声环境质量标准》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4a类区标准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70dB(A)、夜间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省道及规划其他主、次干道的交通噪声20m以外区域声环境满足</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3类区标准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65B(A)、夜间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要求。规划的实施不会改变区域声环境功能，满足环境质量底线要求。</w:t>
                  </w:r>
                </w:p>
              </w:tc>
              <w:tc>
                <w:tcPr>
                  <w:tcW w:w="1377" w:type="pct"/>
                  <w:tcBorders>
                    <w:top w:val="single" w:color="000000" w:sz="4" w:space="0"/>
                    <w:left w:val="single" w:color="000000" w:sz="4" w:space="0"/>
                    <w:bottom w:val="single" w:color="000000" w:sz="4" w:space="0"/>
                    <w:right w:val="single" w:color="000000" w:sz="4" w:space="0"/>
                  </w:tcBorders>
                  <w:vAlign w:val="center"/>
                </w:tcPr>
                <w:p w14:paraId="6733967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本项目噪声主要为生产设备、风机、泵类等产生的噪声，通过采取选用低噪声设备，合理布局，基础减震、厂房隔声等措施，厂界噪声符合</w:t>
                  </w:r>
                  <w:r>
                    <w:rPr>
                      <w:rFonts w:hint="default" w:ascii="Times New Roman" w:hAnsi="Times New Roman" w:cs="Times New Roman"/>
                      <w:color w:val="auto"/>
                      <w:sz w:val="18"/>
                      <w:szCs w:val="18"/>
                      <w:highlight w:val="none"/>
                      <w:lang w:val="en-US" w:eastAsia="zh-CN"/>
                    </w:rPr>
                    <w:t>3类标准要求，不会改变区域声环境功能。</w:t>
                  </w:r>
                </w:p>
              </w:tc>
              <w:tc>
                <w:tcPr>
                  <w:tcW w:w="347" w:type="pct"/>
                  <w:tcBorders>
                    <w:top w:val="single" w:color="000000" w:sz="4" w:space="0"/>
                    <w:left w:val="single" w:color="000000" w:sz="4" w:space="0"/>
                    <w:bottom w:val="single" w:color="000000" w:sz="4" w:space="0"/>
                    <w:right w:val="single" w:color="000000" w:sz="4" w:space="0"/>
                  </w:tcBorders>
                  <w:vAlign w:val="center"/>
                </w:tcPr>
                <w:p w14:paraId="103F027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A11D87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D1A896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3038" w:type="pct"/>
                  <w:tcBorders>
                    <w:top w:val="single" w:color="000000" w:sz="4" w:space="0"/>
                    <w:left w:val="single" w:color="000000" w:sz="4" w:space="0"/>
                    <w:bottom w:val="single" w:color="000000" w:sz="4" w:space="0"/>
                    <w:right w:val="single" w:color="000000" w:sz="4" w:space="0"/>
                  </w:tcBorders>
                  <w:vAlign w:val="center"/>
                </w:tcPr>
                <w:p w14:paraId="2E716F1F">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固体废物影响评价结论</w:t>
                  </w:r>
                  <w:r>
                    <w:rPr>
                      <w:rFonts w:hint="default" w:ascii="Times New Roman" w:hAnsi="Times New Roman" w:cs="Times New Roman"/>
                      <w:color w:val="auto"/>
                      <w:sz w:val="18"/>
                      <w:szCs w:val="18"/>
                      <w:highlight w:val="none"/>
                      <w:lang w:eastAsia="zh-CN"/>
                    </w:rPr>
                    <w:t>：</w:t>
                  </w:r>
                </w:p>
                <w:p w14:paraId="4F8D7CC5">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园区产生的生活垃圾全部进行无害化处置;一般工业固体废物全部回收利用或外售综合利用;危险废物委托有资质单位进行处理处置。在落实本评价提出的固体废物处置措施的情况下，园区产生的固体废物可全部综合利用或妥善处置，不会对区域环境产生明显不良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698BA7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本项目生活垃圾采用垃圾桶收集后，由环卫部门定期清理统一进行无害化处置；一般工业固体废物全部综合利用；不涉及危险废物。因此，不会对区域环境产生明显不良影响。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75834B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88E4BF">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4C4A21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3038" w:type="pct"/>
                  <w:tcBorders>
                    <w:top w:val="single" w:color="000000" w:sz="4" w:space="0"/>
                    <w:left w:val="single" w:color="000000" w:sz="4" w:space="0"/>
                    <w:bottom w:val="single" w:color="000000" w:sz="4" w:space="0"/>
                    <w:right w:val="single" w:color="000000" w:sz="4" w:space="0"/>
                  </w:tcBorders>
                  <w:vAlign w:val="center"/>
                </w:tcPr>
                <w:p w14:paraId="7CD8E36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土壤环境影响评价结论</w:t>
                  </w:r>
                </w:p>
                <w:p w14:paraId="68A7FA1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根据分析可知，在非正常状况下，园区储罐泄漏、污水处理站泄漏、焦炭吸附池泄漏均会对土壤造成一定影响。因此规划区内企业应严格实行分区防</w:t>
                  </w:r>
                  <w:r>
                    <w:rPr>
                      <w:rFonts w:hint="default" w:ascii="Times New Roman" w:hAnsi="Times New Roman" w:cs="Times New Roman"/>
                      <w:color w:val="auto"/>
                      <w:sz w:val="18"/>
                      <w:szCs w:val="18"/>
                      <w:highlight w:val="none"/>
                      <w:lang w:eastAsia="zh-CN"/>
                    </w:rPr>
                    <w:t>渗</w:t>
                  </w:r>
                  <w:r>
                    <w:rPr>
                      <w:rFonts w:hint="default" w:ascii="Times New Roman" w:hAnsi="Times New Roman" w:cs="Times New Roman"/>
                      <w:color w:val="auto"/>
                      <w:sz w:val="18"/>
                      <w:szCs w:val="18"/>
                      <w:highlight w:val="none"/>
                    </w:rPr>
                    <w:t>的要求，对各类储罐做好检漏工作，发生事故后及时清理污染土壤。各企业在严格落实分区防渗和应急处置等措施的前提下，土壤环境影响可接受。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1748F6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本项目不涉及储罐、污水处理站等设施，项目范围采取分区防渗措施，土壤环境影响可接受。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2833363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811133">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CAA3AF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3038" w:type="pct"/>
                  <w:tcBorders>
                    <w:top w:val="single" w:color="000000" w:sz="4" w:space="0"/>
                    <w:left w:val="single" w:color="000000" w:sz="4" w:space="0"/>
                    <w:bottom w:val="single" w:color="000000" w:sz="4" w:space="0"/>
                    <w:right w:val="single" w:color="000000" w:sz="4" w:space="0"/>
                  </w:tcBorders>
                  <w:vAlign w:val="center"/>
                </w:tcPr>
                <w:p w14:paraId="5B953719">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生态环境影响评价结论：规划实施后，对工业园区内土地利用类型有一定影响，园区内耕地被完全破坏转换为工业用地，园区内城镇生态系统面积有所增加，园区的建设虽会导致园区土地利用类型发生变化，但不影响评价区范围内主导土地利用类型，不会导致评价区范围内生态功能改变，对区域生态系统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2662398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本项目占地属于开发区规划的工业用地，对区域生态系统影响可接受。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556727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C28E1A">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A3C07D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3038" w:type="pct"/>
                  <w:tcBorders>
                    <w:top w:val="single" w:color="000000" w:sz="4" w:space="0"/>
                    <w:left w:val="single" w:color="000000" w:sz="4" w:space="0"/>
                    <w:bottom w:val="single" w:color="000000" w:sz="4" w:space="0"/>
                    <w:right w:val="single" w:color="000000" w:sz="4" w:space="0"/>
                  </w:tcBorders>
                  <w:vAlign w:val="center"/>
                </w:tcPr>
                <w:p w14:paraId="7DD801EA">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环境风险评价结论</w:t>
                  </w:r>
                  <w:r>
                    <w:rPr>
                      <w:rFonts w:hint="default" w:ascii="Times New Roman" w:hAnsi="Times New Roman" w:cs="Times New Roman"/>
                      <w:color w:val="auto"/>
                      <w:sz w:val="18"/>
                      <w:szCs w:val="18"/>
                      <w:highlight w:val="none"/>
                      <w:lang w:eastAsia="zh-CN"/>
                    </w:rPr>
                    <w:t>：</w:t>
                  </w:r>
                </w:p>
                <w:p w14:paraId="549CAC5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入区企业通过合理优化园区风险源布局、健全园区环境风险预警体系建设、加强危险化学品仓储运输管理、健全园区风险三级防控体系以及加强区域环境风险联防联控施等风险防范措施的情况下，环境风险可防控控制。同时，园区通过采取项目准入控制措施、工程措施、管理措施、监控措施、修复治理措施多项措施，可避免规划实施后对区域环境产生污染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533515D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本项目不涉及危险化学品仓储运输等，不会对区域环境产生污染影响。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31050D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4A219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E1D5B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3038" w:type="pct"/>
                  <w:tcBorders>
                    <w:top w:val="single" w:color="000000" w:sz="4" w:space="0"/>
                    <w:left w:val="single" w:color="000000" w:sz="4" w:space="0"/>
                    <w:bottom w:val="single" w:color="000000" w:sz="4" w:space="0"/>
                    <w:right w:val="single" w:color="000000" w:sz="4" w:space="0"/>
                  </w:tcBorders>
                  <w:vAlign w:val="center"/>
                </w:tcPr>
                <w:p w14:paraId="005CDBC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总体评价结论：在落实区域削减源以及本评价提出的预防和治理措施的情况下，规划的实施对周围环境影响可接受，不会改变区域环境功能，可满足环境质量底线要求;在充分利用再生水以及加强环保管理的前提下,区域资源环境可以承载规划的实施,不突破水资源、土地资源利用上线;规划范围内不涉及生态保护红线;规划产业空间布局和能源结构相对合理，可以达到相应的环境目标。</w:t>
                  </w:r>
                </w:p>
                <w:p w14:paraId="4A8EFE9B">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应加强环境保护预防和治理措施，根据本评价提出的分区管控要求、环境影响减缓措施与协同降碳建议，加强园区空间管控，严格控制污染物排放总量，并采纳评价提出的调整建议和相关要求对规划进行优化调整后，河北石家庄矿区工业园区总体发展规划(2022-2030年)的实施具有环境合理性和可行性。</w:t>
                  </w:r>
                </w:p>
              </w:tc>
              <w:tc>
                <w:tcPr>
                  <w:tcW w:w="1377" w:type="pct"/>
                  <w:tcBorders>
                    <w:top w:val="single" w:color="000000" w:sz="4" w:space="0"/>
                    <w:left w:val="single" w:color="000000" w:sz="4" w:space="0"/>
                    <w:bottom w:val="single" w:color="000000" w:sz="4" w:space="0"/>
                    <w:right w:val="single" w:color="000000" w:sz="4" w:space="0"/>
                  </w:tcBorders>
                  <w:vAlign w:val="center"/>
                </w:tcPr>
                <w:p w14:paraId="1611B80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本项目在落实规划环评和本评价提出的环境保护预防和治理措施的前提下，符合规划环评总体结论要求。</w:t>
                  </w:r>
                </w:p>
              </w:tc>
              <w:tc>
                <w:tcPr>
                  <w:tcW w:w="347" w:type="pct"/>
                  <w:tcBorders>
                    <w:top w:val="single" w:color="000000" w:sz="4" w:space="0"/>
                    <w:left w:val="single" w:color="000000" w:sz="4" w:space="0"/>
                    <w:bottom w:val="single" w:color="000000" w:sz="4" w:space="0"/>
                    <w:right w:val="single" w:color="000000" w:sz="4" w:space="0"/>
                  </w:tcBorders>
                  <w:vAlign w:val="center"/>
                </w:tcPr>
                <w:p w14:paraId="546E6CC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EB46F1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综上所述，本项目符合《</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环境影响报告书》中</w:t>
            </w:r>
            <w:r>
              <w:rPr>
                <w:rFonts w:hint="default" w:ascii="Times New Roman" w:hAnsi="Times New Roman" w:cs="Times New Roman"/>
                <w:color w:val="auto"/>
                <w:kern w:val="0"/>
                <w:sz w:val="24"/>
                <w:highlight w:val="none"/>
                <w:lang w:eastAsia="zh-CN"/>
              </w:rPr>
              <w:t>规划</w:t>
            </w:r>
            <w:r>
              <w:rPr>
                <w:rFonts w:hint="default" w:ascii="Times New Roman" w:hAnsi="Times New Roman" w:cs="Times New Roman"/>
                <w:color w:val="auto"/>
                <w:kern w:val="0"/>
                <w:sz w:val="24"/>
                <w:highlight w:val="none"/>
              </w:rPr>
              <w:t>环境影响评价结论</w:t>
            </w:r>
            <w:r>
              <w:rPr>
                <w:rFonts w:hint="default" w:ascii="Times New Roman" w:hAnsi="Times New Roman" w:cs="Times New Roman"/>
                <w:color w:val="auto"/>
                <w:kern w:val="0"/>
                <w:sz w:val="24"/>
                <w:highlight w:val="none"/>
                <w:lang w:eastAsia="zh-CN"/>
              </w:rPr>
              <w:t>。</w:t>
            </w:r>
          </w:p>
          <w:p w14:paraId="3D4DE4A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三</w:t>
            </w:r>
            <w:r>
              <w:rPr>
                <w:rFonts w:hint="default" w:ascii="Times New Roman" w:hAnsi="Times New Roman" w:cs="Times New Roman"/>
                <w:b/>
                <w:bCs/>
                <w:color w:val="auto"/>
                <w:kern w:val="0"/>
                <w:sz w:val="24"/>
                <w:highlight w:val="none"/>
              </w:rPr>
              <w:t>、与规划审查意见的符合性分析</w:t>
            </w:r>
          </w:p>
          <w:p w14:paraId="6141F2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对照《</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环境影响报告书》的审查意见，本项目与其符合性分析见下表。</w:t>
            </w:r>
          </w:p>
          <w:p w14:paraId="7834A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1-5</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bCs/>
                <w:color w:val="auto"/>
                <w:kern w:val="0"/>
                <w:sz w:val="24"/>
                <w:highlight w:val="none"/>
                <w:lang w:val="en-US" w:eastAsia="zh-CN"/>
              </w:rPr>
              <w:t xml:space="preserve"> </w:t>
            </w:r>
            <w:r>
              <w:rPr>
                <w:rFonts w:hint="default" w:ascii="Times New Roman" w:hAnsi="Times New Roman" w:cs="Times New Roman"/>
                <w:b/>
                <w:bCs/>
                <w:color w:val="auto"/>
                <w:kern w:val="0"/>
                <w:sz w:val="24"/>
                <w:highlight w:val="none"/>
              </w:rPr>
              <w:t>本项目与规划环评审查意见符合性分析</w:t>
            </w:r>
          </w:p>
          <w:tbl>
            <w:tblPr>
              <w:tblStyle w:val="40"/>
              <w:tblW w:w="8041" w:type="dxa"/>
              <w:tblInd w:w="0" w:type="dxa"/>
              <w:tblLayout w:type="fixed"/>
              <w:tblCellMar>
                <w:top w:w="0" w:type="dxa"/>
                <w:left w:w="0" w:type="dxa"/>
                <w:bottom w:w="0" w:type="dxa"/>
                <w:right w:w="0" w:type="dxa"/>
              </w:tblCellMar>
            </w:tblPr>
            <w:tblGrid>
              <w:gridCol w:w="441"/>
              <w:gridCol w:w="4594"/>
              <w:gridCol w:w="2480"/>
              <w:gridCol w:w="526"/>
            </w:tblGrid>
            <w:tr w14:paraId="7FF1AB3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406A92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856" w:type="pct"/>
                  <w:tcBorders>
                    <w:top w:val="single" w:color="000000" w:sz="4" w:space="0"/>
                    <w:left w:val="single" w:color="000000" w:sz="4" w:space="0"/>
                    <w:bottom w:val="single" w:color="000000" w:sz="4" w:space="0"/>
                    <w:right w:val="single" w:color="000000" w:sz="4" w:space="0"/>
                  </w:tcBorders>
                  <w:vAlign w:val="center"/>
                </w:tcPr>
                <w:p w14:paraId="635DBA3E">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审查意见</w:t>
                  </w:r>
                </w:p>
              </w:tc>
              <w:tc>
                <w:tcPr>
                  <w:tcW w:w="1542" w:type="pct"/>
                  <w:tcBorders>
                    <w:top w:val="single" w:color="000000" w:sz="4" w:space="0"/>
                    <w:left w:val="single" w:color="000000" w:sz="4" w:space="0"/>
                    <w:bottom w:val="single" w:color="000000" w:sz="4" w:space="0"/>
                    <w:right w:val="single" w:color="000000" w:sz="4" w:space="0"/>
                  </w:tcBorders>
                  <w:vAlign w:val="center"/>
                </w:tcPr>
                <w:p w14:paraId="0B066C5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27" w:type="pct"/>
                  <w:tcBorders>
                    <w:top w:val="single" w:color="000000" w:sz="4" w:space="0"/>
                    <w:left w:val="single" w:color="000000" w:sz="4" w:space="0"/>
                    <w:bottom w:val="single" w:color="000000" w:sz="4" w:space="0"/>
                    <w:right w:val="single" w:color="000000" w:sz="4" w:space="0"/>
                  </w:tcBorders>
                  <w:vAlign w:val="center"/>
                </w:tcPr>
                <w:p w14:paraId="0DDDB2A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3F053B9E">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D7C90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6851F">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0DB1">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本项目位于河北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，建设符合《产业结构调整指导目录（2024年本）》、《市场准入负面清单（2025年版）》等文件规定要求，</w:t>
                  </w:r>
                  <w:r>
                    <w:rPr>
                      <w:rFonts w:hint="default" w:ascii="Times New Roman" w:hAnsi="Times New Roman" w:cs="Times New Roman"/>
                      <w:color w:val="auto"/>
                      <w:sz w:val="18"/>
                      <w:szCs w:val="18"/>
                      <w:highlight w:val="none"/>
                      <w:lang w:eastAsia="zh-CN"/>
                    </w:rPr>
                    <w:t>符合园区用地规划和产业规划相关要求，</w:t>
                  </w:r>
                  <w:r>
                    <w:rPr>
                      <w:rFonts w:hint="default" w:ascii="Times New Roman" w:hAnsi="Times New Roman" w:eastAsia="宋体" w:cs="Times New Roman"/>
                      <w:color w:val="auto"/>
                      <w:sz w:val="18"/>
                      <w:szCs w:val="18"/>
                      <w:highlight w:val="none"/>
                      <w:lang w:eastAsia="zh-CN"/>
                    </w:rPr>
                    <w:t>且不在负面清单范围内。</w:t>
                  </w:r>
                </w:p>
              </w:tc>
              <w:tc>
                <w:tcPr>
                  <w:tcW w:w="327" w:type="pct"/>
                  <w:tcBorders>
                    <w:top w:val="single" w:color="000000" w:sz="4" w:space="0"/>
                    <w:left w:val="single" w:color="000000" w:sz="4" w:space="0"/>
                    <w:bottom w:val="single" w:color="000000" w:sz="4" w:space="0"/>
                    <w:right w:val="single" w:color="000000" w:sz="4" w:space="0"/>
                  </w:tcBorders>
                  <w:vAlign w:val="center"/>
                </w:tcPr>
                <w:p w14:paraId="03EDCD9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07E15AB">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7BB311D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C7721">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推进</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绿色低碳转型发展，实现减污降碳协同增效目标。根据国家、地方碳减排和碳达峰行动方案及路径要求，进一步优化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能源</w:t>
                  </w:r>
                  <w:r>
                    <w:rPr>
                      <w:rFonts w:hint="default" w:ascii="Times New Roman" w:hAnsi="Times New Roman" w:cs="Times New Roman"/>
                      <w:color w:val="auto"/>
                      <w:sz w:val="18"/>
                      <w:szCs w:val="18"/>
                      <w:highlight w:val="none"/>
                      <w:lang w:eastAsia="zh-CN"/>
                    </w:rPr>
                    <w:t>结构、交通运输方式</w:t>
                  </w:r>
                  <w:r>
                    <w:rPr>
                      <w:rFonts w:hint="default" w:ascii="Times New Roman" w:hAnsi="Times New Roman" w:cs="Times New Roman"/>
                      <w:color w:val="auto"/>
                      <w:sz w:val="18"/>
                      <w:szCs w:val="18"/>
                      <w:highlight w:val="none"/>
                    </w:rPr>
                    <w:t>等《规划》内容。</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71A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符合相关要求。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5FC5E6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1D3205">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11D00AF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39AF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严格空间管控要求，</w:t>
                  </w:r>
                  <w:r>
                    <w:rPr>
                      <w:rFonts w:hint="default" w:ascii="Times New Roman" w:hAnsi="Times New Roman" w:cs="Times New Roman"/>
                      <w:color w:val="auto"/>
                      <w:sz w:val="18"/>
                      <w:szCs w:val="18"/>
                      <w:highlight w:val="none"/>
                      <w:lang w:eastAsia="zh-CN"/>
                    </w:rPr>
                    <w:t>进一步</w:t>
                  </w:r>
                  <w:r>
                    <w:rPr>
                      <w:rFonts w:hint="default" w:ascii="Times New Roman" w:hAnsi="Times New Roman" w:cs="Times New Roman"/>
                      <w:color w:val="auto"/>
                      <w:sz w:val="18"/>
                      <w:szCs w:val="18"/>
                      <w:highlight w:val="none"/>
                    </w:rPr>
                    <w:t>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功能</w:t>
                  </w:r>
                  <w:r>
                    <w:rPr>
                      <w:rFonts w:hint="default" w:ascii="Times New Roman" w:hAnsi="Times New Roman" w:cs="Times New Roman"/>
                      <w:color w:val="auto"/>
                      <w:sz w:val="18"/>
                      <w:szCs w:val="18"/>
                      <w:highlight w:val="none"/>
                      <w:lang w:eastAsia="zh-CN"/>
                    </w:rPr>
                    <w:t>、空间</w:t>
                  </w:r>
                  <w:r>
                    <w:rPr>
                      <w:rFonts w:hint="default" w:ascii="Times New Roman" w:hAnsi="Times New Roman" w:cs="Times New Roman"/>
                      <w:color w:val="auto"/>
                      <w:sz w:val="18"/>
                      <w:szCs w:val="18"/>
                      <w:highlight w:val="none"/>
                    </w:rPr>
                    <w:t>布局。</w:t>
                  </w:r>
                  <w:r>
                    <w:rPr>
                      <w:rFonts w:hint="default" w:ascii="Times New Roman" w:hAnsi="Times New Roman" w:cs="Times New Roman"/>
                      <w:color w:val="auto"/>
                      <w:sz w:val="18"/>
                      <w:szCs w:val="18"/>
                      <w:highlight w:val="none"/>
                      <w:lang w:eastAsia="zh-CN"/>
                    </w:rPr>
                    <w:t>城镇开发边界外区域，在规划期内维持现状不变。教育文化科研区、绿地禁止开展其他无关建设活动，园区规划实施过程中应严格遵守《中华人民共和国文物保护法》相关要求。</w:t>
                  </w:r>
                  <w:r>
                    <w:rPr>
                      <w:rFonts w:hint="default" w:ascii="Times New Roman" w:hAnsi="Times New Roman" w:cs="Times New Roman"/>
                      <w:color w:val="auto"/>
                      <w:sz w:val="18"/>
                      <w:szCs w:val="18"/>
                      <w:highlight w:val="none"/>
                    </w:rPr>
                    <w:t>落实《报告书》提出的空间布局引导和管控要求，优化工业、居住等各类用地的空间分布和产业梯级布局，严格涉风险源企业管理，确保人居环境安全。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A0E0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用地属于园区规划的工业用地，符合空间布局管控要求</w:t>
                  </w:r>
                  <w:r>
                    <w:rPr>
                      <w:rFonts w:hint="default" w:ascii="Times New Roman" w:hAnsi="Times New Roman" w:cs="Times New Roman"/>
                      <w:color w:val="auto"/>
                      <w:sz w:val="18"/>
                      <w:szCs w:val="18"/>
                      <w:highlight w:val="none"/>
                    </w:rPr>
                    <w:t>。</w:t>
                  </w:r>
                </w:p>
              </w:tc>
              <w:tc>
                <w:tcPr>
                  <w:tcW w:w="327" w:type="pct"/>
                  <w:tcBorders>
                    <w:top w:val="single" w:color="000000" w:sz="4" w:space="0"/>
                    <w:left w:val="single" w:color="000000" w:sz="4" w:space="0"/>
                    <w:bottom w:val="single" w:color="000000" w:sz="4" w:space="0"/>
                    <w:right w:val="single" w:color="000000" w:sz="4" w:space="0"/>
                  </w:tcBorders>
                  <w:vAlign w:val="center"/>
                </w:tcPr>
                <w:p w14:paraId="53C22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EC29D9F">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C97FF0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9FD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C0B5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本项目符合环境质量底线要求。采取合理可行的污染治理设施，提升环境管理水平。项目不涉及涉重废水，不涉及电镀。不属于需要区域削减的重点行业。</w:t>
                  </w:r>
                </w:p>
              </w:tc>
              <w:tc>
                <w:tcPr>
                  <w:tcW w:w="327" w:type="pct"/>
                  <w:tcBorders>
                    <w:top w:val="single" w:color="000000" w:sz="4" w:space="0"/>
                    <w:left w:val="single" w:color="000000" w:sz="4" w:space="0"/>
                    <w:bottom w:val="single" w:color="000000" w:sz="4" w:space="0"/>
                    <w:right w:val="single" w:color="000000" w:sz="4" w:space="0"/>
                  </w:tcBorders>
                  <w:vAlign w:val="center"/>
                </w:tcPr>
                <w:p w14:paraId="414D166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85E0C28">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3C83F93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E2AB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格入区项目生态环境准入，推动绿色低碳高质量发展。严格落实《报告书》提出的园区生态环境准入要求及现有企业环境管理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A70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本项目符合园区生态环境准入要求，不属于严禁新增的产业，符合园区产业规划。</w:t>
                  </w:r>
                </w:p>
              </w:tc>
              <w:tc>
                <w:tcPr>
                  <w:tcW w:w="327" w:type="pct"/>
                  <w:tcBorders>
                    <w:top w:val="single" w:color="000000" w:sz="4" w:space="0"/>
                    <w:left w:val="single" w:color="000000" w:sz="4" w:space="0"/>
                    <w:bottom w:val="single" w:color="000000" w:sz="4" w:space="0"/>
                    <w:right w:val="single" w:color="000000" w:sz="4" w:space="0"/>
                  </w:tcBorders>
                  <w:vAlign w:val="center"/>
                </w:tcPr>
                <w:p w14:paraId="08D7CFC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516D89">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5E2FE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80E7">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统筹基础设施建设，严格落实《报告书》提出的建设内容及时限。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4EC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本项目依托现有基础设施，可满足生产需求。生产不需用热和天然气，办公采暖用电，不涉及燃煤供热锅炉。</w:t>
                  </w:r>
                </w:p>
              </w:tc>
              <w:tc>
                <w:tcPr>
                  <w:tcW w:w="327" w:type="pct"/>
                  <w:tcBorders>
                    <w:top w:val="single" w:color="000000" w:sz="4" w:space="0"/>
                    <w:left w:val="single" w:color="000000" w:sz="4" w:space="0"/>
                    <w:bottom w:val="single" w:color="000000" w:sz="4" w:space="0"/>
                    <w:right w:val="single" w:color="000000" w:sz="4" w:space="0"/>
                  </w:tcBorders>
                  <w:vAlign w:val="center"/>
                </w:tcPr>
                <w:p w14:paraId="7B7A875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F6E32BC">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5B5EB8B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1259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16BBA">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本项目运营期优化运输方式，落实应急运输响应方案，落实秋冬行业错峰生产和重污染天气应急响应等相关要求。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31ED68E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570D742">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F73E87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769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健全完善环境监测体系，强化环境风险防范。健全完善包括环境空气、地表水、地下水、土壤等环境要素的监控体系</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295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本项目建立自行监测计划并严格落实，落实园区环境风险防范相关要求。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DFB838D">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01660A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0F2951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4894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340C">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本项目环评符合与规划环评联动的相关规定。</w:t>
                  </w:r>
                </w:p>
              </w:tc>
              <w:tc>
                <w:tcPr>
                  <w:tcW w:w="327" w:type="pct"/>
                  <w:tcBorders>
                    <w:top w:val="single" w:color="000000" w:sz="4" w:space="0"/>
                    <w:left w:val="single" w:color="000000" w:sz="4" w:space="0"/>
                    <w:bottom w:val="single" w:color="000000" w:sz="4" w:space="0"/>
                    <w:right w:val="single" w:color="000000" w:sz="4" w:space="0"/>
                  </w:tcBorders>
                  <w:vAlign w:val="center"/>
                </w:tcPr>
                <w:p w14:paraId="77ADDED5">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0BA56009">
            <w:pPr>
              <w:pStyle w:val="14"/>
              <w:rPr>
                <w:rFonts w:hint="default" w:ascii="Times New Roman" w:hAnsi="Times New Roman" w:cs="Times New Roman"/>
                <w:color w:val="auto"/>
                <w:highlight w:val="none"/>
              </w:rPr>
            </w:pPr>
          </w:p>
        </w:tc>
      </w:tr>
      <w:tr w14:paraId="05AE4D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79765FCB">
            <w:pPr>
              <w:autoSpaceDE w:val="0"/>
              <w:autoSpaceDN w:val="0"/>
              <w:adjustRightInd w:val="0"/>
              <w:snapToGrid w:val="0"/>
              <w:jc w:val="center"/>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其他符合性分析</w:t>
            </w:r>
          </w:p>
        </w:tc>
        <w:tc>
          <w:tcPr>
            <w:tcW w:w="8263" w:type="dxa"/>
            <w:gridSpan w:val="4"/>
            <w:vAlign w:val="center"/>
          </w:tcPr>
          <w:p w14:paraId="1AE5052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en-US" w:eastAsia="zh-CN"/>
              </w:rPr>
              <w:t>一、</w:t>
            </w:r>
            <w:r>
              <w:rPr>
                <w:rFonts w:hint="default" w:ascii="Times New Roman" w:hAnsi="Times New Roman" w:cs="Times New Roman"/>
                <w:b/>
                <w:bCs/>
                <w:color w:val="auto"/>
                <w:sz w:val="24"/>
                <w:highlight w:val="none"/>
              </w:rPr>
              <w:t>产业政策符合性分析</w:t>
            </w:r>
          </w:p>
          <w:p w14:paraId="69B714D0">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本项目属于</w:t>
            </w:r>
            <w:r>
              <w:rPr>
                <w:rFonts w:hint="default" w:ascii="Times New Roman" w:hAnsi="Times New Roman" w:cs="Times New Roman"/>
                <w:color w:val="auto"/>
                <w:sz w:val="24"/>
                <w:highlight w:val="none"/>
                <w:lang w:val="en-US" w:eastAsia="zh-CN"/>
              </w:rPr>
              <w:t>非金属矿物制品</w:t>
            </w:r>
            <w:r>
              <w:rPr>
                <w:rFonts w:hint="default" w:ascii="Times New Roman" w:hAnsi="Times New Roman" w:cs="Times New Roman"/>
                <w:color w:val="auto"/>
                <w:sz w:val="24"/>
                <w:highlight w:val="none"/>
              </w:rPr>
              <w:t>业，对照</w:t>
            </w:r>
            <w:r>
              <w:rPr>
                <w:rFonts w:hint="default" w:ascii="Times New Roman" w:hAnsi="Times New Roman" w:eastAsia="宋体" w:cs="Times New Roman"/>
                <w:color w:val="auto"/>
                <w:sz w:val="24"/>
                <w:highlight w:val="none"/>
                <w:lang w:val="en-US" w:eastAsia="zh-CN"/>
              </w:rPr>
              <w:t>《产业结构调整指导目录（20</w:t>
            </w:r>
            <w:r>
              <w:rPr>
                <w:rFonts w:hint="default"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年本）》</w:t>
            </w:r>
            <w:r>
              <w:rPr>
                <w:rFonts w:hint="default" w:ascii="Times New Roman" w:hAnsi="Times New Roman" w:cs="Times New Roman"/>
                <w:color w:val="auto"/>
                <w:sz w:val="24"/>
                <w:highlight w:val="none"/>
              </w:rPr>
              <w:t>，不属于限制、淘汰类项目，为允许类</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不属于《市场准入负面清单（2025年版）》中的禁止准入类事项。</w:t>
            </w:r>
          </w:p>
          <w:p w14:paraId="08525ED6">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项目已于2024年11月22日在石家庄市井陉矿区数据和政务服务局备案，备案编号：矿行审投资备字（2024）83号。</w:t>
            </w:r>
          </w:p>
          <w:p w14:paraId="04DC9491">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项目建设符合国家</w:t>
            </w:r>
            <w:r>
              <w:rPr>
                <w:rFonts w:hint="default" w:ascii="Times New Roman" w:hAnsi="Times New Roman" w:cs="Times New Roman"/>
                <w:color w:val="auto"/>
                <w:sz w:val="24"/>
                <w:highlight w:val="none"/>
                <w:lang w:val="en-US" w:eastAsia="zh-CN"/>
              </w:rPr>
              <w:t>和地方相关</w:t>
            </w:r>
            <w:r>
              <w:rPr>
                <w:rFonts w:hint="default" w:ascii="Times New Roman" w:hAnsi="Times New Roman" w:cs="Times New Roman"/>
                <w:color w:val="auto"/>
                <w:sz w:val="24"/>
                <w:highlight w:val="none"/>
              </w:rPr>
              <w:t>产业政策</w:t>
            </w:r>
            <w:r>
              <w:rPr>
                <w:rFonts w:hint="default" w:ascii="Times New Roman" w:hAnsi="Times New Roman" w:cs="Times New Roman"/>
                <w:color w:val="auto"/>
                <w:sz w:val="24"/>
                <w:highlight w:val="none"/>
                <w:lang w:val="en-US" w:eastAsia="zh-CN"/>
              </w:rPr>
              <w:t>的要求</w:t>
            </w:r>
            <w:r>
              <w:rPr>
                <w:rFonts w:hint="default" w:ascii="Times New Roman" w:hAnsi="Times New Roman" w:cs="Times New Roman"/>
                <w:color w:val="auto"/>
                <w:sz w:val="24"/>
                <w:highlight w:val="none"/>
              </w:rPr>
              <w:t>。</w:t>
            </w:r>
          </w:p>
          <w:p w14:paraId="2C67F0E2">
            <w:pPr>
              <w:keepNext w:val="0"/>
              <w:keepLines w:val="0"/>
              <w:pageBreakBefore w:val="0"/>
              <w:widowControl/>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eastAsia="zh-CN"/>
              </w:rPr>
              <w:t>二</w:t>
            </w:r>
            <w:r>
              <w:rPr>
                <w:rFonts w:hint="default" w:ascii="Times New Roman" w:hAnsi="Times New Roman" w:cs="Times New Roman"/>
                <w:b/>
                <w:bCs/>
                <w:color w:val="auto"/>
                <w:sz w:val="24"/>
                <w:highlight w:val="none"/>
              </w:rPr>
              <w:t>、选址</w:t>
            </w:r>
            <w:r>
              <w:rPr>
                <w:rFonts w:hint="default" w:ascii="Times New Roman" w:hAnsi="Times New Roman" w:cs="Times New Roman"/>
                <w:b/>
                <w:bCs/>
                <w:color w:val="auto"/>
                <w:sz w:val="24"/>
                <w:highlight w:val="none"/>
                <w:lang w:eastAsia="zh-CN"/>
              </w:rPr>
              <w:t>合理</w:t>
            </w:r>
            <w:r>
              <w:rPr>
                <w:rFonts w:hint="default" w:ascii="Times New Roman" w:hAnsi="Times New Roman" w:cs="Times New Roman"/>
                <w:b/>
                <w:bCs/>
                <w:color w:val="auto"/>
                <w:sz w:val="24"/>
                <w:highlight w:val="none"/>
              </w:rPr>
              <w:t>性分析</w:t>
            </w:r>
          </w:p>
          <w:p w14:paraId="45EA1A59">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w:t>
            </w:r>
            <w:r>
              <w:rPr>
                <w:rFonts w:hint="default" w:ascii="Times New Roman" w:hAnsi="Times New Roman" w:cs="Times New Roman"/>
                <w:color w:val="auto"/>
                <w:sz w:val="24"/>
                <w:highlight w:val="none"/>
                <w:lang w:eastAsia="zh-CN"/>
              </w:rPr>
              <w:t>河北省石家庄市井陉矿区丰达产业园东区7号，厂址中心地理坐标为东经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″，北纬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″，属于河北石家庄矿区工业园区丰达片区范围。项目厂址北侧为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南侧为道路，隔路为空厂房</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kern w:val="0"/>
                <w:sz w:val="24"/>
                <w:highlight w:val="none"/>
              </w:rPr>
              <w:t>该项目</w:t>
            </w:r>
            <w:r>
              <w:rPr>
                <w:rFonts w:hint="default" w:ascii="Times New Roman" w:hAnsi="Times New Roman" w:cs="Times New Roman"/>
                <w:color w:val="auto"/>
                <w:kern w:val="0"/>
                <w:sz w:val="24"/>
                <w:highlight w:val="none"/>
                <w:lang w:eastAsia="zh-CN"/>
              </w:rPr>
              <w:t>周边</w:t>
            </w:r>
            <w:r>
              <w:rPr>
                <w:rFonts w:hint="default" w:ascii="Times New Roman" w:hAnsi="Times New Roman" w:cs="Times New Roman"/>
                <w:color w:val="auto"/>
                <w:kern w:val="0"/>
                <w:sz w:val="24"/>
                <w:highlight w:val="none"/>
              </w:rPr>
              <w:t>无</w:t>
            </w:r>
            <w:r>
              <w:rPr>
                <w:rFonts w:hint="default" w:ascii="Times New Roman" w:hAnsi="Times New Roman" w:cs="Times New Roman"/>
                <w:color w:val="auto"/>
                <w:kern w:val="0"/>
                <w:sz w:val="24"/>
                <w:highlight w:val="none"/>
                <w:lang w:eastAsia="zh-CN"/>
              </w:rPr>
              <w:t>居住区、</w:t>
            </w:r>
            <w:r>
              <w:rPr>
                <w:rFonts w:hint="default" w:ascii="Times New Roman" w:hAnsi="Times New Roman" w:cs="Times New Roman"/>
                <w:color w:val="auto"/>
                <w:kern w:val="0"/>
                <w:sz w:val="24"/>
                <w:highlight w:val="none"/>
              </w:rPr>
              <w:t>文物、景观和自然保护区等环境保护目标</w:t>
            </w:r>
            <w:r>
              <w:rPr>
                <w:rFonts w:hint="default" w:ascii="Times New Roman" w:hAnsi="Times New Roman" w:cs="Times New Roman"/>
                <w:color w:val="auto"/>
                <w:kern w:val="0"/>
                <w:sz w:val="24"/>
                <w:highlight w:val="none"/>
                <w:lang w:eastAsia="zh-CN"/>
              </w:rPr>
              <w:t>。</w:t>
            </w:r>
          </w:p>
          <w:p w14:paraId="464848C4">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建设单位已与石家庄市矿区工业园区开发建设有限公司签订《合作协议》，根据《不动产权证书》（冀（2024）石家庄市井陉矿区不动产权第0000141号、第0000150号），</w:t>
            </w:r>
            <w:r>
              <w:rPr>
                <w:rFonts w:hint="default" w:ascii="Times New Roman" w:hAnsi="Times New Roman" w:eastAsia="宋体" w:cs="Times New Roman"/>
                <w:color w:val="auto"/>
                <w:sz w:val="24"/>
                <w:highlight w:val="none"/>
                <w:lang w:val="en-US" w:eastAsia="zh-CN"/>
              </w:rPr>
              <w:t>项目占地</w:t>
            </w:r>
            <w:r>
              <w:rPr>
                <w:rFonts w:hint="default" w:ascii="Times New Roman" w:hAnsi="Times New Roman" w:cs="Times New Roman"/>
                <w:color w:val="auto"/>
                <w:sz w:val="24"/>
                <w:highlight w:val="none"/>
                <w:lang w:val="en-US" w:eastAsia="zh-CN"/>
              </w:rPr>
              <w:t>性质</w:t>
            </w:r>
            <w:r>
              <w:rPr>
                <w:rFonts w:hint="default" w:ascii="Times New Roman" w:hAnsi="Times New Roman" w:eastAsia="宋体" w:cs="Times New Roman"/>
                <w:color w:val="auto"/>
                <w:sz w:val="24"/>
                <w:highlight w:val="none"/>
                <w:lang w:val="en-US" w:eastAsia="zh-CN"/>
              </w:rPr>
              <w:t>属于</w:t>
            </w:r>
            <w:r>
              <w:rPr>
                <w:rFonts w:hint="default" w:ascii="Times New Roman" w:hAnsi="Times New Roman" w:cs="Times New Roman"/>
                <w:color w:val="auto"/>
                <w:sz w:val="24"/>
                <w:highlight w:val="none"/>
                <w:lang w:val="en-US" w:eastAsia="zh-CN"/>
              </w:rPr>
              <w:t>工业用地。对照河北石家庄矿区工业园区土地利用规划图，属于规划的工业用地区域。</w:t>
            </w:r>
            <w:r>
              <w:rPr>
                <w:rFonts w:hint="default" w:ascii="Times New Roman" w:hAnsi="Times New Roman" w:cs="Times New Roman"/>
                <w:color w:val="auto"/>
                <w:kern w:val="0"/>
                <w:sz w:val="24"/>
                <w:highlight w:val="none"/>
                <w:lang w:eastAsia="zh-CN"/>
              </w:rPr>
              <w:t>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sz w:val="24"/>
                <w:highlight w:val="none"/>
                <w:lang w:val="en-US" w:eastAsia="zh-CN"/>
              </w:rPr>
              <w:t>该项目用地性质为工业用地，符合开发区总体规划。</w:t>
            </w:r>
          </w:p>
          <w:p w14:paraId="53A4436B">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kern w:val="0"/>
                <w:sz w:val="24"/>
                <w:highlight w:val="none"/>
              </w:rPr>
              <w:t>从环境保护角度分析，本项目选址可行。项目地理位置图见附图1</w:t>
            </w:r>
            <w:r>
              <w:rPr>
                <w:rFonts w:hint="default" w:ascii="Times New Roman" w:hAnsi="Times New Roman" w:cs="Times New Roman"/>
                <w:color w:val="auto"/>
                <w:kern w:val="0"/>
                <w:sz w:val="24"/>
                <w:highlight w:val="none"/>
                <w:lang w:eastAsia="zh-CN"/>
              </w:rPr>
              <w:t>，周边关系及环境保护目标图见附图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w:t>
            </w:r>
          </w:p>
          <w:p w14:paraId="282B0152">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spacing w:before="0" w:beforeAutospacing="0" w:after="0" w:afterAutospacing="0" w:line="480" w:lineRule="exact"/>
              <w:ind w:left="0" w:leftChars="0" w:right="0" w:rightChars="0" w:firstLine="482" w:firstLineChars="20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三</w:t>
            </w:r>
            <w:r>
              <w:rPr>
                <w:rFonts w:hint="default" w:ascii="Times New Roman" w:hAnsi="Times New Roman" w:eastAsia="宋体" w:cs="Times New Roman"/>
                <w:b/>
                <w:bCs/>
                <w:color w:val="auto"/>
                <w:kern w:val="0"/>
                <w:sz w:val="24"/>
                <w:highlight w:val="none"/>
                <w:lang w:val="en-US" w:eastAsia="zh-CN"/>
              </w:rPr>
              <w:t>、</w:t>
            </w:r>
            <w:r>
              <w:rPr>
                <w:rFonts w:hint="default" w:ascii="Times New Roman" w:hAnsi="Times New Roman" w:cs="Times New Roman"/>
                <w:b/>
                <w:bCs/>
                <w:color w:val="auto"/>
                <w:kern w:val="0"/>
                <w:sz w:val="24"/>
                <w:highlight w:val="none"/>
              </w:rPr>
              <w:t>“三线一单”符合性分析</w:t>
            </w:r>
          </w:p>
          <w:p w14:paraId="50347EB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lang w:eastAsia="zh-CN"/>
              </w:rPr>
              <w:t>与</w:t>
            </w:r>
            <w:r>
              <w:rPr>
                <w:rFonts w:hint="default" w:ascii="Times New Roman" w:hAnsi="Times New Roman" w:cs="Times New Roman"/>
                <w:color w:val="auto"/>
                <w:kern w:val="0"/>
                <w:sz w:val="24"/>
                <w:highlight w:val="none"/>
              </w:rPr>
              <w:t>《关于以改善环境质量为核心加强环境影响评价管理的通知》（环环评〔2016〕150号）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符合性分析</w:t>
            </w:r>
          </w:p>
          <w:p w14:paraId="12ABAA2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根据《关于以改善环境质量为核心加强环境影响评价管理的通知》（环环评〔2016〕150号）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rPr>
              <w:t>分析本项目与其符合性</w:t>
            </w:r>
            <w:r>
              <w:rPr>
                <w:rFonts w:hint="default" w:ascii="Times New Roman" w:hAnsi="Times New Roman" w:eastAsia="宋体" w:cs="Times New Roman"/>
                <w:color w:val="auto"/>
                <w:kern w:val="0"/>
                <w:sz w:val="24"/>
                <w:highlight w:val="none"/>
                <w:lang w:eastAsia="zh-CN"/>
              </w:rPr>
              <w:t>见下表</w:t>
            </w:r>
            <w:r>
              <w:rPr>
                <w:rFonts w:hint="default" w:ascii="Times New Roman" w:hAnsi="Times New Roman" w:cs="Times New Roman"/>
                <w:color w:val="auto"/>
                <w:kern w:val="0"/>
                <w:sz w:val="24"/>
                <w:highlight w:val="none"/>
              </w:rPr>
              <w:t>。</w:t>
            </w:r>
          </w:p>
          <w:p w14:paraId="5D2BC25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eastAsia="zh-CN"/>
              </w:rPr>
              <w:fldChar w:fldCharType="begin"/>
            </w:r>
            <w:r>
              <w:rPr>
                <w:rFonts w:hint="default" w:ascii="Times New Roman" w:hAnsi="Times New Roman" w:cs="Times New Roman"/>
                <w:b/>
                <w:bCs/>
                <w:color w:val="auto"/>
                <w:kern w:val="0"/>
                <w:sz w:val="24"/>
                <w:highlight w:val="none"/>
                <w:lang w:eastAsia="zh-CN"/>
              </w:rPr>
              <w:instrText xml:space="preserve"> SEQ 表 \* ARABIC </w:instrText>
            </w:r>
            <w:r>
              <w:rPr>
                <w:rFonts w:hint="default" w:ascii="Times New Roman" w:hAnsi="Times New Roman" w:cs="Times New Roman"/>
                <w:b/>
                <w:bCs/>
                <w:color w:val="auto"/>
                <w:kern w:val="0"/>
                <w:sz w:val="24"/>
                <w:highlight w:val="none"/>
                <w:lang w:eastAsia="zh-CN"/>
              </w:rPr>
              <w:fldChar w:fldCharType="separate"/>
            </w:r>
            <w:r>
              <w:rPr>
                <w:rFonts w:hint="default" w:ascii="Times New Roman" w:hAnsi="Times New Roman" w:cs="Times New Roman"/>
                <w:b/>
                <w:bCs/>
                <w:color w:val="auto"/>
                <w:kern w:val="0"/>
                <w:sz w:val="24"/>
                <w:highlight w:val="none"/>
                <w:lang w:eastAsia="zh-CN"/>
              </w:rPr>
              <w:t>1</w:t>
            </w:r>
            <w:r>
              <w:rPr>
                <w:rFonts w:hint="default" w:ascii="Times New Roman" w:hAnsi="Times New Roman" w:cs="Times New Roman"/>
                <w:b/>
                <w:bCs/>
                <w:color w:val="auto"/>
                <w:kern w:val="0"/>
                <w:sz w:val="24"/>
                <w:highlight w:val="none"/>
                <w:lang w:eastAsia="zh-CN"/>
              </w:rPr>
              <w:fldChar w:fldCharType="end"/>
            </w:r>
            <w:r>
              <w:rPr>
                <w:rFonts w:hint="default" w:ascii="Times New Roman" w:hAnsi="Times New Roman" w:cs="Times New Roman"/>
                <w:b/>
                <w:bCs/>
                <w:color w:val="auto"/>
                <w:kern w:val="0"/>
                <w:sz w:val="24"/>
                <w:highlight w:val="none"/>
                <w:lang w:val="en-US" w:eastAsia="zh-CN"/>
              </w:rPr>
              <w:t>-6</w:t>
            </w:r>
            <w:r>
              <w:rPr>
                <w:rFonts w:hint="default" w:ascii="Times New Roman" w:hAnsi="Times New Roman" w:cs="Times New Roman"/>
                <w:b/>
                <w:bCs/>
                <w:color w:val="auto"/>
                <w:kern w:val="0"/>
                <w:sz w:val="24"/>
                <w:highlight w:val="none"/>
                <w:lang w:eastAsia="zh-CN"/>
              </w:rPr>
              <w:t xml:space="preserve">  项目“三线一单”符合性分析</w:t>
            </w:r>
          </w:p>
          <w:tbl>
            <w:tblPr>
              <w:tblStyle w:val="40"/>
              <w:tblW w:w="4998" w:type="pct"/>
              <w:tblInd w:w="0" w:type="dxa"/>
              <w:tblLayout w:type="fixed"/>
              <w:tblCellMar>
                <w:top w:w="0" w:type="dxa"/>
                <w:left w:w="0" w:type="dxa"/>
                <w:bottom w:w="0" w:type="dxa"/>
                <w:right w:w="0" w:type="dxa"/>
              </w:tblCellMar>
            </w:tblPr>
            <w:tblGrid>
              <w:gridCol w:w="443"/>
              <w:gridCol w:w="4224"/>
              <w:gridCol w:w="2875"/>
              <w:gridCol w:w="502"/>
            </w:tblGrid>
            <w:tr w14:paraId="7052DBAF">
              <w:tblPrEx>
                <w:tblCellMar>
                  <w:top w:w="0" w:type="dxa"/>
                  <w:left w:w="0" w:type="dxa"/>
                  <w:bottom w:w="0" w:type="dxa"/>
                  <w:right w:w="0" w:type="dxa"/>
                </w:tblCellMar>
              </w:tblPrEx>
              <w:trPr>
                <w:trHeight w:val="284" w:hRule="atLeast"/>
                <w:tblHeader/>
              </w:trPr>
              <w:tc>
                <w:tcPr>
                  <w:tcW w:w="276" w:type="pct"/>
                  <w:tcBorders>
                    <w:top w:val="single" w:color="000000" w:sz="4" w:space="0"/>
                    <w:left w:val="single" w:color="000000" w:sz="4" w:space="0"/>
                    <w:bottom w:val="single" w:color="000000" w:sz="4" w:space="0"/>
                    <w:right w:val="single" w:color="000000" w:sz="4" w:space="0"/>
                  </w:tcBorders>
                  <w:vAlign w:val="center"/>
                </w:tcPr>
                <w:p w14:paraId="7EEC4456">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624" w:type="pct"/>
                  <w:tcBorders>
                    <w:top w:val="single" w:color="000000" w:sz="4" w:space="0"/>
                    <w:left w:val="single" w:color="000000" w:sz="4" w:space="0"/>
                    <w:bottom w:val="single" w:color="000000" w:sz="4" w:space="0"/>
                    <w:right w:val="single" w:color="000000" w:sz="4" w:space="0"/>
                  </w:tcBorders>
                  <w:vAlign w:val="center"/>
                </w:tcPr>
                <w:p w14:paraId="1A359B9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分析内容</w:t>
                  </w:r>
                </w:p>
              </w:tc>
              <w:tc>
                <w:tcPr>
                  <w:tcW w:w="1786" w:type="pct"/>
                  <w:tcBorders>
                    <w:top w:val="single" w:color="000000" w:sz="4" w:space="0"/>
                    <w:left w:val="single" w:color="000000" w:sz="4" w:space="0"/>
                    <w:bottom w:val="single" w:color="000000" w:sz="4" w:space="0"/>
                    <w:right w:val="single" w:color="000000" w:sz="4" w:space="0"/>
                  </w:tcBorders>
                  <w:vAlign w:val="center"/>
                </w:tcPr>
                <w:p w14:paraId="74BEA29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12" w:type="pct"/>
                  <w:tcBorders>
                    <w:top w:val="single" w:color="000000" w:sz="4" w:space="0"/>
                    <w:left w:val="single" w:color="000000" w:sz="4" w:space="0"/>
                    <w:bottom w:val="single" w:color="000000" w:sz="4" w:space="0"/>
                    <w:right w:val="single" w:color="000000" w:sz="4" w:space="0"/>
                  </w:tcBorders>
                  <w:vAlign w:val="center"/>
                </w:tcPr>
                <w:p w14:paraId="2E23FBB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符合性</w:t>
                  </w:r>
                </w:p>
              </w:tc>
            </w:tr>
            <w:tr w14:paraId="2E1B2ADC">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1676F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w:t>
                  </w:r>
                </w:p>
              </w:tc>
              <w:tc>
                <w:tcPr>
                  <w:tcW w:w="2624" w:type="pct"/>
                  <w:tcBorders>
                    <w:top w:val="single" w:color="000000" w:sz="4" w:space="0"/>
                    <w:left w:val="single" w:color="000000" w:sz="4" w:space="0"/>
                    <w:bottom w:val="single" w:color="000000" w:sz="4" w:space="0"/>
                    <w:right w:val="single" w:color="000000" w:sz="4" w:space="0"/>
                  </w:tcBorders>
                  <w:vAlign w:val="center"/>
                </w:tcPr>
                <w:p w14:paraId="68DFC28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786" w:type="pct"/>
                  <w:tcBorders>
                    <w:top w:val="single" w:color="000000" w:sz="4" w:space="0"/>
                    <w:left w:val="single" w:color="000000" w:sz="4" w:space="0"/>
                    <w:bottom w:val="single" w:color="000000" w:sz="4" w:space="0"/>
                    <w:right w:val="single" w:color="000000" w:sz="4" w:space="0"/>
                  </w:tcBorders>
                  <w:vAlign w:val="center"/>
                </w:tcPr>
                <w:p w14:paraId="655531C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rPr>
                    <w:t>根据《</w:t>
                  </w:r>
                  <w:r>
                    <w:rPr>
                      <w:rFonts w:hint="default" w:ascii="Times New Roman" w:hAnsi="Times New Roman" w:cs="Times New Roman"/>
                      <w:color w:val="auto"/>
                      <w:sz w:val="18"/>
                      <w:szCs w:val="18"/>
                      <w:highlight w:val="none"/>
                      <w:lang w:eastAsia="zh-CN"/>
                    </w:rPr>
                    <w:t>井陉矿区</w:t>
                  </w:r>
                  <w:r>
                    <w:rPr>
                      <w:rFonts w:hint="default" w:ascii="Times New Roman" w:hAnsi="Times New Roman" w:cs="Times New Roman"/>
                      <w:color w:val="auto"/>
                      <w:sz w:val="18"/>
                      <w:szCs w:val="18"/>
                      <w:highlight w:val="none"/>
                    </w:rPr>
                    <w:t>国土空间总体规划（2021—2035年）》，</w:t>
                  </w:r>
                  <w:r>
                    <w:rPr>
                      <w:rFonts w:hint="default" w:ascii="Times New Roman" w:hAnsi="Times New Roman" w:cs="Times New Roman"/>
                      <w:color w:val="auto"/>
                      <w:sz w:val="18"/>
                      <w:szCs w:val="18"/>
                      <w:highlight w:val="none"/>
                      <w:lang w:eastAsia="zh-CN"/>
                    </w:rPr>
                    <w:t>全区划定生态保护红线面积</w:t>
                  </w:r>
                  <w:r>
                    <w:rPr>
                      <w:rFonts w:hint="default" w:ascii="Times New Roman" w:hAnsi="Times New Roman" w:cs="Times New Roman"/>
                      <w:color w:val="auto"/>
                      <w:sz w:val="18"/>
                      <w:szCs w:val="18"/>
                      <w:highlight w:val="none"/>
                      <w:lang w:val="en-US" w:eastAsia="zh-CN"/>
                    </w:rPr>
                    <w:t>8.5平方千米。生态保护红线内，自然保护地核心保护区原则上禁止人为活动。生态保护红线内自然保护区核心保护区外，禁止开发性、生产性建设活动，在符合法律法规的前提下，仅允许对生态功能不造成破坏的有限人为活动。生态保护红线内清凉山风景名胜区、饮用水水源保护区等区域，依照相应法律法规执行。</w:t>
                  </w:r>
                </w:p>
                <w:p w14:paraId="61B014A8">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cs="Times New Roman"/>
                      <w:color w:val="auto"/>
                      <w:sz w:val="18"/>
                      <w:szCs w:val="18"/>
                      <w:highlight w:val="none"/>
                      <w:lang w:eastAsia="zh-CN"/>
                    </w:rPr>
                    <w:t>见附图</w:t>
                  </w:r>
                  <w:r>
                    <w:rPr>
                      <w:rFonts w:hint="default" w:ascii="Times New Roman" w:hAnsi="Times New Roman" w:cs="Times New Roman"/>
                      <w:color w:val="auto"/>
                      <w:sz w:val="18"/>
                      <w:szCs w:val="18"/>
                      <w:highlight w:val="none"/>
                      <w:lang w:val="en-US" w:eastAsia="zh-CN"/>
                    </w:rPr>
                    <w:t>10。</w:t>
                  </w:r>
                </w:p>
              </w:tc>
              <w:tc>
                <w:tcPr>
                  <w:tcW w:w="312" w:type="pct"/>
                  <w:tcBorders>
                    <w:top w:val="single" w:color="000000" w:sz="4" w:space="0"/>
                    <w:left w:val="single" w:color="000000" w:sz="4" w:space="0"/>
                    <w:bottom w:val="single" w:color="000000" w:sz="4" w:space="0"/>
                    <w:right w:val="single" w:color="000000" w:sz="4" w:space="0"/>
                  </w:tcBorders>
                  <w:vAlign w:val="center"/>
                </w:tcPr>
                <w:p w14:paraId="1DA9E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3ED74398">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3C81E79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w:t>
                  </w:r>
                </w:p>
              </w:tc>
              <w:tc>
                <w:tcPr>
                  <w:tcW w:w="2624" w:type="pct"/>
                  <w:tcBorders>
                    <w:top w:val="single" w:color="000000" w:sz="4" w:space="0"/>
                    <w:left w:val="single" w:color="000000" w:sz="4" w:space="0"/>
                    <w:bottom w:val="single" w:color="000000" w:sz="4" w:space="0"/>
                    <w:right w:val="single" w:color="000000" w:sz="4" w:space="0"/>
                  </w:tcBorders>
                  <w:vAlign w:val="center"/>
                </w:tcPr>
                <w:p w14:paraId="67ADAD75">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r>
                    <w:rPr>
                      <w:rFonts w:hint="default" w:ascii="Times New Roman" w:hAnsi="Times New Roman" w:eastAsia="宋体" w:cs="Times New Roman"/>
                      <w:color w:val="auto"/>
                      <w:sz w:val="18"/>
                      <w:szCs w:val="18"/>
                      <w:highlight w:val="none"/>
                      <w:lang w:eastAsia="zh-CN"/>
                    </w:rPr>
                    <w:t>。</w:t>
                  </w:r>
                </w:p>
              </w:tc>
              <w:tc>
                <w:tcPr>
                  <w:tcW w:w="1786" w:type="pct"/>
                  <w:tcBorders>
                    <w:top w:val="single" w:color="000000" w:sz="4" w:space="0"/>
                    <w:left w:val="single" w:color="000000" w:sz="4" w:space="0"/>
                    <w:bottom w:val="single" w:color="000000" w:sz="4" w:space="0"/>
                    <w:right w:val="single" w:color="000000" w:sz="4" w:space="0"/>
                  </w:tcBorders>
                  <w:vAlign w:val="center"/>
                </w:tcPr>
                <w:p w14:paraId="65B4D8C5">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eastAsia="宋体" w:cs="Times New Roman"/>
                      <w:color w:val="auto"/>
                      <w:sz w:val="18"/>
                      <w:szCs w:val="18"/>
                      <w:highlight w:val="none"/>
                      <w:lang w:val="en-US" w:eastAsia="zh-CN"/>
                    </w:rPr>
                    <w:t>废气经</w:t>
                  </w:r>
                  <w:r>
                    <w:rPr>
                      <w:rFonts w:hint="default" w:ascii="Times New Roman" w:hAnsi="Times New Roman" w:cs="Times New Roman"/>
                      <w:color w:val="auto"/>
                      <w:sz w:val="18"/>
                      <w:szCs w:val="18"/>
                      <w:highlight w:val="none"/>
                      <w:lang w:val="en-US" w:eastAsia="zh-CN"/>
                    </w:rPr>
                    <w:t>布袋除尘器</w:t>
                  </w:r>
                  <w:r>
                    <w:rPr>
                      <w:rFonts w:hint="default" w:ascii="Times New Roman" w:hAnsi="Times New Roman" w:eastAsia="宋体" w:cs="Times New Roman"/>
                      <w:color w:val="auto"/>
                      <w:sz w:val="18"/>
                      <w:szCs w:val="18"/>
                      <w:highlight w:val="none"/>
                      <w:lang w:val="en-US" w:eastAsia="zh-CN"/>
                    </w:rPr>
                    <w:t>装置处理后</w:t>
                  </w:r>
                  <w:r>
                    <w:rPr>
                      <w:rFonts w:hint="default" w:ascii="Times New Roman" w:hAnsi="Times New Roman" w:cs="Times New Roman"/>
                      <w:color w:val="auto"/>
                      <w:sz w:val="18"/>
                      <w:szCs w:val="18"/>
                      <w:highlight w:val="none"/>
                    </w:rPr>
                    <w:t>，经排气筒排放，废气污染物可达标排放；本项目</w:t>
                  </w:r>
                  <w:r>
                    <w:rPr>
                      <w:rFonts w:hint="default" w:ascii="Times New Roman" w:hAnsi="Times New Roman" w:cs="Times New Roman"/>
                      <w:color w:val="auto"/>
                      <w:sz w:val="18"/>
                      <w:szCs w:val="18"/>
                      <w:highlight w:val="none"/>
                      <w:lang w:val="en-US" w:eastAsia="zh-CN"/>
                    </w:rPr>
                    <w:t>废水全部回用不外排</w:t>
                  </w:r>
                  <w:r>
                    <w:rPr>
                      <w:rFonts w:hint="default" w:ascii="Times New Roman" w:hAnsi="Times New Roman" w:cs="Times New Roman"/>
                      <w:color w:val="auto"/>
                      <w:sz w:val="18"/>
                      <w:szCs w:val="18"/>
                      <w:highlight w:val="none"/>
                    </w:rPr>
                    <w:t>；固体废物均合理处置，不会产生二次污染；采取基础减振、厂房隔声等防治措施降低噪声对周边声环境的影响。本项目产生的污染物采取相应措施后均达标排放，不会触及环境质量底线。</w:t>
                  </w:r>
                </w:p>
              </w:tc>
              <w:tc>
                <w:tcPr>
                  <w:tcW w:w="312" w:type="pct"/>
                  <w:tcBorders>
                    <w:top w:val="single" w:color="000000" w:sz="4" w:space="0"/>
                    <w:left w:val="single" w:color="000000" w:sz="4" w:space="0"/>
                    <w:bottom w:val="single" w:color="000000" w:sz="4" w:space="0"/>
                    <w:right w:val="single" w:color="000000" w:sz="4" w:space="0"/>
                  </w:tcBorders>
                  <w:vAlign w:val="center"/>
                </w:tcPr>
                <w:p w14:paraId="1034B3E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7C133DCE">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489AA61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w:t>
                  </w:r>
                </w:p>
              </w:tc>
              <w:tc>
                <w:tcPr>
                  <w:tcW w:w="2624" w:type="pct"/>
                  <w:tcBorders>
                    <w:top w:val="single" w:color="000000" w:sz="4" w:space="0"/>
                    <w:left w:val="single" w:color="000000" w:sz="4" w:space="0"/>
                    <w:bottom w:val="single" w:color="000000" w:sz="4" w:space="0"/>
                    <w:right w:val="single" w:color="000000" w:sz="4" w:space="0"/>
                  </w:tcBorders>
                  <w:vAlign w:val="center"/>
                </w:tcPr>
                <w:p w14:paraId="0CF865F1">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786" w:type="pct"/>
                  <w:tcBorders>
                    <w:top w:val="single" w:color="000000" w:sz="4" w:space="0"/>
                    <w:left w:val="single" w:color="000000" w:sz="4" w:space="0"/>
                    <w:bottom w:val="single" w:color="000000" w:sz="4" w:space="0"/>
                    <w:right w:val="single" w:color="000000" w:sz="4" w:space="0"/>
                  </w:tcBorders>
                  <w:vAlign w:val="center"/>
                </w:tcPr>
                <w:p w14:paraId="0E48163B">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w:t>
                  </w:r>
                  <w:r>
                    <w:rPr>
                      <w:rFonts w:hint="default" w:ascii="Times New Roman" w:hAnsi="Times New Roman" w:cs="Times New Roman"/>
                      <w:color w:val="auto"/>
                      <w:sz w:val="18"/>
                      <w:szCs w:val="18"/>
                      <w:highlight w:val="none"/>
                      <w:lang w:eastAsia="zh-CN"/>
                    </w:rPr>
                    <w:t>占地属于工业用地</w:t>
                  </w:r>
                  <w:r>
                    <w:rPr>
                      <w:rFonts w:hint="default" w:ascii="Times New Roman" w:hAnsi="Times New Roman" w:eastAsia="宋体" w:cs="Times New Roman"/>
                      <w:color w:val="auto"/>
                      <w:sz w:val="18"/>
                      <w:szCs w:val="18"/>
                      <w:highlight w:val="none"/>
                      <w:lang w:eastAsia="zh-CN"/>
                    </w:rPr>
                    <w:t>，用水、用电等依托</w:t>
                  </w:r>
                  <w:r>
                    <w:rPr>
                      <w:rFonts w:hint="default" w:ascii="Times New Roman" w:hAnsi="Times New Roman" w:cs="Times New Roman"/>
                      <w:color w:val="auto"/>
                      <w:sz w:val="18"/>
                      <w:szCs w:val="18"/>
                      <w:highlight w:val="none"/>
                      <w:lang w:eastAsia="zh-CN"/>
                    </w:rPr>
                    <w:t>园区</w:t>
                  </w:r>
                  <w:r>
                    <w:rPr>
                      <w:rFonts w:hint="default" w:ascii="Times New Roman" w:hAnsi="Times New Roman" w:eastAsia="宋体" w:cs="Times New Roman"/>
                      <w:color w:val="auto"/>
                      <w:sz w:val="18"/>
                      <w:szCs w:val="18"/>
                      <w:highlight w:val="none"/>
                      <w:lang w:eastAsia="zh-CN"/>
                    </w:rPr>
                    <w:t>基础设施可行。</w:t>
                  </w:r>
                  <w:r>
                    <w:rPr>
                      <w:rFonts w:hint="default" w:ascii="Times New Roman" w:hAnsi="Times New Roman" w:cs="Times New Roman"/>
                      <w:color w:val="auto"/>
                      <w:sz w:val="18"/>
                      <w:szCs w:val="18"/>
                      <w:highlight w:val="none"/>
                    </w:rPr>
                    <w:t>本项目能源利用均在区域供水、供电负荷范围内，能源消耗均未超出区域资源负荷量，符合资源利用上线要求。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393EB287">
                  <w:pPr>
                    <w:keepNext w:val="0"/>
                    <w:keepLines w:val="0"/>
                    <w:suppressLineNumbers w:val="0"/>
                    <w:kinsoku w:val="0"/>
                    <w:overflowPunct w:val="0"/>
                    <w:autoSpaceDE w:val="0"/>
                    <w:autoSpaceDN w:val="0"/>
                    <w:adjustRightInd w:val="0"/>
                    <w:spacing w:before="0" w:beforeAutospacing="0" w:after="0" w:afterAutospacing="0"/>
                    <w:ind w:left="0" w:right="0"/>
                    <w:jc w:val="left"/>
                    <w:rPr>
                      <w:rFonts w:hint="default" w:ascii="Times New Roman" w:hAnsi="Times New Roman" w:cs="Times New Roman"/>
                      <w:color w:val="auto"/>
                      <w:sz w:val="18"/>
                      <w:szCs w:val="18"/>
                      <w:highlight w:val="none"/>
                    </w:rPr>
                  </w:pPr>
                </w:p>
                <w:p w14:paraId="7E6D635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2EC221F6">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43A9B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w:t>
                  </w:r>
                </w:p>
              </w:tc>
              <w:tc>
                <w:tcPr>
                  <w:tcW w:w="2624" w:type="pct"/>
                  <w:tcBorders>
                    <w:top w:val="single" w:color="000000" w:sz="4" w:space="0"/>
                    <w:left w:val="single" w:color="000000" w:sz="4" w:space="0"/>
                    <w:bottom w:val="single" w:color="000000" w:sz="4" w:space="0"/>
                    <w:right w:val="single" w:color="000000" w:sz="4" w:space="0"/>
                  </w:tcBorders>
                  <w:vAlign w:val="center"/>
                </w:tcPr>
                <w:p w14:paraId="1F69A1A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786" w:type="pct"/>
                  <w:tcBorders>
                    <w:top w:val="single" w:color="000000" w:sz="4" w:space="0"/>
                    <w:left w:val="single" w:color="000000" w:sz="4" w:space="0"/>
                    <w:bottom w:val="single" w:color="000000" w:sz="4" w:space="0"/>
                    <w:right w:val="single" w:color="000000" w:sz="4" w:space="0"/>
                  </w:tcBorders>
                  <w:vAlign w:val="center"/>
                </w:tcPr>
                <w:p w14:paraId="68BF27B8">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项目不属于《产业结构调整指导目录（20</w:t>
                  </w:r>
                  <w:r>
                    <w:rPr>
                      <w:rFonts w:hint="default" w:ascii="Times New Roman" w:hAnsi="Times New Roman" w:eastAsia="宋体" w:cs="Times New Roman"/>
                      <w:color w:val="auto"/>
                      <w:sz w:val="18"/>
                      <w:szCs w:val="18"/>
                      <w:highlight w:val="none"/>
                      <w:lang w:val="en-US" w:eastAsia="zh-CN"/>
                    </w:rPr>
                    <w:t>24</w:t>
                  </w:r>
                  <w:r>
                    <w:rPr>
                      <w:rFonts w:hint="default" w:ascii="Times New Roman" w:hAnsi="Times New Roman" w:cs="Times New Roman"/>
                      <w:color w:val="auto"/>
                      <w:sz w:val="18"/>
                      <w:szCs w:val="18"/>
                      <w:highlight w:val="none"/>
                    </w:rPr>
                    <w:t>年本）》中规定的鼓励类、限制类和淘汰类项目，属于允许类项目；项目不属于《市场准入负面清单(202</w:t>
                  </w: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rPr>
                    <w:t>年版)》禁止准入类，</w:t>
                  </w:r>
                  <w:r>
                    <w:rPr>
                      <w:rFonts w:hint="default" w:ascii="Times New Roman" w:hAnsi="Times New Roman" w:eastAsia="宋体" w:cs="Times New Roman"/>
                      <w:color w:val="auto"/>
                      <w:sz w:val="18"/>
                      <w:szCs w:val="18"/>
                      <w:highlight w:val="none"/>
                      <w:lang w:eastAsia="zh-CN"/>
                    </w:rPr>
                    <w:t>符合河北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生态环境准入清单要求。</w:t>
                  </w:r>
                  <w:r>
                    <w:rPr>
                      <w:rFonts w:hint="default" w:ascii="Times New Roman" w:hAnsi="Times New Roman" w:cs="Times New Roman"/>
                      <w:color w:val="auto"/>
                      <w:sz w:val="18"/>
                      <w:szCs w:val="18"/>
                      <w:highlight w:val="none"/>
                    </w:rPr>
                    <w:t>因此项目建设符合国家和地方相关产业政策的要求。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2177899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bl>
          <w:p w14:paraId="065588B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4"/>
                <w:highlight w:val="none"/>
              </w:rPr>
              <w:t>由上表可知，本项目符合《关于以改善环境质量为核心加强环境影响评价管理的通知》（环评[2016]150 号）的环境管理要求。</w:t>
            </w:r>
          </w:p>
          <w:p w14:paraId="6ECD56F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2、与《石家庄市生态环境准入清单（2023年版）》符合性分析</w:t>
            </w:r>
          </w:p>
          <w:p w14:paraId="7F599A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本项目与《石家庄市生态环境准入清单（2023年版）》（2024.4.28）符合性分析如下。</w:t>
            </w:r>
          </w:p>
          <w:p w14:paraId="4CEF90F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（1）与石家庄市生态环境总体管控要求符合性分析</w:t>
            </w:r>
          </w:p>
          <w:p w14:paraId="7B536C98">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b/>
                <w:color w:val="auto"/>
                <w:kern w:val="2"/>
                <w:sz w:val="24"/>
                <w:szCs w:val="24"/>
                <w:highlight w:val="none"/>
                <w:lang w:val="en-US" w:eastAsia="zh-CN" w:bidi="ar-SA"/>
              </w:rPr>
              <w:t>表 1-7  项目与石家庄市生态环境准入清单符合性分析</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04"/>
              <w:gridCol w:w="283"/>
              <w:gridCol w:w="450"/>
              <w:gridCol w:w="4503"/>
              <w:gridCol w:w="2043"/>
              <w:gridCol w:w="448"/>
            </w:tblGrid>
            <w:tr w14:paraId="0FD49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686023F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3259" w:type="pct"/>
                  <w:gridSpan w:val="3"/>
                  <w:tcBorders>
                    <w:top w:val="single" w:color="auto" w:sz="4" w:space="0"/>
                    <w:left w:val="single" w:color="auto" w:sz="4" w:space="0"/>
                    <w:bottom w:val="single" w:color="auto" w:sz="4" w:space="0"/>
                    <w:right w:val="single" w:color="auto" w:sz="4" w:space="0"/>
                  </w:tcBorders>
                  <w:noWrap w:val="0"/>
                  <w:vAlign w:val="center"/>
                </w:tcPr>
                <w:p w14:paraId="17BD43F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石家庄生态环境准入总体要求</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99FF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项目建设情况</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31DFC9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是否符合</w:t>
                  </w:r>
                </w:p>
              </w:tc>
            </w:tr>
            <w:tr w14:paraId="47AA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6B9702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06405E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全市生态环境准入综合管控要求</w:t>
                  </w:r>
                </w:p>
              </w:tc>
            </w:tr>
            <w:tr w14:paraId="0249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F3E2D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25522A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全市域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A753D5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1、优化产业结构。落实国家、省、市产业政策，严格“两高”项目环评审批，落实区域削减要求，推进减污降碳协同控制。</w:t>
                  </w:r>
                </w:p>
                <w:p w14:paraId="0E6B0A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2、强化产业入园。优化园区布局，提升园区规划、环评实效性，提升园区资源利用效率和绿色低碳水平，加强新建项目入园，严格现有分散企业污染管控。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B7305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项目不属于《产业结构调整指导目录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val="en-US" w:eastAsia="zh-CN"/>
                    </w:rPr>
                    <w:t>2024年本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》中</w:t>
                  </w:r>
                  <w:r>
                    <w:rPr>
                      <w:rFonts w:hint="default" w:ascii="Times New Roman" w:hAnsi="Times New Roman" w:eastAsia="宋体" w:cs="Times New Roman"/>
                      <w:color w:val="auto"/>
                      <w:sz w:val="18"/>
                      <w:szCs w:val="18"/>
                      <w:highlight w:val="none"/>
                      <w:lang w:eastAsia="zh-CN"/>
                    </w:rPr>
                    <w:t>的</w:t>
                  </w:r>
                  <w:r>
                    <w:rPr>
                      <w:rFonts w:hint="default" w:ascii="Times New Roman" w:hAnsi="Times New Roman" w:eastAsia="宋体" w:cs="Times New Roman"/>
                      <w:color w:val="auto"/>
                      <w:sz w:val="18"/>
                      <w:szCs w:val="18"/>
                      <w:highlight w:val="none"/>
                    </w:rPr>
                    <w:t>限制类和淘汰类项目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年版)》禁止准入类</w:t>
                  </w:r>
                  <w:r>
                    <w:rPr>
                      <w:rFonts w:hint="default" w:ascii="Times New Roman" w:hAnsi="Times New Roman" w:cs="Times New Roman"/>
                      <w:color w:val="auto"/>
                      <w:sz w:val="18"/>
                      <w:szCs w:val="18"/>
                      <w:highlight w:val="none"/>
                      <w:lang w:eastAsia="zh-CN"/>
                    </w:rPr>
                    <w:t>，不属于“两高”项目。项目位于</w:t>
                  </w:r>
                  <w:r>
                    <w:rPr>
                      <w:rFonts w:hint="default" w:ascii="Times New Roman" w:hAnsi="Times New Roman" w:cs="Times New Roman"/>
                      <w:color w:val="auto"/>
                      <w:kern w:val="2"/>
                      <w:sz w:val="18"/>
                      <w:szCs w:val="18"/>
                      <w:highlight w:val="none"/>
                      <w:lang w:eastAsia="zh-CN"/>
                    </w:rPr>
                    <w:t>河北石家庄矿区工业园区丰达片区，符合园区规划。</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22824FD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E26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single" w:color="auto" w:sz="4" w:space="0"/>
                    <w:left w:val="single" w:color="auto" w:sz="4" w:space="0"/>
                    <w:right w:val="single" w:color="auto" w:sz="4" w:space="0"/>
                  </w:tcBorders>
                  <w:noWrap w:val="0"/>
                  <w:vAlign w:val="center"/>
                </w:tcPr>
                <w:p w14:paraId="68238FD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4E5F15A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石家庄市划定的</w:t>
                  </w:r>
                  <w:r>
                    <w:rPr>
                      <w:rFonts w:hint="default" w:ascii="Times New Roman" w:hAnsi="Times New Roman" w:cs="Times New Roman"/>
                      <w:color w:val="auto"/>
                      <w:sz w:val="18"/>
                      <w:szCs w:val="18"/>
                      <w:highlight w:val="none"/>
                      <w:lang w:eastAsia="zh-CN"/>
                    </w:rPr>
                    <w:t>高污染燃料</w:t>
                  </w:r>
                  <w:r>
                    <w:rPr>
                      <w:rFonts w:hint="default" w:ascii="Times New Roman" w:hAnsi="Times New Roman" w:eastAsia="宋体" w:cs="Times New Roman"/>
                      <w:color w:val="auto"/>
                      <w:sz w:val="18"/>
                      <w:szCs w:val="18"/>
                      <w:highlight w:val="none"/>
                    </w:rPr>
                    <w:t>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460AC05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1、禁燃区内不得新建、扩建燃烧煤炭、重油、渣油等高污染燃料的设施</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现有燃烧高污染燃料的设施，应当限期改用清洁能源</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未改用清洁能源替代的高污染燃料设施，应当配套建设先进工艺的脱硫、脱硝、除尘装置或者采取其他措施，控制二氧化硫、氨氧化物和烟尘等排放</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仍未达到大气污染物排放标准的，应当停止使用。</w:t>
                  </w:r>
                </w:p>
                <w:p w14:paraId="0EB16AD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5FA74A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禁燃区内禁止原煤散烧。</w:t>
                  </w:r>
                </w:p>
                <w:p w14:paraId="40B8435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其他平原县和山区县执行县级政府确定的禁燃区范围和管理要求</w:t>
                  </w:r>
                  <w:r>
                    <w:rPr>
                      <w:rFonts w:hint="default" w:ascii="Times New Roman" w:hAnsi="Times New Roman" w:cs="Times New Roman"/>
                      <w:color w:val="auto"/>
                      <w:sz w:val="18"/>
                      <w:szCs w:val="18"/>
                      <w:highlight w:val="none"/>
                      <w:lang w:eastAsia="zh-CN"/>
                    </w:rPr>
                    <w:t>。</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72CA7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kern w:val="0"/>
                      <w:sz w:val="18"/>
                      <w:szCs w:val="18"/>
                      <w:highlight w:val="none"/>
                      <w:lang w:eastAsia="zh-CN"/>
                    </w:rPr>
                    <w:t>项目生产不用，办公采暖采用空调，不涉及燃料使用。</w:t>
                  </w:r>
                </w:p>
              </w:tc>
              <w:tc>
                <w:tcPr>
                  <w:tcW w:w="278" w:type="pct"/>
                  <w:tcBorders>
                    <w:top w:val="single" w:color="auto" w:sz="4" w:space="0"/>
                    <w:left w:val="single" w:color="auto" w:sz="4" w:space="0"/>
                    <w:right w:val="single" w:color="auto" w:sz="4" w:space="0"/>
                  </w:tcBorders>
                  <w:noWrap w:val="0"/>
                  <w:vAlign w:val="center"/>
                </w:tcPr>
                <w:p w14:paraId="3619886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656B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045A41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569B27C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地下水重点管控区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2C13C4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B2F33A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left w:val="single" w:color="auto" w:sz="4" w:space="0"/>
                    <w:bottom w:val="single" w:color="auto" w:sz="4" w:space="0"/>
                    <w:right w:val="single" w:color="auto" w:sz="4" w:space="0"/>
                  </w:tcBorders>
                  <w:noWrap w:val="0"/>
                  <w:vAlign w:val="center"/>
                </w:tcPr>
                <w:p w14:paraId="19CF887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D0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418BF06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7E1731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生态空间总体管控要求</w:t>
                  </w:r>
                </w:p>
              </w:tc>
            </w:tr>
            <w:tr w14:paraId="060C8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nil"/>
                    <w:left w:val="single" w:color="auto" w:sz="4" w:space="0"/>
                    <w:bottom w:val="single" w:color="auto" w:sz="4" w:space="0"/>
                    <w:right w:val="single" w:color="auto" w:sz="4" w:space="0"/>
                  </w:tcBorders>
                  <w:noWrap w:val="0"/>
                  <w:vAlign w:val="center"/>
                </w:tcPr>
                <w:p w14:paraId="04C277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2.1</w:t>
                  </w:r>
                </w:p>
              </w:tc>
              <w:tc>
                <w:tcPr>
                  <w:tcW w:w="176" w:type="pct"/>
                  <w:tcBorders>
                    <w:top w:val="nil"/>
                    <w:left w:val="single" w:color="auto" w:sz="4" w:space="0"/>
                    <w:bottom w:val="single" w:color="auto" w:sz="4" w:space="0"/>
                    <w:right w:val="single" w:color="auto" w:sz="4" w:space="0"/>
                  </w:tcBorders>
                  <w:noWrap w:val="0"/>
                  <w:vAlign w:val="center"/>
                </w:tcPr>
                <w:p w14:paraId="627914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生态保护红线</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5C1E95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禁止开发建设活动的要求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CC1608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1、生态保护红线原则上按禁止开发区域的要求进行管理。严禁不符合主体功能定位的各类开发活动，严禁任意改变用途。</w:t>
                  </w:r>
                </w:p>
                <w:p w14:paraId="0A0403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A0B38E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326B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F8E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top w:val="nil"/>
                    <w:left w:val="single" w:color="auto" w:sz="4" w:space="0"/>
                    <w:bottom w:val="single" w:color="auto" w:sz="4" w:space="0"/>
                    <w:right w:val="single" w:color="auto" w:sz="4" w:space="0"/>
                  </w:tcBorders>
                  <w:noWrap w:val="0"/>
                  <w:vAlign w:val="center"/>
                </w:tcPr>
                <w:p w14:paraId="0977B8D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restart"/>
                  <w:tcBorders>
                    <w:top w:val="nil"/>
                    <w:left w:val="single" w:color="auto" w:sz="4" w:space="0"/>
                    <w:right w:val="single" w:color="auto" w:sz="4" w:space="0"/>
                  </w:tcBorders>
                  <w:noWrap w:val="0"/>
                  <w:vAlign w:val="center"/>
                </w:tcPr>
                <w:p w14:paraId="67C47BE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一般生态空间</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059A78A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cs="Times New Roman"/>
                      <w:color w:val="auto"/>
                      <w:spacing w:val="-6"/>
                      <w:kern w:val="2"/>
                      <w:sz w:val="18"/>
                      <w:szCs w:val="18"/>
                      <w:highlight w:val="none"/>
                      <w:lang w:val="en-US" w:eastAsia="zh-CN" w:bidi="ar-SA"/>
                    </w:rPr>
                    <w:t>总体要求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99485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①严格矿产资源开发与管控，矿产开发管控依照《河北省加强矿产资源开发管控十条措施》、《河北省人民代表大会常务委员会关于加强矿产开发管控保护生态环境的决定》等相关文件要求执行。</w:t>
                  </w:r>
                </w:p>
                <w:p w14:paraId="2F96782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②涉及饮用水水源地保护区的</w:t>
                  </w:r>
                  <w:r>
                    <w:rPr>
                      <w:rFonts w:hint="default" w:ascii="Times New Roman" w:hAnsi="Times New Roman" w:cs="Times New Roman"/>
                      <w:color w:val="auto"/>
                      <w:spacing w:val="0"/>
                      <w:kern w:val="2"/>
                      <w:sz w:val="18"/>
                      <w:szCs w:val="18"/>
                      <w:highlight w:val="none"/>
                      <w:lang w:val="en-US" w:eastAsia="zh-CN" w:bidi="ar-SA"/>
                    </w:rPr>
                    <w:t>，</w:t>
                  </w:r>
                  <w:r>
                    <w:rPr>
                      <w:rFonts w:hint="default" w:ascii="Times New Roman" w:hAnsi="Times New Roman" w:eastAsia="宋体" w:cs="Times New Roman"/>
                      <w:color w:val="auto"/>
                      <w:spacing w:val="0"/>
                      <w:kern w:val="2"/>
                      <w:sz w:val="18"/>
                      <w:szCs w:val="18"/>
                      <w:highlight w:val="none"/>
                      <w:lang w:val="en-US" w:eastAsia="zh-CN" w:bidi="ar-SA"/>
                    </w:rPr>
                    <w:t>水环境总体管控要求中饮用水水源地保护区相关要求进行管控。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12E403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pacing w:val="0"/>
                      <w:sz w:val="18"/>
                      <w:szCs w:val="18"/>
                      <w:highlight w:val="none"/>
                      <w:lang w:val="en-US" w:eastAsia="zh-CN"/>
                    </w:rPr>
                  </w:pPr>
                  <w:r>
                    <w:rPr>
                      <w:rFonts w:hint="default" w:ascii="Times New Roman" w:hAnsi="Times New Roman" w:eastAsia="宋体" w:cs="Times New Roman"/>
                      <w:color w:val="auto"/>
                      <w:spacing w:val="0"/>
                      <w:sz w:val="18"/>
                      <w:szCs w:val="18"/>
                      <w:highlight w:val="none"/>
                      <w:lang w:val="en-US" w:eastAsia="zh-CN"/>
                    </w:rPr>
                    <w:t>本项目不涉及矿产资源开发，</w:t>
                  </w:r>
                  <w:r>
                    <w:rPr>
                      <w:rFonts w:hint="default" w:ascii="Times New Roman" w:hAnsi="Times New Roman" w:cs="Times New Roman"/>
                      <w:color w:val="auto"/>
                      <w:spacing w:val="0"/>
                      <w:sz w:val="18"/>
                      <w:szCs w:val="18"/>
                      <w:highlight w:val="none"/>
                      <w:lang w:val="en-US" w:eastAsia="zh-CN"/>
                    </w:rPr>
                    <w:t>位于石家庄黄壁庄地表水</w:t>
                  </w:r>
                  <w:r>
                    <w:rPr>
                      <w:rFonts w:hint="default" w:ascii="Times New Roman" w:hAnsi="Times New Roman" w:eastAsia="宋体" w:cs="Times New Roman"/>
                      <w:color w:val="auto"/>
                      <w:spacing w:val="0"/>
                      <w:sz w:val="18"/>
                      <w:szCs w:val="18"/>
                      <w:highlight w:val="none"/>
                      <w:lang w:val="en-US" w:eastAsia="zh-CN"/>
                    </w:rPr>
                    <w:t>饮用水水源</w:t>
                  </w:r>
                  <w:r>
                    <w:rPr>
                      <w:rFonts w:hint="default" w:ascii="Times New Roman" w:hAnsi="Times New Roman" w:cs="Times New Roman"/>
                      <w:color w:val="auto"/>
                      <w:spacing w:val="0"/>
                      <w:sz w:val="18"/>
                      <w:szCs w:val="18"/>
                      <w:highlight w:val="none"/>
                      <w:lang w:val="en-US" w:eastAsia="zh-CN"/>
                    </w:rPr>
                    <w:t>准</w:t>
                  </w:r>
                  <w:r>
                    <w:rPr>
                      <w:rFonts w:hint="default" w:ascii="Times New Roman" w:hAnsi="Times New Roman" w:eastAsia="宋体" w:cs="Times New Roman"/>
                      <w:color w:val="auto"/>
                      <w:spacing w:val="0"/>
                      <w:sz w:val="18"/>
                      <w:szCs w:val="18"/>
                      <w:highlight w:val="none"/>
                      <w:lang w:val="en-US" w:eastAsia="zh-CN"/>
                    </w:rPr>
                    <w:t>保护区</w:t>
                  </w:r>
                  <w:r>
                    <w:rPr>
                      <w:rFonts w:hint="default" w:ascii="Times New Roman" w:hAnsi="Times New Roman" w:cs="Times New Roman"/>
                      <w:color w:val="auto"/>
                      <w:spacing w:val="0"/>
                      <w:sz w:val="18"/>
                      <w:szCs w:val="18"/>
                      <w:highlight w:val="none"/>
                      <w:lang w:val="en-US" w:eastAsia="zh-CN"/>
                    </w:rPr>
                    <w:t>，不涉及废水排放，满足相关管控要求</w:t>
                  </w:r>
                  <w:r>
                    <w:rPr>
                      <w:rFonts w:hint="default" w:ascii="Times New Roman" w:hAnsi="Times New Roman" w:eastAsia="宋体" w:cs="Times New Roman"/>
                      <w:color w:val="auto"/>
                      <w:spacing w:val="0"/>
                      <w:sz w:val="18"/>
                      <w:szCs w:val="18"/>
                      <w:highlight w:val="none"/>
                      <w:lang w:val="en-US"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6BB36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FFD0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B55F20C">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bottom w:val="single" w:color="auto" w:sz="4" w:space="0"/>
                    <w:right w:val="single" w:color="auto" w:sz="4" w:space="0"/>
                  </w:tcBorders>
                  <w:noWrap w:val="0"/>
                  <w:vAlign w:val="center"/>
                </w:tcPr>
                <w:p w14:paraId="00B61FF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C139F9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水源涵养</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9C62E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1、加强自然资源开发监管，严格控制和合理规划开山采石，控制矿产资源开发对生态的影响和破坏。</w:t>
                  </w:r>
                </w:p>
                <w:p w14:paraId="2DDE91B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2、坚持自然恢复为主，严格限制在水源涵养区大规模人工造林。</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1AEED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本项目不涉及矿产资源开发及水源涵养区。</w:t>
                  </w:r>
                </w:p>
              </w:tc>
              <w:tc>
                <w:tcPr>
                  <w:tcW w:w="278" w:type="pct"/>
                  <w:tcBorders>
                    <w:left w:val="single" w:color="auto" w:sz="4" w:space="0"/>
                    <w:bottom w:val="single" w:color="auto" w:sz="4" w:space="0"/>
                    <w:right w:val="single" w:color="auto" w:sz="4" w:space="0"/>
                  </w:tcBorders>
                  <w:noWrap w:val="0"/>
                  <w:vAlign w:val="center"/>
                </w:tcPr>
                <w:p w14:paraId="640A64D5">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B007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shd w:val="clear" w:color="auto" w:fill="auto"/>
                  <w:noWrap w:val="0"/>
                  <w:vAlign w:val="center"/>
                </w:tcPr>
                <w:p w14:paraId="1E3C9A7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3</w:t>
                  </w:r>
                </w:p>
              </w:tc>
              <w:tc>
                <w:tcPr>
                  <w:tcW w:w="4810" w:type="pct"/>
                  <w:gridSpan w:val="5"/>
                  <w:tcBorders>
                    <w:left w:val="single" w:color="auto" w:sz="4" w:space="0"/>
                    <w:bottom w:val="single" w:color="auto" w:sz="4" w:space="0"/>
                    <w:right w:val="single" w:color="auto" w:sz="4" w:space="0"/>
                  </w:tcBorders>
                  <w:shd w:val="clear" w:color="auto" w:fill="auto"/>
                  <w:noWrap w:val="0"/>
                  <w:vAlign w:val="center"/>
                </w:tcPr>
                <w:p w14:paraId="59B82E9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水环境总体管控要求</w:t>
                  </w:r>
                </w:p>
              </w:tc>
            </w:tr>
            <w:tr w14:paraId="058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left w:val="single" w:color="auto" w:sz="4" w:space="0"/>
                    <w:right w:val="single" w:color="auto" w:sz="4" w:space="0"/>
                  </w:tcBorders>
                  <w:noWrap w:val="0"/>
                  <w:vAlign w:val="center"/>
                </w:tcPr>
                <w:p w14:paraId="194CFA4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3.1</w:t>
                  </w:r>
                </w:p>
              </w:tc>
              <w:tc>
                <w:tcPr>
                  <w:tcW w:w="176" w:type="pct"/>
                  <w:vMerge w:val="restart"/>
                  <w:tcBorders>
                    <w:left w:val="single" w:color="auto" w:sz="4" w:space="0"/>
                    <w:right w:val="single" w:color="auto" w:sz="4" w:space="0"/>
                  </w:tcBorders>
                  <w:shd w:val="clear" w:color="auto" w:fill="auto"/>
                  <w:noWrap w:val="0"/>
                  <w:vAlign w:val="center"/>
                </w:tcPr>
                <w:p w14:paraId="4260142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en-US"/>
                    </w:rPr>
                  </w:pPr>
                  <w:r>
                    <w:rPr>
                      <w:rFonts w:hint="default" w:ascii="Times New Roman" w:hAnsi="Times New Roman" w:eastAsia="宋体" w:cs="Times New Roman"/>
                      <w:color w:val="auto"/>
                      <w:sz w:val="18"/>
                      <w:szCs w:val="18"/>
                      <w:highlight w:val="none"/>
                      <w:lang w:val="en-US" w:eastAsia="zh-CN"/>
                    </w:rPr>
                    <w:t>水环境工业污染重点管控区</w:t>
                  </w: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4D495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 xml:space="preserve">污染物排 </w:t>
                  </w:r>
                </w:p>
                <w:p w14:paraId="7BD93D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放管控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2BED36">
                  <w:pPr>
                    <w:keepNext w:val="0"/>
                    <w:keepLines w:val="0"/>
                    <w:pageBreakBefore w:val="0"/>
                    <w:numPr>
                      <w:ilvl w:val="0"/>
                      <w:numId w:val="4"/>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025C15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、排放工业废水的企业应当采取有效措施，收集和处理产生的全部废水，防止污染环境。含有毒有害水污染物的工业废水应当分类收集和处理，不得稀释排放。</w:t>
                  </w:r>
                </w:p>
                <w:p w14:paraId="4F481C5B">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leftChars="0" w:right="0" w:firstLine="0" w:firstLineChars="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3、企业、学校、科研院所、医疗机构、检验检疫机构等单位的实验室、检验室、化验室等产生的酸液、做液及其他有毒有害废液，应当按照国家和省有关规定进行处理后达标排放或者单独收集、安全处置。</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7548D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b w:val="0"/>
                      <w:bCs w:val="0"/>
                      <w:color w:val="auto"/>
                      <w:kern w:val="0"/>
                      <w:sz w:val="18"/>
                      <w:szCs w:val="18"/>
                      <w:highlight w:val="none"/>
                      <w:lang w:val="en-US" w:eastAsia="zh-CN"/>
                    </w:rPr>
                  </w:pPr>
                  <w:r>
                    <w:rPr>
                      <w:rFonts w:hint="default" w:ascii="Times New Roman" w:hAnsi="Times New Roman" w:eastAsia="宋体" w:cs="Times New Roman"/>
                      <w:b w:val="0"/>
                      <w:bCs w:val="0"/>
                      <w:color w:val="auto"/>
                      <w:kern w:val="0"/>
                      <w:sz w:val="18"/>
                      <w:szCs w:val="18"/>
                      <w:highlight w:val="none"/>
                      <w:lang w:val="en-US" w:eastAsia="zh-CN"/>
                    </w:rPr>
                    <w:t>1、本项目不属于高污染、高耗水行业，不属于造纸、焦化、氮肥、石油化工、印染、农副食品加工、原料药制造、制革、农药、电镀等重点行业。</w:t>
                  </w:r>
                </w:p>
                <w:p w14:paraId="6255AA4A">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2、本项目废水不外排。</w:t>
                  </w:r>
                </w:p>
                <w:p w14:paraId="66EFB90A">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3、不涉及。</w:t>
                  </w:r>
                </w:p>
              </w:tc>
              <w:tc>
                <w:tcPr>
                  <w:tcW w:w="278" w:type="pct"/>
                  <w:tcBorders>
                    <w:left w:val="single" w:color="auto" w:sz="4" w:space="0"/>
                    <w:right w:val="single" w:color="auto" w:sz="4" w:space="0"/>
                  </w:tcBorders>
                  <w:noWrap w:val="0"/>
                  <w:vAlign w:val="center"/>
                </w:tcPr>
                <w:p w14:paraId="3F7BF30D">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943E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right w:val="single" w:color="auto" w:sz="4" w:space="0"/>
                  </w:tcBorders>
                  <w:noWrap w:val="0"/>
                  <w:vAlign w:val="center"/>
                </w:tcPr>
                <w:p w14:paraId="44BEAFE6">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right w:val="single" w:color="auto" w:sz="4" w:space="0"/>
                  </w:tcBorders>
                  <w:shd w:val="clear" w:color="auto" w:fill="auto"/>
                  <w:noWrap w:val="0"/>
                  <w:vAlign w:val="center"/>
                </w:tcPr>
                <w:p w14:paraId="7CD04C9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6951D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环境风险防控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5747E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1、化学品生产、存储、运输、销售企业以及工业园区(工业集聚区)、矿山开采区、尾矿库、危险废物处置场、垃圾填埋场等运营、管理单位，应当采取防渗等措施，防止地下水污染。</w:t>
                  </w:r>
                </w:p>
                <w:p w14:paraId="0451804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2、加油站、储油库等的地下油罐应当使用双层罐或者采取建造防渗池等其他有效措施，并进行防渗漏监测防止污染地下水。</w:t>
                  </w:r>
                </w:p>
                <w:p w14:paraId="1912FF6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3、工业固体废弃物集中贮存、处置的设施、场所和生活垃圾填埋场应当采取防扬散、防流失、防渗漏或者其他符合水污染防治要求的措施，防止污染水环境。</w:t>
                  </w:r>
                </w:p>
                <w:p w14:paraId="51E983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4、可能发生水污染事故的企业事业单位，应当按照有关规定制定有关水污染事故的应急方案，做好应急准备定期进行预防演练。</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323970">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1、不涉及；</w:t>
                  </w:r>
                </w:p>
                <w:p w14:paraId="0E2CAC9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2、不涉及；</w:t>
                  </w:r>
                </w:p>
                <w:p w14:paraId="295A3CA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3、不涉及；</w:t>
                  </w:r>
                </w:p>
                <w:p w14:paraId="65462A3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w:t>
                  </w:r>
                  <w:r>
                    <w:rPr>
                      <w:rFonts w:hint="default" w:ascii="Times New Roman" w:hAnsi="Times New Roman" w:cs="Times New Roman"/>
                      <w:color w:val="auto"/>
                      <w:sz w:val="18"/>
                      <w:szCs w:val="18"/>
                      <w:highlight w:val="none"/>
                      <w:lang w:val="en-US" w:eastAsia="zh-CN"/>
                    </w:rPr>
                    <w:t>本项目废水全部回用于生产，不外排，设废水收集池，事故状态下废水不外排。</w:t>
                  </w:r>
                  <w:r>
                    <w:rPr>
                      <w:rFonts w:hint="default" w:ascii="Times New Roman" w:hAnsi="Times New Roman" w:eastAsia="宋体" w:cs="Times New Roman"/>
                      <w:color w:val="auto"/>
                      <w:sz w:val="18"/>
                      <w:szCs w:val="18"/>
                      <w:highlight w:val="none"/>
                      <w:lang w:val="en-US" w:eastAsia="zh-CN"/>
                    </w:rPr>
                    <w:t>。</w:t>
                  </w:r>
                </w:p>
              </w:tc>
              <w:tc>
                <w:tcPr>
                  <w:tcW w:w="278" w:type="pct"/>
                  <w:tcBorders>
                    <w:left w:val="single" w:color="auto" w:sz="4" w:space="0"/>
                    <w:right w:val="single" w:color="auto" w:sz="4" w:space="0"/>
                  </w:tcBorders>
                  <w:noWrap w:val="0"/>
                  <w:vAlign w:val="center"/>
                </w:tcPr>
                <w:p w14:paraId="1CD19A5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ACF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56C9D5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3A5DE4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大气环境总体</w:t>
                  </w:r>
                  <w:r>
                    <w:rPr>
                      <w:rFonts w:hint="default" w:ascii="Times New Roman" w:hAnsi="Times New Roman" w:cs="Times New Roman"/>
                      <w:color w:val="auto"/>
                      <w:sz w:val="18"/>
                      <w:szCs w:val="18"/>
                      <w:highlight w:val="none"/>
                      <w:lang w:eastAsia="zh-CN"/>
                    </w:rPr>
                    <w:t>准入要求</w:t>
                  </w:r>
                </w:p>
              </w:tc>
            </w:tr>
            <w:tr w14:paraId="2530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6CB0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A73646D">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空间布局约束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26AAA8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lang w:val="en-US" w:eastAsia="zh-CN"/>
                    </w:rPr>
                    <w:t>加大钢铁、焦化等行业结构调整力度，推进化工、石化企业治理改造，优先发展战略</w:t>
                  </w:r>
                  <w:r>
                    <w:rPr>
                      <w:rFonts w:hint="default" w:ascii="Times New Roman" w:hAnsi="Times New Roman" w:cs="Times New Roman"/>
                      <w:color w:val="auto"/>
                      <w:sz w:val="18"/>
                      <w:szCs w:val="18"/>
                      <w:highlight w:val="none"/>
                      <w:lang w:val="en-US" w:eastAsia="zh-CN"/>
                    </w:rPr>
                    <w:t>性</w:t>
                  </w:r>
                  <w:r>
                    <w:rPr>
                      <w:rFonts w:hint="default" w:ascii="Times New Roman" w:hAnsi="Times New Roman" w:eastAsia="宋体" w:cs="Times New Roman"/>
                      <w:color w:val="auto"/>
                      <w:sz w:val="18"/>
                      <w:szCs w:val="18"/>
                      <w:highlight w:val="none"/>
                      <w:lang w:val="en-US" w:eastAsia="zh-CN"/>
                    </w:rPr>
                    <w:t>新兴产业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4、大气环境受体敏感重点管控区中重点涉气行业企业，除必须依托城市或直接服务于城市的企业外，均应规划退城搬迁。</w:t>
                  </w:r>
                </w:p>
                <w:p w14:paraId="08CF347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5、大气环境弱扩散重点管控区内严格控制新建、扩建燃煤火电、钢铁，以及除国家、省、市规划外的石化等高污染高排放项目。</w:t>
                  </w:r>
                </w:p>
                <w:p w14:paraId="7C1E226C">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6、对热效率低下、敞开未封闭，装备简易落后、自动化程度低，布局分散、规模小、无组织排放突出，以及无治理设施或治理设施工艺落后的工业炉窑，依法责令停业关闭。</w:t>
                  </w:r>
                </w:p>
                <w:p w14:paraId="3E589E9D">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7、全市禁止新建 35蒸吨/小时及以下燃煤锅炉，35蒸吨/小时以上燃煤锅炉要达到超低排放标准。城市主城区和县城禁止新建 35蒸吨/小时及以下生物质和燃油(醇基燃料)锅炉，35蒸吨/小时以上的燃油和生物质锅炉要达到超低排放标准。</w:t>
                  </w:r>
                </w:p>
                <w:p w14:paraId="333F0C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leftChars="0" w:right="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164487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w:t>
                  </w:r>
                  <w:r>
                    <w:rPr>
                      <w:rFonts w:hint="default" w:ascii="Times New Roman" w:hAnsi="Times New Roman" w:eastAsia="宋体" w:cs="Times New Roman"/>
                      <w:color w:val="auto"/>
                      <w:sz w:val="18"/>
                      <w:szCs w:val="18"/>
                      <w:highlight w:val="none"/>
                      <w:lang w:val="en-US" w:eastAsia="zh-CN"/>
                    </w:rPr>
                    <w:t>。</w:t>
                  </w:r>
                </w:p>
                <w:p w14:paraId="5F6029F0">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不属于</w:t>
                  </w:r>
                  <w:r>
                    <w:rPr>
                      <w:rFonts w:hint="default" w:ascii="Times New Roman" w:hAnsi="Times New Roman" w:eastAsia="宋体" w:cs="Times New Roman"/>
                      <w:color w:val="auto"/>
                      <w:sz w:val="18"/>
                      <w:szCs w:val="18"/>
                      <w:highlight w:val="none"/>
                      <w:lang w:val="en-US" w:eastAsia="zh-CN"/>
                    </w:rPr>
                    <w:t>。</w:t>
                  </w:r>
                </w:p>
                <w:p w14:paraId="4712AA11">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3、本项目不属于高耗能、高排放项目，不属于钢铁、焦化、水泥、平板玻璃、电解铝等项目。</w:t>
                  </w:r>
                </w:p>
                <w:p w14:paraId="30CCC86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4、本项目</w:t>
                  </w:r>
                  <w:r>
                    <w:rPr>
                      <w:rFonts w:hint="default" w:ascii="Times New Roman" w:hAnsi="Times New Roman" w:cs="Times New Roman"/>
                      <w:color w:val="auto"/>
                      <w:sz w:val="18"/>
                      <w:szCs w:val="18"/>
                      <w:highlight w:val="none"/>
                      <w:lang w:val="en-US" w:eastAsia="zh-CN"/>
                    </w:rPr>
                    <w:t>不属于重点涉气行业</w:t>
                  </w:r>
                  <w:r>
                    <w:rPr>
                      <w:rFonts w:hint="default" w:ascii="Times New Roman" w:hAnsi="Times New Roman" w:eastAsia="宋体" w:cs="Times New Roman"/>
                      <w:color w:val="auto"/>
                      <w:sz w:val="18"/>
                      <w:szCs w:val="18"/>
                      <w:highlight w:val="none"/>
                      <w:lang w:val="en-US" w:eastAsia="zh-CN"/>
                    </w:rPr>
                    <w:t>。</w:t>
                  </w:r>
                </w:p>
                <w:p w14:paraId="76FDD1A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val="en-US" w:eastAsia="zh-CN"/>
                    </w:rPr>
                    <w:t>不涉及</w:t>
                  </w:r>
                  <w:r>
                    <w:rPr>
                      <w:rFonts w:hint="default" w:ascii="Times New Roman" w:hAnsi="Times New Roman" w:eastAsia="宋体" w:cs="Times New Roman"/>
                      <w:color w:val="auto"/>
                      <w:sz w:val="18"/>
                      <w:szCs w:val="18"/>
                      <w:highlight w:val="none"/>
                      <w:lang w:val="en-US" w:eastAsia="zh-CN"/>
                    </w:rPr>
                    <w:t>。</w:t>
                  </w:r>
                </w:p>
                <w:p w14:paraId="32DB200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p w14:paraId="36169CC7">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生产不用热，办公采暖采用空调，不涉及锅炉</w:t>
                  </w:r>
                  <w:r>
                    <w:rPr>
                      <w:rFonts w:hint="default" w:ascii="Times New Roman" w:hAnsi="Times New Roman" w:eastAsia="宋体" w:cs="Times New Roman"/>
                      <w:color w:val="auto"/>
                      <w:sz w:val="18"/>
                      <w:szCs w:val="18"/>
                      <w:highlight w:val="none"/>
                      <w:lang w:val="en-US" w:eastAsia="zh-CN"/>
                    </w:rPr>
                    <w:t>。</w:t>
                  </w:r>
                </w:p>
                <w:p w14:paraId="0AB3FEAE">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65E3D1F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p>
              </w:tc>
              <w:tc>
                <w:tcPr>
                  <w:tcW w:w="278" w:type="pct"/>
                  <w:tcBorders>
                    <w:top w:val="single" w:color="auto" w:sz="4" w:space="0"/>
                    <w:left w:val="single" w:color="auto" w:sz="4" w:space="0"/>
                    <w:bottom w:val="single" w:color="auto" w:sz="4" w:space="0"/>
                    <w:right w:val="single" w:color="auto" w:sz="4" w:space="0"/>
                  </w:tcBorders>
                  <w:noWrap w:val="0"/>
                  <w:vAlign w:val="center"/>
                </w:tcPr>
                <w:p w14:paraId="62FB13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D142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right w:val="single" w:color="auto" w:sz="4" w:space="0"/>
                  </w:tcBorders>
                  <w:noWrap w:val="0"/>
                  <w:vAlign w:val="center"/>
                </w:tcPr>
                <w:p w14:paraId="2321DB6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w:t>
                  </w:r>
                  <w:r>
                    <w:rPr>
                      <w:rFonts w:hint="default" w:ascii="Times New Roman" w:hAnsi="Times New Roman" w:eastAsia="宋体" w:cs="Times New Roman"/>
                      <w:color w:val="auto"/>
                      <w:kern w:val="2"/>
                      <w:sz w:val="18"/>
                      <w:szCs w:val="18"/>
                      <w:highlight w:val="none"/>
                      <w:lang w:val="en-US" w:eastAsia="zh-CN" w:bidi="ar-SA"/>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7AF5D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eastAsia="zh-CN"/>
                    </w:rPr>
                    <w:t>污染物排放管控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776A98B">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rPr>
                    <w:t>严格区域削减要求。严格执行《生态环境部办公厅关于加强重点行业建设项目区域削减措施监督管理的通知》(环办环评</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2020</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36 号)相关要求。</w:t>
                  </w:r>
                </w:p>
                <w:p w14:paraId="6CE15F79">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2、对保留的工业炉窑开展环保提标改造，配套建设高效脱硫脱硝除尘设施，确保稳定达标排放，按照《河北省工业炉窑综合治理实施方案》执行。</w:t>
                  </w:r>
                </w:p>
                <w:p w14:paraId="4D6588E5">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lang w:val="en-US" w:eastAsia="zh-CN"/>
                    </w:rPr>
                    <w:t>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00A31A7">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4、加强无组织排放治理，开展钢铁、水泥、燃煤电厂、焦化平板玻璃、陶瓷等行业重点行业无组织排放检查工作，物料存储运输等全部采用密闭或封闭形式。</w:t>
                  </w:r>
                </w:p>
                <w:p w14:paraId="65524B90">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5、加快推进铁路专用线建设，大宗货物及产品年货运量150万吨以上的企业原则上全部修建铁路专用线，达不到的采用清洁能源汽车或国六排放标准汽车代替。</w:t>
                  </w:r>
                </w:p>
                <w:p w14:paraId="65BDA889">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lang w:val="en-US" w:eastAsia="zh-CN"/>
                    </w:rPr>
                    <w:t>、深化建筑施工扬尘专项整治，严格执行《石家庄市建设工程围挡设置和扬尘管理标准》加强道路扬尘综合整治。全市工业企业料堆场全部实现规范管理</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对环境敏感区的煤场、料场、渣场实现在线监控和视频监控全覆盖。</w:t>
                  </w:r>
                </w:p>
                <w:p w14:paraId="58D6159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7、严禁秸秆、垃圾露天焚烧，实施农村地区的散煤替代及清洁开发利用工程。</w:t>
                  </w:r>
                </w:p>
                <w:p w14:paraId="11242B3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8、巩固钢铁、焦化、煤电、水泥、平板玻璃、陶瓷等行业超低排放成效，实施工艺全流程深度治理全面加强无组织排放管控。</w:t>
                  </w:r>
                </w:p>
                <w:p w14:paraId="2261716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82472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rPr>
                    <w:t>1、本项目</w:t>
                  </w:r>
                  <w:r>
                    <w:rPr>
                      <w:rFonts w:hint="default" w:ascii="Times New Roman" w:hAnsi="Times New Roman" w:cs="Times New Roman"/>
                      <w:color w:val="auto"/>
                      <w:kern w:val="0"/>
                      <w:sz w:val="18"/>
                      <w:szCs w:val="18"/>
                      <w:highlight w:val="none"/>
                      <w:lang w:val="en-US" w:eastAsia="zh-CN"/>
                    </w:rPr>
                    <w:t>不属于需要采取区域削减措施的重点行业</w:t>
                  </w:r>
                  <w:r>
                    <w:rPr>
                      <w:rFonts w:hint="default" w:ascii="Times New Roman" w:hAnsi="Times New Roman" w:eastAsia="宋体" w:cs="Times New Roman"/>
                      <w:color w:val="auto"/>
                      <w:kern w:val="0"/>
                      <w:sz w:val="18"/>
                      <w:szCs w:val="18"/>
                      <w:highlight w:val="none"/>
                    </w:rPr>
                    <w:t>。</w:t>
                  </w:r>
                </w:p>
                <w:p w14:paraId="1E9264C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6A990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rPr>
                    <w:t>、</w:t>
                  </w:r>
                  <w:r>
                    <w:rPr>
                      <w:rFonts w:hint="default" w:ascii="Times New Roman" w:hAnsi="Times New Roman" w:cs="Times New Roman"/>
                      <w:color w:val="auto"/>
                      <w:kern w:val="0"/>
                      <w:sz w:val="18"/>
                      <w:szCs w:val="18"/>
                      <w:highlight w:val="none"/>
                      <w:lang w:eastAsia="zh-CN"/>
                    </w:rPr>
                    <w:t>本项目不涉及涂料及油墨使用</w:t>
                  </w:r>
                  <w:r>
                    <w:rPr>
                      <w:rFonts w:hint="default" w:ascii="Times New Roman" w:hAnsi="Times New Roman" w:eastAsia="宋体" w:cs="Times New Roman"/>
                      <w:color w:val="auto"/>
                      <w:kern w:val="0"/>
                      <w:sz w:val="18"/>
                      <w:szCs w:val="18"/>
                      <w:highlight w:val="none"/>
                    </w:rPr>
                    <w:t>。</w:t>
                  </w:r>
                </w:p>
                <w:p w14:paraId="03A0977B">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459414E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453F49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rPr>
                    <w:t>、本项目</w:t>
                  </w:r>
                  <w:r>
                    <w:rPr>
                      <w:rFonts w:hint="default" w:ascii="Times New Roman" w:hAnsi="Times New Roman" w:cs="Times New Roman"/>
                      <w:color w:val="auto"/>
                      <w:kern w:val="0"/>
                      <w:sz w:val="18"/>
                      <w:szCs w:val="18"/>
                      <w:highlight w:val="none"/>
                      <w:lang w:eastAsia="zh-CN"/>
                    </w:rPr>
                    <w:t>施工期严格执行相关标准要求，加强扬尘综合治理。</w:t>
                  </w:r>
                </w:p>
                <w:p w14:paraId="79411DB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p w14:paraId="6BE5D5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548500FF">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9、不涉及。</w:t>
                  </w:r>
                </w:p>
                <w:p w14:paraId="6D00A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p>
              </w:tc>
              <w:tc>
                <w:tcPr>
                  <w:tcW w:w="278" w:type="pct"/>
                  <w:tcBorders>
                    <w:top w:val="single" w:color="auto" w:sz="4" w:space="0"/>
                    <w:left w:val="single" w:color="auto" w:sz="4" w:space="0"/>
                    <w:right w:val="single" w:color="auto" w:sz="4" w:space="0"/>
                  </w:tcBorders>
                  <w:noWrap w:val="0"/>
                  <w:vAlign w:val="center"/>
                </w:tcPr>
                <w:p w14:paraId="4CB0A62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w:t>
                  </w:r>
                </w:p>
              </w:tc>
            </w:tr>
            <w:tr w14:paraId="1512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noWrap w:val="0"/>
                  <w:vAlign w:val="center"/>
                </w:tcPr>
                <w:p w14:paraId="122854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4.3</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032C7C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bCs/>
                      <w:color w:val="auto"/>
                      <w:sz w:val="18"/>
                      <w:szCs w:val="18"/>
                      <w:highlight w:val="none"/>
                      <w:lang w:eastAsia="zh-CN"/>
                    </w:rPr>
                  </w:pPr>
                  <w:r>
                    <w:rPr>
                      <w:rFonts w:hint="default" w:ascii="Times New Roman" w:hAnsi="Times New Roman" w:cs="Times New Roman"/>
                      <w:bCs/>
                      <w:color w:val="auto"/>
                      <w:sz w:val="18"/>
                      <w:szCs w:val="18"/>
                      <w:highlight w:val="none"/>
                      <w:lang w:eastAsia="zh-CN"/>
                    </w:rPr>
                    <w:t>环境风险防控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FB7143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6391CEF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本</w:t>
                  </w:r>
                  <w:r>
                    <w:rPr>
                      <w:rFonts w:hint="default" w:ascii="Times New Roman" w:hAnsi="Times New Roman" w:cs="Times New Roman"/>
                      <w:color w:val="auto"/>
                      <w:kern w:val="0"/>
                      <w:sz w:val="18"/>
                      <w:szCs w:val="18"/>
                      <w:highlight w:val="none"/>
                      <w:lang w:val="en-US" w:eastAsia="zh-CN"/>
                    </w:rPr>
                    <w:t>项目不涉及新污染物产生和排放。</w:t>
                  </w:r>
                </w:p>
              </w:tc>
              <w:tc>
                <w:tcPr>
                  <w:tcW w:w="278" w:type="pct"/>
                  <w:tcBorders>
                    <w:left w:val="single" w:color="auto" w:sz="4" w:space="0"/>
                    <w:bottom w:val="single" w:color="auto" w:sz="4" w:space="0"/>
                    <w:right w:val="single" w:color="auto" w:sz="4" w:space="0"/>
                  </w:tcBorders>
                  <w:noWrap w:val="0"/>
                  <w:vAlign w:val="center"/>
                </w:tcPr>
                <w:p w14:paraId="3B96458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0B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94B693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5</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E47A5A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全市自然</w:t>
                  </w:r>
                  <w:r>
                    <w:rPr>
                      <w:rFonts w:hint="default" w:ascii="Times New Roman" w:hAnsi="Times New Roman" w:eastAsia="宋体" w:cs="Times New Roman"/>
                      <w:color w:val="auto"/>
                      <w:sz w:val="18"/>
                      <w:szCs w:val="18"/>
                      <w:highlight w:val="none"/>
                    </w:rPr>
                    <w:t>资源总体管控要求</w:t>
                  </w:r>
                </w:p>
              </w:tc>
            </w:tr>
            <w:tr w14:paraId="0D9F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D8E33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.1</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73D8DF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6D33860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D1EE9E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1、严格执行“最严格水资源管理制度”确定的用水总量控制指标，加强水资源取水论证，严格水资源总量考核管理，同时全面推进节水型社会建设，提高用水效率。</w:t>
                  </w:r>
                </w:p>
                <w:p w14:paraId="5BFCD18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AE49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44043B0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FFA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183A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.2</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0AB5B74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能源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150FF1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lang w:eastAsia="zh-CN"/>
                    </w:rPr>
                  </w:pPr>
                  <w:r>
                    <w:rPr>
                      <w:rFonts w:hint="default" w:ascii="Times New Roman" w:hAnsi="Times New Roman" w:cs="Times New Roman"/>
                      <w:color w:val="auto"/>
                      <w:sz w:val="18"/>
                      <w:szCs w:val="18"/>
                      <w:highlight w:val="none"/>
                      <w:lang w:eastAsia="zh-CN"/>
                    </w:rPr>
                    <w:t>高污染燃料禁燃区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8DE2EB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2F8EF66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0866782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3、禁燃区内禁止原煤散烧。</w:t>
                  </w:r>
                </w:p>
                <w:p w14:paraId="2ED499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4、其他平原县和山区县执行县级政府确定的禁燃区范围和管理要求。</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BC20A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0"/>
                      <w:sz w:val="18"/>
                      <w:szCs w:val="18"/>
                      <w:highlight w:val="none"/>
                      <w:lang w:eastAsia="zh-CN"/>
                    </w:rPr>
                    <w:t>项目生产不用热，办公采暖采用空调，不涉及燃料使用。</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83B16B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00DC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CD3E12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6</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427CF2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产业布局总体管控要求</w:t>
                  </w:r>
                </w:p>
              </w:tc>
            </w:tr>
            <w:tr w14:paraId="1CED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8F288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DCDF8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总体</w:t>
                  </w:r>
                </w:p>
                <w:p w14:paraId="0AF0136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F32F2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严格建设项目环境准入，新、改、扩建项目的环境影响评价应满足区域、规划环评要求。</w:t>
                  </w:r>
                </w:p>
                <w:p w14:paraId="59E3FFA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严格执行国家《产业结构调整指导目录》、《市场准入负面清单》以及《河北省禁止投资的产业目录》中准入要求。</w:t>
                  </w:r>
                </w:p>
                <w:p w14:paraId="3606D54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eastAsia="宋体" w:cs="Times New Roman"/>
                      <w:color w:val="auto"/>
                      <w:sz w:val="18"/>
                      <w:szCs w:val="18"/>
                      <w:highlight w:val="none"/>
                    </w:rPr>
                    <w:t>严格控制《环境保护综合名录》中“高污染、高环境风险”产品加工项目，城市工业企业退城搬迁改造及产能置换项目除外。</w:t>
                  </w:r>
                </w:p>
                <w:p w14:paraId="41FD8EF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、新建项目一律不得违规占用河库管理范围。</w:t>
                  </w:r>
                </w:p>
                <w:p w14:paraId="5773B1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、以石化、化工、涂装、医药、包装印刷、油品储运销等行业领域为重点，安全高效推进挥发性有机物(</w:t>
                  </w:r>
                  <w:r>
                    <w:rPr>
                      <w:rFonts w:hint="default" w:ascii="Times New Roman" w:hAnsi="Times New Roman" w:cs="Times New Roman"/>
                      <w:color w:val="auto"/>
                      <w:sz w:val="18"/>
                      <w:szCs w:val="18"/>
                      <w:highlight w:val="none"/>
                      <w:lang w:val="en-US" w:eastAsia="zh-CN"/>
                    </w:rPr>
                    <w:t>VO</w:t>
                  </w:r>
                  <w:r>
                    <w:rPr>
                      <w:rFonts w:hint="default" w:ascii="Times New Roman" w:hAnsi="Times New Roman" w:eastAsia="宋体" w:cs="Times New Roman"/>
                      <w:color w:val="auto"/>
                      <w:sz w:val="18"/>
                      <w:szCs w:val="18"/>
                      <w:highlight w:val="none"/>
                    </w:rPr>
                    <w:t>Cs)综合治理，实施原辅材料和产品源头替代。</w:t>
                  </w:r>
                </w:p>
                <w:p w14:paraId="2702676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、锅炉大气污染物排放控制要求、污染物监测要求、达标判定要求按照河北省地标《锅炉大气污染物排放标准》(</w:t>
                  </w:r>
                  <w:r>
                    <w:rPr>
                      <w:rFonts w:hint="default" w:ascii="Times New Roman" w:hAnsi="Times New Roman" w:cs="Times New Roman"/>
                      <w:color w:val="auto"/>
                      <w:sz w:val="18"/>
                      <w:szCs w:val="18"/>
                      <w:highlight w:val="none"/>
                      <w:lang w:val="en-US" w:eastAsia="zh-CN"/>
                    </w:rPr>
                    <w:t>G</w:t>
                  </w:r>
                  <w:r>
                    <w:rPr>
                      <w:rFonts w:hint="default" w:ascii="Times New Roman" w:hAnsi="Times New Roman" w:eastAsia="宋体" w:cs="Times New Roman"/>
                      <w:color w:val="auto"/>
                      <w:sz w:val="18"/>
                      <w:szCs w:val="18"/>
                      <w:highlight w:val="none"/>
                    </w:rPr>
                    <w:t>B13/5161-2020)执行。</w:t>
                  </w:r>
                </w:p>
                <w:p w14:paraId="638B67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rPr>
                    <w:t>、在地下水超采区控制高耗水产业发展。</w:t>
                  </w:r>
                </w:p>
                <w:p w14:paraId="364E3A6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8</w:t>
                  </w:r>
                  <w:r>
                    <w:rPr>
                      <w:rFonts w:hint="default" w:ascii="Times New Roman" w:hAnsi="Times New Roman" w:eastAsia="宋体" w:cs="Times New Roman"/>
                      <w:color w:val="auto"/>
                      <w:sz w:val="18"/>
                      <w:szCs w:val="18"/>
                      <w:highlight w:val="none"/>
                    </w:rPr>
                    <w:t>、涉重金属重点行业企业“十四五”期间依法依规至少开展一轮强制性清洁生产审核，到2025 年底，涉重金属重点行业企业基本达到国内清洁生产先进水平。</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DD5C87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bidi="ar"/>
                    </w:rPr>
                    <w:t>本项目的建设符合环境准入及规划环评要求。</w:t>
                  </w:r>
                </w:p>
                <w:p w14:paraId="6F30D2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eastAsia="zh-CN"/>
                    </w:rPr>
                    <w:t>项目不属于</w:t>
                  </w:r>
                  <w:r>
                    <w:rPr>
                      <w:rFonts w:hint="default" w:ascii="Times New Roman" w:hAnsi="Times New Roman" w:eastAsia="宋体" w:cs="Times New Roman"/>
                      <w:color w:val="auto"/>
                      <w:sz w:val="18"/>
                      <w:szCs w:val="18"/>
                      <w:highlight w:val="none"/>
                    </w:rPr>
                    <w:t>《产业结构调整指</w:t>
                  </w:r>
                  <w:r>
                    <w:rPr>
                      <w:rFonts w:hint="default" w:ascii="Times New Roman" w:hAnsi="Times New Roman" w:eastAsia="宋体" w:cs="Times New Roman"/>
                      <w:color w:val="auto"/>
                      <w:sz w:val="18"/>
                      <w:szCs w:val="18"/>
                      <w:highlight w:val="none"/>
                      <w:lang w:eastAsia="zh-CN"/>
                    </w:rPr>
                    <w:t>导目录（</w:t>
                  </w:r>
                  <w:r>
                    <w:rPr>
                      <w:rFonts w:hint="default" w:ascii="Times New Roman" w:hAnsi="Times New Roman" w:cs="Times New Roman"/>
                      <w:color w:val="auto"/>
                      <w:sz w:val="18"/>
                      <w:szCs w:val="18"/>
                      <w:highlight w:val="none"/>
                      <w:lang w:eastAsia="zh-CN"/>
                    </w:rPr>
                    <w:t>2024年本</w:t>
                  </w:r>
                  <w:r>
                    <w:rPr>
                      <w:rFonts w:hint="default" w:ascii="Times New Roman" w:hAnsi="Times New Roman" w:eastAsia="宋体" w:cs="Times New Roman"/>
                      <w:color w:val="auto"/>
                      <w:sz w:val="18"/>
                      <w:szCs w:val="18"/>
                      <w:highlight w:val="none"/>
                      <w:lang w:eastAsia="zh-CN"/>
                    </w:rPr>
                    <w:t>）》中</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限制类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和</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淘汰类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年版)》禁止准入类。</w:t>
                  </w:r>
                </w:p>
                <w:p w14:paraId="516680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3、本项目不属于</w:t>
                  </w:r>
                  <w:r>
                    <w:rPr>
                      <w:rFonts w:hint="default" w:ascii="Times New Roman" w:hAnsi="Times New Roman" w:eastAsia="宋体" w:cs="Times New Roman"/>
                      <w:color w:val="auto"/>
                      <w:sz w:val="18"/>
                      <w:szCs w:val="18"/>
                      <w:highlight w:val="none"/>
                      <w:lang w:val="en-US" w:eastAsia="zh-CN"/>
                    </w:rPr>
                    <w:t>《环境保护综合名录》中“高污染、高风险”产品加工项目</w:t>
                  </w:r>
                  <w:r>
                    <w:rPr>
                      <w:rFonts w:hint="default" w:ascii="Times New Roman" w:hAnsi="Times New Roman" w:cs="Times New Roman"/>
                      <w:color w:val="auto"/>
                      <w:sz w:val="18"/>
                      <w:szCs w:val="18"/>
                      <w:highlight w:val="none"/>
                      <w:lang w:val="en-US" w:eastAsia="zh-CN"/>
                    </w:rPr>
                    <w:t>。</w:t>
                  </w:r>
                </w:p>
                <w:p w14:paraId="4740DC54">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4、本项目占地为工业用地，不涉及河库管理范围。</w:t>
                  </w:r>
                </w:p>
                <w:p w14:paraId="4959C215">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5、本项目不属于涉VOCs重点行业，不涉及VOCs排放。</w:t>
                  </w:r>
                </w:p>
                <w:p w14:paraId="427422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6、本项目不涉及</w:t>
                  </w:r>
                  <w:r>
                    <w:rPr>
                      <w:rFonts w:hint="default" w:ascii="Times New Roman" w:hAnsi="Times New Roman" w:eastAsia="宋体" w:cs="Times New Roman"/>
                      <w:color w:val="auto"/>
                      <w:sz w:val="18"/>
                      <w:szCs w:val="18"/>
                      <w:highlight w:val="none"/>
                      <w:lang w:val="en-US" w:eastAsia="zh-CN"/>
                    </w:rPr>
                    <w:t>。</w:t>
                  </w:r>
                </w:p>
                <w:p w14:paraId="58B3E7CB">
                  <w:pPr>
                    <w:keepNext w:val="0"/>
                    <w:keepLines w:val="0"/>
                    <w:pageBreakBefore w:val="0"/>
                    <w:numPr>
                      <w:ilvl w:val="0"/>
                      <w:numId w:val="5"/>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本项目不属于高耗水项目，依托市政供水设施，不开采地下水。</w:t>
                  </w:r>
                </w:p>
                <w:p w14:paraId="15B0F2BC">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8、本项目不涉及重金属。</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D56AF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14:paraId="23CA149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cs="Times New Roman"/>
                <w:color w:val="auto"/>
                <w:kern w:val="0"/>
                <w:sz w:val="24"/>
                <w:highlight w:val="none"/>
                <w:lang w:val="en-US" w:eastAsia="zh-CN"/>
              </w:rPr>
              <w:t>（2）</w:t>
            </w:r>
            <w:r>
              <w:rPr>
                <w:rFonts w:hint="default" w:ascii="Times New Roman" w:hAnsi="Times New Roman" w:eastAsia="宋体" w:cs="Times New Roman"/>
                <w:color w:val="auto"/>
                <w:kern w:val="0"/>
                <w:sz w:val="24"/>
                <w:highlight w:val="none"/>
              </w:rPr>
              <w:t>项目与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生态环境管控要求符合性分析</w:t>
            </w:r>
          </w:p>
          <w:p w14:paraId="6B79A8D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w:t>
            </w:r>
            <w:r>
              <w:rPr>
                <w:rFonts w:hint="default" w:ascii="Times New Roman" w:hAnsi="Times New Roman" w:cs="Times New Roman"/>
                <w:color w:val="auto"/>
                <w:kern w:val="0"/>
                <w:sz w:val="24"/>
                <w:highlight w:val="none"/>
                <w:lang w:eastAsia="zh-CN"/>
              </w:rPr>
              <w:t>位于河北石家庄矿区工业园区丰达片区，</w:t>
            </w:r>
            <w:r>
              <w:rPr>
                <w:rFonts w:hint="default" w:ascii="Times New Roman" w:hAnsi="Times New Roman" w:eastAsia="宋体" w:cs="Times New Roman"/>
                <w:color w:val="auto"/>
                <w:kern w:val="0"/>
                <w:sz w:val="24"/>
                <w:highlight w:val="none"/>
              </w:rPr>
              <w:t>属于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重点管控单元</w:t>
            </w:r>
            <w:r>
              <w:rPr>
                <w:rFonts w:hint="default" w:ascii="Times New Roman" w:hAnsi="Times New Roman"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rPr>
              <w:t>，与重点管控单元符合性分析见下表。</w:t>
            </w:r>
          </w:p>
          <w:p w14:paraId="49E8C8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8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井陉矿区</w:t>
            </w:r>
            <w:r>
              <w:rPr>
                <w:rFonts w:hint="default" w:ascii="Times New Roman" w:hAnsi="Times New Roman" w:eastAsia="宋体" w:cs="Times New Roman"/>
                <w:b/>
                <w:bCs/>
                <w:color w:val="auto"/>
                <w:kern w:val="0"/>
                <w:sz w:val="24"/>
                <w:highlight w:val="none"/>
              </w:rPr>
              <w:t>重点管控单元</w:t>
            </w:r>
            <w:r>
              <w:rPr>
                <w:rFonts w:hint="default" w:ascii="Times New Roman" w:hAnsi="Times New Roman" w:cs="Times New Roman"/>
                <w:b/>
                <w:bCs/>
                <w:color w:val="auto"/>
                <w:kern w:val="0"/>
                <w:sz w:val="24"/>
                <w:highlight w:val="none"/>
                <w:lang w:eastAsia="zh-CN"/>
              </w:rPr>
              <w:t>要求</w:t>
            </w:r>
            <w:r>
              <w:rPr>
                <w:rFonts w:hint="default" w:ascii="Times New Roman" w:hAnsi="Times New Roman" w:eastAsia="宋体" w:cs="Times New Roman"/>
                <w:b/>
                <w:bCs/>
                <w:color w:val="auto"/>
                <w:kern w:val="0"/>
                <w:sz w:val="24"/>
                <w:highlight w:val="none"/>
              </w:rPr>
              <w:t>符合性分析</w:t>
            </w:r>
          </w:p>
          <w:tbl>
            <w:tblPr>
              <w:tblStyle w:val="41"/>
              <w:tblW w:w="4995" w:type="pct"/>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4"/>
              <w:gridCol w:w="652"/>
              <w:gridCol w:w="514"/>
              <w:gridCol w:w="3223"/>
              <w:gridCol w:w="2708"/>
              <w:gridCol w:w="448"/>
            </w:tblGrid>
            <w:tr w14:paraId="43021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Align w:val="center"/>
                </w:tcPr>
                <w:p w14:paraId="16C19C9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单元类别</w:t>
                  </w:r>
                </w:p>
              </w:tc>
              <w:tc>
                <w:tcPr>
                  <w:tcW w:w="406" w:type="pct"/>
                  <w:vAlign w:val="center"/>
                </w:tcPr>
                <w:p w14:paraId="565B362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环境要素类别</w:t>
                  </w:r>
                </w:p>
              </w:tc>
              <w:tc>
                <w:tcPr>
                  <w:tcW w:w="320" w:type="pct"/>
                  <w:vAlign w:val="center"/>
                </w:tcPr>
                <w:p w14:paraId="1E4F85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维度</w:t>
                  </w:r>
                </w:p>
              </w:tc>
              <w:tc>
                <w:tcPr>
                  <w:tcW w:w="2007" w:type="pct"/>
                  <w:vAlign w:val="center"/>
                </w:tcPr>
                <w:p w14:paraId="7C032A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管控措施</w:t>
                  </w:r>
                </w:p>
              </w:tc>
              <w:tc>
                <w:tcPr>
                  <w:tcW w:w="1686" w:type="pct"/>
                  <w:vAlign w:val="center"/>
                </w:tcPr>
                <w:p w14:paraId="4DEBC7D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本项目</w:t>
                  </w:r>
                </w:p>
              </w:tc>
              <w:tc>
                <w:tcPr>
                  <w:tcW w:w="278" w:type="pct"/>
                  <w:vAlign w:val="center"/>
                </w:tcPr>
                <w:p w14:paraId="796DEA2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14:paraId="1192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restart"/>
                  <w:vAlign w:val="center"/>
                </w:tcPr>
                <w:p w14:paraId="0910549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重点管控单元</w:t>
                  </w:r>
                  <w:r>
                    <w:rPr>
                      <w:rFonts w:hint="default" w:ascii="Times New Roman" w:hAnsi="Times New Roman" w:cs="Times New Roman"/>
                      <w:color w:val="auto"/>
                      <w:kern w:val="0"/>
                      <w:sz w:val="18"/>
                      <w:szCs w:val="18"/>
                      <w:highlight w:val="none"/>
                      <w:lang w:val="en-US" w:eastAsia="zh-CN"/>
                    </w:rPr>
                    <w:t>1</w:t>
                  </w:r>
                </w:p>
              </w:tc>
              <w:tc>
                <w:tcPr>
                  <w:tcW w:w="406" w:type="pct"/>
                  <w:vMerge w:val="restart"/>
                  <w:vAlign w:val="center"/>
                </w:tcPr>
                <w:p w14:paraId="1A50F57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水环境工业污染重点管控区、大气环境高排放重点</w:t>
                  </w:r>
                  <w:r>
                    <w:rPr>
                      <w:rFonts w:hint="default" w:ascii="Times New Roman" w:hAnsi="Times New Roman" w:cs="Times New Roman"/>
                      <w:color w:val="auto"/>
                      <w:kern w:val="0"/>
                      <w:sz w:val="18"/>
                      <w:szCs w:val="18"/>
                      <w:highlight w:val="none"/>
                      <w:lang w:val="en-US" w:eastAsia="zh-CN" w:bidi="ar"/>
                    </w:rPr>
                    <w:t>管控区</w:t>
                  </w:r>
                  <w:r>
                    <w:rPr>
                      <w:rFonts w:hint="default" w:ascii="Times New Roman" w:hAnsi="Times New Roman" w:eastAsia="宋体" w:cs="Times New Roman"/>
                      <w:color w:val="auto"/>
                      <w:kern w:val="0"/>
                      <w:sz w:val="18"/>
                      <w:szCs w:val="18"/>
                      <w:highlight w:val="none"/>
                      <w:lang w:val="en-US" w:eastAsia="zh-CN" w:bidi="ar"/>
                    </w:rPr>
                    <w:t>、</w:t>
                  </w:r>
                  <w:r>
                    <w:rPr>
                      <w:rFonts w:hint="default" w:ascii="Times New Roman" w:hAnsi="Times New Roman" w:cs="Times New Roman"/>
                      <w:color w:val="auto"/>
                      <w:kern w:val="0"/>
                      <w:sz w:val="18"/>
                      <w:szCs w:val="18"/>
                      <w:highlight w:val="none"/>
                      <w:lang w:val="en-US" w:eastAsia="zh-CN" w:bidi="ar"/>
                    </w:rPr>
                    <w:t>河北石家庄矿区工业园区（东区）</w:t>
                  </w:r>
                </w:p>
              </w:tc>
              <w:tc>
                <w:tcPr>
                  <w:tcW w:w="320" w:type="pct"/>
                  <w:vAlign w:val="center"/>
                </w:tcPr>
                <w:p w14:paraId="6270943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空间</w:t>
                  </w:r>
                  <w:r>
                    <w:rPr>
                      <w:rFonts w:hint="default" w:ascii="Times New Roman" w:hAnsi="Times New Roman" w:eastAsia="宋体" w:cs="Times New Roman"/>
                      <w:color w:val="auto"/>
                      <w:sz w:val="18"/>
                      <w:szCs w:val="18"/>
                      <w:highlight w:val="none"/>
                    </w:rPr>
                    <w:t>布局约束</w:t>
                  </w:r>
                </w:p>
              </w:tc>
              <w:tc>
                <w:tcPr>
                  <w:tcW w:w="2007" w:type="pct"/>
                  <w:vAlign w:val="top"/>
                </w:tcPr>
                <w:p w14:paraId="1E62DFC4">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1、严格落实国家、河北省以及石家庄市最新产业目录准入要求。</w:t>
                  </w:r>
                </w:p>
                <w:p w14:paraId="6756EE73">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2、严格落实最新规划环评及其</w:t>
                  </w:r>
                  <w:r>
                    <w:rPr>
                      <w:rFonts w:hint="default" w:ascii="Times New Roman" w:hAnsi="Times New Roman" w:cs="Times New Roman"/>
                      <w:color w:val="auto"/>
                      <w:kern w:val="0"/>
                      <w:sz w:val="18"/>
                      <w:szCs w:val="18"/>
                      <w:highlight w:val="none"/>
                      <w:lang w:val="en-US" w:eastAsia="zh-CN" w:bidi="ar"/>
                    </w:rPr>
                    <w:t>审查意见</w:t>
                  </w:r>
                  <w:r>
                    <w:rPr>
                      <w:rFonts w:hint="default" w:ascii="Times New Roman" w:hAnsi="Times New Roman" w:eastAsia="宋体" w:cs="Times New Roman"/>
                      <w:color w:val="auto"/>
                      <w:kern w:val="0"/>
                      <w:sz w:val="18"/>
                      <w:szCs w:val="18"/>
                      <w:highlight w:val="none"/>
                      <w:lang w:val="en-US" w:eastAsia="zh-CN" w:bidi="ar"/>
                    </w:rPr>
                    <w:t>制定的环境准入要求。</w:t>
                  </w:r>
                </w:p>
              </w:tc>
              <w:tc>
                <w:tcPr>
                  <w:tcW w:w="1686" w:type="pct"/>
                  <w:vAlign w:val="center"/>
                </w:tcPr>
                <w:p w14:paraId="1992A697">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1、本项目不属于《产业结构调整指导目录(2024年本)》中限制类、淘汰类项目</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对照《市场准入负面清单(202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年版)》，本项目不属于其中禁止准入类。</w:t>
                  </w:r>
                </w:p>
                <w:p w14:paraId="20F0449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2、本项目符合</w:t>
                  </w:r>
                  <w:r>
                    <w:rPr>
                      <w:rFonts w:hint="default" w:ascii="Times New Roman" w:hAnsi="Times New Roman" w:eastAsia="宋体" w:cs="Times New Roman"/>
                      <w:color w:val="auto"/>
                      <w:kern w:val="0"/>
                      <w:sz w:val="18"/>
                      <w:szCs w:val="18"/>
                      <w:highlight w:val="none"/>
                      <w:lang w:val="en-US" w:eastAsia="zh-CN" w:bidi="ar"/>
                    </w:rPr>
                    <w:t>河北</w:t>
                  </w:r>
                  <w:r>
                    <w:rPr>
                      <w:rFonts w:hint="default" w:ascii="Times New Roman" w:hAnsi="Times New Roman" w:cs="Times New Roman"/>
                      <w:color w:val="auto"/>
                      <w:kern w:val="0"/>
                      <w:sz w:val="18"/>
                      <w:szCs w:val="18"/>
                      <w:highlight w:val="none"/>
                      <w:lang w:val="en-US" w:eastAsia="zh-CN" w:bidi="ar"/>
                    </w:rPr>
                    <w:t>石家庄矿区工业园区最新</w:t>
                  </w:r>
                  <w:r>
                    <w:rPr>
                      <w:rFonts w:hint="default" w:ascii="Times New Roman" w:hAnsi="Times New Roman" w:eastAsia="宋体" w:cs="Times New Roman"/>
                      <w:color w:val="auto"/>
                      <w:sz w:val="18"/>
                      <w:szCs w:val="18"/>
                      <w:highlight w:val="none"/>
                      <w:lang w:eastAsia="zh-CN"/>
                    </w:rPr>
                    <w:t>规划环评及其审查意见制定的环境准入要求。</w:t>
                  </w:r>
                </w:p>
              </w:tc>
              <w:tc>
                <w:tcPr>
                  <w:tcW w:w="278" w:type="pct"/>
                  <w:vAlign w:val="center"/>
                </w:tcPr>
                <w:p w14:paraId="4D8755D4">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000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FB11AB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511477E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7192F80">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污染物排放管控</w:t>
                  </w:r>
                </w:p>
              </w:tc>
              <w:tc>
                <w:tcPr>
                  <w:tcW w:w="2007" w:type="pct"/>
                  <w:shd w:val="clear" w:color="auto" w:fill="auto"/>
                  <w:vAlign w:val="center"/>
                </w:tcPr>
                <w:p w14:paraId="2BDE7B53">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涉挥发性有机物企业排放标准执行《工业企业挥发性有机物排放控制标准》（DB12/2322-2016）、《挥发性有机物无组织排放控制标准》（GB37822-2019）等相关标准要求</w:t>
                  </w:r>
                  <w:r>
                    <w:rPr>
                      <w:rFonts w:hint="default" w:ascii="Times New Roman" w:hAnsi="Times New Roman" w:eastAsia="宋体" w:cs="Times New Roman"/>
                      <w:color w:val="auto"/>
                      <w:sz w:val="18"/>
                      <w:szCs w:val="18"/>
                      <w:highlight w:val="none"/>
                      <w:lang w:val="en-US" w:eastAsia="zh-CN"/>
                    </w:rPr>
                    <w:t>。</w:t>
                  </w:r>
                </w:p>
                <w:p w14:paraId="09DD9966">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.新（改、扩）建向环境水体直接排放污水的排污单位执行《子牙河流域水污染物排放标准》（DB13/2796-2018）排放限值。完善污水收集处理设施建设，确保区域水环境质量不降低。</w:t>
                  </w:r>
                </w:p>
              </w:tc>
              <w:tc>
                <w:tcPr>
                  <w:tcW w:w="1686" w:type="pct"/>
                  <w:shd w:val="clear" w:color="auto" w:fill="auto"/>
                  <w:vAlign w:val="center"/>
                </w:tcPr>
                <w:p w14:paraId="3E1CEB20">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lang w:val="en-US" w:eastAsia="zh-CN"/>
                    </w:rPr>
                    <w:t>本项目不</w:t>
                  </w:r>
                  <w:r>
                    <w:rPr>
                      <w:rFonts w:hint="default" w:ascii="Times New Roman" w:hAnsi="Times New Roman" w:cs="Times New Roman"/>
                      <w:color w:val="auto"/>
                      <w:sz w:val="18"/>
                      <w:szCs w:val="18"/>
                      <w:highlight w:val="none"/>
                      <w:lang w:val="en-US" w:eastAsia="zh-CN"/>
                    </w:rPr>
                    <w:t>涉及挥发性有机物</w:t>
                  </w:r>
                  <w:r>
                    <w:rPr>
                      <w:rFonts w:hint="default" w:ascii="Times New Roman" w:hAnsi="Times New Roman" w:eastAsia="宋体" w:cs="Times New Roman"/>
                      <w:color w:val="auto"/>
                      <w:sz w:val="18"/>
                      <w:szCs w:val="18"/>
                      <w:highlight w:val="none"/>
                      <w:lang w:val="en-US" w:eastAsia="zh-CN"/>
                    </w:rPr>
                    <w:t>；</w:t>
                  </w:r>
                </w:p>
                <w:p w14:paraId="259C314A">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本项目废水不外排</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457DC7AC">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3E6D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47F96C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0BEAB21B">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690471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环境风险防控</w:t>
                  </w:r>
                </w:p>
              </w:tc>
              <w:tc>
                <w:tcPr>
                  <w:tcW w:w="2007" w:type="pct"/>
                  <w:shd w:val="clear" w:color="auto" w:fill="auto"/>
                  <w:vAlign w:val="center"/>
                </w:tcPr>
                <w:p w14:paraId="0D4809FD">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1、园区按照相关要求，建立完善环境风险管理有关制度和有效的事故风险防范体系。</w:t>
                  </w:r>
                </w:p>
              </w:tc>
              <w:tc>
                <w:tcPr>
                  <w:tcW w:w="1686" w:type="pct"/>
                  <w:shd w:val="clear" w:color="auto" w:fill="auto"/>
                  <w:vAlign w:val="center"/>
                </w:tcPr>
                <w:p w14:paraId="5A714543">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1、项目</w:t>
                  </w:r>
                  <w:r>
                    <w:rPr>
                      <w:rFonts w:hint="default" w:ascii="Times New Roman" w:hAnsi="Times New Roman" w:cs="Times New Roman"/>
                      <w:color w:val="auto"/>
                      <w:sz w:val="18"/>
                      <w:szCs w:val="18"/>
                      <w:highlight w:val="none"/>
                    </w:rPr>
                    <w:t>加强风险防范管理，</w:t>
                  </w:r>
                  <w:r>
                    <w:rPr>
                      <w:rFonts w:hint="default" w:ascii="Times New Roman" w:hAnsi="Times New Roman" w:cs="Times New Roman"/>
                      <w:color w:val="auto"/>
                      <w:sz w:val="18"/>
                      <w:szCs w:val="18"/>
                      <w:highlight w:val="none"/>
                      <w:lang w:eastAsia="zh-CN"/>
                    </w:rPr>
                    <w:t>落实园区环境风险防范相关要求</w:t>
                  </w:r>
                  <w:r>
                    <w:rPr>
                      <w:rFonts w:hint="default" w:ascii="Times New Roman" w:hAnsi="Times New Roman" w:cs="Times New Roman"/>
                      <w:color w:val="auto"/>
                      <w:sz w:val="18"/>
                      <w:szCs w:val="18"/>
                      <w:highlight w:val="none"/>
                    </w:rPr>
                    <w:t>。</w:t>
                  </w:r>
                </w:p>
              </w:tc>
              <w:tc>
                <w:tcPr>
                  <w:tcW w:w="278" w:type="pct"/>
                  <w:vAlign w:val="center"/>
                </w:tcPr>
                <w:p w14:paraId="36E91E4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5CC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6391F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257FAA2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06DEC6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资游利用效率</w:t>
                  </w:r>
                </w:p>
              </w:tc>
              <w:tc>
                <w:tcPr>
                  <w:tcW w:w="2007" w:type="pct"/>
                  <w:shd w:val="clear" w:color="auto" w:fill="auto"/>
                  <w:vAlign w:val="center"/>
                </w:tcPr>
                <w:p w14:paraId="7D236FA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1、提高</w:t>
                  </w:r>
                  <w:r>
                    <w:rPr>
                      <w:rFonts w:hint="default" w:ascii="Times New Roman" w:hAnsi="Times New Roman" w:cs="Times New Roman"/>
                      <w:color w:val="auto"/>
                      <w:sz w:val="18"/>
                      <w:szCs w:val="18"/>
                      <w:highlight w:val="none"/>
                      <w:lang w:val="en-US" w:eastAsia="zh-CN"/>
                    </w:rPr>
                    <w:t>区域</w:t>
                  </w:r>
                  <w:r>
                    <w:rPr>
                      <w:rFonts w:hint="default" w:ascii="Times New Roman" w:hAnsi="Times New Roman" w:eastAsia="宋体" w:cs="Times New Roman"/>
                      <w:color w:val="auto"/>
                      <w:sz w:val="18"/>
                      <w:szCs w:val="18"/>
                      <w:highlight w:val="none"/>
                      <w:lang w:val="en-US" w:eastAsia="zh-CN"/>
                    </w:rPr>
                    <w:t>中水</w:t>
                  </w:r>
                  <w:r>
                    <w:rPr>
                      <w:rFonts w:hint="default" w:ascii="Times New Roman" w:hAnsi="Times New Roman" w:cs="Times New Roman"/>
                      <w:color w:val="auto"/>
                      <w:sz w:val="18"/>
                      <w:szCs w:val="18"/>
                      <w:highlight w:val="none"/>
                      <w:lang w:val="en-US" w:eastAsia="zh-CN"/>
                    </w:rPr>
                    <w:t>使用比例</w:t>
                  </w:r>
                  <w:r>
                    <w:rPr>
                      <w:rFonts w:hint="default" w:ascii="Times New Roman" w:hAnsi="Times New Roman" w:eastAsia="宋体" w:cs="Times New Roman"/>
                      <w:color w:val="auto"/>
                      <w:sz w:val="18"/>
                      <w:szCs w:val="18"/>
                      <w:highlight w:val="none"/>
                      <w:lang w:val="en-US" w:eastAsia="zh-CN"/>
                    </w:rPr>
                    <w:t>。</w:t>
                  </w:r>
                </w:p>
                <w:p w14:paraId="0B7E2487">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val="en-US" w:eastAsia="zh-CN"/>
                    </w:rPr>
                    <w:t>鼓励开展余热利用，提高能源利用效率</w:t>
                  </w:r>
                  <w:r>
                    <w:rPr>
                      <w:rFonts w:hint="default" w:ascii="Times New Roman" w:hAnsi="Times New Roman" w:eastAsia="宋体" w:cs="Times New Roman"/>
                      <w:color w:val="auto"/>
                      <w:sz w:val="18"/>
                      <w:szCs w:val="18"/>
                      <w:highlight w:val="none"/>
                      <w:lang w:val="en-US" w:eastAsia="zh-CN"/>
                    </w:rPr>
                    <w:t>。</w:t>
                  </w:r>
                </w:p>
              </w:tc>
              <w:tc>
                <w:tcPr>
                  <w:tcW w:w="1686" w:type="pct"/>
                  <w:shd w:val="clear" w:color="auto" w:fill="auto"/>
                  <w:vAlign w:val="center"/>
                </w:tcPr>
                <w:p w14:paraId="32EC8A0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1、不涉及。</w:t>
                  </w:r>
                </w:p>
                <w:p w14:paraId="00EACE39">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zh-CN"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生产不用热，办公采暖采用空调，不涉及余热使用</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060BA5D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zh-CN"/>
                    </w:rPr>
                  </w:pPr>
                  <w:r>
                    <w:rPr>
                      <w:rFonts w:hint="default" w:ascii="Times New Roman" w:hAnsi="Times New Roman" w:eastAsia="宋体" w:cs="Times New Roman"/>
                      <w:color w:val="auto"/>
                      <w:sz w:val="18"/>
                      <w:szCs w:val="18"/>
                      <w:highlight w:val="none"/>
                      <w:lang w:val="zh-CN"/>
                    </w:rPr>
                    <w:t>符合</w:t>
                  </w:r>
                </w:p>
              </w:tc>
            </w:tr>
          </w:tbl>
          <w:p w14:paraId="7606106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因此，本项目符合</w:t>
            </w:r>
            <w:r>
              <w:rPr>
                <w:rFonts w:hint="default" w:ascii="Times New Roman" w:hAnsi="Times New Roman" w:eastAsia="宋体" w:cs="Times New Roman"/>
                <w:b w:val="0"/>
                <w:bCs w:val="0"/>
                <w:color w:val="auto"/>
                <w:kern w:val="0"/>
                <w:sz w:val="24"/>
                <w:szCs w:val="24"/>
                <w:highlight w:val="none"/>
                <w:lang w:val="en-US" w:eastAsia="zh-CN"/>
              </w:rPr>
              <w:t>《石家庄市生态环境准入清单 （2023年版）》</w:t>
            </w:r>
            <w:r>
              <w:rPr>
                <w:rFonts w:hint="default" w:ascii="Times New Roman" w:hAnsi="Times New Roman" w:eastAsia="宋体" w:cs="Times New Roman"/>
                <w:color w:val="auto"/>
                <w:kern w:val="0"/>
                <w:sz w:val="24"/>
                <w:highlight w:val="none"/>
                <w:lang w:val="en-US" w:eastAsia="zh-CN"/>
              </w:rPr>
              <w:t>相关要求。</w:t>
            </w:r>
            <w:r>
              <w:rPr>
                <w:rFonts w:hint="default" w:ascii="Times New Roman" w:hAnsi="Times New Roman" w:eastAsia="宋体" w:cs="Times New Roman"/>
                <w:color w:val="auto"/>
                <w:sz w:val="24"/>
                <w:highlight w:val="none"/>
                <w:lang w:val="en-US" w:eastAsia="zh-CN"/>
              </w:rPr>
              <w:t>园区（丰达片区）分区管控图见附图7，石家庄市“三线一单”见附图8。</w:t>
            </w:r>
          </w:p>
          <w:p w14:paraId="046EF91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kern w:val="0"/>
                <w:sz w:val="24"/>
                <w:highlight w:val="none"/>
                <w:lang w:val="en-US" w:eastAsia="zh-CN"/>
              </w:rPr>
              <w:t>四、</w:t>
            </w:r>
            <w:r>
              <w:rPr>
                <w:rFonts w:hint="default" w:ascii="Times New Roman" w:hAnsi="Times New Roman" w:eastAsia="宋体" w:cs="Times New Roman"/>
                <w:b/>
                <w:bCs/>
                <w:color w:val="auto"/>
                <w:sz w:val="24"/>
                <w:highlight w:val="none"/>
                <w:lang w:val="en-US" w:eastAsia="zh-CN"/>
              </w:rPr>
              <w:t>与水源保护区相关</w:t>
            </w:r>
            <w:r>
              <w:rPr>
                <w:rFonts w:hint="default" w:ascii="Times New Roman" w:hAnsi="Times New Roman" w:cs="Times New Roman"/>
                <w:b/>
                <w:bCs/>
                <w:color w:val="auto"/>
                <w:sz w:val="24"/>
                <w:highlight w:val="none"/>
                <w:lang w:val="en-US" w:eastAsia="zh-CN"/>
              </w:rPr>
              <w:t>要求</w:t>
            </w:r>
            <w:r>
              <w:rPr>
                <w:rFonts w:hint="default" w:ascii="Times New Roman" w:hAnsi="Times New Roman" w:eastAsia="宋体" w:cs="Times New Roman"/>
                <w:b/>
                <w:bCs/>
                <w:color w:val="auto"/>
                <w:sz w:val="24"/>
                <w:highlight w:val="none"/>
                <w:lang w:val="en-US" w:eastAsia="zh-CN"/>
              </w:rPr>
              <w:t>符合性分析</w:t>
            </w:r>
          </w:p>
          <w:p w14:paraId="32781701">
            <w:pPr>
              <w:autoSpaceDE w:val="0"/>
              <w:autoSpaceDN w:val="0"/>
              <w:spacing w:line="480" w:lineRule="exact"/>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eastAsia="zh-CN"/>
              </w:rPr>
              <w:t>本项目东侧距离冶</w:t>
            </w:r>
            <w:r>
              <w:rPr>
                <w:rFonts w:hint="default" w:ascii="Times New Roman" w:hAnsi="Times New Roman" w:eastAsia="宋体" w:cs="Times New Roman"/>
                <w:color w:val="auto"/>
                <w:sz w:val="24"/>
                <w:highlight w:val="none"/>
                <w:lang w:eastAsia="zh-CN"/>
              </w:rPr>
              <w:t>河约</w:t>
            </w:r>
            <w:r>
              <w:rPr>
                <w:rFonts w:hint="default" w:ascii="Times New Roman" w:hAnsi="Times New Roman" w:eastAsia="宋体" w:cs="Times New Roman"/>
                <w:color w:val="auto"/>
                <w:sz w:val="24"/>
                <w:highlight w:val="none"/>
                <w:lang w:val="en-US" w:eastAsia="zh-CN"/>
              </w:rPr>
              <w:t>3.7km，</w:t>
            </w:r>
            <w:r>
              <w:rPr>
                <w:rFonts w:hint="default" w:ascii="Times New Roman" w:hAnsi="Times New Roman" w:cs="Times New Roman"/>
                <w:color w:val="auto"/>
                <w:sz w:val="24"/>
                <w:highlight w:val="none"/>
              </w:rPr>
              <w:t>根据石家庄市饮用水水源保护区划，本项目位于石家庄市饮用水水源保护区地表水准保护区内，本项目与水源保护区位置关系图详见附图</w:t>
            </w:r>
            <w:r>
              <w:rPr>
                <w:rFonts w:hint="default" w:ascii="Times New Roman" w:hAnsi="Times New Roman" w:cs="Times New Roman"/>
                <w:color w:val="auto"/>
                <w:sz w:val="24"/>
                <w:highlight w:val="none"/>
                <w:lang w:val="en-US" w:eastAsia="zh-CN"/>
              </w:rPr>
              <w:t>9</w:t>
            </w:r>
            <w:r>
              <w:rPr>
                <w:rFonts w:hint="default" w:ascii="Times New Roman" w:hAnsi="Times New Roman" w:cs="Times New Roman"/>
                <w:color w:val="auto"/>
                <w:sz w:val="24"/>
                <w:highlight w:val="none"/>
              </w:rPr>
              <w:t>。</w:t>
            </w:r>
          </w:p>
          <w:p w14:paraId="4B807230">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①与《中华人民共和国水污染防治法》符合性分析</w:t>
            </w:r>
          </w:p>
          <w:p w14:paraId="06B61E24">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根据《中华人民共和国水污染防治法》（2017年6月27日修正）：</w:t>
            </w:r>
          </w:p>
          <w:p w14:paraId="0B7256C8">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第四十二条规定：</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国家禁止新建不符合国家产业政策的小型造纸、制革、印染、染料、炼焦、炼硫、炼砷、炼汞、炼油、电镀、农药、石棉、水泥、玻璃、钢铁、火电以及其他严重污染水环境的生产项目。</w:t>
            </w:r>
            <w:r>
              <w:rPr>
                <w:rFonts w:hint="default" w:ascii="Times New Roman" w:hAnsi="Times New Roman" w:cs="Times New Roman"/>
                <w:color w:val="auto"/>
                <w:sz w:val="24"/>
                <w:highlight w:val="none"/>
                <w:lang w:eastAsia="zh-CN"/>
              </w:rPr>
              <w:t>”</w:t>
            </w:r>
          </w:p>
          <w:p w14:paraId="17B2804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第六十四条规定：“在饮用水水源保护区内，禁止设置排污口”。</w:t>
            </w:r>
          </w:p>
          <w:p w14:paraId="141E18F9">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第六十七条规定：“禁止在饮用水水源准保护区内新建、扩建对水体污染严重的建设项目；改建建设项目，不得增加排污量。”</w:t>
            </w:r>
          </w:p>
          <w:p w14:paraId="254E9D8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不外排，不向地表水体排放废水，不设置废水排污口，符合《中华人民共和国水污染防治法》的相关要求。</w:t>
            </w:r>
          </w:p>
          <w:p w14:paraId="51AC6E3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②与《河北省水污染防治条例》符合性分析</w:t>
            </w:r>
          </w:p>
          <w:p w14:paraId="1A91E21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根据《河北省水污染防治条例》（2018年5月31日修订）：</w:t>
            </w:r>
          </w:p>
          <w:p w14:paraId="21894DA4">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第十七条规定：“禁止在饮用水水源准保护区内新建、扩建对水体污染严重的建设项目；改建建设项目，不得增加排污量”，</w:t>
            </w:r>
          </w:p>
          <w:p w14:paraId="6F58F66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第十八条规定：“禁止在饮用水水源保护区内设置排污口”。</w:t>
            </w:r>
          </w:p>
          <w:p w14:paraId="65ADB799">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不外排，不向地表水体排放废水，不设置废水排污口，符合《河北省水污染防治条例》的相关要求。</w:t>
            </w:r>
          </w:p>
          <w:p w14:paraId="70135C3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③《饮用水水源保护区污染防治管理规定》</w:t>
            </w:r>
          </w:p>
          <w:p w14:paraId="3D1B4AF8">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根据《饮用水水源保护区污染防治管理规定》中第十二条规定：“在准保护区，禁止新建、扩建对水体污染严重的建设项目；改建建设项目，不得增加排污量。”</w:t>
            </w:r>
          </w:p>
          <w:p w14:paraId="0658191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不外排，不向地表水体排放废水，不设置废水排污口，符合《饮用水水源保护区污染防治管理规定》的要求。</w:t>
            </w:r>
          </w:p>
          <w:p w14:paraId="69D5B696">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 xml:space="preserve">④与《石家庄市岗南、黄壁庄水库水源污染防治条例》符合性分析 </w:t>
            </w:r>
          </w:p>
          <w:p w14:paraId="13EEFFC5">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根据《石家庄市岗南、黄壁庄水库水源污染防治条例》第十四条“在两库饮用水水源二级保护区和准保护区内建设其它项目，建设单位应当向县级以上人民政府环境保护行政主管部门报送环境影响评价文件，未经批准的，不得兴建。”本项目符合产业政策，不属于禁止建设内容，按照要求报送环境影响评价文件，经批准后，方可兴建。</w:t>
            </w:r>
          </w:p>
          <w:p w14:paraId="0AD2F73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符合</w:t>
            </w:r>
            <w:r>
              <w:rPr>
                <w:rFonts w:hint="default" w:ascii="Times New Roman" w:hAnsi="Times New Roman" w:cs="Times New Roman"/>
                <w:color w:val="auto"/>
                <w:sz w:val="24"/>
                <w:highlight w:val="none"/>
              </w:rPr>
              <w:t>饮用水水源保护区相关要求。</w:t>
            </w:r>
          </w:p>
          <w:p w14:paraId="0815CBC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五、其它</w:t>
            </w:r>
            <w:r>
              <w:rPr>
                <w:rFonts w:hint="default" w:ascii="Times New Roman" w:hAnsi="Times New Roman" w:cs="Times New Roman"/>
                <w:b/>
                <w:bCs/>
                <w:color w:val="auto"/>
                <w:kern w:val="0"/>
                <w:sz w:val="24"/>
                <w:highlight w:val="none"/>
              </w:rPr>
              <w:t>环境管理政策的符合性分析</w:t>
            </w:r>
          </w:p>
          <w:p w14:paraId="3B9253C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（1）</w:t>
            </w:r>
            <w:r>
              <w:rPr>
                <w:rFonts w:hint="default" w:ascii="Times New Roman" w:hAnsi="Times New Roman" w:cs="Times New Roman"/>
                <w:color w:val="auto"/>
                <w:kern w:val="0"/>
                <w:sz w:val="24"/>
                <w:highlight w:val="none"/>
                <w:lang w:eastAsia="zh-CN"/>
              </w:rPr>
              <w:t>相关环境管理要求符合性分析</w:t>
            </w:r>
          </w:p>
          <w:p w14:paraId="443E33A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本项目与</w:t>
            </w:r>
            <w:r>
              <w:rPr>
                <w:rFonts w:hint="default" w:ascii="Times New Roman" w:hAnsi="Times New Roman" w:cs="Times New Roman"/>
                <w:color w:val="auto"/>
                <w:kern w:val="0"/>
                <w:sz w:val="24"/>
                <w:highlight w:val="none"/>
                <w:lang w:eastAsia="zh-CN"/>
              </w:rPr>
              <w:t>相关环境管理要求</w:t>
            </w:r>
            <w:r>
              <w:rPr>
                <w:rFonts w:hint="default" w:ascii="Times New Roman" w:hAnsi="Times New Roman" w:cs="Times New Roman"/>
                <w:color w:val="auto"/>
                <w:kern w:val="0"/>
                <w:sz w:val="24"/>
                <w:highlight w:val="none"/>
              </w:rPr>
              <w:t>符合性分析见下表。</w:t>
            </w:r>
          </w:p>
          <w:p w14:paraId="75889B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9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相关环境管理要求</w:t>
            </w:r>
            <w:r>
              <w:rPr>
                <w:rFonts w:hint="default" w:ascii="Times New Roman" w:hAnsi="Times New Roman" w:eastAsia="宋体" w:cs="Times New Roman"/>
                <w:b/>
                <w:bCs/>
                <w:color w:val="auto"/>
                <w:kern w:val="0"/>
                <w:sz w:val="24"/>
                <w:highlight w:val="none"/>
              </w:rPr>
              <w:t>符合性分析</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5036"/>
              <w:gridCol w:w="1536"/>
              <w:gridCol w:w="476"/>
            </w:tblGrid>
            <w:tr w14:paraId="19147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5" w:type="pct"/>
                  <w:tcBorders>
                    <w:tl2br w:val="nil"/>
                    <w:tr2bl w:val="nil"/>
                  </w:tcBorders>
                  <w:noWrap/>
                  <w:tcMar>
                    <w:left w:w="6" w:type="dxa"/>
                    <w:right w:w="6" w:type="dxa"/>
                  </w:tcMar>
                  <w:vAlign w:val="center"/>
                </w:tcPr>
                <w:p w14:paraId="5E2878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文件</w:t>
                  </w:r>
                  <w:r>
                    <w:rPr>
                      <w:rFonts w:hint="default" w:ascii="Times New Roman" w:hAnsi="Times New Roman" w:eastAsia="宋体" w:cs="Times New Roman"/>
                      <w:color w:val="auto"/>
                      <w:kern w:val="2"/>
                      <w:sz w:val="18"/>
                      <w:szCs w:val="18"/>
                      <w:highlight w:val="none"/>
                      <w:lang w:val="en-US" w:eastAsia="zh-CN" w:bidi="ar-SA"/>
                    </w:rPr>
                    <w:t>名称</w:t>
                  </w:r>
                </w:p>
              </w:tc>
              <w:tc>
                <w:tcPr>
                  <w:tcW w:w="3132" w:type="pct"/>
                  <w:tcBorders>
                    <w:tl2br w:val="nil"/>
                    <w:tr2bl w:val="nil"/>
                  </w:tcBorders>
                  <w:noWrap/>
                  <w:tcMar>
                    <w:left w:w="6" w:type="dxa"/>
                    <w:right w:w="6" w:type="dxa"/>
                  </w:tcMar>
                  <w:vAlign w:val="center"/>
                </w:tcPr>
                <w:p w14:paraId="70E188D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政策要求</w:t>
                  </w:r>
                </w:p>
              </w:tc>
              <w:tc>
                <w:tcPr>
                  <w:tcW w:w="955" w:type="pct"/>
                  <w:tcBorders>
                    <w:tl2br w:val="nil"/>
                    <w:tr2bl w:val="nil"/>
                  </w:tcBorders>
                  <w:noWrap/>
                  <w:tcMar>
                    <w:left w:w="6" w:type="dxa"/>
                    <w:right w:w="6" w:type="dxa"/>
                  </w:tcMar>
                  <w:vAlign w:val="center"/>
                </w:tcPr>
                <w:p w14:paraId="59A873C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w:t>
                  </w:r>
                  <w:r>
                    <w:rPr>
                      <w:rFonts w:hint="default" w:ascii="Times New Roman" w:hAnsi="Times New Roman" w:cs="Times New Roman"/>
                      <w:color w:val="auto"/>
                      <w:kern w:val="2"/>
                      <w:sz w:val="18"/>
                      <w:szCs w:val="18"/>
                      <w:highlight w:val="none"/>
                      <w:lang w:val="en-US" w:eastAsia="zh-CN" w:bidi="ar-SA"/>
                    </w:rPr>
                    <w:t>情况</w:t>
                  </w:r>
                </w:p>
              </w:tc>
              <w:tc>
                <w:tcPr>
                  <w:tcW w:w="296" w:type="pct"/>
                  <w:tcBorders>
                    <w:tl2br w:val="nil"/>
                    <w:tr2bl w:val="nil"/>
                  </w:tcBorders>
                  <w:noWrap/>
                  <w:tcMar>
                    <w:top w:w="0" w:type="dxa"/>
                    <w:left w:w="6" w:type="dxa"/>
                    <w:bottom w:w="0" w:type="dxa"/>
                    <w:right w:w="6" w:type="dxa"/>
                  </w:tcMar>
                  <w:vAlign w:val="center"/>
                </w:tcPr>
                <w:p w14:paraId="12A58CA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符合性</w:t>
                  </w:r>
                </w:p>
              </w:tc>
            </w:tr>
            <w:tr w14:paraId="2DC3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615" w:type="pct"/>
                  <w:vMerge w:val="restart"/>
                  <w:tcBorders>
                    <w:tl2br w:val="nil"/>
                    <w:tr2bl w:val="nil"/>
                  </w:tcBorders>
                  <w:noWrap/>
                  <w:tcMar>
                    <w:left w:w="6" w:type="dxa"/>
                    <w:right w:w="6" w:type="dxa"/>
                  </w:tcMar>
                  <w:vAlign w:val="center"/>
                </w:tcPr>
                <w:p w14:paraId="5C159B0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《河北省空气质量持续改善行动计划实施方案》冀政发(2024) 4号)</w:t>
                  </w:r>
                </w:p>
              </w:tc>
              <w:tc>
                <w:tcPr>
                  <w:tcW w:w="3132" w:type="pct"/>
                  <w:tcBorders>
                    <w:tl2br w:val="nil"/>
                    <w:tr2bl w:val="nil"/>
                  </w:tcBorders>
                  <w:noWrap/>
                  <w:tcMar>
                    <w:left w:w="6" w:type="dxa"/>
                    <w:right w:w="6" w:type="dxa"/>
                  </w:tcMar>
                  <w:vAlign w:val="center"/>
                </w:tcPr>
                <w:p w14:paraId="2B65BCCE">
                  <w:pPr>
                    <w:pStyle w:val="118"/>
                    <w:keepNext w:val="0"/>
                    <w:keepLines w:val="0"/>
                    <w:pageBreakBefore w:val="0"/>
                    <w:widowControl/>
                    <w:numPr>
                      <w:ilvl w:val="0"/>
                      <w:numId w:val="6"/>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w:t>
                  </w:r>
                  <w:r>
                    <w:rPr>
                      <w:rFonts w:hint="default" w:ascii="Times New Roman" w:hAnsi="Times New Roman" w:cs="Times New Roman"/>
                      <w:color w:val="auto"/>
                      <w:kern w:val="2"/>
                      <w:sz w:val="18"/>
                      <w:szCs w:val="18"/>
                      <w:highlight w:val="none"/>
                      <w:lang w:val="en-US" w:eastAsia="zh-CN" w:bidi="ar-SA"/>
                    </w:rPr>
                    <w:t>产。</w:t>
                  </w:r>
                </w:p>
              </w:tc>
              <w:tc>
                <w:tcPr>
                  <w:tcW w:w="955" w:type="pct"/>
                  <w:tcBorders>
                    <w:tl2br w:val="nil"/>
                    <w:tr2bl w:val="nil"/>
                  </w:tcBorders>
                  <w:noWrap/>
                  <w:tcMar>
                    <w:left w:w="6" w:type="dxa"/>
                    <w:right w:w="6" w:type="dxa"/>
                  </w:tcMar>
                  <w:vAlign w:val="center"/>
                </w:tcPr>
                <w:p w14:paraId="1158C61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本项目不属于高耗能、高排放、低水平项目</w:t>
                  </w:r>
                  <w:r>
                    <w:rPr>
                      <w:rFonts w:hint="default" w:ascii="Times New Roman" w:hAnsi="Times New Roman" w:cs="Times New Roman"/>
                      <w:color w:val="auto"/>
                      <w:kern w:val="2"/>
                      <w:sz w:val="18"/>
                      <w:szCs w:val="18"/>
                      <w:highlight w:val="none"/>
                      <w:lang w:val="en-US" w:eastAsia="zh-CN" w:bidi="ar-SA"/>
                    </w:rPr>
                    <w:t>；</w:t>
                  </w:r>
                  <w:r>
                    <w:rPr>
                      <w:rFonts w:hint="default" w:ascii="Times New Roman" w:hAnsi="Times New Roman" w:eastAsia="宋体" w:cs="Times New Roman"/>
                      <w:color w:val="auto"/>
                      <w:kern w:val="2"/>
                      <w:sz w:val="18"/>
                      <w:szCs w:val="18"/>
                      <w:highlight w:val="none"/>
                      <w:lang w:val="en-US" w:eastAsia="zh-CN" w:bidi="ar-SA"/>
                    </w:rPr>
                    <w:t>本项目的建设符合</w:t>
                  </w:r>
                  <w:r>
                    <w:rPr>
                      <w:rFonts w:hint="default" w:ascii="Times New Roman" w:hAnsi="Times New Roman" w:cs="Times New Roman"/>
                      <w:color w:val="auto"/>
                      <w:kern w:val="2"/>
                      <w:sz w:val="18"/>
                      <w:szCs w:val="18"/>
                      <w:highlight w:val="none"/>
                      <w:lang w:val="en-US" w:eastAsia="zh-CN" w:bidi="ar-SA"/>
                    </w:rPr>
                    <w:t>国家、地方及园区生态环境准入要求</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54ABA52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w:t>
                  </w:r>
                </w:p>
              </w:tc>
            </w:tr>
            <w:tr w14:paraId="534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15" w:type="pct"/>
                  <w:vMerge w:val="continue"/>
                  <w:tcBorders>
                    <w:tl2br w:val="nil"/>
                    <w:tr2bl w:val="nil"/>
                  </w:tcBorders>
                  <w:noWrap/>
                  <w:tcMar>
                    <w:left w:w="6" w:type="dxa"/>
                    <w:right w:w="6" w:type="dxa"/>
                  </w:tcMar>
                  <w:vAlign w:val="center"/>
                </w:tcPr>
                <w:p w14:paraId="1DBC5B6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6A8CA965">
                  <w:pPr>
                    <w:pStyle w:val="118"/>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（五）大力发展新能源和清洁能源。大力推动电能替代工作。持续增加天然气供</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置中心等“绿岛”项目。</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应稳步推进抽水蓄能、海上风电、生物质能和地热能等开发利用。到 2025 年，全省可再生能源总装机达到 1.14 亿千瓦以上、占比达到 60%以上，非化石能源消费比重达到 13%以上，电能占终端能源消费比重达 21%左右。</w:t>
                  </w:r>
                </w:p>
              </w:tc>
              <w:tc>
                <w:tcPr>
                  <w:tcW w:w="955" w:type="pct"/>
                  <w:tcBorders>
                    <w:tl2br w:val="nil"/>
                    <w:tr2bl w:val="nil"/>
                  </w:tcBorders>
                  <w:noWrap/>
                  <w:tcMar>
                    <w:left w:w="6" w:type="dxa"/>
                    <w:right w:w="6" w:type="dxa"/>
                  </w:tcMar>
                  <w:vAlign w:val="center"/>
                </w:tcPr>
                <w:p w14:paraId="4E27F45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本项目生产</w:t>
                  </w:r>
                  <w:r>
                    <w:rPr>
                      <w:rFonts w:hint="default" w:ascii="Times New Roman" w:hAnsi="Times New Roman" w:cs="Times New Roman"/>
                      <w:color w:val="auto"/>
                      <w:kern w:val="2"/>
                      <w:sz w:val="18"/>
                      <w:szCs w:val="18"/>
                      <w:highlight w:val="none"/>
                      <w:lang w:val="en-US" w:eastAsia="zh-CN" w:bidi="ar-SA"/>
                    </w:rPr>
                    <w:t>不用热，办公采暖采用空调，不涉及燃料使用</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095A44FD">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F74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615" w:type="pct"/>
                  <w:vMerge w:val="continue"/>
                  <w:tcBorders>
                    <w:tl2br w:val="nil"/>
                    <w:tr2bl w:val="nil"/>
                  </w:tcBorders>
                  <w:noWrap/>
                  <w:tcMar>
                    <w:left w:w="6" w:type="dxa"/>
                    <w:right w:w="6" w:type="dxa"/>
                  </w:tcMar>
                  <w:vAlign w:val="center"/>
                </w:tcPr>
                <w:p w14:paraId="682463D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7903CA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w:t>
                  </w:r>
                  <w:r>
                    <w:rPr>
                      <w:rFonts w:hint="default" w:ascii="Times New Roman" w:hAnsi="Times New Roman" w:cs="Times New Roman"/>
                      <w:color w:val="auto"/>
                      <w:kern w:val="2"/>
                      <w:sz w:val="18"/>
                      <w:szCs w:val="18"/>
                      <w:highlight w:val="none"/>
                      <w:lang w:val="en-US" w:eastAsia="zh-CN" w:bidi="ar-SA"/>
                    </w:rPr>
                    <w:t>十七</w:t>
                  </w:r>
                  <w:r>
                    <w:rPr>
                      <w:rFonts w:hint="default" w:ascii="Times New Roman" w:hAnsi="Times New Roman" w:eastAsia="宋体" w:cs="Times New Roman"/>
                      <w:color w:val="auto"/>
                      <w:kern w:val="2"/>
                      <w:sz w:val="18"/>
                      <w:szCs w:val="18"/>
                      <w:highlight w:val="none"/>
                      <w:lang w:val="en-US" w:eastAsia="zh-CN" w:bidi="ar-SA"/>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w:t>
                  </w:r>
                </w:p>
              </w:tc>
              <w:tc>
                <w:tcPr>
                  <w:tcW w:w="955" w:type="pct"/>
                  <w:tcBorders>
                    <w:tl2br w:val="nil"/>
                    <w:tr2bl w:val="nil"/>
                  </w:tcBorders>
                  <w:noWrap/>
                  <w:tcMar>
                    <w:left w:w="6" w:type="dxa"/>
                    <w:right w:w="6" w:type="dxa"/>
                  </w:tcMar>
                  <w:vAlign w:val="center"/>
                </w:tcPr>
                <w:p w14:paraId="2A38BF1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w:t>
                  </w:r>
                  <w:r>
                    <w:rPr>
                      <w:rFonts w:hint="default" w:ascii="Times New Roman" w:hAnsi="Times New Roman" w:cs="Times New Roman"/>
                      <w:color w:val="auto"/>
                      <w:kern w:val="2"/>
                      <w:sz w:val="18"/>
                      <w:szCs w:val="18"/>
                      <w:highlight w:val="none"/>
                      <w:lang w:val="en-US" w:eastAsia="zh-CN" w:bidi="ar-SA"/>
                    </w:rPr>
                    <w:t>项目不涉及</w:t>
                  </w:r>
                  <w:r>
                    <w:rPr>
                      <w:rFonts w:hint="default" w:ascii="Times New Roman" w:hAnsi="Times New Roman" w:eastAsia="宋体" w:cs="Times New Roman"/>
                      <w:color w:val="auto"/>
                      <w:kern w:val="2"/>
                      <w:sz w:val="18"/>
                      <w:szCs w:val="18"/>
                      <w:highlight w:val="none"/>
                      <w:lang w:val="en-US" w:eastAsia="zh-CN" w:bidi="ar-SA"/>
                    </w:rPr>
                    <w:t>高VOCs含量</w:t>
                  </w:r>
                  <w:r>
                    <w:rPr>
                      <w:rFonts w:hint="default" w:ascii="Times New Roman" w:hAnsi="Times New Roman" w:cs="Times New Roman"/>
                      <w:color w:val="auto"/>
                      <w:kern w:val="2"/>
                      <w:sz w:val="18"/>
                      <w:szCs w:val="18"/>
                      <w:highlight w:val="none"/>
                      <w:lang w:val="en-US" w:eastAsia="zh-CN" w:bidi="ar-SA"/>
                    </w:rPr>
                    <w:t>涂料、油墨、胶粘剂、清洗剂，不涉及VOCs和恶臭异味废气排放。</w:t>
                  </w:r>
                </w:p>
              </w:tc>
              <w:tc>
                <w:tcPr>
                  <w:tcW w:w="296" w:type="pct"/>
                  <w:tcBorders>
                    <w:tl2br w:val="nil"/>
                    <w:tr2bl w:val="nil"/>
                  </w:tcBorders>
                  <w:noWrap/>
                  <w:tcMar>
                    <w:top w:w="0" w:type="dxa"/>
                    <w:left w:w="6" w:type="dxa"/>
                    <w:bottom w:w="0" w:type="dxa"/>
                    <w:right w:w="6" w:type="dxa"/>
                  </w:tcMar>
                  <w:vAlign w:val="center"/>
                </w:tcPr>
                <w:p w14:paraId="6AB9F5E0">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5CE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15" w:type="pct"/>
                  <w:vMerge w:val="continue"/>
                  <w:tcBorders>
                    <w:tl2br w:val="nil"/>
                    <w:tr2bl w:val="nil"/>
                  </w:tcBorders>
                  <w:noWrap/>
                  <w:tcMar>
                    <w:left w:w="6" w:type="dxa"/>
                    <w:right w:w="6" w:type="dxa"/>
                  </w:tcMar>
                  <w:vAlign w:val="center"/>
                </w:tcPr>
                <w:p w14:paraId="2327B72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4D7E8126">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（十</w:t>
                  </w:r>
                  <w:r>
                    <w:rPr>
                      <w:rFonts w:hint="default" w:ascii="Times New Roman" w:hAnsi="Times New Roman" w:eastAsia="宋体" w:cs="Times New Roman"/>
                      <w:color w:val="auto"/>
                      <w:kern w:val="2"/>
                      <w:sz w:val="18"/>
                      <w:szCs w:val="18"/>
                      <w:highlight w:val="none"/>
                      <w:lang w:val="en-US" w:eastAsia="zh-CN" w:bidi="ar-SA"/>
                    </w:rPr>
                    <w:t>八）加快重点行业污染深度治理。高质量推进钢铁、水泥、焦化等重点行业及燃煤锅炉超低排放改造，开展垃圾发电企业SCR脱硝设施改造，扎实推进重点行业环保绩效创 A。2024年前完成钢铁行业全面创A；到 2025年，基本完成燃煤锅炉超低排放改造，A 级企业数量稳定增加，重点行业环保绩效水平显著提升。加强钢铁、焦化等行业CO深度治理，减少CO排放。推进玻璃、石灰、矿棉、有色等行业深度治理。开展锅炉和工业炉窑简易低效污染治理设施分类整治。</w:t>
                  </w:r>
                </w:p>
              </w:tc>
              <w:tc>
                <w:tcPr>
                  <w:tcW w:w="955" w:type="pct"/>
                  <w:tcBorders>
                    <w:tl2br w:val="nil"/>
                    <w:tr2bl w:val="nil"/>
                  </w:tcBorders>
                  <w:noWrap/>
                  <w:tcMar>
                    <w:left w:w="6" w:type="dxa"/>
                    <w:right w:w="6" w:type="dxa"/>
                  </w:tcMar>
                  <w:vAlign w:val="center"/>
                </w:tcPr>
                <w:p w14:paraId="66A0BB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不涉及。</w:t>
                  </w:r>
                </w:p>
              </w:tc>
              <w:tc>
                <w:tcPr>
                  <w:tcW w:w="296" w:type="pct"/>
                  <w:tcBorders>
                    <w:tl2br w:val="nil"/>
                    <w:tr2bl w:val="nil"/>
                  </w:tcBorders>
                  <w:noWrap/>
                  <w:tcMar>
                    <w:top w:w="0" w:type="dxa"/>
                    <w:left w:w="6" w:type="dxa"/>
                    <w:bottom w:w="0" w:type="dxa"/>
                    <w:right w:w="6" w:type="dxa"/>
                  </w:tcMar>
                  <w:vAlign w:val="center"/>
                </w:tcPr>
                <w:p w14:paraId="31C684A3">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AF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15" w:type="pct"/>
                  <w:vMerge w:val="restart"/>
                  <w:tcBorders>
                    <w:tl2br w:val="nil"/>
                    <w:tr2bl w:val="nil"/>
                  </w:tcBorders>
                  <w:shd w:val="clear" w:color="auto" w:fill="auto"/>
                  <w:noWrap/>
                  <w:tcMar>
                    <w:left w:w="6" w:type="dxa"/>
                    <w:right w:w="6" w:type="dxa"/>
                  </w:tcMar>
                  <w:vAlign w:val="center"/>
                </w:tcPr>
                <w:p w14:paraId="2A392B6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河北省生态环境保护“十四五”规划</w:t>
                  </w:r>
                </w:p>
              </w:tc>
              <w:tc>
                <w:tcPr>
                  <w:tcW w:w="3132" w:type="pct"/>
                  <w:tcBorders>
                    <w:tl2br w:val="nil"/>
                    <w:tr2bl w:val="nil"/>
                  </w:tcBorders>
                  <w:shd w:val="clear" w:color="auto" w:fill="auto"/>
                  <w:noWrap/>
                  <w:tcMar>
                    <w:left w:w="6" w:type="dxa"/>
                    <w:right w:w="6" w:type="dxa"/>
                  </w:tcMar>
                  <w:vAlign w:val="center"/>
                </w:tcPr>
                <w:p w14:paraId="0A7753DA">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控制煤炭消费总量。全面实施煤炭消费总量控制，建设项目严格执行煤炭减量替代。严格控制燃煤发电装机规模，严禁新建自备燃煤机组，推动自备燃煤机组实施清洁能源替代，鼓励自备电厂转为公用电厂。加强农村散煤复燃管控，强化散煤治理监督体系建设。</w:t>
                  </w:r>
                </w:p>
              </w:tc>
              <w:tc>
                <w:tcPr>
                  <w:tcW w:w="955" w:type="pct"/>
                  <w:tcBorders>
                    <w:tl2br w:val="nil"/>
                    <w:tr2bl w:val="nil"/>
                  </w:tcBorders>
                  <w:shd w:val="clear" w:color="auto" w:fill="auto"/>
                  <w:noWrap/>
                  <w:tcMar>
                    <w:left w:w="6" w:type="dxa"/>
                    <w:right w:w="6" w:type="dxa"/>
                  </w:tcMar>
                  <w:vAlign w:val="center"/>
                </w:tcPr>
                <w:p w14:paraId="4755B5F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本项目不涉及煤炭的使用。</w:t>
                  </w:r>
                </w:p>
              </w:tc>
              <w:tc>
                <w:tcPr>
                  <w:tcW w:w="296" w:type="pct"/>
                  <w:tcBorders>
                    <w:tl2br w:val="nil"/>
                    <w:tr2bl w:val="nil"/>
                  </w:tcBorders>
                  <w:noWrap/>
                  <w:tcMar>
                    <w:top w:w="0" w:type="dxa"/>
                    <w:left w:w="6" w:type="dxa"/>
                    <w:bottom w:w="0" w:type="dxa"/>
                    <w:right w:w="6" w:type="dxa"/>
                  </w:tcMar>
                  <w:vAlign w:val="center"/>
                </w:tcPr>
                <w:p w14:paraId="06BA516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4E6E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15" w:type="pct"/>
                  <w:vMerge w:val="continue"/>
                  <w:tcBorders>
                    <w:tl2br w:val="nil"/>
                    <w:tr2bl w:val="nil"/>
                  </w:tcBorders>
                  <w:shd w:val="clear" w:color="auto" w:fill="auto"/>
                  <w:noWrap/>
                  <w:tcMar>
                    <w:left w:w="6" w:type="dxa"/>
                    <w:right w:w="6" w:type="dxa"/>
                  </w:tcMar>
                  <w:vAlign w:val="center"/>
                </w:tcPr>
                <w:p w14:paraId="4FFCFED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p>
              </w:tc>
              <w:tc>
                <w:tcPr>
                  <w:tcW w:w="3132" w:type="pct"/>
                  <w:tcBorders>
                    <w:tl2br w:val="nil"/>
                    <w:tr2bl w:val="nil"/>
                  </w:tcBorders>
                  <w:shd w:val="clear" w:color="auto" w:fill="auto"/>
                  <w:noWrap/>
                  <w:tcMar>
                    <w:left w:w="6" w:type="dxa"/>
                    <w:right w:w="6" w:type="dxa"/>
                  </w:tcMar>
                  <w:vAlign w:val="center"/>
                </w:tcPr>
                <w:p w14:paraId="2E0BE8E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955" w:type="pct"/>
                  <w:tcBorders>
                    <w:tl2br w:val="nil"/>
                    <w:tr2bl w:val="nil"/>
                  </w:tcBorders>
                  <w:shd w:val="clear" w:color="auto" w:fill="auto"/>
                  <w:noWrap/>
                  <w:tcMar>
                    <w:left w:w="6" w:type="dxa"/>
                    <w:right w:w="6" w:type="dxa"/>
                  </w:tcMar>
                  <w:vAlign w:val="center"/>
                </w:tcPr>
                <w:p w14:paraId="759AD70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本项目生产废水全部回用不外排，生活污水经化粪池处理后定期清掏用作农肥，不排放废水。</w:t>
                  </w:r>
                </w:p>
              </w:tc>
              <w:tc>
                <w:tcPr>
                  <w:tcW w:w="296" w:type="pct"/>
                  <w:tcBorders>
                    <w:tl2br w:val="nil"/>
                    <w:tr2bl w:val="nil"/>
                  </w:tcBorders>
                  <w:noWrap/>
                  <w:tcMar>
                    <w:top w:w="0" w:type="dxa"/>
                    <w:left w:w="6" w:type="dxa"/>
                    <w:bottom w:w="0" w:type="dxa"/>
                    <w:right w:w="6" w:type="dxa"/>
                  </w:tcMar>
                  <w:vAlign w:val="center"/>
                </w:tcPr>
                <w:p w14:paraId="6724C7D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5FF3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615" w:type="pct"/>
                  <w:vMerge w:val="continue"/>
                  <w:tcBorders>
                    <w:tl2br w:val="nil"/>
                    <w:tr2bl w:val="nil"/>
                  </w:tcBorders>
                  <w:shd w:val="clear" w:color="auto" w:fill="auto"/>
                  <w:noWrap/>
                  <w:tcMar>
                    <w:left w:w="6" w:type="dxa"/>
                    <w:right w:w="6" w:type="dxa"/>
                  </w:tcMar>
                  <w:vAlign w:val="center"/>
                </w:tcPr>
                <w:p w14:paraId="2F5328D9">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26EABD5D">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955" w:type="pct"/>
                  <w:tcBorders>
                    <w:tl2br w:val="nil"/>
                    <w:tr2bl w:val="nil"/>
                  </w:tcBorders>
                  <w:shd w:val="clear" w:color="auto" w:fill="auto"/>
                  <w:noWrap/>
                  <w:tcMar>
                    <w:left w:w="6" w:type="dxa"/>
                    <w:right w:w="6" w:type="dxa"/>
                  </w:tcMar>
                  <w:vAlign w:val="center"/>
                </w:tcPr>
                <w:p w14:paraId="504CE11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不涉及危险废物。</w:t>
                  </w:r>
                </w:p>
              </w:tc>
              <w:tc>
                <w:tcPr>
                  <w:tcW w:w="296" w:type="pct"/>
                  <w:tcBorders>
                    <w:tl2br w:val="nil"/>
                    <w:tr2bl w:val="nil"/>
                  </w:tcBorders>
                  <w:noWrap/>
                  <w:tcMar>
                    <w:top w:w="0" w:type="dxa"/>
                    <w:left w:w="6" w:type="dxa"/>
                    <w:bottom w:w="0" w:type="dxa"/>
                    <w:right w:w="6" w:type="dxa"/>
                  </w:tcMar>
                  <w:vAlign w:val="center"/>
                </w:tcPr>
                <w:p w14:paraId="686648A8">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772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615" w:type="pct"/>
                  <w:vMerge w:val="restart"/>
                  <w:tcBorders>
                    <w:tl2br w:val="nil"/>
                    <w:tr2bl w:val="nil"/>
                  </w:tcBorders>
                  <w:shd w:val="clear" w:color="auto" w:fill="auto"/>
                  <w:noWrap/>
                  <w:tcMar>
                    <w:left w:w="6" w:type="dxa"/>
                    <w:right w:w="6" w:type="dxa"/>
                  </w:tcMar>
                  <w:vAlign w:val="center"/>
                </w:tcPr>
                <w:p w14:paraId="4F15393E">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《石家庄市人民政府关于印发石家庄市生态环境保护</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十四五</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规划的通知》</w:t>
                  </w:r>
                </w:p>
              </w:tc>
              <w:tc>
                <w:tcPr>
                  <w:tcW w:w="3132" w:type="pct"/>
                  <w:tcBorders>
                    <w:tl2br w:val="nil"/>
                    <w:tr2bl w:val="nil"/>
                  </w:tcBorders>
                  <w:shd w:val="clear" w:color="auto" w:fill="auto"/>
                  <w:noWrap/>
                  <w:tcMar>
                    <w:left w:w="6" w:type="dxa"/>
                    <w:right w:w="6" w:type="dxa"/>
                  </w:tcMar>
                  <w:vAlign w:val="center"/>
                </w:tcPr>
                <w:p w14:paraId="03ABA6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严格环境准入门槛，全市禁止钢铁、焦化、水泥、平板玻璃、铸造</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高端或精密铸造项目以及《产业结构调整指导目录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2019年本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》第一类鼓励类项目除外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、有色、炭素、钙镁、煤化工、陶瓷、砖瓦等行业新建、扩建单纯新增产能</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搬迁升级改造项目和产能置换项目除外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的项目和企业。对搬迁升级改造项目的环境影响评价，应满足规划环评要求，对本地过剩产能重点行业搬迁、改建项目，实行大气污染物排放倍量替代。严格控制新增燃煤项目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建设。</w:t>
                  </w:r>
                </w:p>
              </w:tc>
              <w:tc>
                <w:tcPr>
                  <w:tcW w:w="955" w:type="pct"/>
                  <w:tcBorders>
                    <w:tl2br w:val="nil"/>
                    <w:tr2bl w:val="nil"/>
                  </w:tcBorders>
                  <w:shd w:val="clear" w:color="auto" w:fill="auto"/>
                  <w:noWrap/>
                  <w:tcMar>
                    <w:top w:w="0" w:type="dxa"/>
                    <w:left w:w="6" w:type="dxa"/>
                    <w:bottom w:w="0" w:type="dxa"/>
                    <w:right w:w="6" w:type="dxa"/>
                  </w:tcMar>
                  <w:vAlign w:val="center"/>
                </w:tcPr>
                <w:p w14:paraId="00BF488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符合国家及地方产业政策要求，符合河北石家庄矿区工业园区生态环境准入要求。</w:t>
                  </w:r>
                </w:p>
              </w:tc>
              <w:tc>
                <w:tcPr>
                  <w:tcW w:w="296" w:type="pct"/>
                  <w:tcBorders>
                    <w:tl2br w:val="nil"/>
                    <w:tr2bl w:val="nil"/>
                  </w:tcBorders>
                  <w:noWrap/>
                  <w:tcMar>
                    <w:left w:w="6" w:type="dxa"/>
                    <w:right w:w="6" w:type="dxa"/>
                  </w:tcMar>
                  <w:vAlign w:val="center"/>
                </w:tcPr>
                <w:p w14:paraId="5774CC6B">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7F400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15" w:type="pct"/>
                  <w:vMerge w:val="continue"/>
                  <w:tcBorders>
                    <w:tl2br w:val="nil"/>
                    <w:tr2bl w:val="nil"/>
                  </w:tcBorders>
                  <w:shd w:val="clear" w:color="auto" w:fill="auto"/>
                  <w:noWrap/>
                  <w:tcMar>
                    <w:left w:w="6" w:type="dxa"/>
                    <w:right w:w="6" w:type="dxa"/>
                  </w:tcMar>
                  <w:vAlign w:val="center"/>
                </w:tcPr>
                <w:p w14:paraId="6F8C785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75ED7439">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 xml:space="preserve">持续保障集中式饮用水水源水质稳定达标，岗南水库、黄壁庄水库库区主要水质指标达到并稳定保持国家地表水 </w:t>
                  </w:r>
                  <w:r>
                    <w:rPr>
                      <w:rFonts w:hint="default" w:ascii="Times New Roman" w:hAnsi="Times New Roman" w:eastAsia="Times New Roman" w:cs="Times New Roman"/>
                      <w:color w:val="auto"/>
                      <w:sz w:val="18"/>
                      <w:szCs w:val="18"/>
                      <w:highlight w:val="none"/>
                    </w:rPr>
                    <w:t xml:space="preserve">II </w:t>
                  </w:r>
                  <w:r>
                    <w:rPr>
                      <w:rFonts w:hint="default" w:ascii="Times New Roman" w:hAnsi="Times New Roman" w:cs="Times New Roman"/>
                      <w:color w:val="auto"/>
                      <w:sz w:val="18"/>
                      <w:szCs w:val="18"/>
                      <w:highlight w:val="none"/>
                    </w:rPr>
                    <w:t xml:space="preserve">类水质标准，地下饮用水水源水质 </w:t>
                  </w:r>
                  <w:r>
                    <w:rPr>
                      <w:rFonts w:hint="default" w:ascii="Times New Roman" w:hAnsi="Times New Roman" w:eastAsia="Times New Roman" w:cs="Times New Roman"/>
                      <w:color w:val="auto"/>
                      <w:sz w:val="18"/>
                      <w:szCs w:val="18"/>
                      <w:highlight w:val="none"/>
                    </w:rPr>
                    <w:t>100%</w:t>
                  </w:r>
                  <w:r>
                    <w:rPr>
                      <w:rFonts w:hint="default" w:ascii="Times New Roman" w:hAnsi="Times New Roman" w:cs="Times New Roman"/>
                      <w:color w:val="auto"/>
                      <w:sz w:val="18"/>
                      <w:szCs w:val="18"/>
                      <w:highlight w:val="none"/>
                    </w:rPr>
                    <w:t>达标。</w:t>
                  </w:r>
                </w:p>
              </w:tc>
              <w:tc>
                <w:tcPr>
                  <w:tcW w:w="955" w:type="pct"/>
                  <w:tcBorders>
                    <w:tl2br w:val="nil"/>
                    <w:tr2bl w:val="nil"/>
                  </w:tcBorders>
                  <w:shd w:val="clear" w:color="auto" w:fill="auto"/>
                  <w:noWrap/>
                  <w:tcMar>
                    <w:top w:w="0" w:type="dxa"/>
                    <w:left w:w="6" w:type="dxa"/>
                    <w:bottom w:w="0" w:type="dxa"/>
                    <w:right w:w="6" w:type="dxa"/>
                  </w:tcMar>
                  <w:vAlign w:val="center"/>
                </w:tcPr>
                <w:p w14:paraId="6587EF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位于饮用水水源准保护区，符合相关要求</w:t>
                  </w:r>
                  <w:r>
                    <w:rPr>
                      <w:rFonts w:hint="default" w:ascii="Times New Roman" w:hAnsi="Times New Roman" w:cs="Times New Roman"/>
                      <w:color w:val="auto"/>
                      <w:sz w:val="18"/>
                      <w:szCs w:val="18"/>
                      <w:highlight w:val="none"/>
                    </w:rPr>
                    <w:t>。</w:t>
                  </w:r>
                </w:p>
              </w:tc>
              <w:tc>
                <w:tcPr>
                  <w:tcW w:w="296" w:type="pct"/>
                  <w:tcBorders>
                    <w:tl2br w:val="nil"/>
                    <w:tr2bl w:val="nil"/>
                  </w:tcBorders>
                  <w:noWrap/>
                  <w:tcMar>
                    <w:left w:w="6" w:type="dxa"/>
                    <w:right w:w="6" w:type="dxa"/>
                  </w:tcMar>
                  <w:vAlign w:val="center"/>
                </w:tcPr>
                <w:p w14:paraId="2565747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5CE1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15" w:type="pct"/>
                  <w:vMerge w:val="continue"/>
                  <w:tcBorders>
                    <w:tl2br w:val="nil"/>
                    <w:tr2bl w:val="nil"/>
                  </w:tcBorders>
                  <w:shd w:val="clear" w:color="auto" w:fill="auto"/>
                  <w:noWrap/>
                  <w:tcMar>
                    <w:left w:w="6" w:type="dxa"/>
                    <w:right w:w="6" w:type="dxa"/>
                  </w:tcMar>
                  <w:vAlign w:val="center"/>
                </w:tcPr>
                <w:p w14:paraId="07A9061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4AECC434">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完善工业固体废弃物回收利用系统，提高固体废弃物的利用技术与水平。积极推进各类工业园区循环经济建设，提高工业企业内部再利用废弃物水平，降低工业固体废物处理处置量。推进污水</w:t>
                  </w:r>
                  <w:r>
                    <w:rPr>
                      <w:rFonts w:hint="eastAsia" w:ascii="Times New Roman" w:hAnsi="Times New Roman" w:cs="Times New Roman"/>
                      <w:color w:val="auto"/>
                      <w:spacing w:val="-5"/>
                      <w:sz w:val="18"/>
                      <w:szCs w:val="18"/>
                      <w:highlight w:val="none"/>
                      <w:lang w:val="en-US" w:eastAsia="zh-CN"/>
                    </w:rPr>
                    <w:t>处理</w:t>
                  </w:r>
                  <w:r>
                    <w:rPr>
                      <w:rFonts w:hint="default" w:ascii="Times New Roman" w:hAnsi="Times New Roman" w:cs="Times New Roman"/>
                      <w:color w:val="auto"/>
                      <w:spacing w:val="-5"/>
                      <w:sz w:val="18"/>
                      <w:szCs w:val="18"/>
                      <w:highlight w:val="none"/>
                    </w:rPr>
                    <w:t>厂污泥源头减量和协同处置，压减填埋规模，推进资源化利用。完善全过程监控管理，逐步建立综合利用与安全处置相结合的工业固体废物处置体系到 2025 年一般工业固体废物处置利用率达到95%以上。</w:t>
                  </w:r>
                </w:p>
              </w:tc>
              <w:tc>
                <w:tcPr>
                  <w:tcW w:w="955" w:type="pct"/>
                  <w:tcBorders>
                    <w:tl2br w:val="nil"/>
                    <w:tr2bl w:val="nil"/>
                  </w:tcBorders>
                  <w:shd w:val="clear" w:color="auto" w:fill="auto"/>
                  <w:noWrap/>
                  <w:tcMar>
                    <w:top w:w="0" w:type="dxa"/>
                    <w:left w:w="6" w:type="dxa"/>
                    <w:bottom w:w="0" w:type="dxa"/>
                    <w:right w:w="6" w:type="dxa"/>
                  </w:tcMar>
                  <w:vAlign w:val="center"/>
                </w:tcPr>
                <w:p w14:paraId="7280CA93">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本项目产生的固废均得到合理处置，处置利用率为100%。</w:t>
                  </w:r>
                </w:p>
              </w:tc>
              <w:tc>
                <w:tcPr>
                  <w:tcW w:w="296" w:type="pct"/>
                  <w:tcBorders>
                    <w:tl2br w:val="nil"/>
                    <w:tr2bl w:val="nil"/>
                  </w:tcBorders>
                  <w:noWrap/>
                  <w:tcMar>
                    <w:left w:w="6" w:type="dxa"/>
                    <w:right w:w="6" w:type="dxa"/>
                  </w:tcMar>
                  <w:vAlign w:val="center"/>
                </w:tcPr>
                <w:p w14:paraId="0B48951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bl>
          <w:p w14:paraId="1D373B45">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eastAsia="zh-CN"/>
              </w:rPr>
              <w:t>）与沙区相关环境管理要求的符合性分析</w:t>
            </w:r>
          </w:p>
          <w:p w14:paraId="13FD185D">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根据《关于进一步做好沙区建设项目环境影响评价工作得通知》（冀环办字函[2023]326号)，“沙区范围主要涉及地域石家庄：藁城区、行唐县、晋州市、灵寿县、深泽县、无极县新乐市、赵县、正定县等。在沙化土地范围内从事开发建设活动的，必须事先就该项目可能对当地及相关地区生态产生的影响进行环境影响评价，环境影响报告应当包括有关防沙治沙的内容。”</w:t>
            </w:r>
          </w:p>
          <w:p w14:paraId="3FF00D7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eastAsia="zh-CN"/>
              </w:rPr>
              <w:t>本项目位于石家庄矿区工业园区，不属于沙区范围，项目占地为园区规划的工业用地，</w:t>
            </w:r>
            <w:r>
              <w:rPr>
                <w:rFonts w:hint="default" w:ascii="Times New Roman" w:hAnsi="Times New Roman" w:eastAsia="宋体" w:cs="Times New Roman"/>
                <w:color w:val="auto"/>
                <w:sz w:val="24"/>
                <w:highlight w:val="none"/>
                <w:lang w:val="en-US" w:eastAsia="zh-CN"/>
              </w:rPr>
              <w:t xml:space="preserve">厂区采取防渗措施，生产车间、化粪池为一般防渗，等效黏土防渗层 Mb≥1.5m，K≤1×10 </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cm/s；或参照 GB16889 执行。项目运营后加强绿化，种植再生能力强、耐旱、耐涝的植物。通过采取以上生态保护及绿化措施，将有效补偿施工期对生态环境产生的破坏，不会对区域生态环境产生明显影响。因此，</w:t>
            </w:r>
            <w:r>
              <w:rPr>
                <w:rFonts w:hint="default" w:ascii="Times New Roman" w:hAnsi="Times New Roman" w:cs="Times New Roman"/>
                <w:color w:val="auto"/>
                <w:sz w:val="24"/>
                <w:highlight w:val="none"/>
                <w:lang w:eastAsia="zh-CN"/>
              </w:rPr>
              <w:t>项目建设符合沙区相关管理要求。</w:t>
            </w:r>
          </w:p>
          <w:p w14:paraId="72355F1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DEA65C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1589E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2C1F5A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55F1103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9B4043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748797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0"/>
                <w:sz w:val="24"/>
                <w:highlight w:val="none"/>
                <w:lang w:val="en-US" w:eastAsia="zh-CN"/>
              </w:rPr>
            </w:pPr>
          </w:p>
        </w:tc>
      </w:tr>
    </w:tbl>
    <w:p w14:paraId="0D3A0B83">
      <w:pPr>
        <w:keepNext w:val="0"/>
        <w:keepLines w:val="0"/>
        <w:pageBreakBefore w:val="0"/>
        <w:widowControl/>
        <w:numPr>
          <w:ilvl w:val="0"/>
          <w:numId w:val="7"/>
        </w:numPr>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
        </w:rPr>
        <w:sectPr>
          <w:footerReference r:id="rId5" w:type="default"/>
          <w:pgSz w:w="11906" w:h="16838"/>
          <w:pgMar w:top="1440" w:right="1800" w:bottom="1440" w:left="1800"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141A0DB6">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7890"/>
      </w:tblGrid>
      <w:tr w14:paraId="54B05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32" w:type="dxa"/>
            <w:vAlign w:val="center"/>
          </w:tcPr>
          <w:p w14:paraId="2FEA220F">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建设内容</w:t>
            </w:r>
          </w:p>
        </w:tc>
        <w:tc>
          <w:tcPr>
            <w:tcW w:w="7890" w:type="dxa"/>
          </w:tcPr>
          <w:p w14:paraId="4FFEE58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1、项目由来</w:t>
            </w:r>
          </w:p>
          <w:p w14:paraId="5A8DF99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eastAsia="zh-CN"/>
              </w:rPr>
              <w:t>河北鑫山建材有限公司位于石家庄市井陉矿区丰达产业园东区7号，拟投资</w:t>
            </w:r>
            <w:r>
              <w:rPr>
                <w:rFonts w:hint="default" w:ascii="Times New Roman" w:hAnsi="Times New Roman" w:cs="Times New Roman"/>
                <w:color w:val="auto"/>
                <w:sz w:val="24"/>
                <w:highlight w:val="none"/>
                <w:lang w:val="en-US" w:eastAsia="zh-CN"/>
              </w:rPr>
              <w:t>10550万元，建设“</w:t>
            </w: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r>
              <w:rPr>
                <w:rFonts w:hint="default" w:ascii="Times New Roman" w:hAnsi="Times New Roman" w:cs="Times New Roman"/>
                <w:color w:val="auto"/>
                <w:sz w:val="24"/>
                <w:highlight w:val="none"/>
                <w:lang w:val="en-US" w:eastAsia="zh-CN"/>
              </w:rPr>
              <w:t>”，主要建设1条钢制边框复合隔墙板生产线、1条石膏砂浆生产线，1条防火保温砂浆生产线，配套生产厂房、办公楼等辅助生产设施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项目建成后年产钢制边框复合隔墙板150万平方米，石膏砂浆2.5万吨，防火保温砂浆5000吨。项目已于2024年11月22日在石家庄市井陉矿区数据和政务服务局备案，备案编号：矿行审投资备字（2024）83号。</w:t>
            </w:r>
          </w:p>
          <w:p w14:paraId="74F725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kern w:val="0"/>
                <w:sz w:val="24"/>
                <w:highlight w:val="none"/>
              </w:rPr>
              <w:t>根据《中华人民共和国环境保护法》《中华人民共和国环境影响评价法》和《建设项目环境保护管理条例》中有关规定，该项目需进行环境影响评价。</w:t>
            </w:r>
            <w:r>
              <w:rPr>
                <w:rFonts w:hint="default" w:ascii="Times New Roman" w:hAnsi="Times New Roman" w:cs="Times New Roman"/>
                <w:color w:val="auto"/>
                <w:kern w:val="0"/>
                <w:sz w:val="24"/>
                <w:highlight w:val="none"/>
                <w:lang w:eastAsia="zh-CN"/>
              </w:rPr>
              <w:t>对照《建设项目环境影响评价分类管理名录》（</w:t>
            </w:r>
            <w:r>
              <w:rPr>
                <w:rFonts w:hint="default" w:ascii="Times New Roman" w:hAnsi="Times New Roman" w:cs="Times New Roman"/>
                <w:color w:val="auto"/>
                <w:kern w:val="0"/>
                <w:sz w:val="24"/>
                <w:highlight w:val="none"/>
                <w:lang w:val="en-US" w:eastAsia="zh-CN"/>
              </w:rPr>
              <w:t>2021年版</w:t>
            </w:r>
            <w:r>
              <w:rPr>
                <w:rFonts w:hint="default" w:ascii="Times New Roman" w:hAnsi="Times New Roman" w:cs="Times New Roman"/>
                <w:color w:val="auto"/>
                <w:kern w:val="0"/>
                <w:sz w:val="24"/>
                <w:highlight w:val="none"/>
                <w:lang w:eastAsia="zh-CN"/>
              </w:rPr>
              <w:t>），本</w:t>
            </w:r>
            <w:r>
              <w:rPr>
                <w:rFonts w:hint="default" w:ascii="Times New Roman" w:hAnsi="Times New Roman" w:cs="Times New Roman"/>
                <w:color w:val="auto"/>
                <w:kern w:val="0"/>
                <w:sz w:val="24"/>
                <w:highlight w:val="none"/>
              </w:rPr>
              <w:t>项目属于</w:t>
            </w:r>
            <w:r>
              <w:rPr>
                <w:rFonts w:hint="default" w:ascii="Times New Roman" w:hAnsi="Times New Roman" w:cs="Times New Roman"/>
                <w:color w:val="auto"/>
                <w:kern w:val="0"/>
                <w:sz w:val="24"/>
                <w:highlight w:val="none"/>
                <w:lang w:eastAsia="zh-CN"/>
              </w:rPr>
              <w:t>“二十七、非金属矿物制品业 56 石膏、水泥制品及类似制品制造 302-水泥制品制造和二十七、非金属矿物制品业 56 砖瓦、石材等建筑材料制造 303-隔热、隔音材料制造；其他建筑材料制造(含干粉砂浆搅拌站)”</w:t>
            </w:r>
            <w:r>
              <w:rPr>
                <w:rFonts w:hint="default" w:ascii="Times New Roman" w:hAnsi="Times New Roman" w:cs="Times New Roman"/>
                <w:color w:val="auto"/>
                <w:kern w:val="0"/>
                <w:sz w:val="24"/>
                <w:highlight w:val="none"/>
              </w:rPr>
              <w:t>，应编制环境影响报告表。为此，</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kern w:val="0"/>
                <w:sz w:val="24"/>
                <w:highlight w:val="none"/>
              </w:rPr>
              <w:t>委托我单位承担此项环评工作。我单位接受委托后，组织有关人员在现场调查、研究，收集资料的基础上，依据《建设项目环境影响报告表编制技术指南（污染影响类）（试行）》编制完成本环境影响报告表。</w:t>
            </w:r>
          </w:p>
          <w:p w14:paraId="40B93BD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2、基本</w:t>
            </w:r>
            <w:r>
              <w:rPr>
                <w:rFonts w:hint="default" w:ascii="Times New Roman" w:hAnsi="Times New Roman" w:eastAsia="宋体" w:cs="Times New Roman"/>
                <w:b/>
                <w:bCs/>
                <w:color w:val="auto"/>
                <w:sz w:val="24"/>
                <w:highlight w:val="none"/>
                <w:lang w:val="en-US" w:eastAsia="zh-CN"/>
              </w:rPr>
              <w:t>情况</w:t>
            </w:r>
          </w:p>
          <w:p w14:paraId="12509F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r>
              <w:rPr>
                <w:rFonts w:hint="default" w:ascii="Times New Roman" w:hAnsi="Times New Roman" w:cs="Times New Roman"/>
                <w:color w:val="auto"/>
                <w:sz w:val="24"/>
                <w:highlight w:val="none"/>
                <w:lang w:val="en-US" w:eastAsia="zh-CN"/>
              </w:rPr>
              <w:t>钢制边框复合隔墙板及砂浆生产项目</w:t>
            </w:r>
            <w:r>
              <w:rPr>
                <w:rFonts w:hint="default" w:ascii="Times New Roman" w:hAnsi="Times New Roman" w:eastAsia="宋体" w:cs="Times New Roman"/>
                <w:color w:val="auto"/>
                <w:sz w:val="24"/>
                <w:highlight w:val="none"/>
              </w:rPr>
              <w:t>。</w:t>
            </w:r>
          </w:p>
          <w:p w14:paraId="584042B2">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rPr>
              <w:t>项目建设单位：</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sz w:val="24"/>
                <w:highlight w:val="none"/>
              </w:rPr>
              <w:t>。</w:t>
            </w:r>
          </w:p>
          <w:p w14:paraId="51FB88F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（3）项目建设性质：</w:t>
            </w:r>
            <w:r>
              <w:rPr>
                <w:rFonts w:hint="default" w:ascii="Times New Roman" w:hAnsi="Times New Roman" w:cs="Times New Roman"/>
                <w:color w:val="auto"/>
                <w:sz w:val="24"/>
                <w:highlight w:val="none"/>
                <w:lang w:val="en-US" w:eastAsia="zh-CN"/>
              </w:rPr>
              <w:t>新建</w:t>
            </w:r>
            <w:r>
              <w:rPr>
                <w:rFonts w:hint="default" w:ascii="Times New Roman" w:hAnsi="Times New Roman" w:cs="Times New Roman"/>
                <w:color w:val="auto"/>
                <w:sz w:val="24"/>
                <w:highlight w:val="none"/>
              </w:rPr>
              <w:t>。</w:t>
            </w:r>
          </w:p>
          <w:p w14:paraId="2CBC684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（4）项目工程投资：总投资</w:t>
            </w:r>
            <w:r>
              <w:rPr>
                <w:rFonts w:hint="default" w:ascii="Times New Roman" w:hAnsi="Times New Roman" w:cs="Times New Roman"/>
                <w:color w:val="auto"/>
                <w:sz w:val="24"/>
                <w:highlight w:val="none"/>
                <w:lang w:val="en-US" w:eastAsia="zh-CN"/>
              </w:rPr>
              <w:t>10550</w:t>
            </w:r>
            <w:r>
              <w:rPr>
                <w:rFonts w:hint="default" w:ascii="Times New Roman" w:hAnsi="Times New Roman" w:cs="Times New Roman"/>
                <w:color w:val="auto"/>
                <w:sz w:val="24"/>
                <w:highlight w:val="none"/>
              </w:rPr>
              <w:t>万元，其中环保投资</w:t>
            </w:r>
            <w:r>
              <w:rPr>
                <w:rFonts w:hint="default" w:ascii="Times New Roman" w:hAnsi="Times New Roman" w:cs="Times New Roman"/>
                <w:color w:val="auto"/>
                <w:sz w:val="24"/>
                <w:highlight w:val="none"/>
                <w:lang w:val="en-US" w:eastAsia="zh-CN"/>
              </w:rPr>
              <w:t>50</w:t>
            </w:r>
            <w:r>
              <w:rPr>
                <w:rFonts w:hint="default" w:ascii="Times New Roman" w:hAnsi="Times New Roman" w:cs="Times New Roman"/>
                <w:color w:val="auto"/>
                <w:sz w:val="24"/>
                <w:highlight w:val="none"/>
              </w:rPr>
              <w:t>万元，占总投资的</w:t>
            </w:r>
            <w:r>
              <w:rPr>
                <w:rFonts w:hint="default" w:ascii="Times New Roman" w:hAnsi="Times New Roman" w:cs="Times New Roman"/>
                <w:color w:val="auto"/>
                <w:sz w:val="24"/>
                <w:highlight w:val="none"/>
                <w:lang w:val="en-US" w:eastAsia="zh-CN"/>
              </w:rPr>
              <w:t>0.47</w:t>
            </w:r>
            <w:r>
              <w:rPr>
                <w:rFonts w:hint="default" w:ascii="Times New Roman" w:hAnsi="Times New Roman" w:cs="Times New Roman"/>
                <w:color w:val="auto"/>
                <w:sz w:val="24"/>
                <w:highlight w:val="none"/>
              </w:rPr>
              <w:t>%。</w:t>
            </w:r>
          </w:p>
          <w:p w14:paraId="41C7C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（5）项目建设地点及四邻关系：</w:t>
            </w:r>
            <w:r>
              <w:rPr>
                <w:rFonts w:hint="default" w:ascii="Times New Roman" w:hAnsi="Times New Roman" w:cs="Times New Roman"/>
                <w:color w:val="auto"/>
                <w:sz w:val="24"/>
                <w:highlight w:val="none"/>
                <w:lang w:eastAsia="zh-CN"/>
              </w:rPr>
              <w:t>项目位于河北省石家庄市井陉矿区丰达产业园东区7号，属于河北石家庄矿区工业园区丰达片区范围，厂址中心地理坐标为东经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″，厂址北侧隔路为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南侧隔路为闲置厂房</w:t>
            </w:r>
            <w:r>
              <w:rPr>
                <w:rFonts w:hint="default" w:ascii="Times New Roman" w:hAnsi="Times New Roman" w:cs="Times New Roman"/>
                <w:color w:val="auto"/>
                <w:sz w:val="24"/>
                <w:highlight w:val="none"/>
                <w:lang w:eastAsia="zh-CN"/>
              </w:rPr>
              <w:t>。项目地理位置见附图1，周边关系见附图2。</w:t>
            </w:r>
          </w:p>
          <w:p w14:paraId="2FDBE92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（6）项目占地：本项目占地面积15951.18m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，建筑面积为10700m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w:t>
            </w:r>
          </w:p>
          <w:p w14:paraId="652B11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（7）劳动定员及工作制度：</w:t>
            </w:r>
            <w:r>
              <w:rPr>
                <w:rFonts w:hint="default" w:ascii="Times New Roman" w:hAnsi="Times New Roman" w:cs="Times New Roman"/>
                <w:color w:val="auto"/>
                <w:sz w:val="24"/>
                <w:highlight w:val="none"/>
              </w:rPr>
              <w:t>项目劳动定员</w:t>
            </w:r>
            <w:r>
              <w:rPr>
                <w:rFonts w:hint="default" w:ascii="Times New Roman" w:hAnsi="Times New Roman" w:cs="Times New Roman"/>
                <w:color w:val="auto"/>
                <w:sz w:val="24"/>
                <w:highlight w:val="none"/>
                <w:lang w:val="en-US" w:eastAsia="zh-CN"/>
              </w:rPr>
              <w:t>20人，年工作300天，一班工作制，每班8小时。</w:t>
            </w:r>
          </w:p>
          <w:p w14:paraId="4AE7C8A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主要建设内容</w:t>
            </w:r>
          </w:p>
          <w:p w14:paraId="780E6F9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color w:val="auto"/>
                <w:sz w:val="24"/>
                <w:highlight w:val="none"/>
                <w:lang w:val="en-US" w:eastAsia="zh-CN"/>
              </w:rPr>
              <w:t>本项目总建筑面积10700m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，主要包括生产厂房一座8830m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，办公楼1870m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highlight w:val="none"/>
                <w:lang w:val="en-US" w:eastAsia="zh-CN"/>
              </w:rPr>
              <w:t>工程组成</w:t>
            </w:r>
            <w:r>
              <w:rPr>
                <w:rFonts w:hint="default" w:ascii="Times New Roman" w:hAnsi="Times New Roman" w:eastAsia="宋体" w:cs="Times New Roman"/>
                <w:color w:val="auto"/>
                <w:sz w:val="24"/>
                <w:highlight w:val="none"/>
                <w:lang w:val="en-US" w:eastAsia="zh-CN"/>
              </w:rPr>
              <w:t>见表2-</w:t>
            </w:r>
            <w:r>
              <w:rPr>
                <w:rFonts w:hint="default" w:ascii="Times New Roman" w:hAnsi="Times New Roman" w:cs="Times New Roman"/>
                <w:color w:val="auto"/>
                <w:sz w:val="24"/>
                <w:highlight w:val="none"/>
                <w:lang w:val="en-US" w:eastAsia="zh-CN"/>
              </w:rPr>
              <w:t>1。</w:t>
            </w:r>
          </w:p>
          <w:p w14:paraId="2B03FF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rightChars="0" w:firstLine="0" w:firstLineChars="0"/>
              <w:jc w:val="center"/>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表2-1  项目工程组成一览表</w:t>
            </w:r>
          </w:p>
          <w:tbl>
            <w:tblPr>
              <w:tblStyle w:val="40"/>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673"/>
              <w:gridCol w:w="1062"/>
              <w:gridCol w:w="5926"/>
            </w:tblGrid>
            <w:tr w14:paraId="6E2B1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noWrap w:val="0"/>
                  <w:vAlign w:val="center"/>
                </w:tcPr>
                <w:p w14:paraId="627EAFA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分类</w:t>
                  </w:r>
                </w:p>
              </w:tc>
              <w:tc>
                <w:tcPr>
                  <w:tcW w:w="693" w:type="pct"/>
                  <w:noWrap w:val="0"/>
                  <w:vAlign w:val="center"/>
                </w:tcPr>
                <w:p w14:paraId="0B1719F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3866" w:type="pct"/>
                  <w:tcBorders>
                    <w:right w:val="single" w:color="auto" w:sz="4" w:space="0"/>
                  </w:tcBorders>
                  <w:noWrap w:val="0"/>
                  <w:vAlign w:val="center"/>
                </w:tcPr>
                <w:p w14:paraId="6D7654B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工程建设内容</w:t>
                  </w:r>
                </w:p>
              </w:tc>
            </w:tr>
            <w:tr w14:paraId="73B95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7070491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693" w:type="pct"/>
                  <w:tcBorders>
                    <w:bottom w:val="single" w:color="auto" w:sz="4" w:space="0"/>
                  </w:tcBorders>
                  <w:noWrap w:val="0"/>
                  <w:vAlign w:val="center"/>
                </w:tcPr>
                <w:p w14:paraId="382F61A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3866" w:type="pct"/>
                  <w:tcBorders>
                    <w:left w:val="single" w:color="auto" w:sz="4" w:space="0"/>
                    <w:bottom w:val="single" w:color="auto" w:sz="4" w:space="0"/>
                    <w:right w:val="single" w:color="auto" w:sz="4" w:space="0"/>
                  </w:tcBorders>
                  <w:noWrap w:val="0"/>
                  <w:vAlign w:val="center"/>
                </w:tcPr>
                <w:p w14:paraId="005E05C5">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1座，</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层，</w:t>
                  </w:r>
                  <w:r>
                    <w:rPr>
                      <w:rFonts w:hint="default" w:ascii="Times New Roman" w:hAnsi="Times New Roman" w:eastAsia="宋体" w:cs="Times New Roman"/>
                      <w:color w:val="auto"/>
                      <w:sz w:val="21"/>
                      <w:szCs w:val="21"/>
                      <w:highlight w:val="none"/>
                    </w:rPr>
                    <w:t>建筑面积</w:t>
                  </w:r>
                  <w:r>
                    <w:rPr>
                      <w:rFonts w:hint="default" w:ascii="Times New Roman" w:hAnsi="Times New Roman" w:cs="Times New Roman"/>
                      <w:color w:val="auto"/>
                      <w:sz w:val="21"/>
                      <w:szCs w:val="21"/>
                      <w:highlight w:val="none"/>
                      <w:lang w:val="en-US" w:eastAsia="zh-CN"/>
                    </w:rPr>
                    <w:t>8830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钢筋混凝土结构</w:t>
                  </w:r>
                  <w:r>
                    <w:rPr>
                      <w:rFonts w:hint="default" w:ascii="Times New Roman" w:hAnsi="Times New Roman" w:eastAsia="宋体" w:cs="Times New Roman"/>
                      <w:color w:val="auto"/>
                      <w:sz w:val="21"/>
                      <w:szCs w:val="21"/>
                      <w:highlight w:val="none"/>
                      <w:lang w:val="en-US" w:eastAsia="zh-CN"/>
                    </w:rPr>
                    <w:t>，内设储存区</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生产区等</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1条钢制边框复合隔墙板生产线、1条石膏砂浆生产线，1条防火保温砂浆生产线</w:t>
                  </w:r>
                  <w:r>
                    <w:rPr>
                      <w:rFonts w:hint="default" w:ascii="Times New Roman" w:hAnsi="Times New Roman" w:cs="Times New Roman"/>
                      <w:color w:val="auto"/>
                      <w:sz w:val="21"/>
                      <w:szCs w:val="21"/>
                      <w:highlight w:val="none"/>
                      <w:lang w:eastAsia="zh-CN"/>
                    </w:rPr>
                    <w:t>。</w:t>
                  </w:r>
                </w:p>
              </w:tc>
            </w:tr>
            <w:tr w14:paraId="5DD7A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28F7901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bottom w:val="single" w:color="auto" w:sz="4" w:space="0"/>
                  </w:tcBorders>
                  <w:noWrap w:val="0"/>
                  <w:vAlign w:val="center"/>
                </w:tcPr>
                <w:p w14:paraId="0AF5D57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办公楼</w:t>
                  </w:r>
                </w:p>
              </w:tc>
              <w:tc>
                <w:tcPr>
                  <w:tcW w:w="3866" w:type="pct"/>
                  <w:tcBorders>
                    <w:left w:val="single" w:color="auto" w:sz="4" w:space="0"/>
                    <w:bottom w:val="single" w:color="auto" w:sz="4" w:space="0"/>
                    <w:right w:val="single" w:color="auto" w:sz="4" w:space="0"/>
                  </w:tcBorders>
                  <w:noWrap w:val="0"/>
                  <w:vAlign w:val="center"/>
                </w:tcPr>
                <w:p w14:paraId="51406B03">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1座，3层。建筑面积1870m</w:t>
                  </w:r>
                  <w:r>
                    <w:rPr>
                      <w:rFonts w:hint="default" w:ascii="Times New Roman" w:hAnsi="Times New Roman" w:cs="Times New Roman"/>
                      <w:color w:val="auto"/>
                      <w:sz w:val="21"/>
                      <w:szCs w:val="21"/>
                      <w:highlight w:val="none"/>
                      <w:vertAlign w:val="superscript"/>
                      <w:lang w:val="en-US" w:eastAsia="zh-CN"/>
                    </w:rPr>
                    <w:t>2</w:t>
                  </w:r>
                  <w:r>
                    <w:rPr>
                      <w:rFonts w:hint="default" w:ascii="Times New Roman" w:hAnsi="Times New Roman" w:cs="Times New Roman"/>
                      <w:color w:val="auto"/>
                      <w:sz w:val="21"/>
                      <w:szCs w:val="21"/>
                      <w:highlight w:val="none"/>
                      <w:lang w:val="en-US" w:eastAsia="zh-CN"/>
                    </w:rPr>
                    <w:t>。</w:t>
                  </w:r>
                </w:p>
              </w:tc>
            </w:tr>
            <w:tr w14:paraId="43D8E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4F62CE1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w:t>
                  </w:r>
                </w:p>
                <w:p w14:paraId="7401858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357356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供水</w:t>
                  </w:r>
                </w:p>
              </w:tc>
              <w:tc>
                <w:tcPr>
                  <w:tcW w:w="3866" w:type="pct"/>
                  <w:tcBorders>
                    <w:left w:val="single" w:color="auto" w:sz="4" w:space="0"/>
                    <w:right w:val="single" w:color="auto" w:sz="4" w:space="0"/>
                  </w:tcBorders>
                  <w:noWrap w:val="0"/>
                  <w:vAlign w:val="center"/>
                </w:tcPr>
                <w:p w14:paraId="14ED93A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Cs w:val="21"/>
                      <w:highlight w:val="none"/>
                    </w:rPr>
                    <w:t>项目用水由</w:t>
                  </w:r>
                  <w:r>
                    <w:rPr>
                      <w:rFonts w:hint="default" w:ascii="Times New Roman" w:hAnsi="Times New Roman" w:eastAsia="宋体" w:cs="Times New Roman"/>
                      <w:color w:val="auto"/>
                      <w:szCs w:val="21"/>
                      <w:highlight w:val="none"/>
                      <w:lang w:val="en-US" w:eastAsia="zh-CN"/>
                    </w:rPr>
                    <w:t>园区供水</w:t>
                  </w:r>
                  <w:r>
                    <w:rPr>
                      <w:rFonts w:hint="default" w:ascii="Times New Roman" w:hAnsi="Times New Roman" w:eastAsia="宋体" w:cs="Times New Roman"/>
                      <w:color w:val="auto"/>
                      <w:szCs w:val="21"/>
                      <w:highlight w:val="none"/>
                    </w:rPr>
                    <w:t>管网提供</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年用水量为</w:t>
                  </w:r>
                  <w:r>
                    <w:rPr>
                      <w:rFonts w:hint="default" w:ascii="Times New Roman" w:hAnsi="Times New Roman" w:cs="Times New Roman"/>
                      <w:color w:val="auto"/>
                      <w:szCs w:val="21"/>
                      <w:highlight w:val="none"/>
                      <w:lang w:val="en-US" w:eastAsia="zh-CN"/>
                    </w:rPr>
                    <w:t>3768</w:t>
                  </w:r>
                  <w:r>
                    <w:rPr>
                      <w:rFonts w:hint="default" w:ascii="Times New Roman" w:hAnsi="Times New Roman" w:eastAsia="宋体" w:cs="Times New Roman"/>
                      <w:color w:val="auto"/>
                      <w:szCs w:val="21"/>
                      <w:highlight w:val="none"/>
                    </w:rPr>
                    <w:t>m</w:t>
                  </w:r>
                  <w:r>
                    <w:rPr>
                      <w:rFonts w:hint="default" w:ascii="Times New Roman" w:hAnsi="Times New Roman" w:eastAsia="宋体" w:cs="Times New Roman"/>
                      <w:color w:val="auto"/>
                      <w:szCs w:val="21"/>
                      <w:highlight w:val="none"/>
                      <w:vertAlign w:val="superscript"/>
                    </w:rPr>
                    <w:t>3</w:t>
                  </w:r>
                  <w:r>
                    <w:rPr>
                      <w:rFonts w:hint="default" w:ascii="Times New Roman" w:hAnsi="Times New Roman" w:eastAsia="宋体" w:cs="Times New Roman"/>
                      <w:color w:val="auto"/>
                      <w:szCs w:val="21"/>
                      <w:highlight w:val="none"/>
                      <w:lang w:val="en-US" w:eastAsia="zh-CN"/>
                    </w:rPr>
                    <w:t>。</w:t>
                  </w:r>
                </w:p>
              </w:tc>
            </w:tr>
            <w:tr w14:paraId="7986B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439" w:type="pct"/>
                  <w:vMerge w:val="continue"/>
                  <w:tcBorders>
                    <w:right w:val="single" w:color="auto" w:sz="4" w:space="0"/>
                  </w:tcBorders>
                  <w:noWrap w:val="0"/>
                  <w:vAlign w:val="center"/>
                </w:tcPr>
                <w:p w14:paraId="3A9329A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2F93AA0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B11719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由园区供电管网提供，</w:t>
                  </w:r>
                  <w:r>
                    <w:rPr>
                      <w:rFonts w:hint="default" w:ascii="Times New Roman" w:hAnsi="Times New Roman" w:eastAsia="宋体" w:cs="Times New Roman"/>
                      <w:color w:val="auto"/>
                      <w:sz w:val="21"/>
                      <w:szCs w:val="21"/>
                      <w:highlight w:val="none"/>
                    </w:rPr>
                    <w:t>年用电</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万kW·h。</w:t>
                  </w:r>
                </w:p>
              </w:tc>
            </w:tr>
            <w:tr w14:paraId="00FD3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8136F0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66B50A7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1A36B18">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生产</w:t>
                  </w:r>
                  <w:r>
                    <w:rPr>
                      <w:rFonts w:hint="default" w:ascii="Times New Roman" w:hAnsi="Times New Roman"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用热，冬季办公取暖由空调提供。</w:t>
                  </w:r>
                </w:p>
              </w:tc>
            </w:tr>
            <w:tr w14:paraId="66AD5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36F9F1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w:t>
                  </w:r>
                </w:p>
                <w:p w14:paraId="2627DEC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201905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废气</w:t>
                  </w:r>
                </w:p>
              </w:tc>
              <w:tc>
                <w:tcPr>
                  <w:tcW w:w="3866" w:type="pct"/>
                  <w:tcBorders>
                    <w:left w:val="single" w:color="auto" w:sz="4" w:space="0"/>
                    <w:right w:val="single" w:color="auto" w:sz="4" w:space="0"/>
                  </w:tcBorders>
                  <w:noWrap w:val="0"/>
                  <w:vAlign w:val="center"/>
                </w:tcPr>
                <w:p w14:paraId="5AB8EF2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储罐顶部</w:t>
                  </w:r>
                  <w:r>
                    <w:rPr>
                      <w:rFonts w:hint="default" w:ascii="Times New Roman" w:hAnsi="Times New Roman" w:cs="Times New Roman"/>
                      <w:color w:val="auto"/>
                      <w:szCs w:val="21"/>
                      <w:highlight w:val="none"/>
                      <w:lang w:val="en-US" w:eastAsia="zh-CN"/>
                    </w:rPr>
                    <w:t>及</w:t>
                  </w:r>
                  <w:r>
                    <w:rPr>
                      <w:rFonts w:hint="default" w:ascii="Times New Roman" w:hAnsi="Times New Roman" w:eastAsia="宋体" w:cs="Times New Roman"/>
                      <w:color w:val="auto"/>
                      <w:szCs w:val="21"/>
                      <w:highlight w:val="none"/>
                      <w:lang w:val="en-US" w:eastAsia="zh-CN"/>
                    </w:rPr>
                    <w:t>隔墙板</w:t>
                  </w:r>
                  <w:r>
                    <w:rPr>
                      <w:rFonts w:hint="default" w:ascii="Times New Roman" w:hAnsi="Times New Roman" w:cs="Times New Roman"/>
                      <w:color w:val="auto"/>
                      <w:szCs w:val="21"/>
                      <w:highlight w:val="none"/>
                      <w:lang w:val="en-US" w:eastAsia="zh-CN"/>
                    </w:rPr>
                    <w:t>、石膏砂浆和保温砂浆</w:t>
                  </w:r>
                  <w:r>
                    <w:rPr>
                      <w:rFonts w:hint="default" w:ascii="Times New Roman" w:hAnsi="Times New Roman" w:eastAsia="宋体" w:cs="Times New Roman"/>
                      <w:color w:val="auto"/>
                      <w:szCs w:val="21"/>
                      <w:highlight w:val="none"/>
                      <w:lang w:val="en-US" w:eastAsia="zh-CN"/>
                    </w:rPr>
                    <w:t>生产中的搅拌仓设置集气管道，包装机上方设置集气罩，储罐呼吸废气经罐顶除尘器处理后，和</w:t>
                  </w:r>
                  <w:r>
                    <w:rPr>
                      <w:rFonts w:hint="default" w:ascii="Times New Roman" w:hAnsi="Times New Roman" w:cs="Times New Roman"/>
                      <w:color w:val="auto"/>
                      <w:szCs w:val="21"/>
                      <w:highlight w:val="none"/>
                      <w:lang w:val="en-US" w:eastAsia="zh-CN"/>
                    </w:rPr>
                    <w:t>上料废气、</w:t>
                  </w:r>
                  <w:r>
                    <w:rPr>
                      <w:rFonts w:hint="default" w:ascii="Times New Roman" w:hAnsi="Times New Roman" w:eastAsia="宋体" w:cs="Times New Roman"/>
                      <w:color w:val="auto"/>
                      <w:szCs w:val="21"/>
                      <w:highlight w:val="none"/>
                      <w:lang w:val="en-US" w:eastAsia="zh-CN"/>
                    </w:rPr>
                    <w:t>搅拌废气、分装废气引至同一套布袋除尘器处理，处理后经1根15m高排气筒（DA001）排放。</w:t>
                  </w:r>
                </w:p>
              </w:tc>
            </w:tr>
            <w:tr w14:paraId="76751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6F7191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0039E89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w:t>
                  </w:r>
                </w:p>
              </w:tc>
              <w:tc>
                <w:tcPr>
                  <w:tcW w:w="3866" w:type="pct"/>
                  <w:tcBorders>
                    <w:left w:val="single" w:color="auto" w:sz="4" w:space="0"/>
                    <w:right w:val="single" w:color="auto" w:sz="4" w:space="0"/>
                  </w:tcBorders>
                  <w:noWrap w:val="0"/>
                  <w:vAlign w:val="center"/>
                </w:tcPr>
                <w:p w14:paraId="5E1F095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车辆冲洗水、模具冲洗水经各自沉淀池沉淀后循环利用，不外排；生活污水，排入厂区化粪池，定期清掏用作农肥。</w:t>
                  </w:r>
                </w:p>
              </w:tc>
            </w:tr>
            <w:tr w14:paraId="29617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17E6BF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1524A0E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636D970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选用低噪声设备、基础减振、厂房隔声、厂区合理布局。</w:t>
                  </w:r>
                </w:p>
              </w:tc>
            </w:tr>
            <w:tr w14:paraId="0D92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F25ABE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7028EB8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2DDD4D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项目废包装袋、沉淀池底泥、废焊材</w:t>
                  </w:r>
                  <w:r>
                    <w:rPr>
                      <w:rFonts w:hint="default" w:ascii="Times New Roman" w:hAnsi="Times New Roman" w:cs="Times New Roman"/>
                      <w:color w:val="auto"/>
                      <w:szCs w:val="21"/>
                      <w:highlight w:val="none"/>
                      <w:lang w:val="en-US" w:eastAsia="zh-CN"/>
                    </w:rPr>
                    <w:t>、废布袋</w:t>
                  </w:r>
                  <w:r>
                    <w:rPr>
                      <w:rFonts w:hint="default" w:ascii="Times New Roman" w:hAnsi="Times New Roman" w:eastAsia="宋体" w:cs="Times New Roman"/>
                      <w:color w:val="auto"/>
                      <w:szCs w:val="21"/>
                      <w:highlight w:val="none"/>
                      <w:lang w:val="en-US" w:eastAsia="zh-CN"/>
                    </w:rPr>
                    <w:t>，分类收集后全部外售；除尘灰统一收集后回用于生产；生活垃圾采用垃圾桶收集后，交由当地环卫部门统一清运处置。</w:t>
                  </w:r>
                </w:p>
              </w:tc>
            </w:tr>
          </w:tbl>
          <w:p w14:paraId="24CF99F4">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产品方案</w:t>
            </w:r>
          </w:p>
          <w:p w14:paraId="2AA060F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cs="Times New Roman"/>
                <w:color w:val="auto"/>
                <w:sz w:val="24"/>
                <w:highlight w:val="none"/>
                <w:lang w:val="en-US" w:eastAsia="zh-CN"/>
              </w:rPr>
              <w:t>建成后年产钢制边框复合隔墙板150万平方米，石膏砂浆2.5万吨，防火保温砂浆5000吨</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rPr>
              <w:t>项目建设完成后产品方案一览表见表2-</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w:t>
            </w:r>
          </w:p>
          <w:p w14:paraId="49BB9552">
            <w:pPr>
              <w:ind w:firstLine="482" w:firstLineChars="200"/>
              <w:jc w:val="center"/>
              <w:rPr>
                <w:rFonts w:hint="default" w:ascii="Times New Roman" w:hAnsi="Times New Roman" w:cs="Times New Roman"/>
                <w:b/>
                <w:bCs/>
                <w:color w:val="auto"/>
                <w:kern w:val="0"/>
                <w:sz w:val="24"/>
                <w:highlight w:val="none"/>
              </w:rPr>
            </w:pPr>
          </w:p>
          <w:p w14:paraId="2E02F517">
            <w:pPr>
              <w:ind w:firstLine="482" w:firstLineChars="200"/>
              <w:jc w:val="center"/>
              <w:rPr>
                <w:rFonts w:hint="default" w:ascii="Times New Roman" w:hAnsi="Times New Roman" w:cs="Times New Roman"/>
                <w:b/>
                <w:bCs/>
                <w:color w:val="auto"/>
                <w:kern w:val="0"/>
                <w:sz w:val="24"/>
                <w:highlight w:val="none"/>
              </w:rPr>
            </w:pPr>
          </w:p>
          <w:p w14:paraId="6F49322A">
            <w:pPr>
              <w:ind w:firstLine="482" w:firstLineChars="200"/>
              <w:jc w:val="center"/>
              <w:rPr>
                <w:rFonts w:hint="default" w:ascii="Times New Roman" w:hAnsi="Times New Roman" w:cs="Times New Roman"/>
                <w:b/>
                <w:bCs/>
                <w:color w:val="auto"/>
                <w:kern w:val="0"/>
                <w:sz w:val="24"/>
                <w:highlight w:val="none"/>
              </w:rPr>
            </w:pPr>
          </w:p>
          <w:p w14:paraId="4FC3E4B3">
            <w:pPr>
              <w:ind w:firstLine="482" w:firstLineChars="200"/>
              <w:jc w:val="center"/>
              <w:rPr>
                <w:rFonts w:hint="default" w:ascii="Times New Roman" w:hAnsi="Times New Roman" w:cs="Times New Roman"/>
                <w:b/>
                <w:bCs/>
                <w:color w:val="auto"/>
                <w:kern w:val="0"/>
                <w:sz w:val="24"/>
                <w:highlight w:val="none"/>
              </w:rPr>
            </w:pPr>
          </w:p>
          <w:p w14:paraId="33D67AF4">
            <w:pPr>
              <w:ind w:firstLine="482" w:firstLineChars="200"/>
              <w:jc w:val="center"/>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表2-</w:t>
            </w:r>
            <w:r>
              <w:rPr>
                <w:rFonts w:hint="default" w:ascii="Times New Roman" w:hAnsi="Times New Roman" w:cs="Times New Roman"/>
                <w:b/>
                <w:bCs/>
                <w:color w:val="auto"/>
                <w:kern w:val="0"/>
                <w:sz w:val="24"/>
                <w:highlight w:val="none"/>
                <w:lang w:val="en-US" w:eastAsia="zh-CN"/>
              </w:rPr>
              <w:t>2</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color w:val="auto"/>
                <w:sz w:val="24"/>
                <w:highlight w:val="none"/>
                <w:shd w:val="clear" w:color="auto" w:fill="auto"/>
              </w:rPr>
              <w:t>项目</w:t>
            </w:r>
            <w:r>
              <w:rPr>
                <w:rFonts w:hint="default" w:ascii="Times New Roman" w:hAnsi="Times New Roman" w:cs="Times New Roman"/>
                <w:b/>
                <w:color w:val="auto"/>
                <w:sz w:val="24"/>
                <w:highlight w:val="none"/>
              </w:rPr>
              <w:t>产品方案一览表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676"/>
              <w:gridCol w:w="1197"/>
              <w:gridCol w:w="3088"/>
              <w:gridCol w:w="989"/>
            </w:tblGrid>
            <w:tr w14:paraId="4DFB9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40AB60FC">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序号</w:t>
                  </w:r>
                </w:p>
              </w:tc>
              <w:tc>
                <w:tcPr>
                  <w:tcW w:w="1093" w:type="pct"/>
                  <w:noWrap w:val="0"/>
                  <w:vAlign w:val="center"/>
                </w:tcPr>
                <w:p w14:paraId="5A00E120">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名称</w:t>
                  </w:r>
                </w:p>
              </w:tc>
              <w:tc>
                <w:tcPr>
                  <w:tcW w:w="781" w:type="pct"/>
                  <w:noWrap w:val="0"/>
                  <w:vAlign w:val="center"/>
                </w:tcPr>
                <w:p w14:paraId="46CA6F9C">
                  <w:pPr>
                    <w:spacing w:line="360" w:lineRule="exact"/>
                    <w:ind w:firstLine="0" w:firstLineChars="0"/>
                    <w:jc w:val="center"/>
                    <w:rPr>
                      <w:rFonts w:hint="default" w:ascii="Times New Roman" w:hAnsi="Times New Roman" w:eastAsia="宋体" w:cs="Times New Roman"/>
                      <w:color w:val="auto"/>
                      <w:spacing w:val="-4"/>
                      <w:sz w:val="21"/>
                      <w:szCs w:val="21"/>
                      <w:highlight w:val="none"/>
                      <w:lang w:eastAsia="zh-CN"/>
                    </w:rPr>
                  </w:pPr>
                  <w:r>
                    <w:rPr>
                      <w:rFonts w:hint="default" w:ascii="Times New Roman" w:hAnsi="Times New Roman" w:cs="Times New Roman"/>
                      <w:color w:val="auto"/>
                      <w:spacing w:val="-4"/>
                      <w:sz w:val="21"/>
                      <w:szCs w:val="21"/>
                      <w:highlight w:val="none"/>
                      <w:lang w:eastAsia="zh-CN"/>
                    </w:rPr>
                    <w:t>生产规模</w:t>
                  </w:r>
                </w:p>
              </w:tc>
              <w:tc>
                <w:tcPr>
                  <w:tcW w:w="2014" w:type="pct"/>
                  <w:noWrap w:val="0"/>
                  <w:vAlign w:val="center"/>
                </w:tcPr>
                <w:p w14:paraId="2740ED2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产品质量标准</w:t>
                  </w:r>
                </w:p>
              </w:tc>
              <w:tc>
                <w:tcPr>
                  <w:tcW w:w="645" w:type="pct"/>
                  <w:noWrap w:val="0"/>
                  <w:vAlign w:val="center"/>
                </w:tcPr>
                <w:p w14:paraId="782BA70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备注</w:t>
                  </w:r>
                </w:p>
              </w:tc>
            </w:tr>
            <w:tr w14:paraId="76CD8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9E77F51">
                  <w:pPr>
                    <w:spacing w:line="360" w:lineRule="exact"/>
                    <w:ind w:firstLine="0" w:firstLineChars="0"/>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1</w:t>
                  </w:r>
                </w:p>
              </w:tc>
              <w:tc>
                <w:tcPr>
                  <w:tcW w:w="1093" w:type="pct"/>
                  <w:noWrap w:val="0"/>
                  <w:vAlign w:val="center"/>
                </w:tcPr>
                <w:p w14:paraId="3D7B9C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c>
                <w:tcPr>
                  <w:tcW w:w="781" w:type="pct"/>
                  <w:noWrap w:val="0"/>
                  <w:vAlign w:val="center"/>
                </w:tcPr>
                <w:p w14:paraId="02573FB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w:t>
                  </w:r>
                  <w:r>
                    <w:rPr>
                      <w:rFonts w:hint="default" w:ascii="Times New Roman" w:hAnsi="Times New Roman" w:eastAsia="宋体" w:cs="Times New Roman"/>
                      <w:i w:val="0"/>
                      <w:iCs w:val="0"/>
                      <w:color w:val="auto"/>
                      <w:kern w:val="2"/>
                      <w:sz w:val="21"/>
                      <w:szCs w:val="21"/>
                      <w:highlight w:val="none"/>
                      <w:u w:val="none"/>
                      <w:lang w:val="en-US" w:eastAsia="zh-CN" w:bidi="ar-SA"/>
                    </w:rPr>
                    <w:t>万平方</w:t>
                  </w:r>
                  <w:r>
                    <w:rPr>
                      <w:rFonts w:hint="default" w:ascii="Times New Roman" w:hAnsi="Times New Roman" w:cs="Times New Roman"/>
                      <w:i w:val="0"/>
                      <w:iCs w:val="0"/>
                      <w:color w:val="auto"/>
                      <w:kern w:val="2"/>
                      <w:sz w:val="21"/>
                      <w:szCs w:val="21"/>
                      <w:highlight w:val="none"/>
                      <w:u w:val="none"/>
                      <w:lang w:val="en-US" w:eastAsia="zh-CN" w:bidi="ar-SA"/>
                    </w:rPr>
                    <w:t>米</w:t>
                  </w:r>
                </w:p>
              </w:tc>
              <w:tc>
                <w:tcPr>
                  <w:tcW w:w="2014" w:type="pct"/>
                  <w:noWrap w:val="0"/>
                  <w:vAlign w:val="center"/>
                </w:tcPr>
                <w:p w14:paraId="2DA63FE8">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《钢制边框复合条板应用技术标准》（DB13(J)/T 8517-2023）</w:t>
                  </w:r>
                </w:p>
              </w:tc>
              <w:tc>
                <w:tcPr>
                  <w:tcW w:w="645" w:type="pct"/>
                  <w:noWrap w:val="0"/>
                  <w:vAlign w:val="center"/>
                </w:tcPr>
                <w:p w14:paraId="6FBCF18B">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104165吨</w:t>
                  </w:r>
                </w:p>
              </w:tc>
            </w:tr>
            <w:tr w14:paraId="7FD1F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5C18994">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2</w:t>
                  </w:r>
                </w:p>
              </w:tc>
              <w:tc>
                <w:tcPr>
                  <w:tcW w:w="1093" w:type="pct"/>
                  <w:noWrap w:val="0"/>
                  <w:vAlign w:val="center"/>
                </w:tcPr>
                <w:p w14:paraId="36E2F4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石膏砂浆</w:t>
                  </w:r>
                </w:p>
              </w:tc>
              <w:tc>
                <w:tcPr>
                  <w:tcW w:w="781" w:type="pct"/>
                  <w:noWrap w:val="0"/>
                  <w:vAlign w:val="center"/>
                </w:tcPr>
                <w:p w14:paraId="0D8D0131">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2.5万吨</w:t>
                  </w:r>
                </w:p>
              </w:tc>
              <w:tc>
                <w:tcPr>
                  <w:tcW w:w="2014" w:type="pct"/>
                  <w:noWrap w:val="0"/>
                  <w:vAlign w:val="center"/>
                </w:tcPr>
                <w:p w14:paraId="52AD38D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《石膏基自流平砂浆》（JC/T1023-2021）</w:t>
                  </w:r>
                </w:p>
              </w:tc>
              <w:tc>
                <w:tcPr>
                  <w:tcW w:w="645" w:type="pct"/>
                  <w:noWrap w:val="0"/>
                  <w:vAlign w:val="center"/>
                </w:tcPr>
                <w:p w14:paraId="078A0122">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r w14:paraId="6F80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0954B44B">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3</w:t>
                  </w:r>
                </w:p>
              </w:tc>
              <w:tc>
                <w:tcPr>
                  <w:tcW w:w="1093" w:type="pct"/>
                  <w:noWrap w:val="0"/>
                  <w:vAlign w:val="center"/>
                </w:tcPr>
                <w:p w14:paraId="6894B65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防火保温砂浆</w:t>
                  </w:r>
                </w:p>
              </w:tc>
              <w:tc>
                <w:tcPr>
                  <w:tcW w:w="781" w:type="pct"/>
                  <w:noWrap w:val="0"/>
                  <w:vAlign w:val="center"/>
                </w:tcPr>
                <w:p w14:paraId="14CB8CF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5000吨</w:t>
                  </w:r>
                </w:p>
              </w:tc>
              <w:tc>
                <w:tcPr>
                  <w:tcW w:w="2014" w:type="pct"/>
                  <w:noWrap w:val="0"/>
                  <w:vAlign w:val="center"/>
                </w:tcPr>
                <w:p w14:paraId="5A89CB14">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 xml:space="preserve"> 《钢结构防火涂料》</w:t>
                  </w:r>
                </w:p>
                <w:p w14:paraId="4B21B109">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（GB 14907-2018）</w:t>
                  </w:r>
                </w:p>
              </w:tc>
              <w:tc>
                <w:tcPr>
                  <w:tcW w:w="645" w:type="pct"/>
                  <w:noWrap w:val="0"/>
                  <w:vAlign w:val="center"/>
                </w:tcPr>
                <w:p w14:paraId="2ED430B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bl>
          <w:p w14:paraId="37E457BC">
            <w:pPr>
              <w:keepLines w:val="0"/>
              <w:pageBreakBefore w:val="0"/>
              <w:numPr>
                <w:ilvl w:val="0"/>
                <w:numId w:val="0"/>
              </w:numPr>
              <w:kinsoku/>
              <w:wordWrap/>
              <w:overflowPunct/>
              <w:topLinePunct w:val="0"/>
              <w:autoSpaceDE/>
              <w:autoSpaceDN/>
              <w:bidi w:val="0"/>
              <w:adjustRightInd/>
              <w:snapToGrid/>
              <w:spacing w:line="360" w:lineRule="auto"/>
              <w:ind w:left="420" w:leftChars="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、原辅材料及能源消耗</w:t>
            </w:r>
          </w:p>
          <w:p w14:paraId="4F640BD5">
            <w:pPr>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项目主要原辅料及能源消耗见表</w:t>
            </w: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rPr>
              <w:t>。</w:t>
            </w:r>
          </w:p>
          <w:p w14:paraId="3AF4CD63">
            <w:pPr>
              <w:keepNext/>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color w:val="auto"/>
                <w:sz w:val="24"/>
                <w:highlight w:val="none"/>
              </w:rPr>
              <w:t>表2</w:t>
            </w:r>
            <w:r>
              <w:rPr>
                <w:rFonts w:hint="default" w:ascii="Times New Roman" w:hAnsi="Times New Roman" w:cs="Times New Roman"/>
                <w:b/>
                <w:color w:val="auto"/>
                <w:sz w:val="24"/>
                <w:highlight w:val="none"/>
                <w:lang w:val="en-US" w:eastAsia="zh-CN"/>
              </w:rPr>
              <w:t>-3</w:t>
            </w:r>
            <w:r>
              <w:rPr>
                <w:rFonts w:hint="default" w:ascii="Times New Roman" w:hAnsi="Times New Roman" w:cs="Times New Roman"/>
                <w:b/>
                <w:color w:val="auto"/>
                <w:sz w:val="24"/>
                <w:highlight w:val="none"/>
              </w:rPr>
              <w:t xml:space="preserve">   </w:t>
            </w:r>
            <w:r>
              <w:rPr>
                <w:rFonts w:hint="default" w:ascii="Times New Roman" w:hAnsi="Times New Roman" w:cs="Times New Roman"/>
                <w:b/>
                <w:color w:val="auto"/>
                <w:sz w:val="24"/>
                <w:highlight w:val="none"/>
                <w:lang w:val="en-US" w:eastAsia="zh-CN"/>
              </w:rPr>
              <w:t>项目</w:t>
            </w:r>
            <w:r>
              <w:rPr>
                <w:rFonts w:hint="default" w:ascii="Times New Roman" w:hAnsi="Times New Roman" w:cs="Times New Roman"/>
                <w:b/>
                <w:color w:val="auto"/>
                <w:sz w:val="24"/>
                <w:highlight w:val="none"/>
              </w:rPr>
              <w:t>主要原辅材料及能量消耗一览表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399"/>
              <w:gridCol w:w="1111"/>
              <w:gridCol w:w="944"/>
              <w:gridCol w:w="3507"/>
            </w:tblGrid>
            <w:tr w14:paraId="660B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1A53F4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913" w:type="pct"/>
                  <w:noWrap w:val="0"/>
                  <w:vAlign w:val="center"/>
                </w:tcPr>
                <w:p w14:paraId="3FD5AAB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名称</w:t>
                  </w:r>
                </w:p>
              </w:tc>
              <w:tc>
                <w:tcPr>
                  <w:tcW w:w="725" w:type="pct"/>
                  <w:noWrap w:val="0"/>
                  <w:vAlign w:val="center"/>
                </w:tcPr>
                <w:p w14:paraId="00E4956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616" w:type="pct"/>
                  <w:noWrap w:val="0"/>
                  <w:vAlign w:val="center"/>
                </w:tcPr>
                <w:p w14:paraId="4E920CE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1"/>
                      <w:szCs w:val="21"/>
                      <w:highlight w:val="none"/>
                      <w:lang w:val="en-US" w:eastAsia="zh-CN"/>
                    </w:rPr>
                    <w:t>消耗</w:t>
                  </w:r>
                  <w:r>
                    <w:rPr>
                      <w:rFonts w:hint="default" w:ascii="Times New Roman" w:hAnsi="Times New Roman" w:cs="Times New Roman"/>
                      <w:color w:val="auto"/>
                      <w:kern w:val="1"/>
                      <w:szCs w:val="21"/>
                      <w:highlight w:val="none"/>
                    </w:rPr>
                    <w:t>量</w:t>
                  </w:r>
                </w:p>
              </w:tc>
              <w:tc>
                <w:tcPr>
                  <w:tcW w:w="2288" w:type="pct"/>
                  <w:noWrap w:val="0"/>
                  <w:vAlign w:val="center"/>
                </w:tcPr>
                <w:p w14:paraId="7712427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14:paraId="1074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57AD054">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r>
            <w:tr w14:paraId="1EB4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5D58B0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913" w:type="pct"/>
                  <w:noWrap w:val="0"/>
                  <w:vAlign w:val="center"/>
                </w:tcPr>
                <w:p w14:paraId="65D897E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珍珠岩</w:t>
                  </w:r>
                </w:p>
              </w:tc>
              <w:tc>
                <w:tcPr>
                  <w:tcW w:w="725" w:type="pct"/>
                  <w:noWrap w:val="0"/>
                  <w:vAlign w:val="center"/>
                </w:tcPr>
                <w:p w14:paraId="5874C21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DEC389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4500</w:t>
                  </w:r>
                </w:p>
              </w:tc>
              <w:tc>
                <w:tcPr>
                  <w:tcW w:w="2288" w:type="pct"/>
                  <w:noWrap w:val="0"/>
                  <w:vAlign w:val="center"/>
                </w:tcPr>
                <w:p w14:paraId="642516FF">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5B5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1A84C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w:t>
                  </w:r>
                </w:p>
              </w:tc>
              <w:tc>
                <w:tcPr>
                  <w:tcW w:w="913" w:type="pct"/>
                  <w:noWrap w:val="0"/>
                  <w:vAlign w:val="center"/>
                </w:tcPr>
                <w:p w14:paraId="05B4B2D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脱硫石膏</w:t>
                  </w:r>
                </w:p>
              </w:tc>
              <w:tc>
                <w:tcPr>
                  <w:tcW w:w="725" w:type="pct"/>
                  <w:noWrap w:val="0"/>
                  <w:vAlign w:val="center"/>
                </w:tcPr>
                <w:p w14:paraId="6F95D2E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C0C11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60000</w:t>
                  </w:r>
                </w:p>
              </w:tc>
              <w:tc>
                <w:tcPr>
                  <w:tcW w:w="2288" w:type="pct"/>
                  <w:noWrap w:val="0"/>
                  <w:vAlign w:val="center"/>
                </w:tcPr>
                <w:p w14:paraId="14289D6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30B5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E5EF2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w:t>
                  </w:r>
                </w:p>
              </w:tc>
              <w:tc>
                <w:tcPr>
                  <w:tcW w:w="913" w:type="pct"/>
                  <w:noWrap w:val="0"/>
                  <w:vAlign w:val="center"/>
                </w:tcPr>
                <w:p w14:paraId="04A7267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noWrap w:val="0"/>
                  <w:vAlign w:val="center"/>
                </w:tcPr>
                <w:p w14:paraId="6A0331B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231C4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1000</w:t>
                  </w:r>
                </w:p>
              </w:tc>
              <w:tc>
                <w:tcPr>
                  <w:tcW w:w="2288" w:type="pct"/>
                  <w:noWrap w:val="0"/>
                  <w:vAlign w:val="center"/>
                </w:tcPr>
                <w:p w14:paraId="0703AB0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238E5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37998B2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12F1E4C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水泥</w:t>
                  </w:r>
                </w:p>
              </w:tc>
              <w:tc>
                <w:tcPr>
                  <w:tcW w:w="725" w:type="pct"/>
                  <w:noWrap w:val="0"/>
                  <w:vAlign w:val="center"/>
                </w:tcPr>
                <w:p w14:paraId="5143E47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E87BB3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800</w:t>
                  </w:r>
                </w:p>
              </w:tc>
              <w:tc>
                <w:tcPr>
                  <w:tcW w:w="2288" w:type="pct"/>
                  <w:noWrap w:val="0"/>
                  <w:vAlign w:val="center"/>
                </w:tcPr>
                <w:p w14:paraId="5E6EAD5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66FD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8BB783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9AE2EC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网格布</w:t>
                  </w:r>
                </w:p>
              </w:tc>
              <w:tc>
                <w:tcPr>
                  <w:tcW w:w="725" w:type="pct"/>
                  <w:noWrap w:val="0"/>
                  <w:vAlign w:val="center"/>
                </w:tcPr>
                <w:p w14:paraId="77E6713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w:t>
                  </w:r>
                </w:p>
              </w:tc>
              <w:tc>
                <w:tcPr>
                  <w:tcW w:w="616" w:type="pct"/>
                  <w:noWrap w:val="0"/>
                  <w:vAlign w:val="center"/>
                </w:tcPr>
                <w:p w14:paraId="515B172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1200</w:t>
                  </w:r>
                </w:p>
              </w:tc>
              <w:tc>
                <w:tcPr>
                  <w:tcW w:w="2288" w:type="pct"/>
                  <w:noWrap w:val="0"/>
                  <w:vAlign w:val="center"/>
                </w:tcPr>
                <w:p w14:paraId="50AA3C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2845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9F11FF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6</w:t>
                  </w:r>
                </w:p>
              </w:tc>
              <w:tc>
                <w:tcPr>
                  <w:tcW w:w="913" w:type="pct"/>
                  <w:noWrap w:val="0"/>
                  <w:vAlign w:val="center"/>
                </w:tcPr>
                <w:p w14:paraId="55B5BAB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钢板</w:t>
                  </w:r>
                </w:p>
              </w:tc>
              <w:tc>
                <w:tcPr>
                  <w:tcW w:w="725" w:type="pct"/>
                  <w:noWrap w:val="0"/>
                  <w:vAlign w:val="center"/>
                </w:tcPr>
                <w:p w14:paraId="68FB8D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D48D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noWrap w:val="0"/>
                  <w:vAlign w:val="center"/>
                </w:tcPr>
                <w:p w14:paraId="6018C61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1338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A5058C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7</w:t>
                  </w:r>
                </w:p>
              </w:tc>
              <w:tc>
                <w:tcPr>
                  <w:tcW w:w="913" w:type="pct"/>
                  <w:shd w:val="clear" w:color="auto" w:fill="auto"/>
                  <w:noWrap w:val="0"/>
                  <w:vAlign w:val="center"/>
                </w:tcPr>
                <w:p w14:paraId="479DEBD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药芯焊丝</w:t>
                  </w:r>
                </w:p>
              </w:tc>
              <w:tc>
                <w:tcPr>
                  <w:tcW w:w="725" w:type="pct"/>
                  <w:shd w:val="clear" w:color="auto" w:fill="auto"/>
                  <w:noWrap w:val="0"/>
                  <w:vAlign w:val="center"/>
                </w:tcPr>
                <w:p w14:paraId="4C40F7D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612F1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1</w:t>
                  </w:r>
                </w:p>
              </w:tc>
              <w:tc>
                <w:tcPr>
                  <w:tcW w:w="2288" w:type="pct"/>
                  <w:shd w:val="clear" w:color="auto" w:fill="auto"/>
                  <w:noWrap w:val="0"/>
                  <w:vAlign w:val="center"/>
                </w:tcPr>
                <w:p w14:paraId="70F5B99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p>
              </w:tc>
            </w:tr>
            <w:tr w14:paraId="34E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3DDD98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p>
              </w:tc>
              <w:tc>
                <w:tcPr>
                  <w:tcW w:w="913" w:type="pct"/>
                  <w:shd w:val="clear" w:color="auto" w:fill="auto"/>
                  <w:noWrap w:val="0"/>
                  <w:vAlign w:val="center"/>
                </w:tcPr>
                <w:p w14:paraId="3426B4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142A547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6F7DC6C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36465</w:t>
                  </w:r>
                </w:p>
              </w:tc>
              <w:tc>
                <w:tcPr>
                  <w:tcW w:w="2288" w:type="pct"/>
                  <w:shd w:val="clear" w:color="auto" w:fill="auto"/>
                  <w:noWrap w:val="0"/>
                  <w:vAlign w:val="center"/>
                </w:tcPr>
                <w:p w14:paraId="4D6B4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6A305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34EB940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石膏砂浆</w:t>
                  </w:r>
                </w:p>
              </w:tc>
            </w:tr>
            <w:tr w14:paraId="1D21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BDDA55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6870327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4DC5E57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ECC2CB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15000</w:t>
                  </w:r>
                </w:p>
              </w:tc>
              <w:tc>
                <w:tcPr>
                  <w:tcW w:w="2288" w:type="pct"/>
                  <w:shd w:val="clear" w:color="auto" w:fill="auto"/>
                  <w:noWrap w:val="0"/>
                  <w:vAlign w:val="center"/>
                </w:tcPr>
                <w:p w14:paraId="0283BE3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1336F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3C0F21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noWrap w:val="0"/>
                  <w:vAlign w:val="center"/>
                </w:tcPr>
                <w:p w14:paraId="62C7730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10CB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882B49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2500</w:t>
                  </w:r>
                </w:p>
              </w:tc>
              <w:tc>
                <w:tcPr>
                  <w:tcW w:w="2288" w:type="pct"/>
                  <w:shd w:val="clear" w:color="auto" w:fill="auto"/>
                  <w:noWrap w:val="0"/>
                  <w:vAlign w:val="center"/>
                </w:tcPr>
                <w:p w14:paraId="3B970AC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02B3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08A100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noWrap w:val="0"/>
                  <w:vAlign w:val="center"/>
                </w:tcPr>
                <w:p w14:paraId="54C5412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shd w:val="clear" w:color="auto" w:fill="auto"/>
                  <w:noWrap w:val="0"/>
                  <w:vAlign w:val="center"/>
                </w:tcPr>
                <w:p w14:paraId="2A3253B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599ED8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w:t>
                  </w:r>
                </w:p>
              </w:tc>
              <w:tc>
                <w:tcPr>
                  <w:tcW w:w="2288" w:type="pct"/>
                  <w:shd w:val="clear" w:color="auto" w:fill="auto"/>
                  <w:noWrap w:val="0"/>
                  <w:vAlign w:val="center"/>
                </w:tcPr>
                <w:p w14:paraId="6459BA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D44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5E14E5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3534576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3C050B2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3563CD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2495</w:t>
                  </w:r>
                </w:p>
              </w:tc>
              <w:tc>
                <w:tcPr>
                  <w:tcW w:w="2288" w:type="pct"/>
                  <w:noWrap w:val="0"/>
                  <w:vAlign w:val="center"/>
                </w:tcPr>
                <w:p w14:paraId="707409E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1E88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F15BD2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440CB9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缓凝剂</w:t>
                  </w:r>
                </w:p>
              </w:tc>
              <w:tc>
                <w:tcPr>
                  <w:tcW w:w="725" w:type="pct"/>
                  <w:shd w:val="clear" w:color="auto" w:fill="auto"/>
                  <w:noWrap w:val="0"/>
                  <w:vAlign w:val="center"/>
                </w:tcPr>
                <w:p w14:paraId="046DF55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t/a</w:t>
                  </w:r>
                </w:p>
              </w:tc>
              <w:tc>
                <w:tcPr>
                  <w:tcW w:w="616" w:type="pct"/>
                  <w:noWrap w:val="0"/>
                  <w:vAlign w:val="center"/>
                </w:tcPr>
                <w:p w14:paraId="63FA8C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w:t>
                  </w:r>
                </w:p>
              </w:tc>
              <w:tc>
                <w:tcPr>
                  <w:tcW w:w="2288" w:type="pct"/>
                  <w:noWrap w:val="0"/>
                  <w:vAlign w:val="center"/>
                </w:tcPr>
                <w:p w14:paraId="4AC36AD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外购，粉状，</w:t>
                  </w:r>
                  <w:r>
                    <w:rPr>
                      <w:rFonts w:hint="default" w:ascii="Times New Roman" w:hAnsi="Times New Roman" w:cs="Times New Roman"/>
                      <w:color w:val="auto"/>
                      <w:kern w:val="0"/>
                      <w:sz w:val="21"/>
                      <w:szCs w:val="21"/>
                      <w:highlight w:val="none"/>
                      <w:lang w:val="en-US" w:eastAsia="zh-CN"/>
                    </w:rPr>
                    <w:t>袋装</w:t>
                  </w:r>
                </w:p>
              </w:tc>
            </w:tr>
            <w:tr w14:paraId="72EB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2E644C6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防火保温砂浆</w:t>
                  </w:r>
                </w:p>
              </w:tc>
            </w:tr>
            <w:tr w14:paraId="0211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FE435E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29F3ED8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重钙</w:t>
                  </w:r>
                </w:p>
              </w:tc>
              <w:tc>
                <w:tcPr>
                  <w:tcW w:w="725" w:type="pct"/>
                  <w:shd w:val="clear" w:color="auto" w:fill="auto"/>
                  <w:noWrap w:val="0"/>
                  <w:vAlign w:val="center"/>
                </w:tcPr>
                <w:p w14:paraId="203B87A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79A071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2300</w:t>
                  </w:r>
                </w:p>
              </w:tc>
              <w:tc>
                <w:tcPr>
                  <w:tcW w:w="2288" w:type="pct"/>
                  <w:shd w:val="clear" w:color="auto" w:fill="auto"/>
                  <w:noWrap w:val="0"/>
                  <w:vAlign w:val="center"/>
                </w:tcPr>
                <w:p w14:paraId="23E4698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4040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6523F6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3AE4930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3B0A79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137DD0A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400</w:t>
                  </w:r>
                </w:p>
              </w:tc>
              <w:tc>
                <w:tcPr>
                  <w:tcW w:w="2288" w:type="pct"/>
                  <w:shd w:val="clear" w:color="auto" w:fill="auto"/>
                  <w:noWrap w:val="0"/>
                  <w:vAlign w:val="center"/>
                </w:tcPr>
                <w:p w14:paraId="5837F66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7F0A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274645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shd w:val="clear" w:color="auto" w:fill="auto"/>
                  <w:noWrap w:val="0"/>
                  <w:vAlign w:val="center"/>
                </w:tcPr>
                <w:p w14:paraId="75481B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765D009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4E1E3A4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shd w:val="clear" w:color="auto" w:fill="auto"/>
                  <w:noWrap w:val="0"/>
                  <w:vAlign w:val="center"/>
                </w:tcPr>
                <w:p w14:paraId="5705EEF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67EB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D24A96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shd w:val="clear" w:color="auto" w:fill="auto"/>
                  <w:noWrap w:val="0"/>
                  <w:vAlign w:val="center"/>
                </w:tcPr>
                <w:p w14:paraId="1B2ECB5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07F3846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23AA5F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700</w:t>
                  </w:r>
                </w:p>
              </w:tc>
              <w:tc>
                <w:tcPr>
                  <w:tcW w:w="2288" w:type="pct"/>
                  <w:shd w:val="clear" w:color="auto" w:fill="auto"/>
                  <w:noWrap w:val="0"/>
                  <w:vAlign w:val="center"/>
                </w:tcPr>
                <w:p w14:paraId="7D14EDE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434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B6290E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shd w:val="clear" w:color="auto" w:fill="auto"/>
                  <w:noWrap w:val="0"/>
                  <w:vAlign w:val="center"/>
                </w:tcPr>
                <w:p w14:paraId="1729AA5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3E8B0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56EB6E0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1400</w:t>
                  </w:r>
                </w:p>
              </w:tc>
              <w:tc>
                <w:tcPr>
                  <w:tcW w:w="2288" w:type="pct"/>
                  <w:shd w:val="clear" w:color="auto" w:fill="auto"/>
                  <w:noWrap w:val="0"/>
                  <w:vAlign w:val="center"/>
                </w:tcPr>
                <w:p w14:paraId="333EC71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2D6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3463CD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能源</w:t>
                  </w:r>
                </w:p>
              </w:tc>
            </w:tr>
            <w:tr w14:paraId="7EC9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35657C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shd w:val="clear" w:color="auto" w:fill="auto"/>
                  <w:noWrap w:val="0"/>
                  <w:vAlign w:val="center"/>
                </w:tcPr>
                <w:p w14:paraId="5E1490E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新鲜水</w:t>
                  </w:r>
                </w:p>
              </w:tc>
              <w:tc>
                <w:tcPr>
                  <w:tcW w:w="725" w:type="pct"/>
                  <w:shd w:val="clear" w:color="auto" w:fill="auto"/>
                  <w:noWrap w:val="0"/>
                  <w:vAlign w:val="center"/>
                </w:tcPr>
                <w:p w14:paraId="141B6FA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/a</w:t>
                  </w:r>
                </w:p>
              </w:tc>
              <w:tc>
                <w:tcPr>
                  <w:tcW w:w="616" w:type="pct"/>
                  <w:shd w:val="clear" w:color="auto" w:fill="auto"/>
                  <w:noWrap w:val="0"/>
                  <w:vAlign w:val="center"/>
                </w:tcPr>
                <w:p w14:paraId="2DDFF53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38906</w:t>
                  </w:r>
                </w:p>
              </w:tc>
              <w:tc>
                <w:tcPr>
                  <w:tcW w:w="2288" w:type="pct"/>
                  <w:shd w:val="clear" w:color="auto" w:fill="auto"/>
                  <w:noWrap w:val="0"/>
                  <w:vAlign w:val="center"/>
                </w:tcPr>
                <w:p w14:paraId="0B5587F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园区供水管网</w:t>
                  </w:r>
                  <w:r>
                    <w:rPr>
                      <w:rFonts w:hint="default" w:ascii="Times New Roman" w:hAnsi="Times New Roman" w:cs="Times New Roman"/>
                      <w:color w:val="auto"/>
                      <w:kern w:val="0"/>
                      <w:sz w:val="21"/>
                      <w:szCs w:val="21"/>
                      <w:highlight w:val="none"/>
                      <w:lang w:val="en-US" w:eastAsia="zh-CN"/>
                    </w:rPr>
                    <w:t>。</w:t>
                  </w:r>
                </w:p>
                <w:p w14:paraId="006197F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新鲜水总量38907中含隔墙板和防火保温砂浆生产用水37865、冲洗用水600和生活用水441。</w:t>
                  </w:r>
                </w:p>
              </w:tc>
            </w:tr>
            <w:tr w14:paraId="5494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693205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2441F2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电</w:t>
                  </w:r>
                </w:p>
              </w:tc>
              <w:tc>
                <w:tcPr>
                  <w:tcW w:w="725" w:type="pct"/>
                  <w:shd w:val="clear" w:color="auto" w:fill="auto"/>
                  <w:noWrap w:val="0"/>
                  <w:vAlign w:val="center"/>
                </w:tcPr>
                <w:p w14:paraId="4CFB957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万kWh/a</w:t>
                  </w:r>
                </w:p>
              </w:tc>
              <w:tc>
                <w:tcPr>
                  <w:tcW w:w="616" w:type="pct"/>
                  <w:shd w:val="clear" w:color="auto" w:fill="auto"/>
                  <w:noWrap w:val="0"/>
                  <w:vAlign w:val="center"/>
                </w:tcPr>
                <w:p w14:paraId="7AFD681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25</w:t>
                  </w:r>
                </w:p>
              </w:tc>
              <w:tc>
                <w:tcPr>
                  <w:tcW w:w="2288" w:type="pct"/>
                  <w:shd w:val="clear" w:color="auto" w:fill="auto"/>
                  <w:noWrap w:val="0"/>
                  <w:vAlign w:val="center"/>
                </w:tcPr>
                <w:p w14:paraId="3FA60D9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园区供电管网</w:t>
                  </w:r>
                </w:p>
              </w:tc>
            </w:tr>
          </w:tbl>
          <w:p w14:paraId="1679D6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主要原辅材料理化性质：</w:t>
            </w:r>
          </w:p>
          <w:p w14:paraId="39991B4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粉煤灰：是从煤燃烧后的烟气中收捕下来的细灰，粉煤灰是燃煤电厂排出的主要固体废物，粉煤灰可资源化利用，如作为混凝土的掺合料等。</w:t>
            </w:r>
          </w:p>
          <w:p w14:paraId="3BB77DF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脱硫石膏：又称排烟脱硫石膏、硫石膏或FGD石膏，主要成分和天然石膏一样，纯度和细度更高，为二水硫酸钙CaSO</w:t>
            </w:r>
            <w:r>
              <w:rPr>
                <w:rFonts w:hint="default" w:ascii="Times New Roman" w:hAnsi="Times New Roman" w:cs="Times New Roman"/>
                <w:color w:val="auto"/>
                <w:sz w:val="24"/>
                <w:szCs w:val="24"/>
                <w:highlight w:val="none"/>
                <w:vertAlign w:val="subscript"/>
                <w:lang w:val="en-US" w:eastAsia="zh-CN"/>
              </w:rPr>
              <w:t>4</w:t>
            </w:r>
            <w:r>
              <w:rPr>
                <w:rFonts w:hint="default" w:ascii="Times New Roman" w:hAnsi="Times New Roman" w:cs="Times New Roman"/>
                <w:color w:val="auto"/>
                <w:sz w:val="24"/>
                <w:szCs w:val="24"/>
                <w:highlight w:val="none"/>
                <w:lang w:val="en-US" w:eastAsia="zh-CN"/>
              </w:rPr>
              <w:t>·2H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O，含量≥93%。脱硫石膏是FGD过程的副产品，FGD过程是一项采用石灰-石灰石回收燃煤或油的烟气中的二氧化硫的技术。该技术是把石灰-石灰石磨碎制成浆液，使经过除尘后的含SO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的烟气通过浆液洗涤器而除去SO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。石灰浆液与SO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反应生成硫酸钙及亚硫酸钙，亚硫酸钙经氧化转化成硫酸钙，得到工业副产石膏，称为脱硫石膏，广泛用于建材等行业。其加工利用的意义非常重大。</w:t>
            </w:r>
          </w:p>
          <w:p w14:paraId="0EDC5D8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珍珠岩：珍珠岩是一种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"https://baike.so.com/doc/1533054-1620714.html"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火山</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喷发的酸性</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"https://baike.so.com/doc/5987321-6200288.html"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熔岩</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，主要成分为SiO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O(4~6%)、Fe</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，灰白-浅灰为主，玻璃光泽，耐火度1300~1380℃，容重≤80kg/m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~200 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。珍珠岩经膨胀而成为一种轻质、多功能新型材料,具有表观密度轻、导热系数低、化学稳定性好、使用温度范围广、吸湿能力小，且无毒、无味、防火、吸音等特点，广泛应用于多种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"https://baike.so.com/doc/6287774-6501258.html"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工业部门</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，如建筑工业、助滤剂和填料等。</w:t>
            </w:r>
          </w:p>
          <w:p w14:paraId="2A76BBA1">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重钙：</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"https://baike.so.com/doc/5579482-5792852.html"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重质碳酸钙</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简称重钙，是用优质的石灰石为原料，经石灰磨粉机加工成白色粉体，它的主要成分是CaCO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重钙具有白度高、纯度好、色相柔和及化学成分稳定等特点。重钙通常用作填料，广泛用于人造地砖、橡胶、塑料、造纸、涂料、油漆、油墨、电缆、建筑用品、食品、医药、纺织、饲料、牙膏等日用化工行业，作填充剂起到增加产品的体积，降低生产成本。建筑行业(干粉砂浆、混凝土)用重钙粉-干粉砂浆用重质碳酸钙(重钙粉)325目，白度要求:95%，碳酸钙含量:98%，碳酸钙在建筑行业中的混凝土中有重要作用，可以降低生产成本、增加产品的韧性和强度。</w:t>
            </w:r>
          </w:p>
          <w:p w14:paraId="7E9F03E2">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玻化微珠：是一种无机玻璃质矿物材料，经过多级碳化硅电加热管式生产工艺技术加工而成，呈不规则球状体颗粒，内部多孔空腔结构，表面玻化封闭，光泽平滑，理化性能稳定，具有质轻、绝热、防火、耐高低温、抗老化、吸水率小等优异特性，可替代粉煤灰漂珠、玻璃微珠、膨胀珍珠岩、聚苯颗粒等诸多传统轻质骨料在不同制品中的应用。是一种环保型高性能新型无机轻质绝热材料。</w:t>
            </w:r>
          </w:p>
          <w:p w14:paraId="3CA4D1A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蛭石：蛭石是一种层状结构的硅酸盐粘土矿物。一般由黑云母经热液蚀变或风化形成。蛭石容重小、导热率低，广泛用于金属、木材、混凝土砖承重结构和屋面、通风道、烟囱等的防火保护。蛭石类建筑材料生产工艺简单，生产成本较低，对房间进行隔热、隔音、保温，受热无有害气体排出，也不易老化，还能提高建筑物的热绝缘性能。</w:t>
            </w:r>
          </w:p>
          <w:p w14:paraId="27E856E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缓凝剂：是一种降低水泥或石膏水化速度和</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"https://baike.so.com/doc/5437262-5675571.html"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水化热</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、延长</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"https://baike.so.com/doc/6895644-7113281.html"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凝结时间</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的添加剂。本项目缓凝剂主要成分为葡萄糖、葡萄糖酸钠。</w:t>
            </w:r>
          </w:p>
          <w:p w14:paraId="4C63D2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①葡萄糖：</w:t>
            </w:r>
            <w:r>
              <w:rPr>
                <w:rFonts w:hint="default" w:ascii="Times New Roman" w:hAnsi="Times New Roman" w:eastAsia="宋体" w:cs="Times New Roman"/>
                <w:i w:val="0"/>
                <w:caps w:val="0"/>
                <w:color w:val="auto"/>
                <w:spacing w:val="0"/>
                <w:sz w:val="24"/>
                <w:szCs w:val="24"/>
                <w:highlight w:val="none"/>
                <w:shd w:val="clear" w:color="auto" w:fill="FFFFFF"/>
                <w:lang w:eastAsia="zh-CN"/>
              </w:rPr>
              <w:t>分子式：</w:t>
            </w:r>
            <w:r>
              <w:rPr>
                <w:rFonts w:hint="default" w:ascii="Times New Roman" w:hAnsi="Times New Roman" w:eastAsia="宋体" w:cs="Times New Roman"/>
                <w:i w:val="0"/>
                <w:caps w:val="0"/>
                <w:color w:val="auto"/>
                <w:spacing w:val="0"/>
                <w:sz w:val="24"/>
                <w:szCs w:val="24"/>
                <w:highlight w:val="none"/>
                <w:shd w:val="clear" w:color="auto" w:fill="FFFFFF"/>
              </w:rPr>
              <w:t>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12</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vertAlign w:val="baseline"/>
                <w:lang w:eastAsia="zh-CN"/>
              </w:rPr>
              <w:t>，</w:t>
            </w:r>
            <w:r>
              <w:rPr>
                <w:rFonts w:hint="default" w:ascii="Times New Roman" w:hAnsi="Times New Roman" w:eastAsia="宋体" w:cs="Times New Roman"/>
                <w:i w:val="0"/>
                <w:caps w:val="0"/>
                <w:color w:val="auto"/>
                <w:spacing w:val="0"/>
                <w:sz w:val="24"/>
                <w:szCs w:val="24"/>
                <w:highlight w:val="none"/>
                <w:shd w:val="clear" w:color="auto" w:fill="FFFFFF"/>
              </w:rPr>
              <w:t>葡萄糖含五个羟基,一个醛基,具有多元醇和醛的性质。 在碱性条件下加热易分解</w:t>
            </w:r>
            <w:r>
              <w:rPr>
                <w:rFonts w:hint="default" w:ascii="Times New Roman" w:hAnsi="Times New Roman" w:eastAsia="宋体" w:cs="Times New Roman"/>
                <w:color w:val="auto"/>
                <w:sz w:val="24"/>
                <w:szCs w:val="24"/>
                <w:highlight w:val="none"/>
                <w:lang w:val="en-US" w:eastAsia="zh-CN"/>
              </w:rPr>
              <w:t>。葡萄糖可以通过延缓水泥水化反应来延长混凝土的凝结时间，同时改善其工作性。葡萄糖分子中的羟基(-OH)能与水泥颗粒表面的钙离子形成络合物，抑制水化反应的进行。其分子结构还能在水泥颗粒表面形成物理屏障，减少水分子与水泥的直接接触从而显著延长初凝和终凝时间。</w:t>
            </w:r>
          </w:p>
          <w:p w14:paraId="44CE92F9">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i w:val="0"/>
                <w:caps w:val="0"/>
                <w:color w:val="auto"/>
                <w:spacing w:val="0"/>
                <w:sz w:val="24"/>
                <w:szCs w:val="24"/>
                <w:highlight w:val="none"/>
                <w:shd w:val="clear" w:color="auto" w:fill="FFFFFF"/>
                <w:lang w:val="en-US" w:eastAsia="zh-CN"/>
              </w:rPr>
            </w:pPr>
            <w:r>
              <w:rPr>
                <w:rFonts w:hint="default" w:ascii="Times New Roman" w:hAnsi="Times New Roman" w:eastAsia="宋体" w:cs="Times New Roman"/>
                <w:color w:val="auto"/>
                <w:sz w:val="24"/>
                <w:szCs w:val="24"/>
                <w:highlight w:val="none"/>
                <w:lang w:val="en-US" w:eastAsia="zh-CN"/>
              </w:rPr>
              <w:t>②葡萄糖酸钠：</w:t>
            </w:r>
            <w:r>
              <w:rPr>
                <w:rFonts w:hint="default" w:ascii="Times New Roman" w:hAnsi="Times New Roman" w:eastAsia="宋体" w:cs="Times New Roman"/>
                <w:i w:val="0"/>
                <w:caps w:val="0"/>
                <w:color w:val="auto"/>
                <w:spacing w:val="0"/>
                <w:sz w:val="24"/>
                <w:szCs w:val="24"/>
                <w:highlight w:val="none"/>
                <w:shd w:val="clear" w:color="auto" w:fill="FFFFFF"/>
              </w:rPr>
              <w:t>分子式: 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11</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7</w:t>
            </w:r>
            <w:r>
              <w:rPr>
                <w:rFonts w:hint="default" w:ascii="Times New Roman" w:hAnsi="Times New Roman" w:eastAsia="宋体" w:cs="Times New Roman"/>
                <w:i w:val="0"/>
                <w:caps w:val="0"/>
                <w:color w:val="auto"/>
                <w:spacing w:val="0"/>
                <w:sz w:val="24"/>
                <w:szCs w:val="24"/>
                <w:highlight w:val="none"/>
                <w:shd w:val="clear" w:color="auto" w:fill="FFFFFF"/>
              </w:rPr>
              <w:t>Na</w:t>
            </w:r>
            <w:r>
              <w:rPr>
                <w:rFonts w:hint="default" w:ascii="Times New Roman" w:hAnsi="Times New Roman" w:eastAsia="宋体" w:cs="Times New Roman"/>
                <w:i w:val="0"/>
                <w:caps w:val="0"/>
                <w:color w:val="auto"/>
                <w:spacing w:val="0"/>
                <w:sz w:val="24"/>
                <w:szCs w:val="24"/>
                <w:highlight w:val="none"/>
                <w:shd w:val="clear" w:color="auto" w:fill="FFFFFF"/>
                <w:lang w:eastAsia="zh-CN"/>
              </w:rPr>
              <w:t>，白色结晶颗粒或者粉末，极易溶于水、略溶于酒精，不溶于乙醚</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i w:val="0"/>
                <w:caps w:val="0"/>
                <w:color w:val="auto"/>
                <w:spacing w:val="0"/>
                <w:sz w:val="24"/>
                <w:szCs w:val="24"/>
                <w:highlight w:val="none"/>
                <w:shd w:val="clear" w:color="auto" w:fill="FFFFFF"/>
                <w:lang w:eastAsia="zh-CN"/>
              </w:rPr>
              <w:t>葡萄糖酸钠在工业上用途十分广泛，葡萄糖酸钠可以在建筑、纺织印染和金属表面处理以及水处理等行业作高效螯合剂，钢铁表面清洗剂，玻瓶清洗剂，电镀工业铝氧着色，在混凝土行业用作高效缓凝剂、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begin"/>
            </w:r>
            <w:r>
              <w:rPr>
                <w:rFonts w:hint="default" w:ascii="Times New Roman" w:hAnsi="Times New Roman" w:eastAsia="宋体" w:cs="Times New Roman"/>
                <w:i w:val="0"/>
                <w:caps w:val="0"/>
                <w:color w:val="auto"/>
                <w:spacing w:val="0"/>
                <w:sz w:val="24"/>
                <w:szCs w:val="24"/>
                <w:highlight w:val="none"/>
                <w:shd w:val="clear" w:color="auto" w:fill="FFFFFF"/>
                <w:lang w:eastAsia="zh-CN"/>
              </w:rPr>
              <w:instrText xml:space="preserve"> HYPERLINK "https://baike.baidu.com/item/%E9%AB%98%E6%95%88%E5%87%8F%E6%B0%B4%E5%89%82/4636944?fromModule=lemma_inlink" \t "https://baike.baidu.com/item/%E8%91%A1%E8%90%84%E7%B3%96%E9%85%B8%E9%92%A0/_blank" </w:instrTex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separate"/>
            </w:r>
            <w:r>
              <w:rPr>
                <w:rFonts w:hint="default" w:ascii="Times New Roman" w:hAnsi="Times New Roman" w:eastAsia="宋体" w:cs="Times New Roman"/>
                <w:i w:val="0"/>
                <w:caps w:val="0"/>
                <w:color w:val="auto"/>
                <w:spacing w:val="0"/>
                <w:sz w:val="24"/>
                <w:szCs w:val="24"/>
                <w:highlight w:val="none"/>
                <w:shd w:val="clear" w:color="auto" w:fill="FFFFFF"/>
                <w:lang w:eastAsia="zh-CN"/>
              </w:rPr>
              <w:t>高效减水剂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end"/>
            </w:r>
            <w:r>
              <w:rPr>
                <w:rFonts w:hint="default" w:ascii="Times New Roman" w:hAnsi="Times New Roman" w:eastAsia="宋体" w:cs="Times New Roman"/>
                <w:i w:val="0"/>
                <w:caps w:val="0"/>
                <w:color w:val="auto"/>
                <w:spacing w:val="0"/>
                <w:sz w:val="24"/>
                <w:szCs w:val="24"/>
                <w:highlight w:val="none"/>
                <w:shd w:val="clear" w:color="auto" w:fill="FFFFFF"/>
                <w:lang w:eastAsia="zh-CN"/>
              </w:rPr>
              <w:t>等。</w:t>
            </w:r>
          </w:p>
          <w:p w14:paraId="616F4E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主要生产设备</w:t>
            </w:r>
          </w:p>
          <w:p w14:paraId="25CC6CE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cs="Times New Roman"/>
                <w:color w:val="auto"/>
                <w:sz w:val="24"/>
                <w:highlight w:val="none"/>
                <w:lang w:val="en-US" w:eastAsia="zh-CN"/>
              </w:rPr>
              <w:t>次</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szCs w:val="24"/>
                <w:highlight w:val="none"/>
                <w:lang w:val="en-US" w:eastAsia="zh-CN"/>
              </w:rPr>
              <w:t>完成后全厂</w:t>
            </w:r>
            <w:r>
              <w:rPr>
                <w:rFonts w:hint="default" w:ascii="Times New Roman" w:hAnsi="Times New Roman" w:cs="Times New Roman"/>
                <w:color w:val="auto"/>
                <w:sz w:val="24"/>
                <w:szCs w:val="24"/>
                <w:highlight w:val="none"/>
              </w:rPr>
              <w:t>主要生产设备清单见表2-</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14:paraId="62F79940">
            <w:pPr>
              <w:ind w:firstLine="482" w:firstLineChars="20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default" w:ascii="Times New Roman" w:hAnsi="Times New Roman" w:cs="Times New Roman"/>
                <w:b/>
                <w:bCs/>
                <w:color w:val="auto"/>
                <w:sz w:val="24"/>
                <w:highlight w:val="none"/>
              </w:rPr>
              <w:t>主要生产设备一览表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90"/>
              <w:gridCol w:w="1986"/>
              <w:gridCol w:w="1068"/>
              <w:gridCol w:w="766"/>
              <w:gridCol w:w="3251"/>
            </w:tblGrid>
            <w:tr w14:paraId="586F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6DDBC44">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序号</w:t>
                  </w:r>
                </w:p>
              </w:tc>
              <w:tc>
                <w:tcPr>
                  <w:tcW w:w="1296" w:type="pct"/>
                  <w:tcBorders>
                    <w:top w:val="single" w:color="auto" w:sz="4" w:space="0"/>
                    <w:left w:val="single" w:color="auto" w:sz="4" w:space="0"/>
                    <w:bottom w:val="single" w:color="auto" w:sz="4" w:space="0"/>
                    <w:right w:val="single" w:color="auto" w:sz="4" w:space="0"/>
                  </w:tcBorders>
                  <w:noWrap w:val="0"/>
                  <w:vAlign w:val="center"/>
                </w:tcPr>
                <w:p w14:paraId="2DC21942">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设备名称</w:t>
                  </w:r>
                </w:p>
              </w:tc>
              <w:tc>
                <w:tcPr>
                  <w:tcW w:w="697" w:type="pct"/>
                  <w:tcBorders>
                    <w:top w:val="single" w:color="auto" w:sz="4" w:space="0"/>
                    <w:left w:val="single" w:color="auto" w:sz="4" w:space="0"/>
                    <w:bottom w:val="single" w:color="auto" w:sz="4" w:space="0"/>
                    <w:right w:val="single" w:color="auto" w:sz="4" w:space="0"/>
                  </w:tcBorders>
                  <w:noWrap w:val="0"/>
                  <w:vAlign w:val="center"/>
                </w:tcPr>
                <w:p w14:paraId="1AA078B6">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型号</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B00545">
                  <w:pPr>
                    <w:spacing w:line="360" w:lineRule="exact"/>
                    <w:ind w:firstLine="0" w:firstLineChars="0"/>
                    <w:jc w:val="center"/>
                    <w:rPr>
                      <w:rFonts w:hint="default" w:ascii="Times New Roman" w:hAnsi="Times New Roman" w:eastAsia="宋体" w:cs="Times New Roman"/>
                      <w:color w:val="auto"/>
                      <w:spacing w:val="-8"/>
                      <w:sz w:val="21"/>
                      <w:szCs w:val="21"/>
                      <w:highlight w:val="none"/>
                      <w:lang w:eastAsia="zh-CN"/>
                    </w:rPr>
                  </w:pPr>
                  <w:r>
                    <w:rPr>
                      <w:rFonts w:hint="default" w:ascii="Times New Roman" w:hAnsi="Times New Roman" w:eastAsia="宋体" w:cs="Times New Roman"/>
                      <w:color w:val="auto"/>
                      <w:spacing w:val="-8"/>
                      <w:sz w:val="21"/>
                      <w:szCs w:val="21"/>
                      <w:highlight w:val="none"/>
                    </w:rPr>
                    <w:t>数量</w:t>
                  </w:r>
                </w:p>
              </w:tc>
              <w:tc>
                <w:tcPr>
                  <w:tcW w:w="2121" w:type="pct"/>
                  <w:tcBorders>
                    <w:top w:val="single" w:color="auto" w:sz="4" w:space="0"/>
                    <w:left w:val="single" w:color="auto" w:sz="4" w:space="0"/>
                    <w:bottom w:val="single" w:color="auto" w:sz="4" w:space="0"/>
                    <w:right w:val="single" w:color="auto" w:sz="4" w:space="0"/>
                  </w:tcBorders>
                  <w:noWrap w:val="0"/>
                  <w:vAlign w:val="center"/>
                </w:tcPr>
                <w:p w14:paraId="1D4B6E61">
                  <w:pPr>
                    <w:spacing w:line="360" w:lineRule="exact"/>
                    <w:ind w:firstLine="0" w:firstLineChars="0"/>
                    <w:jc w:val="center"/>
                    <w:rPr>
                      <w:rFonts w:hint="default" w:ascii="Times New Roman" w:hAnsi="Times New Roman" w:eastAsia="宋体" w:cs="Times New Roman"/>
                      <w:color w:val="auto"/>
                      <w:spacing w:val="-8"/>
                      <w:sz w:val="21"/>
                      <w:szCs w:val="21"/>
                      <w:highlight w:val="none"/>
                      <w:lang w:val="en-US" w:eastAsia="zh-CN"/>
                    </w:rPr>
                  </w:pPr>
                  <w:r>
                    <w:rPr>
                      <w:rFonts w:hint="default" w:ascii="Times New Roman" w:hAnsi="Times New Roman" w:cs="Times New Roman"/>
                      <w:color w:val="auto"/>
                      <w:spacing w:val="-8"/>
                      <w:sz w:val="21"/>
                      <w:szCs w:val="21"/>
                      <w:highlight w:val="none"/>
                      <w:lang w:val="en-US" w:eastAsia="zh-CN"/>
                    </w:rPr>
                    <w:t>备注</w:t>
                  </w:r>
                </w:p>
              </w:tc>
            </w:tr>
            <w:tr w14:paraId="11FB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2219A256">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0EE32B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11A8314">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w:t>
                  </w:r>
                  <w:r>
                    <w:rPr>
                      <w:rFonts w:hint="default" w:ascii="Times New Roman" w:hAnsi="Times New Roman" w:eastAsia="宋体" w:cs="Times New Roman"/>
                      <w:color w:val="auto"/>
                      <w:sz w:val="21"/>
                      <w:szCs w:val="21"/>
                      <w:highlight w:val="none"/>
                    </w:rPr>
                    <w:t>60型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4F279A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w:t>
                  </w:r>
                  <w:r>
                    <w:rPr>
                      <w:rFonts w:hint="default" w:ascii="Times New Roman" w:hAnsi="Times New Roman" w:cs="Times New Roman"/>
                      <w:color w:val="auto"/>
                      <w:sz w:val="21"/>
                      <w:szCs w:val="21"/>
                      <w:highlight w:val="none"/>
                      <w:lang w:eastAsia="zh-CN"/>
                    </w:rPr>
                    <w:t>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B507D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6F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E40342C">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C58BE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BD35DC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300-5</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64AB05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285C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D8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07BDF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3</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3B02F9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焊接机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055C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ZX7-418</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936D752">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652DE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64745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6D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4</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477236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D0C0C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983100">
                  <w:pPr>
                    <w:keepNext w:val="0"/>
                    <w:keepLines w:val="0"/>
                    <w:pageBreakBefore w:val="0"/>
                    <w:widowControl w:val="0"/>
                    <w:kinsoku/>
                    <w:wordWrap/>
                    <w:overflowPunct/>
                    <w:topLinePunct w:val="0"/>
                    <w:autoSpaceDE/>
                    <w:autoSpaceDN/>
                    <w:bidi w:val="0"/>
                    <w:adjustRightInd/>
                    <w:snapToGrid/>
                    <w:spacing w:line="30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87346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分别储存玻化微珠、石膏（2个）、粉煤灰、珍珠岩、水泥</w:t>
                  </w:r>
                </w:p>
              </w:tc>
            </w:tr>
            <w:tr w14:paraId="2A8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0B770FD">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D2375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8A508">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en-US" w:eastAsia="zh-CN"/>
                    </w:rPr>
                    <w:t>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609E6B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848429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分别储存重钙、蛭石</w:t>
                  </w:r>
                </w:p>
              </w:tc>
            </w:tr>
            <w:tr w14:paraId="2F45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32E3BCB">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39655B7">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56A0E5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XS-40</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26F206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E1D421">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石膏砂浆、防火保温砂浆各用1套</w:t>
                  </w:r>
                </w:p>
              </w:tc>
            </w:tr>
            <w:tr w14:paraId="5CE7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E0E4849">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7</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8D4EF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0D7EF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气吹式</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D4B4E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EBE3C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用于石膏砂浆包装</w:t>
                  </w:r>
                </w:p>
              </w:tc>
            </w:tr>
            <w:tr w14:paraId="16D2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noWrap w:val="0"/>
                  <w:vAlign w:val="top"/>
                </w:tcPr>
                <w:p w14:paraId="42FA3E75">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993" w:type="pct"/>
                  <w:gridSpan w:val="2"/>
                  <w:noWrap w:val="0"/>
                  <w:vAlign w:val="center"/>
                </w:tcPr>
                <w:p w14:paraId="2ADE64B4">
                  <w:pPr>
                    <w:spacing w:line="44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合计</w:t>
                  </w:r>
                </w:p>
              </w:tc>
              <w:tc>
                <w:tcPr>
                  <w:tcW w:w="500" w:type="pct"/>
                  <w:noWrap w:val="0"/>
                  <w:vAlign w:val="center"/>
                </w:tcPr>
                <w:p w14:paraId="3EA71171">
                  <w:pPr>
                    <w:spacing w:line="44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w:t>
                  </w:r>
                </w:p>
              </w:tc>
              <w:tc>
                <w:tcPr>
                  <w:tcW w:w="2121" w:type="pct"/>
                  <w:noWrap w:val="0"/>
                  <w:vAlign w:val="center"/>
                </w:tcPr>
                <w:p w14:paraId="00186D5C">
                  <w:pPr>
                    <w:spacing w:line="440" w:lineRule="exact"/>
                    <w:jc w:val="center"/>
                    <w:rPr>
                      <w:rFonts w:hint="default" w:ascii="Times New Roman" w:hAnsi="Times New Roman" w:cs="Times New Roman"/>
                      <w:color w:val="auto"/>
                      <w:sz w:val="21"/>
                      <w:szCs w:val="21"/>
                      <w:highlight w:val="none"/>
                      <w:lang w:val="en-US" w:eastAsia="zh-CN"/>
                    </w:rPr>
                  </w:pPr>
                </w:p>
              </w:tc>
            </w:tr>
          </w:tbl>
          <w:p w14:paraId="28C174FC">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公用工程</w:t>
            </w:r>
          </w:p>
          <w:p w14:paraId="09B06F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）给排水</w:t>
            </w:r>
          </w:p>
          <w:p w14:paraId="6BFC49E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给水项目用水由园区供水管网提供，目前供水管网已敷设至厂区，可以满足项目用水需求。</w:t>
            </w:r>
          </w:p>
          <w:p w14:paraId="66A9B5F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fldChar w:fldCharType="begin"/>
            </w:r>
            <w:r>
              <w:rPr>
                <w:rFonts w:hint="default" w:ascii="Times New Roman" w:hAnsi="Times New Roman" w:eastAsia="宋体" w:cs="Times New Roman"/>
                <w:color w:val="auto"/>
                <w:sz w:val="24"/>
                <w:szCs w:val="24"/>
                <w:highlight w:val="none"/>
                <w:lang w:val="en-US" w:eastAsia="zh-CN"/>
              </w:rPr>
              <w:instrText xml:space="preserve">= 1 \* GB3</w:instrText>
            </w:r>
            <w:r>
              <w:rPr>
                <w:rFonts w:hint="default" w:ascii="Times New Roman" w:hAnsi="Times New Roman" w:eastAsia="宋体" w:cs="Times New Roman"/>
                <w:color w:val="auto"/>
                <w:sz w:val="24"/>
                <w:szCs w:val="24"/>
                <w:highlight w:val="none"/>
                <w:lang w:val="en-US" w:eastAsia="zh-CN"/>
              </w:rPr>
              <w:fldChar w:fldCharType="separate"/>
            </w:r>
            <w:r>
              <w:rPr>
                <w:rFonts w:hint="default" w:ascii="Times New Roman" w:hAnsi="Times New Roman" w:eastAsia="宋体" w:cs="Times New Roman"/>
                <w:color w:val="auto"/>
                <w:sz w:val="24"/>
                <w:szCs w:val="24"/>
                <w:highlight w:val="none"/>
                <w:lang w:val="en-US" w:eastAsia="zh-CN"/>
              </w:rPr>
              <w:t>①</w:t>
            </w:r>
            <w:r>
              <w:rPr>
                <w:rFonts w:hint="default" w:ascii="Times New Roman" w:hAnsi="Times New Roman" w:eastAsia="宋体" w:cs="Times New Roman"/>
                <w:color w:val="auto"/>
                <w:sz w:val="24"/>
                <w:szCs w:val="24"/>
                <w:highlight w:val="none"/>
                <w:lang w:val="en-US" w:eastAsia="zh-CN"/>
              </w:rPr>
              <w:fldChar w:fldCharType="end"/>
            </w:r>
            <w:r>
              <w:rPr>
                <w:rFonts w:hint="default" w:ascii="Times New Roman" w:hAnsi="Times New Roman" w:eastAsia="宋体" w:cs="Times New Roman"/>
                <w:color w:val="auto"/>
                <w:sz w:val="24"/>
                <w:szCs w:val="24"/>
                <w:highlight w:val="none"/>
                <w:lang w:val="en-US" w:eastAsia="zh-CN"/>
              </w:rPr>
              <w:t>给水：</w:t>
            </w:r>
          </w:p>
          <w:p w14:paraId="779C0DD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A、物料搅拌用水：本项目钢制边框复合隔墙板和防火保温砂浆生产时搅拌工序需加入新鲜水。</w:t>
            </w:r>
          </w:p>
          <w:p w14:paraId="1A57FF3F">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钢制边框复合隔墙板--物料搅拌用水：根据企业提供资料，钢制边框复合隔墙板生产线-物料搅拌时料水比例约为100：55，物料用量为66300t/a（脱硫石膏60000t/a、粉煤灰1000t/a、水泥800t/a、珍珠岩4500t/a），浆料搅拌用水量为121.55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36465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6E310C9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防火保温砂浆--物料搅拌用水：根据企业提供资料，保温砂浆搅拌时料水比例约为18:7，物料用量为3600t/a（重钙3000t/a、蛭石200t/a、玻化微珠400t/a），则用水量为4.67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1400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3DD8245F">
            <w:pPr>
              <w:pStyle w:val="77"/>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因此，本项目物料搅拌用水量为126.22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37865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p>
          <w:p w14:paraId="67D6526C">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B、运输车辆冲洗用水：项目在厂区大门口设置一套洗车装置，</w:t>
            </w:r>
            <w:r>
              <w:rPr>
                <w:rFonts w:hint="default" w:ascii="Times New Roman" w:hAnsi="Times New Roman" w:eastAsia="宋体" w:cs="Times New Roman"/>
                <w:color w:val="auto"/>
                <w:sz w:val="24"/>
                <w:szCs w:val="24"/>
                <w:highlight w:val="none"/>
              </w:rPr>
              <w:t>对进厂、出厂的运输</w:t>
            </w:r>
            <w:r>
              <w:rPr>
                <w:rFonts w:hint="default" w:ascii="Times New Roman" w:hAnsi="Times New Roman" w:eastAsia="宋体" w:cs="Times New Roman"/>
                <w:color w:val="auto"/>
                <w:sz w:val="24"/>
                <w:szCs w:val="24"/>
                <w:highlight w:val="none"/>
                <w:lang w:eastAsia="zh-CN"/>
              </w:rPr>
              <w:t>车辆</w:t>
            </w:r>
            <w:r>
              <w:rPr>
                <w:rFonts w:hint="default" w:ascii="Times New Roman" w:hAnsi="Times New Roman" w:eastAsia="宋体" w:cs="Times New Roman"/>
                <w:color w:val="auto"/>
                <w:sz w:val="24"/>
                <w:szCs w:val="24"/>
                <w:highlight w:val="none"/>
              </w:rPr>
              <w:t>的车轮及车底进行</w:t>
            </w:r>
            <w:r>
              <w:rPr>
                <w:rFonts w:hint="default" w:ascii="Times New Roman" w:hAnsi="Times New Roman" w:cs="Times New Roman"/>
                <w:color w:val="auto"/>
                <w:sz w:val="24"/>
                <w:szCs w:val="24"/>
                <w:highlight w:val="none"/>
                <w:lang w:eastAsia="zh-CN"/>
              </w:rPr>
              <w:t>冲</w:t>
            </w:r>
            <w:r>
              <w:rPr>
                <w:rFonts w:hint="default" w:ascii="Times New Roman" w:hAnsi="Times New Roman" w:eastAsia="宋体" w:cs="Times New Roman"/>
                <w:color w:val="auto"/>
                <w:sz w:val="24"/>
                <w:szCs w:val="24"/>
                <w:highlight w:val="none"/>
                <w:lang w:eastAsia="zh-CN"/>
              </w:rPr>
              <w:t>洗</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废水经沉淀池沉淀后循环使用</w:t>
            </w:r>
            <w:r>
              <w:rPr>
                <w:rFonts w:hint="default" w:ascii="Times New Roman" w:hAnsi="Times New Roman" w:eastAsia="宋体" w:cs="Times New Roman"/>
                <w:color w:val="auto"/>
                <w:sz w:val="24"/>
                <w:szCs w:val="24"/>
                <w:highlight w:val="none"/>
                <w:lang w:eastAsia="zh-CN"/>
              </w:rPr>
              <w:t>。车辆冲洗用水</w:t>
            </w:r>
            <w:r>
              <w:rPr>
                <w:rFonts w:hint="default" w:ascii="Times New Roman" w:hAnsi="Times New Roman" w:eastAsia="宋体"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1591593C">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C、模具冲洗用水：</w:t>
            </w:r>
            <w:r>
              <w:rPr>
                <w:rFonts w:hint="default" w:ascii="Times New Roman" w:hAnsi="Times New Roman" w:eastAsia="宋体" w:cs="Times New Roman"/>
                <w:color w:val="auto"/>
                <w:sz w:val="24"/>
                <w:szCs w:val="24"/>
                <w:highlight w:val="none"/>
                <w:lang w:val="en-US" w:eastAsia="zh-CN"/>
              </w:rPr>
              <w:t>钢框架防火保温隔墙板成品从流水线上取下来，需对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r>
              <w:rPr>
                <w:rFonts w:hint="default" w:ascii="Times New Roman" w:hAnsi="Times New Roman" w:cs="Times New Roman"/>
                <w:color w:val="auto"/>
                <w:sz w:val="24"/>
                <w:szCs w:val="24"/>
                <w:highlight w:val="none"/>
                <w:lang w:val="en-US" w:eastAsia="zh-CN"/>
              </w:rPr>
              <w:t>根据企业提供资料，用水量为9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43CD8D28">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D、生活用水：本项目劳动定员20人，厂区内不设食堂，</w:t>
            </w:r>
            <w:r>
              <w:rPr>
                <w:rFonts w:hint="default" w:ascii="Times New Roman" w:hAnsi="Times New Roman" w:eastAsia="宋体" w:cs="Times New Roman"/>
                <w:color w:val="auto"/>
                <w:sz w:val="24"/>
                <w:szCs w:val="24"/>
                <w:highlight w:val="none"/>
              </w:rPr>
              <w:t>参照</w:t>
            </w:r>
            <w:bookmarkStart w:id="1" w:name="OLE_LINK4"/>
            <w:r>
              <w:rPr>
                <w:rFonts w:hint="default" w:ascii="Times New Roman" w:hAnsi="Times New Roman" w:eastAsia="宋体" w:cs="Times New Roman"/>
                <w:color w:val="auto"/>
                <w:sz w:val="24"/>
                <w:szCs w:val="24"/>
                <w:highlight w:val="none"/>
              </w:rPr>
              <w:t>《河北省地方标准 用水定额》（DB13/T 5450.3-2021）</w:t>
            </w:r>
            <w:bookmarkEnd w:id="1"/>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职工生活用水取22m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/（人·a），则生活用水量为1.47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440m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052AF8FE">
            <w:pPr>
              <w:keepNext w:val="0"/>
              <w:keepLines w:val="0"/>
              <w:pageBreakBefore w:val="0"/>
              <w:widowControl w:val="0"/>
              <w:numPr>
                <w:ilvl w:val="-1"/>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②</w:t>
            </w:r>
            <w:r>
              <w:rPr>
                <w:rFonts w:hint="default" w:ascii="Times New Roman" w:hAnsi="Times New Roman" w:cs="Times New Roman"/>
                <w:color w:val="auto"/>
                <w:sz w:val="24"/>
                <w:szCs w:val="24"/>
                <w:highlight w:val="none"/>
              </w:rPr>
              <w:t>排水：</w:t>
            </w:r>
          </w:p>
          <w:p w14:paraId="34D8BEDE">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本项目</w:t>
            </w:r>
            <w:r>
              <w:rPr>
                <w:rFonts w:hint="default" w:ascii="Times New Roman" w:hAnsi="Times New Roman" w:eastAsia="宋体" w:cs="Times New Roman"/>
                <w:color w:val="auto"/>
                <w:sz w:val="24"/>
                <w:szCs w:val="24"/>
                <w:highlight w:val="none"/>
                <w:lang w:eastAsia="zh-CN"/>
              </w:rPr>
              <w:t>物料</w:t>
            </w:r>
            <w:r>
              <w:rPr>
                <w:rFonts w:hint="default" w:ascii="Times New Roman" w:hAnsi="Times New Roman" w:eastAsia="宋体" w:cs="Times New Roman"/>
                <w:color w:val="auto"/>
                <w:sz w:val="24"/>
                <w:szCs w:val="24"/>
                <w:highlight w:val="none"/>
              </w:rPr>
              <w:t>搅拌水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水经沉淀池</w:t>
            </w:r>
            <w:r>
              <w:rPr>
                <w:rFonts w:hint="default" w:ascii="Times New Roman" w:hAnsi="Times New Roman" w:eastAsia="宋体" w:cs="Times New Roman"/>
                <w:color w:val="auto"/>
                <w:sz w:val="24"/>
                <w:szCs w:val="24"/>
                <w:highlight w:val="none"/>
                <w:lang w:eastAsia="zh-CN"/>
              </w:rPr>
              <w:t>沉淀后</w:t>
            </w:r>
            <w:r>
              <w:rPr>
                <w:rFonts w:hint="default" w:ascii="Times New Roman" w:hAnsi="Times New Roman" w:eastAsia="宋体" w:cs="Times New Roman"/>
                <w:color w:val="auto"/>
                <w:sz w:val="24"/>
                <w:szCs w:val="24"/>
                <w:highlight w:val="none"/>
              </w:rPr>
              <w:t>循环利用，不外排</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模具冲洗</w:t>
            </w:r>
            <w:r>
              <w:rPr>
                <w:rFonts w:hint="default" w:ascii="Times New Roman" w:hAnsi="Times New Roman" w:cs="Times New Roman"/>
                <w:color w:val="auto"/>
                <w:sz w:val="24"/>
                <w:szCs w:val="24"/>
                <w:highlight w:val="none"/>
                <w:lang w:val="en-US" w:eastAsia="zh-CN"/>
              </w:rPr>
              <w:t>水经沉淀池沉淀后</w:t>
            </w:r>
            <w:r>
              <w:rPr>
                <w:rFonts w:hint="default" w:ascii="Times New Roman" w:hAnsi="Times New Roman" w:eastAsia="宋体" w:cs="Times New Roman"/>
                <w:color w:val="auto"/>
                <w:sz w:val="24"/>
                <w:szCs w:val="24"/>
                <w:highlight w:val="none"/>
              </w:rPr>
              <w:t>循环利用</w:t>
            </w:r>
            <w:r>
              <w:rPr>
                <w:rFonts w:hint="default" w:ascii="Times New Roman" w:hAnsi="Times New Roman" w:cs="Times New Roman"/>
                <w:color w:val="auto"/>
                <w:sz w:val="24"/>
                <w:szCs w:val="24"/>
                <w:highlight w:val="none"/>
                <w:lang w:val="en-US" w:eastAsia="zh-CN"/>
              </w:rPr>
              <w:t>，不外排。</w:t>
            </w:r>
          </w:p>
          <w:p w14:paraId="50194E4F">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员工生活</w:t>
            </w:r>
            <w:r>
              <w:rPr>
                <w:rFonts w:hint="default" w:ascii="Times New Roman" w:hAnsi="Times New Roman" w:eastAsia="宋体" w:cs="Times New Roman"/>
                <w:color w:val="auto"/>
                <w:sz w:val="24"/>
                <w:szCs w:val="24"/>
                <w:highlight w:val="none"/>
                <w:lang w:eastAsia="zh-CN"/>
              </w:rPr>
              <w:t>生活污水</w:t>
            </w:r>
            <w:r>
              <w:rPr>
                <w:rFonts w:hint="default" w:ascii="Times New Roman" w:hAnsi="Times New Roman" w:eastAsia="宋体" w:cs="Times New Roman"/>
                <w:color w:val="auto"/>
                <w:sz w:val="24"/>
                <w:szCs w:val="24"/>
                <w:highlight w:val="none"/>
              </w:rPr>
              <w:t>排污系数为0.8，</w:t>
            </w:r>
            <w:r>
              <w:rPr>
                <w:rFonts w:hint="default" w:ascii="Times New Roman" w:hAnsi="Times New Roman" w:eastAsia="宋体" w:cs="Times New Roman"/>
                <w:color w:val="auto"/>
                <w:sz w:val="24"/>
                <w:szCs w:val="24"/>
                <w:highlight w:val="none"/>
                <w:lang w:eastAsia="zh-CN"/>
              </w:rPr>
              <w:t>则</w:t>
            </w:r>
            <w:r>
              <w:rPr>
                <w:rFonts w:hint="default" w:ascii="Times New Roman" w:hAnsi="Times New Roman" w:eastAsia="宋体" w:cs="Times New Roman"/>
                <w:color w:val="auto"/>
                <w:sz w:val="24"/>
                <w:szCs w:val="24"/>
                <w:highlight w:val="none"/>
              </w:rPr>
              <w:t>生活</w:t>
            </w:r>
            <w:r>
              <w:rPr>
                <w:rFonts w:hint="default" w:ascii="Times New Roman" w:hAnsi="Times New Roman" w:eastAsia="宋体" w:cs="Times New Roman"/>
                <w:color w:val="auto"/>
                <w:sz w:val="24"/>
                <w:szCs w:val="24"/>
                <w:highlight w:val="none"/>
                <w:lang w:eastAsia="zh-CN"/>
              </w:rPr>
              <w:t>污水</w:t>
            </w:r>
            <w:r>
              <w:rPr>
                <w:rFonts w:hint="default" w:ascii="Times New Roman" w:hAnsi="Times New Roman" w:eastAsia="宋体" w:cs="Times New Roman"/>
                <w:color w:val="auto"/>
                <w:sz w:val="24"/>
                <w:szCs w:val="24"/>
                <w:highlight w:val="none"/>
              </w:rPr>
              <w:t>产生量为</w:t>
            </w:r>
            <w:r>
              <w:rPr>
                <w:rFonts w:hint="default" w:ascii="Times New Roman" w:hAnsi="Times New Roman" w:eastAsia="宋体"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厂区设</w:t>
            </w:r>
            <w:r>
              <w:rPr>
                <w:rFonts w:hint="default" w:ascii="Times New Roman" w:hAnsi="Times New Roman"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w:t>
            </w:r>
            <w:r>
              <w:rPr>
                <w:rFonts w:hint="default" w:ascii="Times New Roman" w:hAnsi="Times New Roman" w:eastAsia="宋体" w:cs="Times New Roman"/>
                <w:color w:val="auto"/>
                <w:sz w:val="24"/>
                <w:szCs w:val="24"/>
                <w:highlight w:val="none"/>
                <w:lang w:eastAsia="zh-CN"/>
              </w:rPr>
              <w:t>处理</w:t>
            </w:r>
            <w:r>
              <w:rPr>
                <w:rFonts w:hint="default" w:ascii="Times New Roman" w:hAnsi="Times New Roman" w:eastAsia="宋体" w:cs="Times New Roman"/>
                <w:color w:val="auto"/>
                <w:sz w:val="24"/>
                <w:szCs w:val="24"/>
                <w:highlight w:val="none"/>
              </w:rPr>
              <w:t>。</w:t>
            </w:r>
          </w:p>
          <w:p w14:paraId="151CCB8E">
            <w:pPr>
              <w:pStyle w:val="125"/>
              <w:spacing w:line="360" w:lineRule="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 xml:space="preserve">    项目给排水量一览表       单位：m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p>
          <w:tbl>
            <w:tblPr>
              <w:tblStyle w:val="40"/>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19"/>
              <w:gridCol w:w="885"/>
              <w:gridCol w:w="983"/>
              <w:gridCol w:w="939"/>
              <w:gridCol w:w="689"/>
              <w:gridCol w:w="1096"/>
              <w:gridCol w:w="1841"/>
            </w:tblGrid>
            <w:tr w14:paraId="3D6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2DF2AF3E">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用水工序</w:t>
                  </w:r>
                </w:p>
              </w:tc>
              <w:tc>
                <w:tcPr>
                  <w:tcW w:w="578" w:type="pct"/>
                  <w:shd w:val="clear" w:color="auto" w:fill="auto"/>
                  <w:vAlign w:val="center"/>
                </w:tcPr>
                <w:p w14:paraId="58ED3525">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总用水量</w:t>
                  </w:r>
                </w:p>
              </w:tc>
              <w:tc>
                <w:tcPr>
                  <w:tcW w:w="642" w:type="pct"/>
                  <w:shd w:val="clear" w:color="auto" w:fill="auto"/>
                  <w:vAlign w:val="center"/>
                </w:tcPr>
                <w:p w14:paraId="54BDC314">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新鲜水量</w:t>
                  </w:r>
                </w:p>
              </w:tc>
              <w:tc>
                <w:tcPr>
                  <w:tcW w:w="613" w:type="pct"/>
                  <w:shd w:val="clear" w:color="auto" w:fill="auto"/>
                  <w:vAlign w:val="center"/>
                </w:tcPr>
                <w:p w14:paraId="1CB1EEB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循环水量</w:t>
                  </w:r>
                </w:p>
              </w:tc>
              <w:tc>
                <w:tcPr>
                  <w:tcW w:w="450" w:type="pct"/>
                  <w:shd w:val="clear" w:color="auto" w:fill="auto"/>
                  <w:vAlign w:val="center"/>
                </w:tcPr>
                <w:p w14:paraId="1A685B6A">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损耗量</w:t>
                  </w:r>
                </w:p>
              </w:tc>
              <w:tc>
                <w:tcPr>
                  <w:tcW w:w="716" w:type="pct"/>
                  <w:vAlign w:val="center"/>
                </w:tcPr>
                <w:p w14:paraId="33ED5C2D">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污水产生量</w:t>
                  </w:r>
                </w:p>
              </w:tc>
              <w:tc>
                <w:tcPr>
                  <w:tcW w:w="1202" w:type="pct"/>
                  <w:vAlign w:val="center"/>
                </w:tcPr>
                <w:p w14:paraId="1943C096">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污水去向</w:t>
                  </w:r>
                </w:p>
              </w:tc>
            </w:tr>
            <w:tr w14:paraId="45EB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96" w:type="pct"/>
                  <w:shd w:val="clear" w:color="auto" w:fill="auto"/>
                  <w:vAlign w:val="center"/>
                </w:tcPr>
                <w:p w14:paraId="751A9F09">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生活用水</w:t>
                  </w:r>
                </w:p>
              </w:tc>
              <w:tc>
                <w:tcPr>
                  <w:tcW w:w="578" w:type="pct"/>
                  <w:shd w:val="clear" w:color="auto" w:fill="auto"/>
                  <w:vAlign w:val="center"/>
                </w:tcPr>
                <w:p w14:paraId="79D388CE">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42" w:type="pct"/>
                  <w:shd w:val="clear" w:color="auto" w:fill="auto"/>
                  <w:vAlign w:val="center"/>
                </w:tcPr>
                <w:p w14:paraId="07BD9D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13" w:type="pct"/>
                  <w:shd w:val="clear" w:color="auto" w:fill="auto"/>
                  <w:vAlign w:val="center"/>
                </w:tcPr>
                <w:p w14:paraId="3F86317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640D4A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0.29</w:t>
                  </w:r>
                </w:p>
              </w:tc>
              <w:tc>
                <w:tcPr>
                  <w:tcW w:w="716" w:type="pct"/>
                  <w:vAlign w:val="center"/>
                </w:tcPr>
                <w:p w14:paraId="0C8861E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1.18</w:t>
                  </w:r>
                </w:p>
              </w:tc>
              <w:tc>
                <w:tcPr>
                  <w:tcW w:w="1202" w:type="pct"/>
                  <w:vAlign w:val="center"/>
                </w:tcPr>
                <w:p w14:paraId="609CAF3F">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设置化粪池，定期清掏用作农肥</w:t>
                  </w:r>
                </w:p>
              </w:tc>
            </w:tr>
            <w:tr w14:paraId="18A9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76D6F231">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搅拌用水</w:t>
                  </w:r>
                </w:p>
              </w:tc>
              <w:tc>
                <w:tcPr>
                  <w:tcW w:w="578" w:type="pct"/>
                  <w:shd w:val="clear" w:color="auto" w:fill="auto"/>
                  <w:vAlign w:val="center"/>
                </w:tcPr>
                <w:p w14:paraId="3AEB91E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42" w:type="pct"/>
                  <w:shd w:val="clear" w:color="auto" w:fill="auto"/>
                  <w:vAlign w:val="center"/>
                </w:tcPr>
                <w:p w14:paraId="4CA339B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13" w:type="pct"/>
                  <w:shd w:val="clear" w:color="auto" w:fill="auto"/>
                  <w:vAlign w:val="center"/>
                </w:tcPr>
                <w:p w14:paraId="4CC6A56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7C682ED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716" w:type="pct"/>
                  <w:vAlign w:val="center"/>
                </w:tcPr>
                <w:p w14:paraId="69AB7D2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696A0186">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val="en-US" w:eastAsia="zh-CN"/>
                    </w:rPr>
                    <w:t>全部进入产品</w:t>
                  </w:r>
                </w:p>
              </w:tc>
            </w:tr>
            <w:tr w14:paraId="5859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40D58CFC">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模具冲洗用水</w:t>
                  </w:r>
                </w:p>
              </w:tc>
              <w:tc>
                <w:tcPr>
                  <w:tcW w:w="578" w:type="pct"/>
                  <w:shd w:val="clear" w:color="auto" w:fill="auto"/>
                  <w:vAlign w:val="center"/>
                </w:tcPr>
                <w:p w14:paraId="49441017">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711AA10B">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4D73134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33A810B0">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716" w:type="pct"/>
                  <w:vAlign w:val="center"/>
                </w:tcPr>
                <w:p w14:paraId="6F52172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3F2536C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7AD8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03BA87DB">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车辆</w:t>
                  </w:r>
                  <w:r>
                    <w:rPr>
                      <w:rFonts w:hint="default" w:ascii="Times New Roman" w:hAnsi="Times New Roman" w:cs="Times New Roman"/>
                      <w:color w:val="auto"/>
                      <w:szCs w:val="21"/>
                      <w:highlight w:val="none"/>
                      <w:lang w:eastAsia="zh-CN"/>
                    </w:rPr>
                    <w:t>冲洗</w:t>
                  </w:r>
                  <w:r>
                    <w:rPr>
                      <w:rFonts w:hint="default" w:ascii="Times New Roman" w:hAnsi="Times New Roman" w:eastAsia="宋体" w:cs="Times New Roman"/>
                      <w:color w:val="auto"/>
                      <w:szCs w:val="21"/>
                      <w:highlight w:val="none"/>
                      <w:lang w:eastAsia="zh-CN"/>
                    </w:rPr>
                    <w:t>用水</w:t>
                  </w:r>
                </w:p>
              </w:tc>
              <w:tc>
                <w:tcPr>
                  <w:tcW w:w="578" w:type="pct"/>
                  <w:shd w:val="clear" w:color="auto" w:fill="auto"/>
                  <w:vAlign w:val="center"/>
                </w:tcPr>
                <w:p w14:paraId="2F58C83E">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118C1976">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2FDBF97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79184FF4">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716" w:type="pct"/>
                  <w:vAlign w:val="center"/>
                </w:tcPr>
                <w:p w14:paraId="1F4CE60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03A6F463">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6B79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6C229932">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合计</w:t>
                  </w:r>
                </w:p>
              </w:tc>
              <w:tc>
                <w:tcPr>
                  <w:tcW w:w="885" w:type="dxa"/>
                  <w:shd w:val="clear" w:color="auto" w:fill="auto"/>
                  <w:vAlign w:val="center"/>
                </w:tcPr>
                <w:p w14:paraId="62CF59D9">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145.69</w:t>
                  </w:r>
                </w:p>
              </w:tc>
              <w:tc>
                <w:tcPr>
                  <w:tcW w:w="983" w:type="dxa"/>
                  <w:shd w:val="clear" w:color="auto" w:fill="auto"/>
                  <w:vAlign w:val="center"/>
                </w:tcPr>
                <w:p w14:paraId="16D5FDFA">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129.69</w:t>
                  </w:r>
                </w:p>
              </w:tc>
              <w:tc>
                <w:tcPr>
                  <w:tcW w:w="939" w:type="dxa"/>
                  <w:shd w:val="clear" w:color="auto" w:fill="auto"/>
                  <w:vAlign w:val="center"/>
                </w:tcPr>
                <w:p w14:paraId="02155BC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16</w:t>
                  </w:r>
                </w:p>
              </w:tc>
              <w:tc>
                <w:tcPr>
                  <w:tcW w:w="689" w:type="dxa"/>
                  <w:shd w:val="clear" w:color="auto" w:fill="auto"/>
                  <w:vAlign w:val="center"/>
                </w:tcPr>
                <w:p w14:paraId="24E9A890">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128.51</w:t>
                  </w:r>
                </w:p>
              </w:tc>
              <w:tc>
                <w:tcPr>
                  <w:tcW w:w="1096" w:type="dxa"/>
                  <w:vAlign w:val="center"/>
                </w:tcPr>
                <w:p w14:paraId="642B5C88">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1.18</w:t>
                  </w:r>
                </w:p>
              </w:tc>
              <w:tc>
                <w:tcPr>
                  <w:tcW w:w="1202" w:type="pct"/>
                  <w:vAlign w:val="center"/>
                </w:tcPr>
                <w:p w14:paraId="22B2F6AF">
                  <w:pPr>
                    <w:adjustRightInd w:val="0"/>
                    <w:snapToGrid w:val="0"/>
                    <w:spacing w:line="240" w:lineRule="exact"/>
                    <w:jc w:val="center"/>
                    <w:rPr>
                      <w:rFonts w:hint="default" w:ascii="Times New Roman" w:hAnsi="Times New Roman" w:eastAsia="宋体" w:cs="Times New Roman"/>
                      <w:color w:val="auto"/>
                      <w:szCs w:val="21"/>
                      <w:highlight w:val="none"/>
                    </w:rPr>
                  </w:pPr>
                </w:p>
              </w:tc>
            </w:tr>
          </w:tbl>
          <w:p w14:paraId="1890FD96">
            <w:pPr>
              <w:pStyle w:val="5"/>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sz w:val="24"/>
                <w:szCs w:val="24"/>
                <w:highlight w:val="none"/>
              </w:rPr>
              <w:pict>
                <v:shape id="_x0000_s2052" o:spid="_x0000_s2052" o:spt="75" type="#_x0000_t75" style="position:absolute;left:0pt;margin-left:19.75pt;margin-top:3.85pt;height:204pt;width:340.95pt;z-index:-251649024;mso-width-relative:page;mso-height-relative:page;" o:ole="t" filled="f" o:preferrelative="t" stroked="f" coordsize="21600,21600">
                  <v:path/>
                  <v:fill on="f" focussize="0,0"/>
                  <v:stroke on="f"/>
                  <v:imagedata r:id="rId9" o:title=""/>
                  <o:lock v:ext="edit" aspectratio="f"/>
                </v:shape>
                <o:OLEObject Type="Embed" ProgID="Visio.Drawing.11" ShapeID="_x0000_s2052" DrawAspect="Content" ObjectID="_1468075725" r:id="rId8">
                  <o:LockedField>false</o:LockedField>
                </o:OLEObject>
              </w:pict>
            </w:r>
          </w:p>
          <w:p w14:paraId="72B09D19">
            <w:pPr>
              <w:rPr>
                <w:rFonts w:hint="default" w:ascii="Times New Roman" w:hAnsi="Times New Roman" w:eastAsia="宋体" w:cs="Times New Roman"/>
                <w:color w:val="auto"/>
                <w:sz w:val="24"/>
                <w:szCs w:val="24"/>
                <w:highlight w:val="none"/>
              </w:rPr>
            </w:pPr>
          </w:p>
          <w:p w14:paraId="171D8112">
            <w:pPr>
              <w:pStyle w:val="2"/>
              <w:rPr>
                <w:rFonts w:hint="default" w:ascii="Times New Roman" w:hAnsi="Times New Roman" w:eastAsia="宋体" w:cs="Times New Roman"/>
                <w:color w:val="auto"/>
                <w:sz w:val="24"/>
                <w:szCs w:val="24"/>
                <w:highlight w:val="none"/>
              </w:rPr>
            </w:pPr>
          </w:p>
          <w:p w14:paraId="4BE1E60F">
            <w:pPr>
              <w:pStyle w:val="5"/>
              <w:rPr>
                <w:rFonts w:hint="default" w:ascii="Times New Roman" w:hAnsi="Times New Roman" w:cs="Times New Roman"/>
                <w:color w:val="auto"/>
                <w:highlight w:val="none"/>
              </w:rPr>
            </w:pPr>
          </w:p>
          <w:p w14:paraId="573937DC">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eastAsia="zh-CN"/>
              </w:rPr>
            </w:pPr>
          </w:p>
          <w:p w14:paraId="00B053E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251091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0CBE767">
            <w:pPr>
              <w:pStyle w:val="16"/>
              <w:rPr>
                <w:rFonts w:hint="default" w:ascii="Times New Roman" w:hAnsi="Times New Roman" w:cs="Times New Roman"/>
                <w:b w:val="0"/>
                <w:bCs w:val="0"/>
                <w:color w:val="auto"/>
                <w:sz w:val="21"/>
                <w:highlight w:val="none"/>
              </w:rPr>
            </w:pPr>
          </w:p>
          <w:p w14:paraId="1B533D59">
            <w:pPr>
              <w:rPr>
                <w:rFonts w:hint="default" w:ascii="Times New Roman" w:hAnsi="Times New Roman" w:cs="Times New Roman"/>
                <w:color w:val="auto"/>
                <w:sz w:val="21"/>
                <w:highlight w:val="none"/>
              </w:rPr>
            </w:pPr>
          </w:p>
          <w:p w14:paraId="1ADB0DCD">
            <w:pPr>
              <w:pStyle w:val="16"/>
              <w:rPr>
                <w:rFonts w:hint="default" w:ascii="Times New Roman" w:hAnsi="Times New Roman" w:cs="Times New Roman"/>
                <w:color w:val="auto"/>
                <w:sz w:val="21"/>
                <w:highlight w:val="none"/>
              </w:rPr>
            </w:pPr>
          </w:p>
          <w:p w14:paraId="4229943B">
            <w:pPr>
              <w:rPr>
                <w:rFonts w:hint="default" w:ascii="Times New Roman" w:hAnsi="Times New Roman" w:cs="Times New Roman"/>
                <w:color w:val="auto"/>
                <w:sz w:val="21"/>
                <w:highlight w:val="none"/>
              </w:rPr>
            </w:pPr>
          </w:p>
          <w:p w14:paraId="0DD4EB03">
            <w:pPr>
              <w:pStyle w:val="16"/>
              <w:rPr>
                <w:rFonts w:hint="default" w:ascii="Times New Roman" w:hAnsi="Times New Roman" w:cs="Times New Roman"/>
                <w:color w:val="auto"/>
                <w:sz w:val="21"/>
                <w:highlight w:val="none"/>
              </w:rPr>
            </w:pPr>
          </w:p>
          <w:p w14:paraId="412E997B">
            <w:pPr>
              <w:rPr>
                <w:rFonts w:hint="default" w:ascii="Times New Roman" w:hAnsi="Times New Roman" w:cs="Times New Roman"/>
                <w:color w:val="auto"/>
                <w:sz w:val="21"/>
                <w:highlight w:val="none"/>
              </w:rPr>
            </w:pPr>
          </w:p>
          <w:p w14:paraId="1F9F115C">
            <w:pPr>
              <w:pStyle w:val="16"/>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b/>
                <w:bCs/>
                <w:color w:val="auto"/>
                <w:sz w:val="24"/>
                <w:szCs w:val="24"/>
                <w:highlight w:val="none"/>
              </w:rPr>
              <w:t>图2-</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 xml:space="preserve">   项目给排水平衡      （单位m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4B0EC27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）供电</w:t>
            </w:r>
          </w:p>
          <w:p w14:paraId="2D1A53E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项目供电由园区供电系统提供，项目年用电</w:t>
            </w:r>
            <w:r>
              <w:rPr>
                <w:rFonts w:hint="default" w:ascii="Times New Roman" w:hAnsi="Times New Roman" w:eastAsia="Times New Roman" w:cs="Times New Roman"/>
                <w:color w:val="auto"/>
                <w:sz w:val="24"/>
                <w:szCs w:val="24"/>
                <w:highlight w:val="none"/>
              </w:rPr>
              <w:t>25</w:t>
            </w:r>
            <w:r>
              <w:rPr>
                <w:rFonts w:hint="default" w:ascii="Times New Roman" w:hAnsi="Times New Roman" w:eastAsia="宋体" w:cs="Times New Roman"/>
                <w:color w:val="auto"/>
                <w:sz w:val="24"/>
                <w:szCs w:val="24"/>
                <w:highlight w:val="none"/>
              </w:rPr>
              <w:t>万</w:t>
            </w:r>
            <w:r>
              <w:rPr>
                <w:rFonts w:hint="default" w:ascii="Times New Roman" w:hAnsi="Times New Roman" w:eastAsia="Times New Roman" w:cs="Times New Roman"/>
                <w:color w:val="auto"/>
                <w:sz w:val="24"/>
                <w:szCs w:val="24"/>
                <w:highlight w:val="none"/>
              </w:rPr>
              <w:t>kW·h/a</w:t>
            </w:r>
            <w:r>
              <w:rPr>
                <w:rFonts w:hint="default" w:ascii="Times New Roman" w:hAnsi="Times New Roman" w:cs="Times New Roman"/>
                <w:color w:val="auto"/>
                <w:sz w:val="24"/>
                <w:szCs w:val="24"/>
                <w:highlight w:val="none"/>
              </w:rPr>
              <w:t>。</w:t>
            </w:r>
          </w:p>
          <w:p w14:paraId="27435E7C">
            <w:pPr>
              <w:keepNext w:val="0"/>
              <w:keepLines w:val="0"/>
              <w:pageBreakBefore w:val="0"/>
              <w:widowControl w:val="0"/>
              <w:numPr>
                <w:ilvl w:val="255"/>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8、平面布置</w:t>
            </w:r>
          </w:p>
          <w:p w14:paraId="495CA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eastAsia="宋体" w:cs="Times New Roman"/>
                <w:bCs/>
                <w:color w:val="auto"/>
                <w:sz w:val="24"/>
                <w:highlight w:val="none"/>
                <w:lang w:val="en-US" w:eastAsia="zh-CN"/>
              </w:rPr>
              <w:t>总平面布置为：大门位于厂区东南侧，厂区东侧为一座3层办公楼，西侧为生产车间，车间内</w:t>
            </w:r>
            <w:r>
              <w:rPr>
                <w:rFonts w:hint="default" w:ascii="Times New Roman" w:hAnsi="Times New Roman" w:cs="Times New Roman"/>
                <w:bCs/>
                <w:color w:val="auto"/>
                <w:sz w:val="24"/>
                <w:highlight w:val="none"/>
                <w:lang w:val="en-US" w:eastAsia="zh-CN"/>
              </w:rPr>
              <w:t>东北角为板材存放，西北角为罐体区，车间内中部为隔墙板生产区，西侧为砂浆生产区</w:t>
            </w:r>
            <w:r>
              <w:rPr>
                <w:rFonts w:hint="default" w:ascii="Times New Roman" w:hAnsi="Times New Roman" w:cs="Times New Roman"/>
                <w:bCs/>
                <w:color w:val="auto"/>
                <w:sz w:val="24"/>
                <w:highlight w:val="none"/>
              </w:rPr>
              <w:t>。整个分区布局合理，顺应工艺流程，减少生产流程的迂回、往返，有利于生产。厂区平面布置图见附图3。</w:t>
            </w:r>
          </w:p>
          <w:p w14:paraId="232E1B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1BE375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B5DFD6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2FD6B8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1255162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lang w:val="en-US" w:eastAsia="zh-CN"/>
              </w:rPr>
            </w:pPr>
          </w:p>
        </w:tc>
      </w:tr>
      <w:tr w14:paraId="35BA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2" w:type="dxa"/>
            <w:vAlign w:val="center"/>
          </w:tcPr>
          <w:p w14:paraId="18C4FEC4">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工艺流程和产排污环节</w:t>
            </w:r>
          </w:p>
        </w:tc>
        <w:tc>
          <w:tcPr>
            <w:tcW w:w="7890" w:type="dxa"/>
          </w:tcPr>
          <w:p w14:paraId="0D040366">
            <w:pPr>
              <w:pStyle w:val="60"/>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工艺流程简述（图示）：</w:t>
            </w:r>
          </w:p>
          <w:p w14:paraId="3AD70970">
            <w:pPr>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一、工艺流程：</w:t>
            </w:r>
          </w:p>
          <w:p w14:paraId="3CEE38B6">
            <w:pPr>
              <w:spacing w:line="360" w:lineRule="auto"/>
              <w:ind w:firstLine="482"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b/>
                <w:color w:val="auto"/>
                <w:sz w:val="24"/>
                <w:szCs w:val="24"/>
                <w:highlight w:val="none"/>
              </w:rPr>
              <w:pict>
                <v:shape id="_x0000_s2050" o:spid="_x0000_s2050" o:spt="75" type="#_x0000_t75" style="position:absolute;left:0pt;margin-left:-2.75pt;margin-top:10pt;height:164.4pt;width:395.65pt;z-index:251665408;mso-width-relative:page;mso-height-relative:page;" o:ole="t" filled="f" o:preferrelative="t" stroked="f" coordsize="21600,21600">
                  <v:path/>
                  <v:fill on="f" focussize="0,0"/>
                  <v:stroke on="f"/>
                  <v:imagedata r:id="rId11" cropleft="1075f" cropright="-226f" cropbottom="24706f" o:title=""/>
                  <o:lock v:ext="edit" aspectratio="t"/>
                </v:shape>
                <o:OLEObject Type="Embed" ProgID="Visio.Drawing.11" ShapeID="_x0000_s2050" DrawAspect="Content" ObjectID="_1468075726" r:id="rId10">
                  <o:LockedField>false</o:LockedField>
                </o:OLEObject>
              </w:pict>
            </w:r>
            <w:r>
              <w:rPr>
                <w:rFonts w:hint="default" w:ascii="Times New Roman" w:hAnsi="Times New Roman" w:cs="Times New Roman"/>
                <w:color w:val="auto"/>
                <w:sz w:val="24"/>
                <w:highlight w:val="none"/>
                <w:lang w:val="en-US" w:eastAsia="zh-CN"/>
              </w:rPr>
              <w:t>1、钢制边框复合隔墙板生产工艺</w:t>
            </w:r>
          </w:p>
          <w:p w14:paraId="69710F15">
            <w:pPr>
              <w:pStyle w:val="15"/>
              <w:tabs>
                <w:tab w:val="left" w:pos="1800"/>
              </w:tabs>
              <w:spacing w:line="360" w:lineRule="auto"/>
              <w:ind w:left="0" w:leftChars="0"/>
              <w:rPr>
                <w:rFonts w:hint="default" w:ascii="Times New Roman" w:hAnsi="Times New Roman" w:eastAsia="宋体" w:cs="Times New Roman"/>
                <w:color w:val="auto"/>
                <w:highlight w:val="none"/>
              </w:rPr>
            </w:pPr>
          </w:p>
          <w:p w14:paraId="3359B5FF">
            <w:pPr>
              <w:pStyle w:val="15"/>
              <w:tabs>
                <w:tab w:val="left" w:pos="1800"/>
              </w:tabs>
              <w:spacing w:line="360" w:lineRule="auto"/>
              <w:ind w:left="0" w:leftChars="0"/>
              <w:rPr>
                <w:rFonts w:hint="default" w:ascii="Times New Roman" w:hAnsi="Times New Roman" w:eastAsia="宋体" w:cs="Times New Roman"/>
                <w:color w:val="auto"/>
                <w:highlight w:val="none"/>
              </w:rPr>
            </w:pPr>
          </w:p>
          <w:p w14:paraId="2F444FAB">
            <w:pPr>
              <w:spacing w:before="50" w:line="460" w:lineRule="exact"/>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 xml:space="preserve">             </w:t>
            </w:r>
          </w:p>
          <w:p w14:paraId="65B23A31">
            <w:pPr>
              <w:pStyle w:val="51"/>
              <w:jc w:val="center"/>
              <w:rPr>
                <w:rFonts w:hint="default" w:ascii="Times New Roman" w:hAnsi="Times New Roman" w:eastAsia="宋体" w:cs="Times New Roman"/>
                <w:color w:val="auto"/>
                <w:sz w:val="24"/>
                <w:szCs w:val="24"/>
                <w:highlight w:val="none"/>
              </w:rPr>
            </w:pPr>
          </w:p>
          <w:p w14:paraId="601C08DE">
            <w:pPr>
              <w:pStyle w:val="51"/>
              <w:jc w:val="center"/>
              <w:rPr>
                <w:rFonts w:hint="default" w:ascii="Times New Roman" w:hAnsi="Times New Roman" w:eastAsia="宋体" w:cs="Times New Roman"/>
                <w:color w:val="auto"/>
                <w:sz w:val="24"/>
                <w:szCs w:val="24"/>
                <w:highlight w:val="none"/>
              </w:rPr>
            </w:pPr>
          </w:p>
          <w:p w14:paraId="20DFA5C0">
            <w:pPr>
              <w:pStyle w:val="51"/>
              <w:jc w:val="center"/>
              <w:rPr>
                <w:rFonts w:hint="default" w:ascii="Times New Roman" w:hAnsi="Times New Roman" w:eastAsia="宋体" w:cs="Times New Roman"/>
                <w:color w:val="auto"/>
                <w:sz w:val="24"/>
                <w:szCs w:val="24"/>
                <w:highlight w:val="none"/>
              </w:rPr>
            </w:pPr>
          </w:p>
          <w:p w14:paraId="50C538BC">
            <w:pPr>
              <w:pStyle w:val="51"/>
              <w:jc w:val="center"/>
              <w:rPr>
                <w:rFonts w:hint="default" w:ascii="Times New Roman" w:hAnsi="Times New Roman" w:eastAsia="宋体" w:cs="Times New Roman"/>
                <w:color w:val="auto"/>
                <w:sz w:val="24"/>
                <w:szCs w:val="24"/>
                <w:highlight w:val="none"/>
              </w:rPr>
            </w:pPr>
          </w:p>
          <w:p w14:paraId="40BE04DA">
            <w:pPr>
              <w:pStyle w:val="51"/>
              <w:jc w:val="center"/>
              <w:rPr>
                <w:rFonts w:hint="default" w:ascii="Times New Roman" w:hAnsi="Times New Roman" w:eastAsia="宋体" w:cs="Times New Roman"/>
                <w:color w:val="auto"/>
                <w:sz w:val="24"/>
                <w:szCs w:val="24"/>
                <w:highlight w:val="none"/>
              </w:rPr>
            </w:pPr>
          </w:p>
          <w:p w14:paraId="298AE657">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val="en-US" w:eastAsia="zh-CN"/>
              </w:rPr>
              <w:t>钢框架防火保温隔墙板生产</w:t>
            </w:r>
            <w:r>
              <w:rPr>
                <w:rFonts w:hint="default" w:ascii="Times New Roman" w:hAnsi="Times New Roman" w:eastAsia="宋体" w:cs="Times New Roman"/>
                <w:b/>
                <w:bCs/>
                <w:color w:val="auto"/>
                <w:sz w:val="24"/>
                <w:szCs w:val="24"/>
                <w:highlight w:val="none"/>
              </w:rPr>
              <w:t>工艺流程及排污节点图</w:t>
            </w:r>
          </w:p>
          <w:p w14:paraId="7C95B00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en-US" w:eastAsia="zh-CN"/>
              </w:rPr>
              <w:t>钢框架防火保温隔墙板</w:t>
            </w:r>
            <w:r>
              <w:rPr>
                <w:rFonts w:hint="default" w:ascii="Times New Roman" w:hAnsi="Times New Roman" w:eastAsia="宋体" w:cs="Times New Roman"/>
                <w:color w:val="auto"/>
                <w:kern w:val="2"/>
                <w:sz w:val="24"/>
                <w:szCs w:val="24"/>
                <w:highlight w:val="none"/>
                <w:lang w:val="en-US" w:eastAsia="zh-CN" w:bidi="ar-SA"/>
              </w:rPr>
              <w:t>生产工艺流程简述如下：</w:t>
            </w:r>
          </w:p>
          <w:p w14:paraId="1AF4377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①浆料准备</w:t>
            </w:r>
          </w:p>
          <w:p w14:paraId="7BEBB44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物料由车辆运输进厂，粉煤灰、脱硫石膏、水泥、珍珠岩等物料进场后经罐车泵入原料储罐内存储。</w:t>
            </w:r>
            <w:r>
              <w:rPr>
                <w:rFonts w:hint="default" w:ascii="Times New Roman" w:hAnsi="Times New Roman" w:eastAsia="宋体" w:cs="Times New Roman"/>
                <w:color w:val="auto"/>
                <w:kern w:val="2"/>
                <w:sz w:val="24"/>
                <w:szCs w:val="24"/>
                <w:highlight w:val="none"/>
                <w:lang w:val="en-US" w:eastAsia="zh-CN" w:bidi="ar-SA"/>
              </w:rPr>
              <w:t>储罐出口设在罐底，生产时</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cs="Times New Roman"/>
                <w:color w:val="auto"/>
                <w:sz w:val="24"/>
                <w:szCs w:val="24"/>
                <w:highlight w:val="none"/>
                <w:lang w:val="en-US" w:eastAsia="zh-CN"/>
              </w:rPr>
              <w:t>输送至全自动板材复合机的搅拌仓内，同时加入水进行搅拌，其中料水比例约为100：55。</w:t>
            </w:r>
          </w:p>
          <w:p w14:paraId="2D9681C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产污节点：废气污染源为车辆运输扬尘（G1），采取车辆加盖苫布、道路硬化、定期清扫、进出厂车辆冲洗等控制措施；废气污染源为储罐呼吸废气（G2）、上料废气（G3）、搅拌废气（G4），主要污染物均为颗粒物，集气管道收集废气，储罐废气经罐顶除尘器处理后，和上料、搅拌废气一同引至布袋除尘器处理，再经1根15m排气筒排放；噪声污染源为车辆运输、物料输送、全自动板材复合机（复合机中的上料系统、搅拌仓）产生的噪声（N1、N2、N3、N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W1</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固体废物为沉淀池产生沉淀泥（S1），收集后外售；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w:t>
            </w:r>
            <w:r>
              <w:rPr>
                <w:rFonts w:hint="default" w:ascii="Times New Roman" w:hAnsi="Times New Roman" w:cs="Times New Roman"/>
                <w:color w:val="auto"/>
                <w:sz w:val="24"/>
                <w:szCs w:val="24"/>
                <w:highlight w:val="none"/>
                <w:lang w:val="en-US" w:eastAsia="zh-CN"/>
              </w:rPr>
              <w:t>和布袋除尘器</w:t>
            </w:r>
            <w:r>
              <w:rPr>
                <w:rFonts w:hint="default" w:ascii="Times New Roman" w:hAnsi="Times New Roman" w:eastAsia="宋体" w:cs="Times New Roman"/>
                <w:color w:val="auto"/>
                <w:sz w:val="24"/>
                <w:szCs w:val="24"/>
                <w:highlight w:val="none"/>
                <w:lang w:val="en-US" w:eastAsia="zh-CN"/>
              </w:rPr>
              <w:t>收集的除尘灰（S2、S3、S</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），收集后回用于生产。</w:t>
            </w:r>
          </w:p>
          <w:p w14:paraId="262F90A6">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cs="Times New Roman"/>
                <w:color w:val="auto"/>
                <w:sz w:val="24"/>
                <w:szCs w:val="24"/>
                <w:highlight w:val="none"/>
                <w:lang w:val="zh-CN" w:eastAsia="zh-CN"/>
              </w:rPr>
              <w:t>钢板加工</w:t>
            </w:r>
            <w:r>
              <w:rPr>
                <w:rFonts w:hint="default" w:ascii="Times New Roman" w:hAnsi="Times New Roman" w:eastAsia="宋体" w:cs="Times New Roman"/>
                <w:color w:val="auto"/>
                <w:sz w:val="24"/>
                <w:szCs w:val="24"/>
                <w:highlight w:val="none"/>
                <w:lang w:val="zh-CN" w:eastAsia="zh-CN"/>
              </w:rPr>
              <w:t>焊接</w:t>
            </w:r>
          </w:p>
          <w:p w14:paraId="6A1FA815">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将外购钢板置于铁板板材自动成型机</w:t>
            </w:r>
            <w:r>
              <w:rPr>
                <w:rFonts w:hint="default" w:ascii="Times New Roman" w:hAnsi="Times New Roman" w:cs="Times New Roman"/>
                <w:color w:val="auto"/>
                <w:sz w:val="24"/>
                <w:szCs w:val="24"/>
                <w:highlight w:val="none"/>
                <w:lang w:val="en-US" w:eastAsia="zh-CN"/>
              </w:rPr>
              <w:t>对其进行</w:t>
            </w:r>
            <w:r>
              <w:rPr>
                <w:rFonts w:hint="default" w:ascii="Times New Roman" w:hAnsi="Times New Roman" w:eastAsia="宋体" w:cs="Times New Roman"/>
                <w:color w:val="auto"/>
                <w:sz w:val="24"/>
                <w:szCs w:val="24"/>
                <w:highlight w:val="none"/>
                <w:lang w:val="en-US" w:eastAsia="zh-CN"/>
              </w:rPr>
              <w:t>挤压加工</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使钢板形成需要的形状，再</w:t>
            </w:r>
            <w:r>
              <w:rPr>
                <w:rFonts w:hint="default" w:ascii="Times New Roman" w:hAnsi="Times New Roman" w:cs="Times New Roman"/>
                <w:color w:val="auto"/>
                <w:sz w:val="24"/>
                <w:szCs w:val="24"/>
                <w:highlight w:val="none"/>
                <w:lang w:val="en-US" w:eastAsia="zh-CN"/>
              </w:rPr>
              <w:t>采用焊接机进行焊接。</w:t>
            </w:r>
          </w:p>
          <w:p w14:paraId="1EA5DBC2">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产污节点：废气污染源为焊接废气（G</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），主要污染物为焊接烟尘，经焊烟净化器处理后无组织排放；噪声污染源为铁板板材自动成型机</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焊接机产生的噪声（N</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），采取基础减振、厂房隔声等措施降噪。固体废物为焊接产生的废焊材（S</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），收集后外售。</w:t>
            </w:r>
          </w:p>
          <w:p w14:paraId="1174127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铺网格布</w:t>
            </w:r>
          </w:p>
          <w:p w14:paraId="75C98EB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将焊接好的钢板放置在全自动板材复合机的成型系统的模具中，在钢板上铺一层网格布。</w:t>
            </w:r>
          </w:p>
          <w:p w14:paraId="1B3EA859">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上浆料</w:t>
            </w:r>
          </w:p>
          <w:p w14:paraId="5F3CEFD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4"/>
                <w:szCs w:val="24"/>
                <w:highlight w:val="none"/>
                <w:lang w:val="en-US" w:eastAsia="zh-CN"/>
              </w:rPr>
              <w:t>将</w:t>
            </w:r>
            <w:r>
              <w:rPr>
                <w:rFonts w:hint="default" w:ascii="Times New Roman" w:hAnsi="Times New Roman" w:cs="Times New Roman"/>
                <w:color w:val="auto"/>
                <w:sz w:val="24"/>
                <w:szCs w:val="24"/>
                <w:highlight w:val="none"/>
                <w:lang w:val="en-US" w:eastAsia="zh-CN"/>
              </w:rPr>
              <w:t>搅拌</w:t>
            </w:r>
            <w:r>
              <w:rPr>
                <w:rFonts w:hint="default" w:ascii="Times New Roman" w:hAnsi="Times New Roman" w:eastAsia="宋体" w:cs="Times New Roman"/>
                <w:color w:val="auto"/>
                <w:sz w:val="24"/>
                <w:szCs w:val="24"/>
                <w:highlight w:val="none"/>
                <w:lang w:val="en-US" w:eastAsia="zh-CN"/>
              </w:rPr>
              <w:t>均匀的浆料</w:t>
            </w:r>
            <w:r>
              <w:rPr>
                <w:rFonts w:hint="default" w:ascii="Times New Roman" w:hAnsi="Times New Roman" w:cs="Times New Roman"/>
                <w:color w:val="auto"/>
                <w:sz w:val="24"/>
                <w:szCs w:val="24"/>
                <w:highlight w:val="none"/>
                <w:lang w:val="en-US" w:eastAsia="zh-CN"/>
              </w:rPr>
              <w:t>灌入</w:t>
            </w:r>
            <w:r>
              <w:rPr>
                <w:rFonts w:hint="default" w:ascii="Times New Roman" w:hAnsi="Times New Roman" w:eastAsia="宋体" w:cs="Times New Roman"/>
                <w:color w:val="auto"/>
                <w:sz w:val="24"/>
                <w:szCs w:val="24"/>
                <w:highlight w:val="none"/>
                <w:lang w:val="en-US" w:eastAsia="zh-CN"/>
              </w:rPr>
              <w:t>成型系统的模具</w:t>
            </w:r>
            <w:r>
              <w:rPr>
                <w:rFonts w:hint="default" w:ascii="Times New Roman" w:hAnsi="Times New Roman" w:cs="Times New Roman"/>
                <w:color w:val="auto"/>
                <w:sz w:val="24"/>
                <w:szCs w:val="24"/>
                <w:highlight w:val="none"/>
                <w:lang w:val="en-US" w:eastAsia="zh-CN"/>
              </w:rPr>
              <w:t>中</w:t>
            </w:r>
            <w:r>
              <w:rPr>
                <w:rFonts w:hint="default" w:ascii="Times New Roman" w:hAnsi="Times New Roman" w:eastAsia="宋体" w:cs="Times New Roman"/>
                <w:color w:val="auto"/>
                <w:sz w:val="21"/>
                <w:szCs w:val="21"/>
                <w:highlight w:val="none"/>
                <w:lang w:val="en-US" w:eastAsia="zh-CN"/>
              </w:rPr>
              <w:t>。</w:t>
            </w:r>
          </w:p>
          <w:p w14:paraId="4650DF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⑤</w:t>
            </w:r>
            <w:r>
              <w:rPr>
                <w:rFonts w:hint="default" w:ascii="Times New Roman" w:hAnsi="Times New Roman" w:eastAsia="宋体" w:cs="Times New Roman"/>
                <w:color w:val="auto"/>
                <w:sz w:val="24"/>
                <w:szCs w:val="24"/>
                <w:highlight w:val="none"/>
                <w:lang w:val="en-US" w:eastAsia="zh-CN"/>
              </w:rPr>
              <w:t>固化</w:t>
            </w:r>
          </w:p>
          <w:p w14:paraId="679EE1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对上浆料后的板材</w:t>
            </w:r>
            <w:r>
              <w:rPr>
                <w:rFonts w:hint="default" w:ascii="Times New Roman" w:hAnsi="Times New Roman" w:cs="Times New Roman"/>
                <w:color w:val="auto"/>
                <w:sz w:val="24"/>
                <w:szCs w:val="24"/>
                <w:highlight w:val="none"/>
                <w:lang w:val="en-US" w:eastAsia="zh-CN"/>
              </w:rPr>
              <w:t>在成型系统中</w:t>
            </w:r>
            <w:r>
              <w:rPr>
                <w:rFonts w:hint="default" w:ascii="Times New Roman" w:hAnsi="Times New Roman" w:eastAsia="宋体" w:cs="Times New Roman"/>
                <w:color w:val="auto"/>
                <w:sz w:val="24"/>
                <w:szCs w:val="24"/>
                <w:highlight w:val="none"/>
                <w:lang w:val="en-US" w:eastAsia="zh-CN"/>
              </w:rPr>
              <w:t>固化成型（自然晾晒），固化周期为</w:t>
            </w:r>
            <w:r>
              <w:rPr>
                <w:rFonts w:hint="default" w:ascii="Times New Roman" w:hAnsi="Times New Roman" w:cs="Times New Roman"/>
                <w:color w:val="auto"/>
                <w:sz w:val="24"/>
                <w:szCs w:val="24"/>
                <w:highlight w:val="none"/>
                <w:lang w:val="en-US" w:eastAsia="zh-CN"/>
              </w:rPr>
              <w:t>0.5h</w:t>
            </w:r>
            <w:r>
              <w:rPr>
                <w:rFonts w:hint="default" w:ascii="Times New Roman" w:hAnsi="Times New Roman" w:eastAsia="宋体" w:cs="Times New Roman"/>
                <w:color w:val="auto"/>
                <w:sz w:val="24"/>
                <w:szCs w:val="24"/>
                <w:highlight w:val="none"/>
                <w:lang w:val="en-US" w:eastAsia="zh-CN"/>
              </w:rPr>
              <w:t>；固化后的成品</w:t>
            </w:r>
            <w:r>
              <w:rPr>
                <w:rFonts w:hint="default" w:ascii="Times New Roman" w:hAnsi="Times New Roman" w:cs="Times New Roman"/>
                <w:color w:val="auto"/>
                <w:sz w:val="24"/>
                <w:szCs w:val="24"/>
                <w:highlight w:val="none"/>
                <w:lang w:val="en-US" w:eastAsia="zh-CN"/>
              </w:rPr>
              <w:t>采用</w:t>
            </w:r>
            <w:r>
              <w:rPr>
                <w:rFonts w:hint="default" w:ascii="Times New Roman" w:hAnsi="Times New Roman" w:eastAsia="宋体" w:cs="Times New Roman"/>
                <w:color w:val="auto"/>
                <w:sz w:val="24"/>
                <w:szCs w:val="24"/>
                <w:highlight w:val="none"/>
                <w:lang w:val="en-US" w:eastAsia="zh-CN"/>
              </w:rPr>
              <w:t>全自动板材复合机</w:t>
            </w:r>
            <w:r>
              <w:rPr>
                <w:rFonts w:hint="default" w:ascii="Times New Roman" w:hAnsi="Times New Roman" w:cs="Times New Roman"/>
                <w:color w:val="auto"/>
                <w:sz w:val="24"/>
                <w:szCs w:val="24"/>
                <w:highlight w:val="none"/>
                <w:lang w:val="en-US" w:eastAsia="zh-CN"/>
              </w:rPr>
              <w:t>中的翻转机</w:t>
            </w:r>
            <w:r>
              <w:rPr>
                <w:rFonts w:hint="default" w:ascii="Times New Roman" w:hAnsi="Times New Roman" w:eastAsia="宋体" w:cs="Times New Roman"/>
                <w:color w:val="auto"/>
                <w:sz w:val="24"/>
                <w:szCs w:val="24"/>
                <w:highlight w:val="none"/>
                <w:lang w:val="en-US" w:eastAsia="zh-CN"/>
              </w:rPr>
              <w:t>从流水线上取下来，并对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p>
          <w:p w14:paraId="38D05E0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产污节点：该工序产生</w:t>
            </w:r>
            <w:r>
              <w:rPr>
                <w:rFonts w:hint="default" w:ascii="Times New Roman" w:hAnsi="Times New Roman" w:cs="Times New Roman"/>
                <w:color w:val="auto"/>
                <w:sz w:val="24"/>
                <w:szCs w:val="24"/>
                <w:highlight w:val="none"/>
                <w:lang w:val="en-US" w:eastAsia="zh-CN"/>
              </w:rPr>
              <w:t>模具冲洗</w:t>
            </w:r>
            <w:r>
              <w:rPr>
                <w:rFonts w:hint="default" w:ascii="Times New Roman" w:hAnsi="Times New Roman" w:eastAsia="宋体" w:cs="Times New Roman"/>
                <w:color w:val="auto"/>
                <w:sz w:val="24"/>
                <w:szCs w:val="24"/>
                <w:highlight w:val="none"/>
                <w:lang w:val="en-US" w:eastAsia="zh-CN"/>
              </w:rPr>
              <w:t>废水（W2），</w:t>
            </w:r>
            <w:r>
              <w:rPr>
                <w:rFonts w:hint="default" w:ascii="Times New Roman" w:hAnsi="Times New Roman" w:cs="Times New Roman"/>
                <w:b w:val="0"/>
                <w:bCs/>
                <w:color w:val="auto"/>
                <w:sz w:val="24"/>
                <w:szCs w:val="24"/>
                <w:highlight w:val="none"/>
                <w:lang w:eastAsia="zh-CN"/>
              </w:rPr>
              <w:t>经沉淀池沉淀后回用于模具冲洗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全自动板材复合机（复合机中的翻转机）产生的噪声（N7），</w:t>
            </w:r>
            <w:r>
              <w:rPr>
                <w:rFonts w:hint="default" w:ascii="Times New Roman" w:hAnsi="Times New Roman" w:eastAsia="宋体" w:cs="Times New Roman"/>
                <w:color w:val="auto"/>
                <w:sz w:val="24"/>
                <w:szCs w:val="24"/>
                <w:highlight w:val="none"/>
                <w:lang w:val="en-US" w:eastAsia="zh-CN"/>
              </w:rPr>
              <w:t>采取基础减振、厂房隔声等措施降噪。固体废物为沉淀池产生沉淀泥（S</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），收集后外售。</w:t>
            </w:r>
          </w:p>
          <w:p w14:paraId="0F0247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⑥</w:t>
            </w:r>
            <w:r>
              <w:rPr>
                <w:rFonts w:hint="default" w:ascii="Times New Roman" w:hAnsi="Times New Roman" w:eastAsia="宋体" w:cs="Times New Roman"/>
                <w:color w:val="auto"/>
                <w:sz w:val="24"/>
                <w:szCs w:val="24"/>
                <w:highlight w:val="none"/>
                <w:lang w:val="en-US" w:eastAsia="zh-CN"/>
              </w:rPr>
              <w:t>包装</w:t>
            </w:r>
            <w:r>
              <w:rPr>
                <w:rFonts w:hint="default" w:ascii="Times New Roman" w:hAnsi="Times New Roman" w:eastAsia="宋体" w:cs="Times New Roman"/>
                <w:color w:val="auto"/>
                <w:sz w:val="24"/>
                <w:szCs w:val="24"/>
                <w:highlight w:val="none"/>
                <w:lang w:val="zh-CN" w:eastAsia="zh-CN"/>
              </w:rPr>
              <w:t>、入库</w:t>
            </w:r>
          </w:p>
          <w:p w14:paraId="6061C3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板材固化成型后即为成品，包装入库代售。</w:t>
            </w:r>
          </w:p>
          <w:p w14:paraId="73E8E59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b/>
                <w:color w:val="auto"/>
                <w:sz w:val="24"/>
                <w:szCs w:val="24"/>
                <w:highlight w:val="none"/>
              </w:rPr>
              <w:pict>
                <v:shape id="_x0000_s2051" o:spid="_x0000_s2051" o:spt="75" type="#_x0000_t75" style="position:absolute;left:0pt;margin-left:-16.5pt;margin-top:19.8pt;height:141.75pt;width:406.4pt;z-index:251666432;mso-width-relative:page;mso-height-relative:page;" o:ole="t" filled="f" o:preferrelative="t" stroked="f" coordsize="21600,21600">
                  <v:path/>
                  <v:fill on="f" focussize="0,0"/>
                  <v:stroke on="f"/>
                  <v:imagedata r:id="rId13" cropleft="4377f" cropbottom="3291f" o:title=""/>
                  <o:lock v:ext="edit" aspectratio="t"/>
                </v:shape>
                <o:OLEObject Type="Embed" ProgID="Visio.Drawing.11" ShapeID="_x0000_s2051" DrawAspect="Content" ObjectID="_1468075727" r:id="rId12">
                  <o:LockedField>false</o:LockedField>
                </o:OLEObject>
              </w:pic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石膏</w:t>
            </w:r>
            <w:r>
              <w:rPr>
                <w:rFonts w:hint="default" w:ascii="Times New Roman" w:hAnsi="Times New Roman" w:eastAsia="宋体" w:cs="Times New Roman"/>
                <w:color w:val="auto"/>
                <w:sz w:val="24"/>
                <w:szCs w:val="24"/>
                <w:highlight w:val="none"/>
                <w:lang w:val="en-US" w:eastAsia="zh-CN"/>
              </w:rPr>
              <w:t>砂浆生产工艺：</w:t>
            </w:r>
          </w:p>
          <w:p w14:paraId="41AFBD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rPr>
            </w:pPr>
          </w:p>
          <w:p w14:paraId="62C96666">
            <w:pPr>
              <w:pStyle w:val="51"/>
              <w:jc w:val="center"/>
              <w:rPr>
                <w:rFonts w:hint="default" w:ascii="Times New Roman" w:hAnsi="Times New Roman" w:eastAsia="宋体" w:cs="Times New Roman"/>
                <w:color w:val="auto"/>
                <w:sz w:val="24"/>
                <w:szCs w:val="24"/>
                <w:highlight w:val="none"/>
              </w:rPr>
            </w:pPr>
          </w:p>
          <w:p w14:paraId="0FA083B3">
            <w:pPr>
              <w:pStyle w:val="51"/>
              <w:jc w:val="center"/>
              <w:rPr>
                <w:rFonts w:hint="default" w:ascii="Times New Roman" w:hAnsi="Times New Roman" w:eastAsia="宋体" w:cs="Times New Roman"/>
                <w:color w:val="auto"/>
                <w:sz w:val="24"/>
                <w:szCs w:val="24"/>
                <w:highlight w:val="none"/>
              </w:rPr>
            </w:pPr>
          </w:p>
          <w:p w14:paraId="5BD04573">
            <w:pPr>
              <w:pStyle w:val="51"/>
              <w:jc w:val="center"/>
              <w:rPr>
                <w:rFonts w:hint="default" w:ascii="Times New Roman" w:hAnsi="Times New Roman" w:eastAsia="宋体" w:cs="Times New Roman"/>
                <w:color w:val="auto"/>
                <w:sz w:val="24"/>
                <w:szCs w:val="24"/>
                <w:highlight w:val="none"/>
              </w:rPr>
            </w:pPr>
          </w:p>
          <w:p w14:paraId="54F0B5A1">
            <w:pPr>
              <w:pStyle w:val="51"/>
              <w:jc w:val="center"/>
              <w:rPr>
                <w:rFonts w:hint="default" w:ascii="Times New Roman" w:hAnsi="Times New Roman" w:eastAsia="宋体" w:cs="Times New Roman"/>
                <w:color w:val="auto"/>
                <w:sz w:val="24"/>
                <w:szCs w:val="24"/>
                <w:highlight w:val="none"/>
              </w:rPr>
            </w:pPr>
          </w:p>
          <w:p w14:paraId="6975923C">
            <w:pPr>
              <w:pStyle w:val="51"/>
              <w:jc w:val="center"/>
              <w:rPr>
                <w:rFonts w:hint="default" w:ascii="Times New Roman" w:hAnsi="Times New Roman" w:eastAsia="宋体" w:cs="Times New Roman"/>
                <w:color w:val="auto"/>
                <w:sz w:val="24"/>
                <w:szCs w:val="24"/>
                <w:highlight w:val="none"/>
              </w:rPr>
            </w:pPr>
          </w:p>
          <w:p w14:paraId="02FBFC73">
            <w:pPr>
              <w:pStyle w:val="51"/>
              <w:jc w:val="center"/>
              <w:rPr>
                <w:rFonts w:hint="default" w:ascii="Times New Roman" w:hAnsi="Times New Roman" w:eastAsia="宋体" w:cs="Times New Roman"/>
                <w:color w:val="auto"/>
                <w:sz w:val="24"/>
                <w:szCs w:val="24"/>
                <w:highlight w:val="none"/>
              </w:rPr>
            </w:pPr>
          </w:p>
          <w:p w14:paraId="16249154">
            <w:pPr>
              <w:pStyle w:val="51"/>
              <w:jc w:val="center"/>
              <w:rPr>
                <w:rFonts w:hint="default" w:ascii="Times New Roman" w:hAnsi="Times New Roman" w:eastAsia="宋体" w:cs="Times New Roman"/>
                <w:color w:val="auto"/>
                <w:sz w:val="24"/>
                <w:szCs w:val="24"/>
                <w:highlight w:val="none"/>
              </w:rPr>
            </w:pPr>
          </w:p>
          <w:p w14:paraId="04D38366">
            <w:pPr>
              <w:pStyle w:val="51"/>
              <w:jc w:val="center"/>
              <w:rPr>
                <w:rFonts w:hint="default" w:ascii="Times New Roman" w:hAnsi="Times New Roman" w:eastAsia="宋体" w:cs="Times New Roman"/>
                <w:color w:val="auto"/>
                <w:sz w:val="24"/>
                <w:szCs w:val="24"/>
                <w:highlight w:val="none"/>
              </w:rPr>
            </w:pPr>
          </w:p>
          <w:p w14:paraId="4FD6A166">
            <w:pPr>
              <w:pStyle w:val="51"/>
              <w:jc w:val="center"/>
              <w:rPr>
                <w:rFonts w:hint="default" w:ascii="Times New Roman" w:hAnsi="Times New Roman" w:eastAsia="宋体" w:cs="Times New Roman"/>
                <w:color w:val="auto"/>
                <w:sz w:val="24"/>
                <w:szCs w:val="24"/>
                <w:highlight w:val="none"/>
              </w:rPr>
            </w:pPr>
          </w:p>
          <w:p w14:paraId="069E293F">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2-3</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石膏</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5B76B79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58CC0AE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22D24B3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脱硫石膏、粉煤灰、玻化微珠、蛭石等物料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148EF317">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6</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），收集后回用于生产。</w:t>
            </w:r>
          </w:p>
          <w:p w14:paraId="7F2B6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69D1F0E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w:t>
            </w:r>
            <w:r>
              <w:rPr>
                <w:rFonts w:hint="default" w:ascii="Times New Roman" w:hAnsi="Times New Roman" w:eastAsia="宋体" w:cs="Times New Roman"/>
                <w:color w:val="auto"/>
                <w:kern w:val="2"/>
                <w:sz w:val="24"/>
                <w:szCs w:val="24"/>
                <w:highlight w:val="none"/>
                <w:lang w:val="en-US" w:eastAsia="zh-CN" w:bidi="ar-SA"/>
              </w:rPr>
              <w:t>仓内</w:t>
            </w:r>
            <w:r>
              <w:rPr>
                <w:rFonts w:hint="default" w:ascii="Times New Roman" w:hAnsi="Times New Roman" w:cs="Times New Roman"/>
                <w:color w:val="auto"/>
                <w:kern w:val="2"/>
                <w:sz w:val="24"/>
                <w:szCs w:val="24"/>
                <w:highlight w:val="none"/>
                <w:lang w:val="en-US" w:eastAsia="zh-CN" w:bidi="ar-SA"/>
              </w:rPr>
              <w:t>。缓凝剂采用人工称重计量的方式通过人工添加孔投入搅拌仓。</w:t>
            </w:r>
          </w:p>
          <w:p w14:paraId="7BCF455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（设备中的上料系统）</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），收集后回用于生产。</w:t>
            </w:r>
          </w:p>
          <w:p w14:paraId="0A4DFF4C">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4DE2D8E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700F2B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（设备中的搅拌仓）</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），收集后回用于生产。</w:t>
            </w:r>
          </w:p>
          <w:p w14:paraId="47ECE10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自动分装</w:t>
            </w:r>
            <w:r>
              <w:rPr>
                <w:rFonts w:hint="default" w:ascii="Times New Roman" w:hAnsi="Times New Roman" w:cs="Times New Roman"/>
                <w:color w:val="auto"/>
                <w:sz w:val="24"/>
                <w:szCs w:val="24"/>
                <w:highlight w:val="none"/>
                <w:lang w:val="en-US" w:eastAsia="zh-CN"/>
              </w:rPr>
              <w:t>、入库待售</w:t>
            </w:r>
          </w:p>
          <w:p w14:paraId="026184E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石膏砂浆搅拌设备底部连接包装机，搅拌好的物料经装袋后，入库待售</w:t>
            </w:r>
            <w:r>
              <w:rPr>
                <w:rFonts w:hint="default" w:ascii="Times New Roman" w:hAnsi="Times New Roman" w:eastAsia="宋体" w:cs="Times New Roman"/>
                <w:color w:val="auto"/>
                <w:kern w:val="2"/>
                <w:sz w:val="24"/>
                <w:szCs w:val="24"/>
                <w:highlight w:val="none"/>
                <w:lang w:val="en-US" w:eastAsia="zh-CN" w:bidi="ar-SA"/>
              </w:rPr>
              <w:t>。</w:t>
            </w:r>
          </w:p>
          <w:p w14:paraId="3055994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产污节点：废气污染源为石膏砂浆分装时产生的分装废气（G</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），经集气罩收集后经布袋除尘器处理，再经1根15m排气筒排放；噪声污染源为包装机产生的噪声（N</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），采取基础减振、厂房隔声等措施降噪。固体废物为除尘器收集的除尘灰（S1</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），收集后回用于生产，废包装袋（S1</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），收集后外售。</w:t>
            </w:r>
          </w:p>
          <w:p w14:paraId="2BD26C9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防火保温</w:t>
            </w:r>
            <w:r>
              <w:rPr>
                <w:rFonts w:hint="default" w:ascii="Times New Roman" w:hAnsi="Times New Roman" w:eastAsia="宋体" w:cs="Times New Roman"/>
                <w:color w:val="auto"/>
                <w:sz w:val="24"/>
                <w:szCs w:val="24"/>
                <w:highlight w:val="none"/>
                <w:lang w:val="en-US" w:eastAsia="zh-CN"/>
              </w:rPr>
              <w:t>砂浆生产工艺：</w:t>
            </w:r>
          </w:p>
          <w:p w14:paraId="094A957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防火保温砂浆原料为重钙、蛭石、玻化微珠</w:t>
            </w:r>
            <w:r>
              <w:rPr>
                <w:rFonts w:hint="default" w:ascii="Times New Roman" w:hAnsi="Times New Roman" w:cs="Times New Roman"/>
                <w:color w:val="auto"/>
                <w:sz w:val="24"/>
                <w:szCs w:val="24"/>
                <w:highlight w:val="none"/>
                <w:lang w:val="en-US" w:eastAsia="zh-CN"/>
              </w:rPr>
              <w:t>、脱硫石膏</w:t>
            </w:r>
            <w:r>
              <w:rPr>
                <w:rFonts w:hint="default" w:ascii="Times New Roman" w:hAnsi="Times New Roman" w:eastAsia="宋体" w:cs="Times New Roman"/>
                <w:color w:val="auto"/>
                <w:sz w:val="24"/>
                <w:szCs w:val="24"/>
                <w:highlight w:val="none"/>
                <w:lang w:val="en-US" w:eastAsia="zh-CN"/>
              </w:rPr>
              <w:t>。</w:t>
            </w:r>
          </w:p>
          <w:p w14:paraId="430B9870">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b/>
                <w:color w:val="auto"/>
                <w:sz w:val="24"/>
                <w:szCs w:val="24"/>
                <w:highlight w:val="none"/>
              </w:rPr>
              <w:pict>
                <v:shape id="_x0000_s2053" o:spid="_x0000_s2053" o:spt="75" type="#_x0000_t75" style="position:absolute;left:0pt;margin-left:-27.75pt;margin-top:3.9pt;height:141.75pt;width:406.4pt;z-index:251671552;mso-width-relative:page;mso-height-relative:page;" o:ole="t" filled="f" o:preferrelative="t" stroked="f" coordsize="21600,21600">
                  <v:path/>
                  <v:fill on="f" focussize="0,0"/>
                  <v:stroke on="f"/>
                  <v:imagedata r:id="rId15" cropleft="4377f" cropbottom="3291f" o:title=""/>
                  <o:lock v:ext="edit" aspectratio="t"/>
                </v:shape>
                <o:OLEObject Type="Embed" ProgID="Visio.Drawing.11" ShapeID="_x0000_s2053" DrawAspect="Content" ObjectID="_1468075728" r:id="rId14">
                  <o:LockedField>false</o:LockedField>
                </o:OLEObject>
              </w:pict>
            </w:r>
          </w:p>
          <w:p w14:paraId="0D09E1AA">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4213A2CB">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2CBFC71B">
            <w:pPr>
              <w:pStyle w:val="51"/>
              <w:jc w:val="center"/>
              <w:rPr>
                <w:rFonts w:hint="default" w:ascii="Times New Roman" w:hAnsi="Times New Roman" w:eastAsia="宋体" w:cs="Times New Roman"/>
                <w:color w:val="auto"/>
                <w:sz w:val="24"/>
                <w:szCs w:val="24"/>
                <w:highlight w:val="none"/>
              </w:rPr>
            </w:pPr>
          </w:p>
          <w:p w14:paraId="7518E16E">
            <w:pPr>
              <w:pStyle w:val="51"/>
              <w:jc w:val="center"/>
              <w:rPr>
                <w:rFonts w:hint="default" w:ascii="Times New Roman" w:hAnsi="Times New Roman" w:eastAsia="宋体" w:cs="Times New Roman"/>
                <w:color w:val="auto"/>
                <w:sz w:val="24"/>
                <w:szCs w:val="24"/>
                <w:highlight w:val="none"/>
              </w:rPr>
            </w:pPr>
          </w:p>
          <w:p w14:paraId="5C7870EC">
            <w:pPr>
              <w:pStyle w:val="51"/>
              <w:jc w:val="center"/>
              <w:rPr>
                <w:rFonts w:hint="default" w:ascii="Times New Roman" w:hAnsi="Times New Roman" w:eastAsia="宋体" w:cs="Times New Roman"/>
                <w:color w:val="auto"/>
                <w:sz w:val="24"/>
                <w:szCs w:val="24"/>
                <w:highlight w:val="none"/>
              </w:rPr>
            </w:pPr>
          </w:p>
          <w:p w14:paraId="0E4B6E09">
            <w:pPr>
              <w:pStyle w:val="51"/>
              <w:jc w:val="center"/>
              <w:rPr>
                <w:rFonts w:hint="default" w:ascii="Times New Roman" w:hAnsi="Times New Roman" w:eastAsia="宋体" w:cs="Times New Roman"/>
                <w:color w:val="auto"/>
                <w:sz w:val="24"/>
                <w:szCs w:val="24"/>
                <w:highlight w:val="none"/>
              </w:rPr>
            </w:pPr>
          </w:p>
          <w:p w14:paraId="0D8B2CF9">
            <w:pPr>
              <w:pStyle w:val="51"/>
              <w:jc w:val="center"/>
              <w:rPr>
                <w:rFonts w:hint="default" w:ascii="Times New Roman" w:hAnsi="Times New Roman" w:eastAsia="宋体" w:cs="Times New Roman"/>
                <w:color w:val="auto"/>
                <w:sz w:val="24"/>
                <w:szCs w:val="24"/>
                <w:highlight w:val="none"/>
              </w:rPr>
            </w:pPr>
          </w:p>
          <w:p w14:paraId="6D59099C">
            <w:pPr>
              <w:pStyle w:val="51"/>
              <w:jc w:val="center"/>
              <w:rPr>
                <w:rFonts w:hint="default" w:ascii="Times New Roman" w:hAnsi="Times New Roman" w:eastAsia="宋体" w:cs="Times New Roman"/>
                <w:color w:val="auto"/>
                <w:sz w:val="24"/>
                <w:szCs w:val="24"/>
                <w:highlight w:val="none"/>
              </w:rPr>
            </w:pPr>
          </w:p>
          <w:p w14:paraId="2E60B059">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防火保温</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7AE3CD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防火保温</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386E60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59CEBF6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脱硫石膏、重钙、玻化微珠、蛭石等物料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5A749E3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11</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w:t>
            </w:r>
            <w:r>
              <w:rPr>
                <w:rFonts w:hint="default" w:ascii="Times New Roman" w:hAnsi="Times New Roman" w:cs="Times New Roman"/>
                <w:b w:val="0"/>
                <w:bCs/>
                <w:color w:val="auto"/>
                <w:sz w:val="24"/>
                <w:szCs w:val="24"/>
                <w:highlight w:val="none"/>
                <w:lang w:val="en-US" w:eastAsia="zh-CN"/>
              </w:rPr>
              <w:t>4</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），收集后回用于生产。</w:t>
            </w:r>
          </w:p>
          <w:p w14:paraId="75A471C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05FE7A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至砂浆成套生产设备的搅拌仓</w:t>
            </w:r>
            <w:r>
              <w:rPr>
                <w:rFonts w:hint="default" w:ascii="Times New Roman" w:hAnsi="Times New Roman" w:eastAsia="宋体" w:cs="Times New Roman"/>
                <w:color w:val="auto"/>
                <w:kern w:val="2"/>
                <w:sz w:val="24"/>
                <w:szCs w:val="24"/>
                <w:highlight w:val="none"/>
                <w:lang w:val="en-US" w:eastAsia="zh-CN" w:bidi="ar-SA"/>
              </w:rPr>
              <w:t>内。</w:t>
            </w:r>
            <w:r>
              <w:rPr>
                <w:rFonts w:hint="default" w:ascii="Times New Roman" w:hAnsi="Times New Roman" w:eastAsia="宋体" w:cs="Times New Roman"/>
                <w:color w:val="auto"/>
                <w:sz w:val="24"/>
                <w:szCs w:val="24"/>
                <w:highlight w:val="none"/>
                <w:lang w:val="en-US" w:eastAsia="zh-CN"/>
              </w:rPr>
              <w:t>水由水泵泵入搅拌仓。</w:t>
            </w:r>
          </w:p>
          <w:p w14:paraId="72082EA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13），集气管道收集后和其他生产废气一同引至布袋除尘器处理，再经1根15m排气筒排放；噪声污染源为砂浆成套生产设备产生的噪声（N15），采取基础减振、厂房隔声等措施降噪。固体废物为除尘器收集的除尘灰（S15），收集后回用于生产。</w:t>
            </w:r>
          </w:p>
          <w:p w14:paraId="27E83D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786366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D43823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14），集气管道收集后和其他生产废气一同引至布袋除尘器处理，再经1根15m排气筒排放；噪声污染源为砂浆成套生产设备产生的噪声（N16），采取基础减振、厂房隔声等措施降噪。固体废物为除尘器收集的除尘灰（S16），收集后回用于生产。</w:t>
            </w:r>
          </w:p>
          <w:p w14:paraId="7102F3C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入库待售</w:t>
            </w:r>
          </w:p>
          <w:p w14:paraId="669B85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搅拌后的成品进行</w:t>
            </w:r>
            <w:r>
              <w:rPr>
                <w:rFonts w:hint="eastAsia" w:cs="Times New Roman"/>
                <w:color w:val="auto"/>
                <w:sz w:val="24"/>
                <w:szCs w:val="24"/>
                <w:highlight w:val="none"/>
                <w:lang w:val="en-US" w:eastAsia="zh-CN"/>
              </w:rPr>
              <w:t>人工</w:t>
            </w:r>
            <w:r>
              <w:rPr>
                <w:rFonts w:hint="default" w:ascii="Times New Roman" w:hAnsi="Times New Roman" w:eastAsia="宋体" w:cs="Times New Roman"/>
                <w:color w:val="auto"/>
                <w:sz w:val="24"/>
                <w:szCs w:val="24"/>
                <w:highlight w:val="none"/>
                <w:lang w:val="en-US" w:eastAsia="zh-CN"/>
              </w:rPr>
              <w:t>包装，入库待售。</w:t>
            </w:r>
          </w:p>
          <w:p w14:paraId="051A7CE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）其他产污节点</w:t>
            </w:r>
          </w:p>
          <w:p w14:paraId="1019CF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布袋除尘器定期更换布袋产生的废布袋（</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zh-CN" w:eastAsia="zh-CN"/>
              </w:rPr>
              <w:t>），收集后外售。职工生活产生的生活垃圾（</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zh-CN" w:eastAsia="zh-CN"/>
              </w:rPr>
              <w:t>），收集后送环卫部门处理。职工生活产生的生活污水（</w:t>
            </w:r>
            <w:r>
              <w:rPr>
                <w:rFonts w:hint="default" w:ascii="Times New Roman" w:hAnsi="Times New Roman" w:eastAsia="宋体" w:cs="Times New Roman"/>
                <w:color w:val="auto"/>
                <w:sz w:val="24"/>
                <w:szCs w:val="24"/>
                <w:highlight w:val="none"/>
                <w:lang w:val="en-US" w:eastAsia="zh-CN"/>
              </w:rPr>
              <w:t>W5</w:t>
            </w:r>
            <w:r>
              <w:rPr>
                <w:rFonts w:hint="default" w:ascii="Times New Roman" w:hAnsi="Times New Roman" w:eastAsia="宋体" w:cs="Times New Roman"/>
                <w:color w:val="auto"/>
                <w:sz w:val="24"/>
                <w:szCs w:val="24"/>
                <w:highlight w:val="none"/>
                <w:lang w:val="zh-CN" w:eastAsia="zh-CN"/>
              </w:rPr>
              <w:t>），厂区</w:t>
            </w:r>
            <w:r>
              <w:rPr>
                <w:rFonts w:hint="default" w:ascii="Times New Roman" w:hAnsi="Times New Roman" w:eastAsia="宋体" w:cs="Times New Roman"/>
                <w:color w:val="auto"/>
                <w:sz w:val="24"/>
                <w:szCs w:val="24"/>
                <w:highlight w:val="none"/>
                <w:lang w:val="en-US" w:eastAsia="zh-CN"/>
              </w:rPr>
              <w:t>设置化粪池，定期清掏处理。</w:t>
            </w:r>
          </w:p>
          <w:p w14:paraId="3C2E32AB">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color w:val="auto"/>
                <w:sz w:val="24"/>
                <w:highlight w:val="none"/>
              </w:rPr>
              <mc:AlternateContent>
                <mc:Choice Requires="wpg">
                  <w:drawing>
                    <wp:anchor distT="0" distB="0" distL="114300" distR="114300" simplePos="0" relativeHeight="251661312" behindDoc="0" locked="0" layoutInCell="1" allowOverlap="1">
                      <wp:simplePos x="0" y="0"/>
                      <wp:positionH relativeFrom="column">
                        <wp:posOffset>66040</wp:posOffset>
                      </wp:positionH>
                      <wp:positionV relativeFrom="paragraph">
                        <wp:posOffset>-43412410</wp:posOffset>
                      </wp:positionV>
                      <wp:extent cx="4814570" cy="1193165"/>
                      <wp:effectExtent l="5080" t="0" r="0" b="6350"/>
                      <wp:wrapNone/>
                      <wp:docPr id="180" name="组合 180"/>
                      <wp:cNvGraphicFramePr/>
                      <a:graphic xmlns:a="http://schemas.openxmlformats.org/drawingml/2006/main">
                        <a:graphicData uri="http://schemas.microsoft.com/office/word/2010/wordprocessingGroup">
                          <wpg:wgp>
                            <wpg:cNvGrpSpPr/>
                            <wpg:grpSpPr>
                              <a:xfrm>
                                <a:off x="0" y="0"/>
                                <a:ext cx="4814570" cy="1193165"/>
                                <a:chOff x="2791" y="397825"/>
                                <a:chExt cx="7582" cy="1879"/>
                              </a:xfrm>
                            </wpg:grpSpPr>
                            <wps:wsp>
                              <wps:cNvPr id="30" name="文本框 125"/>
                              <wps:cNvSpPr txBox="1"/>
                              <wps:spPr>
                                <a:xfrm>
                                  <a:off x="2821" y="398250"/>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AF3EF2C">
                                    <w:pPr>
                                      <w:jc w:val="center"/>
                                      <w:rPr>
                                        <w:rFonts w:hint="eastAsia" w:eastAsia="宋体"/>
                                        <w:lang w:val="en-US" w:eastAsia="zh-CN"/>
                                      </w:rPr>
                                    </w:pPr>
                                    <w:r>
                                      <w:rPr>
                                        <w:rFonts w:hint="eastAsia"/>
                                        <w:lang w:val="en-US" w:eastAsia="zh-CN"/>
                                      </w:rPr>
                                      <w:t>原材料</w:t>
                                    </w:r>
                                  </w:p>
                                </w:txbxContent>
                              </wps:txbx>
                              <wps:bodyPr lIns="0" tIns="45720" rIns="0" bIns="45720" upright="1"/>
                            </wps:wsp>
                            <wps:wsp>
                              <wps:cNvPr id="31" name="文本框 127"/>
                              <wps:cNvSpPr txBox="1"/>
                              <wps:spPr>
                                <a:xfrm>
                                  <a:off x="4317" y="398262"/>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54EA437">
                                    <w:pPr>
                                      <w:jc w:val="center"/>
                                      <w:rPr>
                                        <w:rFonts w:hint="default" w:eastAsia="宋体"/>
                                        <w:lang w:val="en-US" w:eastAsia="zh-CN"/>
                                      </w:rPr>
                                    </w:pPr>
                                    <w:r>
                                      <w:rPr>
                                        <w:rFonts w:hint="eastAsia"/>
                                        <w:lang w:val="en-US" w:eastAsia="zh-CN"/>
                                      </w:rPr>
                                      <w:t>锤破</w:t>
                                    </w:r>
                                  </w:p>
                                </w:txbxContent>
                              </wps:txbx>
                              <wps:bodyPr lIns="0" tIns="45720" rIns="0" bIns="45720" upright="1"/>
                            </wps:wsp>
                            <wps:wsp>
                              <wps:cNvPr id="32" name="文本框 128"/>
                              <wps:cNvSpPr txBox="1"/>
                              <wps:spPr>
                                <a:xfrm>
                                  <a:off x="5815" y="398291"/>
                                  <a:ext cx="1040"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690AC0C5">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33" name="文本框 129"/>
                              <wps:cNvSpPr txBox="1"/>
                              <wps:spPr>
                                <a:xfrm>
                                  <a:off x="9106" y="3982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B96B011">
                                    <w:pPr>
                                      <w:jc w:val="center"/>
                                      <w:rPr>
                                        <w:rFonts w:hint="default" w:eastAsia="宋体"/>
                                        <w:lang w:val="en-US" w:eastAsia="zh-CN"/>
                                      </w:rPr>
                                    </w:pPr>
                                    <w:r>
                                      <w:rPr>
                                        <w:rFonts w:hint="eastAsia"/>
                                        <w:lang w:val="en-US" w:eastAsia="zh-CN"/>
                                      </w:rPr>
                                      <w:t>雷蒙磨</w:t>
                                    </w:r>
                                  </w:p>
                                </w:txbxContent>
                              </wps:txbx>
                              <wps:bodyPr lIns="0" tIns="45720" rIns="0" bIns="45720" upright="1"/>
                            </wps:wsp>
                            <wps:wsp>
                              <wps:cNvPr id="35" name="文本框 130"/>
                              <wps:cNvSpPr txBox="1"/>
                              <wps:spPr>
                                <a:xfrm>
                                  <a:off x="4241" y="397830"/>
                                  <a:ext cx="1077" cy="409"/>
                                </a:xfrm>
                                <a:prstGeom prst="rect">
                                  <a:avLst/>
                                </a:prstGeom>
                                <a:noFill/>
                                <a:ln w="6350">
                                  <a:noFill/>
                                </a:ln>
                              </wps:spPr>
                              <wps:txbx>
                                <w:txbxContent>
                                  <w:p w14:paraId="46F8E246">
                                    <w:pPr>
                                      <w:jc w:val="center"/>
                                      <w:rPr>
                                        <w:rFonts w:hint="default" w:eastAsia="宋体"/>
                                        <w:lang w:val="en-US" w:eastAsia="zh-CN"/>
                                      </w:rPr>
                                    </w:pPr>
                                    <w:r>
                                      <w:rPr>
                                        <w:rFonts w:hint="eastAsia"/>
                                        <w:lang w:val="en-US" w:eastAsia="zh-CN"/>
                                      </w:rPr>
                                      <w:t>G、N</w:t>
                                    </w:r>
                                  </w:p>
                                </w:txbxContent>
                              </wps:txbx>
                              <wps:bodyPr lIns="0" tIns="45720" rIns="0" bIns="45720" upright="1"/>
                            </wps:wsp>
                            <wps:wsp>
                              <wps:cNvPr id="36" name="文本框 131"/>
                              <wps:cNvSpPr txBox="1"/>
                              <wps:spPr>
                                <a:xfrm>
                                  <a:off x="5606" y="397825"/>
                                  <a:ext cx="1422" cy="409"/>
                                </a:xfrm>
                                <a:prstGeom prst="rect">
                                  <a:avLst/>
                                </a:prstGeom>
                                <a:noFill/>
                                <a:ln w="6350">
                                  <a:noFill/>
                                </a:ln>
                              </wps:spPr>
                              <wps:txbx>
                                <w:txbxContent>
                                  <w:p w14:paraId="2FF5BCE0">
                                    <w:pPr>
                                      <w:jc w:val="center"/>
                                      <w:rPr>
                                        <w:rFonts w:hint="default" w:eastAsia="宋体"/>
                                        <w:lang w:val="en-US" w:eastAsia="zh-CN"/>
                                      </w:rPr>
                                    </w:pPr>
                                    <w:r>
                                      <w:rPr>
                                        <w:rFonts w:hint="eastAsia"/>
                                        <w:lang w:val="en-US" w:eastAsia="zh-CN"/>
                                      </w:rPr>
                                      <w:t>G、N</w:t>
                                    </w:r>
                                  </w:p>
                                </w:txbxContent>
                              </wps:txbx>
                              <wps:bodyPr lIns="0" tIns="45720" rIns="0" bIns="45720" upright="1"/>
                            </wps:wsp>
                            <wps:wsp>
                              <wps:cNvPr id="37" name="直接箭头连接符 132"/>
                              <wps:cNvCnPr/>
                              <wps:spPr>
                                <a:xfrm>
                                  <a:off x="527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8" name="直接箭头连接符 133"/>
                              <wps:cNvCnPr/>
                              <wps:spPr>
                                <a:xfrm>
                                  <a:off x="686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9" name="直接箭头连接符 135"/>
                              <wps:cNvCnPr/>
                              <wps:spPr>
                                <a:xfrm>
                                  <a:off x="8593"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40" name="文本框 136"/>
                              <wps:cNvSpPr txBox="1"/>
                              <wps:spPr>
                                <a:xfrm>
                                  <a:off x="9061" y="3991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07D572A">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41" name="直接箭头连接符 137"/>
                              <wps:cNvCnPr/>
                              <wps:spPr>
                                <a:xfrm flipH="1">
                                  <a:off x="9698" y="398696"/>
                                  <a:ext cx="0" cy="494"/>
                                </a:xfrm>
                                <a:prstGeom prst="straightConnector1">
                                  <a:avLst/>
                                </a:prstGeom>
                                <a:ln w="9525" cap="flat" cmpd="sng">
                                  <a:solidFill>
                                    <a:srgbClr val="000000"/>
                                  </a:solidFill>
                                  <a:prstDash val="solid"/>
                                  <a:round/>
                                  <a:headEnd type="none" w="med" len="med"/>
                                  <a:tailEnd type="triangle" w="med" len="med"/>
                                </a:ln>
                              </wps:spPr>
                              <wps:bodyPr/>
                            </wps:wsp>
                            <wps:wsp>
                              <wps:cNvPr id="42" name="文本框 138"/>
                              <wps:cNvSpPr txBox="1"/>
                              <wps:spPr>
                                <a:xfrm>
                                  <a:off x="6046" y="39929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7290C39">
                                    <w:pPr>
                                      <w:jc w:val="center"/>
                                      <w:rPr>
                                        <w:rFonts w:hint="default" w:eastAsia="宋体"/>
                                        <w:lang w:val="en-US" w:eastAsia="zh-CN"/>
                                      </w:rPr>
                                    </w:pPr>
                                    <w:r>
                                      <w:rPr>
                                        <w:rFonts w:hint="eastAsia"/>
                                        <w:lang w:val="en-US" w:eastAsia="zh-CN"/>
                                      </w:rPr>
                                      <w:t>提升机</w:t>
                                    </w:r>
                                  </w:p>
                                </w:txbxContent>
                              </wps:txbx>
                              <wps:bodyPr lIns="0" tIns="45720" rIns="0" bIns="45720" upright="1"/>
                            </wps:wsp>
                            <wps:wsp>
                              <wps:cNvPr id="43" name="直接箭头连接符 139"/>
                              <wps:cNvCnPr/>
                              <wps:spPr>
                                <a:xfrm flipH="1" flipV="1">
                                  <a:off x="5476" y="399505"/>
                                  <a:ext cx="567" cy="1"/>
                                </a:xfrm>
                                <a:prstGeom prst="straightConnector1">
                                  <a:avLst/>
                                </a:prstGeom>
                                <a:ln w="9525" cap="flat" cmpd="sng">
                                  <a:solidFill>
                                    <a:srgbClr val="000000"/>
                                  </a:solidFill>
                                  <a:prstDash val="solid"/>
                                  <a:round/>
                                  <a:headEnd type="none" w="med" len="med"/>
                                  <a:tailEnd type="triangle" w="med" len="med"/>
                                </a:ln>
                              </wps:spPr>
                              <wps:bodyPr/>
                            </wps:wsp>
                            <wps:wsp>
                              <wps:cNvPr id="44" name="文本框 140"/>
                              <wps:cNvSpPr txBox="1"/>
                              <wps:spPr>
                                <a:xfrm>
                                  <a:off x="4291" y="39926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364BFEB">
                                    <w:pPr>
                                      <w:jc w:val="center"/>
                                      <w:rPr>
                                        <w:rFonts w:hint="default" w:eastAsia="宋体"/>
                                        <w:lang w:val="en-US" w:eastAsia="zh-CN"/>
                                      </w:rPr>
                                    </w:pPr>
                                    <w:r>
                                      <w:rPr>
                                        <w:rFonts w:hint="eastAsia" w:eastAsia="宋体"/>
                                        <w:lang w:val="en-US" w:eastAsia="zh-CN"/>
                                      </w:rPr>
                                      <w:t>成品仓</w:t>
                                    </w:r>
                                  </w:p>
                                </w:txbxContent>
                              </wps:txbx>
                              <wps:bodyPr lIns="0" tIns="45720" rIns="0" bIns="45720" upright="1"/>
                            </wps:wsp>
                            <wps:wsp>
                              <wps:cNvPr id="45" name="直接箭头连接符 141"/>
                              <wps:cNvCnPr/>
                              <wps:spPr>
                                <a:xfrm flipH="1">
                                  <a:off x="3766" y="399446"/>
                                  <a:ext cx="507" cy="14"/>
                                </a:xfrm>
                                <a:prstGeom prst="straightConnector1">
                                  <a:avLst/>
                                </a:prstGeom>
                                <a:ln w="9525" cap="flat" cmpd="sng">
                                  <a:solidFill>
                                    <a:srgbClr val="000000"/>
                                  </a:solidFill>
                                  <a:prstDash val="solid"/>
                                  <a:round/>
                                  <a:headEnd type="none" w="med" len="med"/>
                                  <a:tailEnd type="triangle" w="med" len="med"/>
                                </a:ln>
                              </wps:spPr>
                              <wps:bodyPr/>
                            </wps:wsp>
                            <wps:wsp>
                              <wps:cNvPr id="46" name="文本框 142"/>
                              <wps:cNvSpPr txBox="1"/>
                              <wps:spPr>
                                <a:xfrm>
                                  <a:off x="2791" y="399195"/>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0598885">
                                    <w:pPr>
                                      <w:jc w:val="center"/>
                                      <w:rPr>
                                        <w:rFonts w:hint="default" w:eastAsia="宋体"/>
                                        <w:lang w:val="en-US" w:eastAsia="zh-CN"/>
                                      </w:rPr>
                                    </w:pPr>
                                    <w:r>
                                      <w:rPr>
                                        <w:rFonts w:hint="eastAsia"/>
                                        <w:lang w:val="en-US" w:eastAsia="zh-CN"/>
                                      </w:rPr>
                                      <w:t>外运</w:t>
                                    </w:r>
                                  </w:p>
                                </w:txbxContent>
                              </wps:txbx>
                              <wps:bodyPr lIns="0" tIns="45720" rIns="0" bIns="45720" upright="1"/>
                            </wps:wsp>
                            <wps:wsp>
                              <wps:cNvPr id="49" name="文本框 143"/>
                              <wps:cNvSpPr txBox="1"/>
                              <wps:spPr>
                                <a:xfrm>
                                  <a:off x="8891" y="397870"/>
                                  <a:ext cx="1422" cy="409"/>
                                </a:xfrm>
                                <a:prstGeom prst="rect">
                                  <a:avLst/>
                                </a:prstGeom>
                                <a:noFill/>
                                <a:ln w="6350">
                                  <a:noFill/>
                                </a:ln>
                              </wps:spPr>
                              <wps:txbx>
                                <w:txbxContent>
                                  <w:p w14:paraId="0E978C91">
                                    <w:pPr>
                                      <w:jc w:val="center"/>
                                      <w:rPr>
                                        <w:rFonts w:hint="default" w:eastAsia="宋体"/>
                                        <w:lang w:val="en-US" w:eastAsia="zh-CN"/>
                                      </w:rPr>
                                    </w:pPr>
                                    <w:r>
                                      <w:rPr>
                                        <w:rFonts w:hint="eastAsia"/>
                                        <w:lang w:val="en-US" w:eastAsia="zh-CN"/>
                                      </w:rPr>
                                      <w:t>G、N、S</w:t>
                                    </w:r>
                                  </w:p>
                                </w:txbxContent>
                              </wps:txbx>
                              <wps:bodyPr lIns="0" tIns="45720" rIns="0" bIns="45720" upright="1"/>
                            </wps:wsp>
                            <wps:wsp>
                              <wps:cNvPr id="51" name="文本框 144"/>
                              <wps:cNvSpPr txBox="1"/>
                              <wps:spPr>
                                <a:xfrm>
                                  <a:off x="8951" y="398800"/>
                                  <a:ext cx="1422" cy="409"/>
                                </a:xfrm>
                                <a:prstGeom prst="rect">
                                  <a:avLst/>
                                </a:prstGeom>
                                <a:noFill/>
                                <a:ln w="6350">
                                  <a:noFill/>
                                </a:ln>
                              </wps:spPr>
                              <wps:txbx>
                                <w:txbxContent>
                                  <w:p w14:paraId="0F228B8E">
                                    <w:pPr>
                                      <w:jc w:val="center"/>
                                      <w:rPr>
                                        <w:rFonts w:hint="default" w:eastAsia="宋体"/>
                                        <w:lang w:val="en-US" w:eastAsia="zh-CN"/>
                                      </w:rPr>
                                    </w:pPr>
                                    <w:r>
                                      <w:rPr>
                                        <w:rFonts w:hint="eastAsia"/>
                                        <w:lang w:val="en-US" w:eastAsia="zh-CN"/>
                                      </w:rPr>
                                      <w:t>G、N</w:t>
                                    </w:r>
                                  </w:p>
                                </w:txbxContent>
                              </wps:txbx>
                              <wps:bodyPr lIns="0" tIns="45720" rIns="0" bIns="45720" upright="1"/>
                            </wps:wsp>
                            <wps:wsp>
                              <wps:cNvPr id="52" name="文本框 145"/>
                              <wps:cNvSpPr txBox="1"/>
                              <wps:spPr>
                                <a:xfrm>
                                  <a:off x="5981" y="398875"/>
                                  <a:ext cx="1422" cy="409"/>
                                </a:xfrm>
                                <a:prstGeom prst="rect">
                                  <a:avLst/>
                                </a:prstGeom>
                                <a:noFill/>
                                <a:ln w="6350">
                                  <a:noFill/>
                                </a:ln>
                              </wps:spPr>
                              <wps:txbx>
                                <w:txbxContent>
                                  <w:p w14:paraId="4430B8B4">
                                    <w:pPr>
                                      <w:jc w:val="center"/>
                                      <w:rPr>
                                        <w:rFonts w:hint="default" w:eastAsia="宋体"/>
                                        <w:lang w:val="en-US" w:eastAsia="zh-CN"/>
                                      </w:rPr>
                                    </w:pPr>
                                    <w:r>
                                      <w:rPr>
                                        <w:rFonts w:hint="eastAsia"/>
                                        <w:lang w:val="en-US" w:eastAsia="zh-CN"/>
                                      </w:rPr>
                                      <w:t>G、N</w:t>
                                    </w:r>
                                  </w:p>
                                </w:txbxContent>
                              </wps:txbx>
                              <wps:bodyPr lIns="0" tIns="45720" rIns="0" bIns="45720" upright="1"/>
                            </wps:wsp>
                            <wps:wsp>
                              <wps:cNvPr id="59" name="文本框 146"/>
                              <wps:cNvSpPr txBox="1"/>
                              <wps:spPr>
                                <a:xfrm>
                                  <a:off x="4226" y="398830"/>
                                  <a:ext cx="1422" cy="409"/>
                                </a:xfrm>
                                <a:prstGeom prst="rect">
                                  <a:avLst/>
                                </a:prstGeom>
                                <a:noFill/>
                                <a:ln w="6350">
                                  <a:noFill/>
                                </a:ln>
                              </wps:spPr>
                              <wps:txbx>
                                <w:txbxContent>
                                  <w:p w14:paraId="2D37EA54">
                                    <w:pPr>
                                      <w:jc w:val="center"/>
                                      <w:rPr>
                                        <w:rFonts w:hint="default" w:eastAsia="宋体"/>
                                        <w:lang w:val="en-US" w:eastAsia="zh-CN"/>
                                      </w:rPr>
                                    </w:pPr>
                                    <w:r>
                                      <w:rPr>
                                        <w:rFonts w:hint="eastAsia"/>
                                        <w:lang w:val="en-US" w:eastAsia="zh-CN"/>
                                      </w:rPr>
                                      <w:t>G、N</w:t>
                                    </w:r>
                                  </w:p>
                                </w:txbxContent>
                              </wps:txbx>
                              <wps:bodyPr lIns="0" tIns="45720" rIns="0" bIns="45720" upright="1"/>
                            </wps:wsp>
                          </wpg:wgp>
                        </a:graphicData>
                      </a:graphic>
                    </wp:anchor>
                  </w:drawing>
                </mc:Choice>
                <mc:Fallback>
                  <w:pict>
                    <v:group id="_x0000_s1026" o:spid="_x0000_s1026" o:spt="203" style="position:absolute;left:0pt;margin-left:5.2pt;margin-top:-3418.3pt;height:93.95pt;width:379.1pt;z-index:251661312;mso-width-relative:page;mso-height-relative:page;" coordorigin="2791,397825" coordsize="7582,1879" o:gfxdata="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">
                      <o:lock v:ext="edit" aspectratio="f"/>
                      <v:shape id="文本框 125" o:spid="_x0000_s1026" o:spt="202" type="#_x0000_t202" style="position:absolute;left:2821;top:398250;height:409;width:972;" fillcolor="#FFFFFF" filled="t" stroked="t" coordsize="21600,21600" o:gfxdata="UEsDBAoAAAAAAIdO4kAAAAAAAAAAAAAAAAAEAAAAZHJzL1BLAwQUAAAACACHTuJAoPomZ7kAAADb&#10;AAAADwAAAGRycy9kb3ducmV2LnhtbEVPy4rCMBTdC/MP4Qqz01QH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6Jme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5AF3EF2C">
                              <w:pPr>
                                <w:jc w:val="center"/>
                                <w:rPr>
                                  <w:rFonts w:hint="eastAsia" w:eastAsia="宋体"/>
                                  <w:lang w:val="en-US" w:eastAsia="zh-CN"/>
                                </w:rPr>
                              </w:pPr>
                              <w:r>
                                <w:rPr>
                                  <w:rFonts w:hint="eastAsia"/>
                                  <w:lang w:val="en-US" w:eastAsia="zh-CN"/>
                                </w:rPr>
                                <w:t>原材料</w:t>
                              </w:r>
                            </w:p>
                          </w:txbxContent>
                        </v:textbox>
                      </v:shape>
                      <v:shape id="文本框 127" o:spid="_x0000_s1026" o:spt="202" type="#_x0000_t202" style="position:absolute;left:4317;top:398262;height:409;width:972;" fillcolor="#FFFFFF" filled="t" stroked="t" coordsize="21600,21600" o:gfxdata="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toP8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554EA437">
                              <w:pPr>
                                <w:jc w:val="center"/>
                                <w:rPr>
                                  <w:rFonts w:hint="default" w:eastAsia="宋体"/>
                                  <w:lang w:val="en-US" w:eastAsia="zh-CN"/>
                                </w:rPr>
                              </w:pPr>
                              <w:r>
                                <w:rPr>
                                  <w:rFonts w:hint="eastAsia"/>
                                  <w:lang w:val="en-US" w:eastAsia="zh-CN"/>
                                </w:rPr>
                                <w:t>锤破</w:t>
                              </w:r>
                            </w:p>
                          </w:txbxContent>
                        </v:textbox>
                      </v:shape>
                      <v:shape id="文本框 128" o:spid="_x0000_s1026" o:spt="202" type="#_x0000_t202" style="position:absolute;left:5815;top:398291;height:409;width:1040;" fillcolor="#FFFFFF" filled="t" stroked="t" coordsize="21600,21600" o:gfxdata="UEsDBAoAAAAAAIdO4kAAAAAAAAAAAAAAAAAEAAAAZHJzL1BLAwQUAAAACACHTuJAP2Qdi70AAADb&#10;AAAADwAAAGRycy9kb3ducmV2LnhtbEWPT2sCMRTE74V+h/AK3mrWL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B2L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690AC0C5">
                              <w:pPr>
                                <w:jc w:val="center"/>
                                <w:rPr>
                                  <w:rFonts w:hint="default" w:eastAsia="宋体"/>
                                  <w:lang w:val="en-US" w:eastAsia="zh-CN"/>
                                </w:rPr>
                              </w:pPr>
                              <w:r>
                                <w:rPr>
                                  <w:rFonts w:hint="eastAsia"/>
                                  <w:lang w:val="en-US" w:eastAsia="zh-CN"/>
                                </w:rPr>
                                <w:t>加料仓</w:t>
                              </w:r>
                            </w:p>
                          </w:txbxContent>
                        </v:textbox>
                      </v:shape>
                      <v:shape id="文本框 129" o:spid="_x0000_s1026" o:spt="202" type="#_x0000_t202" style="position:absolute;left:9106;top:398275;height:409;width:1182;" fillcolor="#FFFFFF" filled="t" stroked="t" coordsize="21600,21600" o:gfxdata="UEsDBAoAAAAAAIdO4kAAAAAAAAAAAAAAAAAEAAAAZHJzL1BLAwQUAAAACACHTuJAUCi4EL4AAADb&#10;AAAADwAAAGRycy9kb3ducmV2LnhtbEWPzWrDMBCE74W8g9hCb42cm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i4EL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4B96B011">
                              <w:pPr>
                                <w:jc w:val="center"/>
                                <w:rPr>
                                  <w:rFonts w:hint="default" w:eastAsia="宋体"/>
                                  <w:lang w:val="en-US" w:eastAsia="zh-CN"/>
                                </w:rPr>
                              </w:pPr>
                              <w:r>
                                <w:rPr>
                                  <w:rFonts w:hint="eastAsia"/>
                                  <w:lang w:val="en-US" w:eastAsia="zh-CN"/>
                                </w:rPr>
                                <w:t>雷蒙磨</w:t>
                              </w:r>
                            </w:p>
                          </w:txbxContent>
                        </v:textbox>
                      </v:shape>
                      <v:shape id="文本框 130" o:spid="_x0000_s1026" o:spt="202" type="#_x0000_t202" style="position:absolute;left:4241;top:397830;height:409;width:1077;" filled="f" stroked="f" coordsize="21600,21600" o:gfxdata="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Im+7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46F8E246">
                              <w:pPr>
                                <w:jc w:val="center"/>
                                <w:rPr>
                                  <w:rFonts w:hint="default" w:eastAsia="宋体"/>
                                  <w:lang w:val="en-US" w:eastAsia="zh-CN"/>
                                </w:rPr>
                              </w:pPr>
                              <w:r>
                                <w:rPr>
                                  <w:rFonts w:hint="eastAsia"/>
                                  <w:lang w:val="en-US" w:eastAsia="zh-CN"/>
                                </w:rPr>
                                <w:t>G、N</w:t>
                              </w:r>
                            </w:p>
                          </w:txbxContent>
                        </v:textbox>
                      </v:shape>
                      <v:shape id="文本框 131" o:spid="_x0000_s1026" o:spt="202" type="#_x0000_t202" style="position:absolute;left:5606;top:397825;height:409;width:1422;" filled="f" stroked="f" coordsize="21600,21600" o:gfxdata="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ILiM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FF5BCE0">
                              <w:pPr>
                                <w:jc w:val="center"/>
                                <w:rPr>
                                  <w:rFonts w:hint="default" w:eastAsia="宋体"/>
                                  <w:lang w:val="en-US" w:eastAsia="zh-CN"/>
                                </w:rPr>
                              </w:pPr>
                              <w:r>
                                <w:rPr>
                                  <w:rFonts w:hint="eastAsia"/>
                                  <w:lang w:val="en-US" w:eastAsia="zh-CN"/>
                                </w:rPr>
                                <w:t>G、N</w:t>
                              </w:r>
                            </w:p>
                          </w:txbxContent>
                        </v:textbox>
                      </v:shape>
                      <v:shape id="直接箭头连接符 132" o:spid="_x0000_s1026" o:spt="32" type="#_x0000_t32" style="position:absolute;left:5278;top:398486;height:6;width:534;" filled="f" stroked="t" coordsize="21600,21600" o:gfxdata="UEsDBAoAAAAAAIdO4kAAAAAAAAAAAAAAAAAEAAAAZHJzL1BLAwQUAAAACACHTuJA29At7r4AAADb&#10;AAAADwAAAGRycy9kb3ducmV2LnhtbEWPW2sCMRSE3wv9D+EU+qZZLax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At7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33" o:spid="_x0000_s1026" o:spt="32" type="#_x0000_t32" style="position:absolute;left:6868;top:398486;height:6;width:534;" filled="f" stroked="t" coordsize="21600,21600" o:gfxdata="UEsDBAoAAAAAAIdO4kAAAAAAAAAAAAAAAAAEAAAAZHJzL1BLAwQUAAAACACHTuJAqk+5nLsAAADb&#10;AAAADwAAAGRycy9kb3ducmV2LnhtbEVPW2vCMBR+H+w/hDPY20zro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k+5n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直接箭头连接符 135" o:spid="_x0000_s1026" o:spt="32" type="#_x0000_t32" style="position:absolute;left:8593;top:398486;height:6;width:534;" filled="f" stroked="t" coordsize="21600,21600" o:gfxdata="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McB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36" o:spid="_x0000_s1026" o:spt="202" type="#_x0000_t202" style="position:absolute;left:9061;top:399175;height:409;width:1182;" fillcolor="#FFFFFF" filled="t" stroked="t" coordsize="21600,21600" o:gfxdata="UEsDBAoAAAAAAIdO4kAAAAAAAAAAAAAAAAAEAAAAZHJzL1BLAwQUAAAACACHTuJA+PxVGrkAAADb&#10;AAAADwAAAGRycy9kb3ducmV2LnhtbEVPy4rCMBTdC/MP4Qqz01QZ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j8VRq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207D572A">
                              <w:pPr>
                                <w:jc w:val="center"/>
                                <w:rPr>
                                  <w:rFonts w:hint="default" w:eastAsia="宋体"/>
                                  <w:lang w:val="en-US" w:eastAsia="zh-CN"/>
                                </w:rPr>
                              </w:pPr>
                              <w:r>
                                <w:rPr>
                                  <w:rFonts w:hint="eastAsia"/>
                                  <w:lang w:val="en-US" w:eastAsia="zh-CN"/>
                                </w:rPr>
                                <w:t>加料仓</w:t>
                              </w:r>
                            </w:p>
                          </w:txbxContent>
                        </v:textbox>
                      </v:shape>
                      <v:shape id="直接箭头连接符 137" o:spid="_x0000_s1026" o:spt="32" type="#_x0000_t32" style="position:absolute;left:9698;top:398696;flip:x;height:494;width:0;" filled="f" stroked="t" coordsize="21600,21600" o:gfxdata="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AjbS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38" o:spid="_x0000_s1026" o:spt="202" type="#_x0000_t202" style="position:absolute;left:6046;top:399295;height:409;width:1182;" fillcolor="#FFFFFF" filled="t" stroked="t" coordsize="21600,21600" o:gfxdata="UEsDBAoAAAAAAIdO4kAAAAAAAAAAAAAAAAAEAAAAZHJzL1BLAwQUAAAACACHTuJAZ2Ju9r0AAADb&#10;AAAADwAAAGRycy9kb3ducmV2LnhtbEWPT2sCMRTE74V+h/AK3mrWp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Ym72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17290C39">
                              <w:pPr>
                                <w:jc w:val="center"/>
                                <w:rPr>
                                  <w:rFonts w:hint="default" w:eastAsia="宋体"/>
                                  <w:lang w:val="en-US" w:eastAsia="zh-CN"/>
                                </w:rPr>
                              </w:pPr>
                              <w:r>
                                <w:rPr>
                                  <w:rFonts w:hint="eastAsia"/>
                                  <w:lang w:val="en-US" w:eastAsia="zh-CN"/>
                                </w:rPr>
                                <w:t>提升机</w:t>
                              </w:r>
                            </w:p>
                          </w:txbxContent>
                        </v:textbox>
                      </v:shape>
                      <v:shape id="直接箭头连接符 139" o:spid="_x0000_s1026" o:spt="32" type="#_x0000_t32" style="position:absolute;left:5476;top:399505;flip:x y;height:1;width:567;" filled="f" stroked="t" coordsize="21600,21600" o:gfxdata="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3ZR7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0" o:spid="_x0000_s1026" o:spt="202" type="#_x0000_t202" style="position:absolute;left:4291;top:399265;height:409;width:1182;" fillcolor="#FFFFFF" filled="t" stroked="t" coordsize="21600,21600" o:gfxdata="UEsDBAoAAAAAAIdO4kAAAAAAAAAAAAAAAAAEAAAAZHJzL1BLAwQUAAAACACHTuJAh8dTGb4AAADb&#10;AAAADwAAAGRycy9kb3ducmV2LnhtbEWPzWrDMBCE74W8g9hCb42c4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dTGb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2364BFEB">
                              <w:pPr>
                                <w:jc w:val="center"/>
                                <w:rPr>
                                  <w:rFonts w:hint="default" w:eastAsia="宋体"/>
                                  <w:lang w:val="en-US" w:eastAsia="zh-CN"/>
                                </w:rPr>
                              </w:pPr>
                              <w:r>
                                <w:rPr>
                                  <w:rFonts w:hint="eastAsia" w:eastAsia="宋体"/>
                                  <w:lang w:val="en-US" w:eastAsia="zh-CN"/>
                                </w:rPr>
                                <w:t>成品仓</w:t>
                              </w:r>
                            </w:p>
                          </w:txbxContent>
                        </v:textbox>
                      </v:shape>
                      <v:shape id="直接箭头连接符 141" o:spid="_x0000_s1026" o:spt="32" type="#_x0000_t32" style="position:absolute;left:3766;top:399446;flip:x;height:14;width:507;" filled="f" stroked="t" coordsize="21600,21600" o:gfxdata="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OTDR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2" o:spid="_x0000_s1026" o:spt="202" type="#_x0000_t202" style="position:absolute;left:2791;top:399195;height:409;width:972;" fillcolor="#FFFFFF" filled="t" stroked="t" coordsize="21600,21600" o:gfxdata="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aPW8AAAA&#10;2wAAAA8AAAAAAAAAAQAgAAAAIgAAAGRycy9kb3ducmV2LnhtbFBLAQIUABQAAAAIAIdO4kAzLwWe&#10;OwAAADkAAAAQAAAAAAAAAAEAIAAAAAsBAABkcnMvc2hhcGV4bWwueG1sUEsFBgAAAAAGAAYAWwEA&#10;ALUDAAAAAA==&#10;">
                        <v:fill on="t" focussize="0,0"/>
                        <v:stroke weight="0.5pt" color="#000000" joinstyle="round"/>
                        <v:imagedata o:title=""/>
                        <o:lock v:ext="edit" aspectratio="f"/>
                        <v:textbox inset="0mm,1.27mm,0mm,1.27mm">
                          <w:txbxContent>
                            <w:p w14:paraId="10598885">
                              <w:pPr>
                                <w:jc w:val="center"/>
                                <w:rPr>
                                  <w:rFonts w:hint="default" w:eastAsia="宋体"/>
                                  <w:lang w:val="en-US" w:eastAsia="zh-CN"/>
                                </w:rPr>
                              </w:pPr>
                              <w:r>
                                <w:rPr>
                                  <w:rFonts w:hint="eastAsia"/>
                                  <w:lang w:val="en-US" w:eastAsia="zh-CN"/>
                                </w:rPr>
                                <w:t>外运</w:t>
                              </w:r>
                            </w:p>
                          </w:txbxContent>
                        </v:textbox>
                      </v:shape>
                      <v:shape id="文本框 143" o:spid="_x0000_s1026" o:spt="202" type="#_x0000_t202" style="position:absolute;left:8891;top:397870;height:409;width:1422;" filled="f" stroked="f" coordsize="21600,21600" o:gfxdata="UEsDBAoAAAAAAIdO4kAAAAAAAAAAAAAAAAAEAAAAZHJzL1BLAwQUAAAACACHTuJAqLlfg70AAADb&#10;AAAADwAAAGRycy9kb3ducmV2LnhtbEWPzWrDMBCE74W8g9hCb43sUIr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uV+D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0E978C91">
                              <w:pPr>
                                <w:jc w:val="center"/>
                                <w:rPr>
                                  <w:rFonts w:hint="default" w:eastAsia="宋体"/>
                                  <w:lang w:val="en-US" w:eastAsia="zh-CN"/>
                                </w:rPr>
                              </w:pPr>
                              <w:r>
                                <w:rPr>
                                  <w:rFonts w:hint="eastAsia"/>
                                  <w:lang w:val="en-US" w:eastAsia="zh-CN"/>
                                </w:rPr>
                                <w:t>G、N、S</w:t>
                              </w:r>
                            </w:p>
                          </w:txbxContent>
                        </v:textbox>
                      </v:shape>
                      <v:shape id="文本框 144" o:spid="_x0000_s1026" o:spt="202" type="#_x0000_t202" style="position:absolute;left:8951;top:398800;height:409;width:1422;" filled="f" stroked="f" coordsize="21600,21600" o:gfxdata="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FWL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0F228B8E">
                              <w:pPr>
                                <w:jc w:val="center"/>
                                <w:rPr>
                                  <w:rFonts w:hint="default" w:eastAsia="宋体"/>
                                  <w:lang w:val="en-US" w:eastAsia="zh-CN"/>
                                </w:rPr>
                              </w:pPr>
                              <w:r>
                                <w:rPr>
                                  <w:rFonts w:hint="eastAsia"/>
                                  <w:lang w:val="en-US" w:eastAsia="zh-CN"/>
                                </w:rPr>
                                <w:t>G、N</w:t>
                              </w:r>
                            </w:p>
                          </w:txbxContent>
                        </v:textbox>
                      </v:shape>
                      <v:shape id="文本框 145" o:spid="_x0000_s1026" o:spt="202" type="#_x0000_t202" style="position:absolute;left:5981;top:398875;height:409;width:1422;" filled="f" stroked="f" coordsize="21600,21600" o:gfxdata="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xFsvugAAANsA&#10;AAAPAAAAAAAAAAEAIAAAACIAAABkcnMvZG93bnJldi54bWxQSwECFAAUAAAACACHTuJAMy8FnjsA&#10;AAA5AAAAEAAAAAAAAAABACAAAAAJAQAAZHJzL3NoYXBleG1sLnhtbFBLBQYAAAAABgAGAFsBAACz&#10;AwAAAAA=&#10;">
                        <v:fill on="f" focussize="0,0"/>
                        <v:stroke on="f" weight="0.5pt"/>
                        <v:imagedata o:title=""/>
                        <o:lock v:ext="edit" aspectratio="f"/>
                        <v:textbox inset="0mm,1.27mm,0mm,1.27mm">
                          <w:txbxContent>
                            <w:p w14:paraId="4430B8B4">
                              <w:pPr>
                                <w:jc w:val="center"/>
                                <w:rPr>
                                  <w:rFonts w:hint="default" w:eastAsia="宋体"/>
                                  <w:lang w:val="en-US" w:eastAsia="zh-CN"/>
                                </w:rPr>
                              </w:pPr>
                              <w:r>
                                <w:rPr>
                                  <w:rFonts w:hint="eastAsia"/>
                                  <w:lang w:val="en-US" w:eastAsia="zh-CN"/>
                                </w:rPr>
                                <w:t>G、N</w:t>
                              </w:r>
                            </w:p>
                          </w:txbxContent>
                        </v:textbox>
                      </v:shape>
                      <v:shape id="文本框 146" o:spid="_x0000_s1026" o:spt="202" type="#_x0000_t202" style="position:absolute;left:4226;top:398830;height:409;width:1422;" filled="f" stroked="f" coordsize="21600,21600" o:gfxdata="UEsDBAoAAAAAAIdO4kAAAAAAAAAAAAAAAAAEAAAAZHJzL1BLAwQUAAAACACHTuJALWDJXr0AAADb&#10;AAAADwAAAGRycy9kb3ducmV2LnhtbEWPzWrDMBCE74W8g9hCb43sQIv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YMle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D37EA54">
                              <w:pPr>
                                <w:jc w:val="center"/>
                                <w:rPr>
                                  <w:rFonts w:hint="default" w:eastAsia="宋体"/>
                                  <w:lang w:val="en-US" w:eastAsia="zh-CN"/>
                                </w:rPr>
                              </w:pPr>
                              <w:r>
                                <w:rPr>
                                  <w:rFonts w:hint="eastAsia"/>
                                  <w:lang w:val="en-US" w:eastAsia="zh-CN"/>
                                </w:rPr>
                                <w:t>G、N</w:t>
                              </w:r>
                            </w:p>
                          </w:txbxContent>
                        </v:textbox>
                      </v:shape>
                    </v:group>
                  </w:pict>
                </mc:Fallback>
              </mc:AlternateContent>
            </w:r>
            <w:r>
              <w:rPr>
                <w:rFonts w:hint="default" w:ascii="Times New Roman" w:hAnsi="Times New Roman" w:cs="Times New Roman"/>
                <w:b/>
                <w:color w:val="auto"/>
                <w:sz w:val="24"/>
                <w:szCs w:val="24"/>
                <w:highlight w:val="none"/>
              </w:rPr>
              <w:t>表</w:t>
            </w:r>
            <w:r>
              <w:rPr>
                <w:rFonts w:hint="default" w:ascii="Times New Roman" w:hAnsi="Times New Roman" w:cs="Times New Roman"/>
                <w:b/>
                <w:color w:val="auto"/>
                <w:sz w:val="24"/>
                <w:szCs w:val="24"/>
                <w:highlight w:val="none"/>
                <w:lang w:val="en-US" w:eastAsia="zh-CN"/>
              </w:rPr>
              <w:t>2-</w:t>
            </w:r>
            <w:r>
              <w:rPr>
                <w:rFonts w:hint="eastAsia" w:cs="Times New Roman"/>
                <w:b/>
                <w:color w:val="auto"/>
                <w:sz w:val="24"/>
                <w:szCs w:val="24"/>
                <w:highlight w:val="none"/>
                <w:lang w:val="en-US" w:eastAsia="zh-CN"/>
              </w:rPr>
              <w:t xml:space="preserve">6  </w:t>
            </w:r>
            <w:r>
              <w:rPr>
                <w:rFonts w:hint="default" w:ascii="Times New Roman" w:hAnsi="Times New Roman" w:cs="Times New Roman"/>
                <w:b/>
                <w:color w:val="auto"/>
                <w:sz w:val="24"/>
                <w:szCs w:val="24"/>
                <w:highlight w:val="none"/>
                <w:lang w:val="en-US" w:eastAsia="zh-CN"/>
              </w:rPr>
              <w:t xml:space="preserve"> 项目</w:t>
            </w:r>
            <w:r>
              <w:rPr>
                <w:rFonts w:hint="default" w:ascii="Times New Roman" w:hAnsi="Times New Roman" w:cs="Times New Roman"/>
                <w:b/>
                <w:color w:val="auto"/>
                <w:sz w:val="24"/>
                <w:szCs w:val="24"/>
                <w:highlight w:val="none"/>
              </w:rPr>
              <w:t>主要污染源及治理措施情况一览表</w:t>
            </w:r>
          </w:p>
          <w:tbl>
            <w:tblPr>
              <w:tblStyle w:val="40"/>
              <w:tblW w:w="49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27"/>
              <w:gridCol w:w="831"/>
              <w:gridCol w:w="1997"/>
              <w:gridCol w:w="1565"/>
              <w:gridCol w:w="1169"/>
              <w:gridCol w:w="696"/>
              <w:gridCol w:w="824"/>
            </w:tblGrid>
            <w:tr w14:paraId="4435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noWrap w:val="0"/>
                  <w:tcMar>
                    <w:left w:w="0" w:type="dxa"/>
                    <w:right w:w="0" w:type="dxa"/>
                  </w:tcMar>
                  <w:vAlign w:val="center"/>
                </w:tcPr>
                <w:p w14:paraId="62E4E66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类别</w:t>
                  </w:r>
                </w:p>
              </w:tc>
              <w:tc>
                <w:tcPr>
                  <w:tcW w:w="546" w:type="pct"/>
                  <w:noWrap w:val="0"/>
                  <w:tcMar>
                    <w:left w:w="0" w:type="dxa"/>
                    <w:right w:w="0" w:type="dxa"/>
                  </w:tcMar>
                  <w:vAlign w:val="center"/>
                </w:tcPr>
                <w:p w14:paraId="492909E8">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节点</w:t>
                  </w:r>
                </w:p>
              </w:tc>
              <w:tc>
                <w:tcPr>
                  <w:tcW w:w="1312" w:type="pct"/>
                  <w:noWrap w:val="0"/>
                  <w:tcMar>
                    <w:left w:w="0" w:type="dxa"/>
                    <w:right w:w="0" w:type="dxa"/>
                  </w:tcMar>
                  <w:vAlign w:val="center"/>
                </w:tcPr>
                <w:p w14:paraId="5CA959A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排污节点</w:t>
                  </w:r>
                </w:p>
              </w:tc>
              <w:tc>
                <w:tcPr>
                  <w:tcW w:w="1028" w:type="pct"/>
                  <w:noWrap w:val="0"/>
                  <w:tcMar>
                    <w:left w:w="0" w:type="dxa"/>
                    <w:right w:w="0" w:type="dxa"/>
                  </w:tcMar>
                  <w:vAlign w:val="center"/>
                </w:tcPr>
                <w:p w14:paraId="3BC3D98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主要污染物</w:t>
                  </w:r>
                </w:p>
              </w:tc>
              <w:tc>
                <w:tcPr>
                  <w:tcW w:w="768" w:type="pct"/>
                  <w:noWrap w:val="0"/>
                  <w:tcMar>
                    <w:left w:w="0" w:type="dxa"/>
                    <w:right w:w="0" w:type="dxa"/>
                  </w:tcMar>
                  <w:vAlign w:val="center"/>
                </w:tcPr>
                <w:p w14:paraId="63640179">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排放规律</w:t>
                  </w:r>
                </w:p>
              </w:tc>
              <w:tc>
                <w:tcPr>
                  <w:tcW w:w="998" w:type="pct"/>
                  <w:gridSpan w:val="2"/>
                  <w:noWrap w:val="0"/>
                  <w:tcMar>
                    <w:left w:w="0" w:type="dxa"/>
                    <w:right w:w="0" w:type="dxa"/>
                  </w:tcMar>
                  <w:vAlign w:val="center"/>
                </w:tcPr>
                <w:p w14:paraId="182D523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处理情况及去向</w:t>
                  </w:r>
                </w:p>
              </w:tc>
            </w:tr>
            <w:tr w14:paraId="3DE7E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40" w:hRule="atLeast"/>
                <w:jc w:val="center"/>
              </w:trPr>
              <w:tc>
                <w:tcPr>
                  <w:tcW w:w="346" w:type="pct"/>
                  <w:vMerge w:val="restart"/>
                  <w:noWrap w:val="0"/>
                  <w:tcMar>
                    <w:left w:w="0" w:type="dxa"/>
                    <w:right w:w="0" w:type="dxa"/>
                  </w:tcMar>
                  <w:vAlign w:val="center"/>
                </w:tcPr>
                <w:p w14:paraId="34D3E9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废气</w:t>
                  </w:r>
                </w:p>
              </w:tc>
              <w:tc>
                <w:tcPr>
                  <w:tcW w:w="546" w:type="pct"/>
                  <w:tcBorders>
                    <w:bottom w:val="single" w:color="auto" w:sz="4" w:space="0"/>
                  </w:tcBorders>
                  <w:shd w:val="clear" w:color="auto" w:fill="auto"/>
                  <w:noWrap w:val="0"/>
                  <w:tcMar>
                    <w:left w:w="0" w:type="dxa"/>
                    <w:right w:w="0" w:type="dxa"/>
                  </w:tcMar>
                  <w:vAlign w:val="center"/>
                </w:tcPr>
                <w:p w14:paraId="016B7E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6、</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11</w:t>
                  </w:r>
                </w:p>
              </w:tc>
              <w:tc>
                <w:tcPr>
                  <w:tcW w:w="1312" w:type="pct"/>
                  <w:shd w:val="clear" w:color="auto" w:fill="auto"/>
                  <w:noWrap w:val="0"/>
                  <w:tcMar>
                    <w:left w:w="0" w:type="dxa"/>
                    <w:right w:w="0" w:type="dxa"/>
                  </w:tcMar>
                  <w:vAlign w:val="center"/>
                </w:tcPr>
                <w:p w14:paraId="05D79DB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eastAsia="zh-CN"/>
                    </w:rPr>
                    <w:t>车</w:t>
                  </w:r>
                  <w:r>
                    <w:rPr>
                      <w:rFonts w:hint="default" w:ascii="Times New Roman" w:hAnsi="Times New Roman" w:eastAsia="宋体" w:cs="Times New Roman"/>
                      <w:color w:val="auto"/>
                      <w:kern w:val="0"/>
                      <w:sz w:val="21"/>
                      <w:szCs w:val="18"/>
                      <w:highlight w:val="none"/>
                      <w:lang w:val="en-US" w:eastAsia="zh-CN"/>
                    </w:rPr>
                    <w:t>辆运输扬尘</w:t>
                  </w:r>
                </w:p>
              </w:tc>
              <w:tc>
                <w:tcPr>
                  <w:tcW w:w="1028" w:type="pct"/>
                  <w:shd w:val="clear" w:color="auto" w:fill="auto"/>
                  <w:noWrap w:val="0"/>
                  <w:tcMar>
                    <w:left w:w="0" w:type="dxa"/>
                    <w:right w:w="0" w:type="dxa"/>
                  </w:tcMar>
                  <w:vAlign w:val="center"/>
                </w:tcPr>
                <w:p w14:paraId="1467A17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shd w:val="clear" w:color="auto" w:fill="auto"/>
                  <w:noWrap w:val="0"/>
                  <w:tcMar>
                    <w:left w:w="0" w:type="dxa"/>
                    <w:right w:w="0" w:type="dxa"/>
                  </w:tcMar>
                  <w:vAlign w:val="center"/>
                </w:tcPr>
                <w:p w14:paraId="15EE656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连续</w:t>
                  </w:r>
                </w:p>
              </w:tc>
              <w:tc>
                <w:tcPr>
                  <w:tcW w:w="998" w:type="pct"/>
                  <w:gridSpan w:val="2"/>
                  <w:shd w:val="clear" w:color="auto" w:fill="auto"/>
                  <w:noWrap w:val="0"/>
                  <w:tcMar>
                    <w:left w:w="0" w:type="dxa"/>
                    <w:right w:w="0" w:type="dxa"/>
                  </w:tcMar>
                  <w:vAlign w:val="center"/>
                </w:tcPr>
                <w:p w14:paraId="398054F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车辆加盖苫布、道路硬化、定期清扫、依托园区共用洗车装置冲洗</w:t>
                  </w:r>
                </w:p>
              </w:tc>
            </w:tr>
            <w:tr w14:paraId="3718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0" w:hRule="atLeast"/>
                <w:jc w:val="center"/>
              </w:trPr>
              <w:tc>
                <w:tcPr>
                  <w:tcW w:w="346" w:type="pct"/>
                  <w:vMerge w:val="continue"/>
                  <w:noWrap w:val="0"/>
                  <w:tcMar>
                    <w:left w:w="0" w:type="dxa"/>
                    <w:right w:w="0" w:type="dxa"/>
                  </w:tcMar>
                  <w:vAlign w:val="center"/>
                </w:tcPr>
                <w:p w14:paraId="62D3289B">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2185337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2、</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7、</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12</w:t>
                  </w:r>
                </w:p>
              </w:tc>
              <w:tc>
                <w:tcPr>
                  <w:tcW w:w="1312" w:type="pct"/>
                  <w:shd w:val="clear" w:color="auto" w:fill="auto"/>
                  <w:noWrap w:val="0"/>
                  <w:tcMar>
                    <w:left w:w="0" w:type="dxa"/>
                    <w:right w:w="0" w:type="dxa"/>
                  </w:tcMar>
                  <w:vAlign w:val="center"/>
                </w:tcPr>
                <w:p w14:paraId="2DE7F1D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储罐呼吸</w:t>
                  </w:r>
                </w:p>
              </w:tc>
              <w:tc>
                <w:tcPr>
                  <w:tcW w:w="1028" w:type="pct"/>
                  <w:vMerge w:val="restart"/>
                  <w:noWrap w:val="0"/>
                  <w:tcMar>
                    <w:left w:w="0" w:type="dxa"/>
                    <w:right w:w="0" w:type="dxa"/>
                  </w:tcMar>
                  <w:vAlign w:val="center"/>
                </w:tcPr>
                <w:p w14:paraId="649A1F4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noWrap w:val="0"/>
                  <w:tcMar>
                    <w:left w:w="0" w:type="dxa"/>
                    <w:right w:w="0" w:type="dxa"/>
                  </w:tcMar>
                  <w:vAlign w:val="center"/>
                </w:tcPr>
                <w:p w14:paraId="369584E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696FFA5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集气管道+罐顶除尘器</w:t>
                  </w:r>
                </w:p>
              </w:tc>
              <w:tc>
                <w:tcPr>
                  <w:tcW w:w="541" w:type="pct"/>
                  <w:vMerge w:val="restart"/>
                  <w:noWrap w:val="0"/>
                  <w:tcMar>
                    <w:left w:w="0" w:type="dxa"/>
                    <w:right w:w="0" w:type="dxa"/>
                  </w:tcMar>
                  <w:vAlign w:val="center"/>
                </w:tcPr>
                <w:p w14:paraId="3C84B518">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r>
                    <w:rPr>
                      <w:rFonts w:hint="default" w:ascii="Times New Roman" w:hAnsi="Times New Roman" w:eastAsia="宋体" w:cs="Times New Roman"/>
                      <w:color w:val="auto"/>
                      <w:kern w:val="0"/>
                      <w:sz w:val="21"/>
                      <w:szCs w:val="18"/>
                      <w:highlight w:val="none"/>
                    </w:rPr>
                    <w:t>+15m排气筒DA001</w:t>
                  </w:r>
                </w:p>
              </w:tc>
            </w:tr>
            <w:tr w14:paraId="204DD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4" w:hRule="atLeast"/>
                <w:jc w:val="center"/>
              </w:trPr>
              <w:tc>
                <w:tcPr>
                  <w:tcW w:w="346" w:type="pct"/>
                  <w:vMerge w:val="continue"/>
                  <w:noWrap w:val="0"/>
                  <w:tcMar>
                    <w:left w:w="0" w:type="dxa"/>
                    <w:right w:w="0" w:type="dxa"/>
                  </w:tcMar>
                  <w:vAlign w:val="center"/>
                </w:tcPr>
                <w:p w14:paraId="530E7DB7">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32DD104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8、</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13</w:t>
                  </w:r>
                </w:p>
              </w:tc>
              <w:tc>
                <w:tcPr>
                  <w:tcW w:w="1312" w:type="pct"/>
                  <w:shd w:val="clear" w:color="auto" w:fill="auto"/>
                  <w:noWrap w:val="0"/>
                  <w:tcMar>
                    <w:left w:w="0" w:type="dxa"/>
                    <w:right w:w="0" w:type="dxa"/>
                  </w:tcMar>
                  <w:vAlign w:val="center"/>
                </w:tcPr>
                <w:p w14:paraId="15879E0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上料</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28B6CDA3">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tcBorders>
                    <w:bottom w:val="single" w:color="auto" w:sz="4" w:space="0"/>
                  </w:tcBorders>
                  <w:noWrap w:val="0"/>
                  <w:tcMar>
                    <w:left w:w="0" w:type="dxa"/>
                    <w:right w:w="0" w:type="dxa"/>
                  </w:tcMar>
                  <w:vAlign w:val="center"/>
                </w:tcPr>
                <w:p w14:paraId="04FDAAA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restart"/>
                  <w:noWrap w:val="0"/>
                  <w:tcMar>
                    <w:left w:w="0" w:type="dxa"/>
                    <w:right w:w="0" w:type="dxa"/>
                  </w:tcMar>
                  <w:vAlign w:val="center"/>
                </w:tcPr>
                <w:p w14:paraId="47EF5E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集气</w:t>
                  </w:r>
                  <w:r>
                    <w:rPr>
                      <w:rFonts w:hint="default" w:ascii="Times New Roman" w:hAnsi="Times New Roman" w:cs="Times New Roman"/>
                      <w:color w:val="auto"/>
                      <w:kern w:val="0"/>
                      <w:sz w:val="21"/>
                      <w:szCs w:val="18"/>
                      <w:highlight w:val="none"/>
                      <w:lang w:val="en-US" w:eastAsia="zh-CN"/>
                    </w:rPr>
                    <w:t>管道</w:t>
                  </w:r>
                </w:p>
              </w:tc>
              <w:tc>
                <w:tcPr>
                  <w:tcW w:w="541" w:type="pct"/>
                  <w:vMerge w:val="continue"/>
                  <w:noWrap w:val="0"/>
                  <w:tcMar>
                    <w:left w:w="0" w:type="dxa"/>
                    <w:right w:w="0" w:type="dxa"/>
                  </w:tcMar>
                  <w:vAlign w:val="center"/>
                </w:tcPr>
                <w:p w14:paraId="6C7843B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5DE7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vMerge w:val="continue"/>
                  <w:noWrap w:val="0"/>
                  <w:tcMar>
                    <w:left w:w="0" w:type="dxa"/>
                    <w:right w:w="0" w:type="dxa"/>
                  </w:tcMar>
                  <w:vAlign w:val="center"/>
                </w:tcPr>
                <w:p w14:paraId="3513C20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66CB73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G4、</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9、</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14</w:t>
                  </w:r>
                </w:p>
              </w:tc>
              <w:tc>
                <w:tcPr>
                  <w:tcW w:w="1312" w:type="pct"/>
                  <w:shd w:val="clear" w:color="auto" w:fill="auto"/>
                  <w:noWrap w:val="0"/>
                  <w:tcMar>
                    <w:left w:w="0" w:type="dxa"/>
                    <w:right w:w="0" w:type="dxa"/>
                  </w:tcMar>
                  <w:vAlign w:val="center"/>
                </w:tcPr>
                <w:p w14:paraId="5D28FB1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搅拌</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021913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2CF88F9C">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continue"/>
                  <w:noWrap w:val="0"/>
                  <w:tcMar>
                    <w:left w:w="0" w:type="dxa"/>
                    <w:right w:w="0" w:type="dxa"/>
                  </w:tcMar>
                  <w:vAlign w:val="center"/>
                </w:tcPr>
                <w:p w14:paraId="4106164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1" w:type="pct"/>
                  <w:vMerge w:val="continue"/>
                  <w:noWrap w:val="0"/>
                  <w:tcMar>
                    <w:left w:w="0" w:type="dxa"/>
                    <w:right w:w="0" w:type="dxa"/>
                  </w:tcMar>
                  <w:vAlign w:val="center"/>
                </w:tcPr>
                <w:p w14:paraId="15DD93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6B6F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69" w:hRule="atLeast"/>
                <w:jc w:val="center"/>
              </w:trPr>
              <w:tc>
                <w:tcPr>
                  <w:tcW w:w="346" w:type="pct"/>
                  <w:vMerge w:val="continue"/>
                  <w:noWrap w:val="0"/>
                  <w:tcMar>
                    <w:left w:w="0" w:type="dxa"/>
                    <w:right w:w="0" w:type="dxa"/>
                  </w:tcMar>
                  <w:vAlign w:val="center"/>
                </w:tcPr>
                <w:p w14:paraId="5E9817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145CBA1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G10</w:t>
                  </w:r>
                </w:p>
              </w:tc>
              <w:tc>
                <w:tcPr>
                  <w:tcW w:w="1312" w:type="pct"/>
                  <w:shd w:val="clear" w:color="auto" w:fill="auto"/>
                  <w:noWrap w:val="0"/>
                  <w:tcMar>
                    <w:left w:w="0" w:type="dxa"/>
                    <w:right w:w="0" w:type="dxa"/>
                  </w:tcMar>
                  <w:vAlign w:val="center"/>
                </w:tcPr>
                <w:p w14:paraId="297C28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分装</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C3F7CA6">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784194FF">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18B23FF5">
                  <w:pPr>
                    <w:spacing w:line="300" w:lineRule="exact"/>
                    <w:ind w:firstLine="0" w:firstLineChars="0"/>
                    <w:jc w:val="center"/>
                    <w:rPr>
                      <w:rFonts w:hint="default" w:ascii="Times New Roman" w:hAnsi="Times New Roman" w:eastAsia="宋体" w:cs="Times New Roman"/>
                      <w:color w:val="auto"/>
                      <w:kern w:val="0"/>
                      <w:sz w:val="21"/>
                      <w:szCs w:val="18"/>
                      <w:highlight w:val="none"/>
                      <w:lang w:eastAsia="zh-CN"/>
                    </w:rPr>
                  </w:pPr>
                  <w:r>
                    <w:rPr>
                      <w:rFonts w:hint="default" w:ascii="Times New Roman" w:hAnsi="Times New Roman" w:cs="Times New Roman"/>
                      <w:color w:val="auto"/>
                      <w:kern w:val="0"/>
                      <w:sz w:val="21"/>
                      <w:szCs w:val="18"/>
                      <w:highlight w:val="none"/>
                      <w:lang w:eastAsia="zh-CN"/>
                    </w:rPr>
                    <w:t>集气罩</w:t>
                  </w:r>
                </w:p>
              </w:tc>
              <w:tc>
                <w:tcPr>
                  <w:tcW w:w="541" w:type="pct"/>
                  <w:vMerge w:val="continue"/>
                  <w:noWrap w:val="0"/>
                  <w:tcMar>
                    <w:left w:w="0" w:type="dxa"/>
                    <w:right w:w="0" w:type="dxa"/>
                  </w:tcMar>
                  <w:vAlign w:val="center"/>
                </w:tcPr>
                <w:p w14:paraId="67FE75F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0468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41" w:hRule="atLeast"/>
                <w:jc w:val="center"/>
              </w:trPr>
              <w:tc>
                <w:tcPr>
                  <w:tcW w:w="346" w:type="pct"/>
                  <w:vMerge w:val="continue"/>
                  <w:noWrap w:val="0"/>
                  <w:tcMar>
                    <w:left w:w="0" w:type="dxa"/>
                    <w:right w:w="0" w:type="dxa"/>
                  </w:tcMar>
                  <w:vAlign w:val="center"/>
                </w:tcPr>
                <w:p w14:paraId="7158EE4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09FC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22565A2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bidi="ar-SA"/>
                    </w:rPr>
                    <w:t>焊接废气</w:t>
                  </w:r>
                </w:p>
              </w:tc>
              <w:tc>
                <w:tcPr>
                  <w:tcW w:w="1028" w:type="pct"/>
                  <w:shd w:val="clear" w:color="auto" w:fill="auto"/>
                  <w:noWrap w:val="0"/>
                  <w:tcMar>
                    <w:left w:w="0" w:type="dxa"/>
                    <w:right w:w="0" w:type="dxa"/>
                  </w:tcMar>
                  <w:vAlign w:val="center"/>
                </w:tcPr>
                <w:p w14:paraId="7C6E92C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shd w:val="clear" w:color="auto" w:fill="auto"/>
                  <w:noWrap w:val="0"/>
                  <w:tcMar>
                    <w:left w:w="0" w:type="dxa"/>
                    <w:right w:w="0" w:type="dxa"/>
                  </w:tcMar>
                  <w:vAlign w:val="center"/>
                </w:tcPr>
                <w:p w14:paraId="7218DEE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eastAsia="zh-CN"/>
                    </w:rPr>
                    <w:t>连续</w:t>
                  </w:r>
                </w:p>
              </w:tc>
              <w:tc>
                <w:tcPr>
                  <w:tcW w:w="998" w:type="pct"/>
                  <w:gridSpan w:val="2"/>
                  <w:shd w:val="clear" w:color="auto" w:fill="auto"/>
                  <w:noWrap w:val="0"/>
                  <w:tcMar>
                    <w:left w:w="0" w:type="dxa"/>
                    <w:right w:w="0" w:type="dxa"/>
                  </w:tcMar>
                  <w:vAlign w:val="center"/>
                </w:tcPr>
                <w:p w14:paraId="1D045FC3">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eastAsia="zh-CN"/>
                    </w:rPr>
                    <w:t>移动式焊烟净化器</w:t>
                  </w:r>
                  <w:r>
                    <w:rPr>
                      <w:rFonts w:hint="default" w:ascii="Times New Roman" w:hAnsi="Times New Roman" w:cs="Times New Roman"/>
                      <w:color w:val="auto"/>
                      <w:kern w:val="0"/>
                      <w:sz w:val="21"/>
                      <w:szCs w:val="18"/>
                      <w:highlight w:val="none"/>
                      <w:lang w:val="en-US" w:eastAsia="zh-CN"/>
                    </w:rPr>
                    <w:t>+无组织排放</w:t>
                  </w:r>
                </w:p>
              </w:tc>
            </w:tr>
            <w:tr w14:paraId="44D2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restart"/>
                  <w:noWrap w:val="0"/>
                  <w:tcMar>
                    <w:left w:w="0" w:type="dxa"/>
                    <w:right w:w="0" w:type="dxa"/>
                  </w:tcMar>
                  <w:vAlign w:val="center"/>
                </w:tcPr>
                <w:p w14:paraId="5854560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废水</w:t>
                  </w:r>
                </w:p>
              </w:tc>
              <w:tc>
                <w:tcPr>
                  <w:tcW w:w="546" w:type="pct"/>
                  <w:noWrap w:val="0"/>
                  <w:tcMar>
                    <w:left w:w="0" w:type="dxa"/>
                    <w:right w:w="0" w:type="dxa"/>
                  </w:tcMar>
                  <w:vAlign w:val="center"/>
                </w:tcPr>
                <w:p w14:paraId="1AE7C58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W1、</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4</w:t>
                  </w:r>
                </w:p>
              </w:tc>
              <w:tc>
                <w:tcPr>
                  <w:tcW w:w="1312" w:type="pct"/>
                  <w:noWrap w:val="0"/>
                  <w:tcMar>
                    <w:left w:w="0" w:type="dxa"/>
                    <w:right w:w="0" w:type="dxa"/>
                  </w:tcMar>
                  <w:vAlign w:val="center"/>
                </w:tcPr>
                <w:p w14:paraId="27FD961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车辆冲洗废水</w:t>
                  </w:r>
                </w:p>
              </w:tc>
              <w:tc>
                <w:tcPr>
                  <w:tcW w:w="1028" w:type="pct"/>
                  <w:noWrap w:val="0"/>
                  <w:tcMar>
                    <w:left w:w="0" w:type="dxa"/>
                    <w:right w:w="0" w:type="dxa"/>
                  </w:tcMar>
                  <w:vAlign w:val="center"/>
                </w:tcPr>
                <w:p w14:paraId="58D2D0B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SS</w:t>
                  </w:r>
                </w:p>
              </w:tc>
              <w:tc>
                <w:tcPr>
                  <w:tcW w:w="768" w:type="pct"/>
                  <w:noWrap w:val="0"/>
                  <w:tcMar>
                    <w:left w:w="0" w:type="dxa"/>
                    <w:right w:w="0" w:type="dxa"/>
                  </w:tcMar>
                  <w:vAlign w:val="center"/>
                </w:tcPr>
                <w:p w14:paraId="2C7A34F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间断</w:t>
                  </w:r>
                </w:p>
              </w:tc>
              <w:tc>
                <w:tcPr>
                  <w:tcW w:w="998" w:type="pct"/>
                  <w:gridSpan w:val="2"/>
                  <w:noWrap w:val="0"/>
                  <w:tcMar>
                    <w:left w:w="0" w:type="dxa"/>
                    <w:right w:w="0" w:type="dxa"/>
                  </w:tcMar>
                  <w:vAlign w:val="center"/>
                </w:tcPr>
                <w:p w14:paraId="031A205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沉淀池沉淀后循环利用</w:t>
                  </w:r>
                </w:p>
              </w:tc>
            </w:tr>
            <w:tr w14:paraId="7D0DA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72A6951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7B42D2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W2</w:t>
                  </w:r>
                </w:p>
              </w:tc>
              <w:tc>
                <w:tcPr>
                  <w:tcW w:w="1312" w:type="pct"/>
                  <w:shd w:val="clear" w:color="auto" w:fill="auto"/>
                  <w:noWrap w:val="0"/>
                  <w:tcMar>
                    <w:left w:w="0" w:type="dxa"/>
                    <w:right w:w="0" w:type="dxa"/>
                  </w:tcMar>
                  <w:vAlign w:val="center"/>
                </w:tcPr>
                <w:p w14:paraId="53E8398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模具冲洗废水</w:t>
                  </w:r>
                </w:p>
              </w:tc>
              <w:tc>
                <w:tcPr>
                  <w:tcW w:w="1028" w:type="pct"/>
                  <w:shd w:val="clear" w:color="auto" w:fill="auto"/>
                  <w:noWrap w:val="0"/>
                  <w:tcMar>
                    <w:left w:w="0" w:type="dxa"/>
                    <w:right w:w="0" w:type="dxa"/>
                  </w:tcMar>
                  <w:vAlign w:val="center"/>
                </w:tcPr>
                <w:p w14:paraId="1F81A03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SS</w:t>
                  </w:r>
                </w:p>
              </w:tc>
              <w:tc>
                <w:tcPr>
                  <w:tcW w:w="768" w:type="pct"/>
                  <w:shd w:val="clear" w:color="auto" w:fill="auto"/>
                  <w:noWrap w:val="0"/>
                  <w:tcMar>
                    <w:left w:w="0" w:type="dxa"/>
                    <w:right w:w="0" w:type="dxa"/>
                  </w:tcMar>
                  <w:vAlign w:val="center"/>
                </w:tcPr>
                <w:p w14:paraId="0D7594D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间断</w:t>
                  </w:r>
                </w:p>
              </w:tc>
              <w:tc>
                <w:tcPr>
                  <w:tcW w:w="998" w:type="pct"/>
                  <w:gridSpan w:val="2"/>
                  <w:shd w:val="clear" w:color="auto" w:fill="auto"/>
                  <w:noWrap w:val="0"/>
                  <w:tcMar>
                    <w:left w:w="0" w:type="dxa"/>
                    <w:right w:w="0" w:type="dxa"/>
                  </w:tcMar>
                  <w:vAlign w:val="center"/>
                </w:tcPr>
                <w:p w14:paraId="77A10D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沉淀池沉淀后循环利用</w:t>
                  </w:r>
                </w:p>
              </w:tc>
            </w:tr>
            <w:tr w14:paraId="7EAA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1D1BBD3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554BEA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6DF42EC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生活污水</w:t>
                  </w:r>
                </w:p>
              </w:tc>
              <w:tc>
                <w:tcPr>
                  <w:tcW w:w="1028" w:type="pct"/>
                  <w:shd w:val="clear" w:color="auto" w:fill="auto"/>
                  <w:noWrap w:val="0"/>
                  <w:tcMar>
                    <w:left w:w="0" w:type="dxa"/>
                    <w:right w:w="0" w:type="dxa"/>
                  </w:tcMar>
                  <w:vAlign w:val="center"/>
                </w:tcPr>
                <w:p w14:paraId="37AE10E0">
                  <w:pPr>
                    <w:spacing w:line="300" w:lineRule="exact"/>
                    <w:ind w:firstLine="0" w:firstLineChars="0"/>
                    <w:jc w:val="center"/>
                    <w:rPr>
                      <w:rFonts w:hint="default" w:ascii="Times New Roman" w:hAnsi="Times New Roman" w:eastAsia="宋体" w:cs="Times New Roman"/>
                      <w:color w:val="auto"/>
                      <w:kern w:val="0"/>
                      <w:sz w:val="21"/>
                      <w:szCs w:val="18"/>
                      <w:highlight w:val="none"/>
                      <w:vertAlign w:val="subscript"/>
                      <w:lang w:val="en-US" w:eastAsia="zh-CN" w:bidi="ar-SA"/>
                    </w:rPr>
                  </w:pPr>
                  <w:r>
                    <w:rPr>
                      <w:rFonts w:hint="default" w:ascii="Times New Roman" w:hAnsi="Times New Roman" w:cs="Times New Roman"/>
                      <w:color w:val="auto"/>
                      <w:kern w:val="0"/>
                      <w:sz w:val="21"/>
                      <w:szCs w:val="18"/>
                      <w:highlight w:val="none"/>
                      <w:lang w:val="en-US" w:eastAsia="zh-CN"/>
                    </w:rPr>
                    <w:t>pH、</w:t>
                  </w:r>
                  <w:r>
                    <w:rPr>
                      <w:rFonts w:hint="default" w:ascii="Times New Roman" w:hAnsi="Times New Roman" w:eastAsia="宋体" w:cs="Times New Roman"/>
                      <w:color w:val="auto"/>
                      <w:kern w:val="0"/>
                      <w:sz w:val="21"/>
                      <w:szCs w:val="18"/>
                      <w:highlight w:val="none"/>
                    </w:rPr>
                    <w:t>COD、NH</w:t>
                  </w:r>
                  <w:r>
                    <w:rPr>
                      <w:rFonts w:hint="default" w:ascii="Times New Roman" w:hAnsi="Times New Roman" w:eastAsia="宋体" w:cs="Times New Roman"/>
                      <w:color w:val="auto"/>
                      <w:kern w:val="0"/>
                      <w:sz w:val="21"/>
                      <w:szCs w:val="18"/>
                      <w:highlight w:val="none"/>
                      <w:vertAlign w:val="subscript"/>
                    </w:rPr>
                    <w:t>3</w:t>
                  </w:r>
                  <w:r>
                    <w:rPr>
                      <w:rFonts w:hint="default" w:ascii="Times New Roman" w:hAnsi="Times New Roman" w:eastAsia="宋体" w:cs="Times New Roman"/>
                      <w:color w:val="auto"/>
                      <w:kern w:val="0"/>
                      <w:sz w:val="21"/>
                      <w:szCs w:val="18"/>
                      <w:highlight w:val="none"/>
                    </w:rPr>
                    <w:t>-N、SS</w:t>
                  </w:r>
                  <w:r>
                    <w:rPr>
                      <w:rFonts w:hint="default" w:ascii="Times New Roman" w:hAnsi="Times New Roman" w:cs="Times New Roman"/>
                      <w:color w:val="auto"/>
                      <w:kern w:val="0"/>
                      <w:sz w:val="21"/>
                      <w:szCs w:val="18"/>
                      <w:highlight w:val="none"/>
                      <w:lang w:eastAsia="zh-CN"/>
                    </w:rPr>
                    <w:t>、</w:t>
                  </w:r>
                  <w:r>
                    <w:rPr>
                      <w:rFonts w:hint="default" w:ascii="Times New Roman" w:hAnsi="Times New Roman" w:cs="Times New Roman"/>
                      <w:color w:val="auto"/>
                      <w:kern w:val="0"/>
                      <w:sz w:val="21"/>
                      <w:szCs w:val="18"/>
                      <w:highlight w:val="none"/>
                      <w:lang w:val="en-US" w:eastAsia="zh-CN"/>
                    </w:rPr>
                    <w:t>BOD</w:t>
                  </w:r>
                  <w:r>
                    <w:rPr>
                      <w:rFonts w:hint="default" w:ascii="Times New Roman" w:hAnsi="Times New Roman" w:cs="Times New Roman"/>
                      <w:color w:val="auto"/>
                      <w:kern w:val="0"/>
                      <w:sz w:val="21"/>
                      <w:szCs w:val="18"/>
                      <w:highlight w:val="none"/>
                      <w:vertAlign w:val="subscript"/>
                      <w:lang w:val="en-US" w:eastAsia="zh-CN"/>
                    </w:rPr>
                    <w:t>5</w:t>
                  </w:r>
                </w:p>
              </w:tc>
              <w:tc>
                <w:tcPr>
                  <w:tcW w:w="768" w:type="pct"/>
                  <w:shd w:val="clear" w:color="auto" w:fill="auto"/>
                  <w:noWrap w:val="0"/>
                  <w:tcMar>
                    <w:left w:w="0" w:type="dxa"/>
                    <w:right w:w="0" w:type="dxa"/>
                  </w:tcMar>
                  <w:vAlign w:val="center"/>
                </w:tcPr>
                <w:p w14:paraId="08C555F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间断</w:t>
                  </w:r>
                </w:p>
              </w:tc>
              <w:tc>
                <w:tcPr>
                  <w:tcW w:w="998" w:type="pct"/>
                  <w:gridSpan w:val="2"/>
                  <w:shd w:val="clear" w:color="auto" w:fill="auto"/>
                  <w:noWrap w:val="0"/>
                  <w:tcMar>
                    <w:left w:w="0" w:type="dxa"/>
                    <w:right w:w="0" w:type="dxa"/>
                  </w:tcMar>
                  <w:vAlign w:val="center"/>
                </w:tcPr>
                <w:p w14:paraId="781AAE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设置</w:t>
                  </w:r>
                  <w:r>
                    <w:rPr>
                      <w:rFonts w:hint="default" w:ascii="Times New Roman" w:hAnsi="Times New Roman" w:eastAsia="宋体" w:cs="Times New Roman"/>
                      <w:color w:val="auto"/>
                      <w:kern w:val="0"/>
                      <w:sz w:val="21"/>
                      <w:szCs w:val="18"/>
                      <w:highlight w:val="none"/>
                      <w:lang w:val="en-US" w:eastAsia="zh-CN"/>
                    </w:rPr>
                    <w:t>化粪池，</w:t>
                  </w:r>
                  <w:r>
                    <w:rPr>
                      <w:rFonts w:hint="default" w:ascii="Times New Roman" w:hAnsi="Times New Roman" w:cs="Times New Roman"/>
                      <w:color w:val="auto"/>
                      <w:kern w:val="0"/>
                      <w:sz w:val="21"/>
                      <w:szCs w:val="18"/>
                      <w:highlight w:val="none"/>
                      <w:lang w:val="en-US" w:eastAsia="zh-CN"/>
                    </w:rPr>
                    <w:t>定期</w:t>
                  </w:r>
                  <w:r>
                    <w:rPr>
                      <w:rFonts w:hint="default" w:ascii="Times New Roman" w:hAnsi="Times New Roman" w:eastAsia="宋体" w:cs="Times New Roman"/>
                      <w:color w:val="auto"/>
                      <w:kern w:val="0"/>
                      <w:sz w:val="21"/>
                      <w:szCs w:val="18"/>
                      <w:highlight w:val="none"/>
                      <w:lang w:val="en-US" w:eastAsia="zh-CN"/>
                    </w:rPr>
                    <w:t>清掏</w:t>
                  </w:r>
                  <w:r>
                    <w:rPr>
                      <w:rFonts w:hint="default" w:ascii="Times New Roman" w:hAnsi="Times New Roman" w:cs="Times New Roman"/>
                      <w:color w:val="auto"/>
                      <w:kern w:val="0"/>
                      <w:sz w:val="21"/>
                      <w:szCs w:val="18"/>
                      <w:highlight w:val="none"/>
                      <w:lang w:val="en-US" w:eastAsia="zh-CN"/>
                    </w:rPr>
                    <w:t>处理</w:t>
                  </w:r>
                </w:p>
              </w:tc>
            </w:tr>
            <w:tr w14:paraId="22BDD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noWrap w:val="0"/>
                  <w:tcMar>
                    <w:left w:w="0" w:type="dxa"/>
                    <w:right w:w="0" w:type="dxa"/>
                  </w:tcMar>
                  <w:vAlign w:val="center"/>
                </w:tcPr>
                <w:p w14:paraId="7EDF536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噪声</w:t>
                  </w:r>
                </w:p>
              </w:tc>
              <w:tc>
                <w:tcPr>
                  <w:tcW w:w="546" w:type="pct"/>
                  <w:noWrap w:val="0"/>
                  <w:tcMar>
                    <w:left w:w="0" w:type="dxa"/>
                    <w:right w:w="0" w:type="dxa"/>
                  </w:tcMar>
                  <w:vAlign w:val="center"/>
                </w:tcPr>
                <w:p w14:paraId="0EEDC13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N</w:t>
                  </w:r>
                </w:p>
              </w:tc>
              <w:tc>
                <w:tcPr>
                  <w:tcW w:w="1312" w:type="pct"/>
                  <w:noWrap w:val="0"/>
                  <w:tcMar>
                    <w:left w:w="0" w:type="dxa"/>
                    <w:right w:w="0" w:type="dxa"/>
                  </w:tcMar>
                  <w:vAlign w:val="center"/>
                </w:tcPr>
                <w:p w14:paraId="5FBF827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生产设备、风机</w:t>
                  </w:r>
                </w:p>
              </w:tc>
              <w:tc>
                <w:tcPr>
                  <w:tcW w:w="1028" w:type="pct"/>
                  <w:noWrap w:val="0"/>
                  <w:tcMar>
                    <w:left w:w="0" w:type="dxa"/>
                    <w:right w:w="0" w:type="dxa"/>
                  </w:tcMar>
                  <w:vAlign w:val="center"/>
                </w:tcPr>
                <w:p w14:paraId="54D15F6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A声级</w:t>
                  </w:r>
                </w:p>
              </w:tc>
              <w:tc>
                <w:tcPr>
                  <w:tcW w:w="768" w:type="pct"/>
                  <w:noWrap w:val="0"/>
                  <w:tcMar>
                    <w:left w:w="0" w:type="dxa"/>
                    <w:right w:w="0" w:type="dxa"/>
                  </w:tcMar>
                  <w:vAlign w:val="center"/>
                </w:tcPr>
                <w:p w14:paraId="59F89957">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998" w:type="pct"/>
                  <w:gridSpan w:val="2"/>
                  <w:noWrap w:val="0"/>
                  <w:tcMar>
                    <w:left w:w="0" w:type="dxa"/>
                    <w:right w:w="0" w:type="dxa"/>
                  </w:tcMar>
                  <w:vAlign w:val="center"/>
                </w:tcPr>
                <w:p w14:paraId="5E62F020">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选用低噪设备、基础减振、厂房隔声</w:t>
                  </w:r>
                </w:p>
              </w:tc>
            </w:tr>
            <w:tr w14:paraId="6FA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restart"/>
                  <w:noWrap w:val="0"/>
                  <w:tcMar>
                    <w:left w:w="0" w:type="dxa"/>
                    <w:right w:w="0" w:type="dxa"/>
                  </w:tcMar>
                  <w:vAlign w:val="center"/>
                </w:tcPr>
                <w:p w14:paraId="1B6FE14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固废</w:t>
                  </w:r>
                </w:p>
              </w:tc>
              <w:tc>
                <w:tcPr>
                  <w:tcW w:w="546" w:type="pct"/>
                  <w:noWrap w:val="0"/>
                  <w:tcMar>
                    <w:left w:w="0" w:type="dxa"/>
                    <w:right w:w="0" w:type="dxa"/>
                  </w:tcMar>
                  <w:vAlign w:val="center"/>
                </w:tcPr>
                <w:p w14:paraId="2F59289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S1、S7、S13</w:t>
                  </w:r>
                </w:p>
              </w:tc>
              <w:tc>
                <w:tcPr>
                  <w:tcW w:w="1312" w:type="pct"/>
                  <w:shd w:val="clear" w:color="auto" w:fill="auto"/>
                  <w:noWrap w:val="0"/>
                  <w:tcMar>
                    <w:left w:w="0" w:type="dxa"/>
                    <w:right w:w="0" w:type="dxa"/>
                  </w:tcMar>
                  <w:vAlign w:val="center"/>
                </w:tcPr>
                <w:p w14:paraId="3A362E14">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沉淀池（车辆冲洗）</w:t>
                  </w:r>
                </w:p>
              </w:tc>
              <w:tc>
                <w:tcPr>
                  <w:tcW w:w="1028" w:type="pct"/>
                  <w:shd w:val="clear" w:color="auto" w:fill="auto"/>
                  <w:noWrap w:val="0"/>
                  <w:tcMar>
                    <w:left w:w="0" w:type="dxa"/>
                    <w:right w:w="0" w:type="dxa"/>
                  </w:tcMar>
                  <w:vAlign w:val="center"/>
                </w:tcPr>
                <w:p w14:paraId="3E101EC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754DFB9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78355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06E6C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47890BC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1916D5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S2、S8、S14</w:t>
                  </w:r>
                </w:p>
              </w:tc>
              <w:tc>
                <w:tcPr>
                  <w:tcW w:w="1312" w:type="pct"/>
                  <w:shd w:val="clear" w:color="auto" w:fill="auto"/>
                  <w:noWrap w:val="0"/>
                  <w:tcMar>
                    <w:left w:w="0" w:type="dxa"/>
                    <w:right w:w="0" w:type="dxa"/>
                  </w:tcMar>
                  <w:vAlign w:val="center"/>
                </w:tcPr>
                <w:p w14:paraId="1D355969">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仓顶除尘器</w:t>
                  </w:r>
                </w:p>
              </w:tc>
              <w:tc>
                <w:tcPr>
                  <w:tcW w:w="1028" w:type="pct"/>
                  <w:shd w:val="clear" w:color="auto" w:fill="auto"/>
                  <w:noWrap w:val="0"/>
                  <w:tcMar>
                    <w:left w:w="0" w:type="dxa"/>
                    <w:right w:w="0" w:type="dxa"/>
                  </w:tcMar>
                  <w:vAlign w:val="center"/>
                </w:tcPr>
                <w:p w14:paraId="636E1A5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3C24F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44845B2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55C4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01CDD77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051542E">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S3、S4、S9、S10、S11、S15、S16</w:t>
                  </w:r>
                </w:p>
              </w:tc>
              <w:tc>
                <w:tcPr>
                  <w:tcW w:w="1312" w:type="pct"/>
                  <w:shd w:val="clear" w:color="auto" w:fill="auto"/>
                  <w:noWrap w:val="0"/>
                  <w:tcMar>
                    <w:left w:w="0" w:type="dxa"/>
                    <w:right w:w="0" w:type="dxa"/>
                  </w:tcMar>
                  <w:vAlign w:val="center"/>
                </w:tcPr>
                <w:p w14:paraId="506A4E57">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08EA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6D8731D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AD5D94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A0F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374CDD30">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1D64C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S5</w:t>
                  </w:r>
                </w:p>
              </w:tc>
              <w:tc>
                <w:tcPr>
                  <w:tcW w:w="1312" w:type="pct"/>
                  <w:shd w:val="clear" w:color="auto" w:fill="auto"/>
                  <w:noWrap w:val="0"/>
                  <w:tcMar>
                    <w:left w:w="0" w:type="dxa"/>
                    <w:right w:w="0" w:type="dxa"/>
                  </w:tcMar>
                  <w:vAlign w:val="center"/>
                </w:tcPr>
                <w:p w14:paraId="37B2684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焊接工序</w:t>
                  </w:r>
                </w:p>
              </w:tc>
              <w:tc>
                <w:tcPr>
                  <w:tcW w:w="1028" w:type="pct"/>
                  <w:shd w:val="clear" w:color="auto" w:fill="auto"/>
                  <w:noWrap w:val="0"/>
                  <w:tcMar>
                    <w:left w:w="0" w:type="dxa"/>
                    <w:right w:w="0" w:type="dxa"/>
                  </w:tcMar>
                  <w:vAlign w:val="center"/>
                </w:tcPr>
                <w:p w14:paraId="284AF2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废焊材</w:t>
                  </w:r>
                </w:p>
              </w:tc>
              <w:tc>
                <w:tcPr>
                  <w:tcW w:w="768" w:type="pct"/>
                  <w:shd w:val="clear" w:color="auto" w:fill="auto"/>
                  <w:noWrap w:val="0"/>
                  <w:tcMar>
                    <w:left w:w="0" w:type="dxa"/>
                    <w:right w:w="0" w:type="dxa"/>
                  </w:tcMar>
                  <w:vAlign w:val="center"/>
                </w:tcPr>
                <w:p w14:paraId="2AFB13B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5DA5009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1D2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6CB1260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6E405AA0">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S6</w:t>
                  </w:r>
                </w:p>
              </w:tc>
              <w:tc>
                <w:tcPr>
                  <w:tcW w:w="1312" w:type="pct"/>
                  <w:shd w:val="clear" w:color="auto" w:fill="auto"/>
                  <w:noWrap w:val="0"/>
                  <w:tcMar>
                    <w:left w:w="0" w:type="dxa"/>
                    <w:right w:w="0" w:type="dxa"/>
                  </w:tcMar>
                  <w:vAlign w:val="center"/>
                </w:tcPr>
                <w:p w14:paraId="004540CD">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沉淀池（固定模具冲洗）</w:t>
                  </w:r>
                </w:p>
              </w:tc>
              <w:tc>
                <w:tcPr>
                  <w:tcW w:w="1028" w:type="pct"/>
                  <w:shd w:val="clear" w:color="auto" w:fill="auto"/>
                  <w:noWrap w:val="0"/>
                  <w:tcMar>
                    <w:left w:w="0" w:type="dxa"/>
                    <w:right w:w="0" w:type="dxa"/>
                  </w:tcMar>
                  <w:vAlign w:val="center"/>
                </w:tcPr>
                <w:p w14:paraId="04D46B7F">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4A7E0E5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8205B8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2ED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71ADD60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2699AF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S12</w:t>
                  </w:r>
                </w:p>
              </w:tc>
              <w:tc>
                <w:tcPr>
                  <w:tcW w:w="1312" w:type="pct"/>
                  <w:shd w:val="clear" w:color="auto" w:fill="auto"/>
                  <w:noWrap w:val="0"/>
                  <w:tcMar>
                    <w:left w:w="0" w:type="dxa"/>
                    <w:right w:w="0" w:type="dxa"/>
                  </w:tcMar>
                  <w:vAlign w:val="center"/>
                </w:tcPr>
                <w:p w14:paraId="63C028D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分装</w:t>
                  </w:r>
                </w:p>
              </w:tc>
              <w:tc>
                <w:tcPr>
                  <w:tcW w:w="1028" w:type="pct"/>
                  <w:shd w:val="clear" w:color="auto" w:fill="auto"/>
                  <w:noWrap w:val="0"/>
                  <w:tcMar>
                    <w:left w:w="0" w:type="dxa"/>
                    <w:right w:w="0" w:type="dxa"/>
                  </w:tcMar>
                  <w:vAlign w:val="center"/>
                </w:tcPr>
                <w:p w14:paraId="3B1687C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废包装袋</w:t>
                  </w:r>
                </w:p>
              </w:tc>
              <w:tc>
                <w:tcPr>
                  <w:tcW w:w="768" w:type="pct"/>
                  <w:shd w:val="clear" w:color="auto" w:fill="auto"/>
                  <w:noWrap w:val="0"/>
                  <w:tcMar>
                    <w:left w:w="0" w:type="dxa"/>
                    <w:right w:w="0" w:type="dxa"/>
                  </w:tcMar>
                  <w:vAlign w:val="center"/>
                </w:tcPr>
                <w:p w14:paraId="0126D6C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shd w:val="clear" w:color="auto" w:fill="auto"/>
                  <w:noWrap w:val="0"/>
                  <w:tcMar>
                    <w:left w:w="0" w:type="dxa"/>
                    <w:right w:w="0" w:type="dxa"/>
                  </w:tcMar>
                  <w:vAlign w:val="center"/>
                </w:tcPr>
                <w:p w14:paraId="1BDC7B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收集后外售</w:t>
                  </w:r>
                </w:p>
              </w:tc>
            </w:tr>
            <w:tr w14:paraId="76BE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1738D75C">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5B8337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S17</w:t>
                  </w:r>
                </w:p>
              </w:tc>
              <w:tc>
                <w:tcPr>
                  <w:tcW w:w="1312" w:type="pct"/>
                  <w:shd w:val="clear" w:color="auto" w:fill="auto"/>
                  <w:noWrap w:val="0"/>
                  <w:tcMar>
                    <w:left w:w="0" w:type="dxa"/>
                    <w:right w:w="0" w:type="dxa"/>
                  </w:tcMar>
                  <w:vAlign w:val="center"/>
                </w:tcPr>
                <w:p w14:paraId="3035369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3DA439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废布袋</w:t>
                  </w:r>
                </w:p>
              </w:tc>
              <w:tc>
                <w:tcPr>
                  <w:tcW w:w="768" w:type="pct"/>
                  <w:shd w:val="clear" w:color="auto" w:fill="auto"/>
                  <w:noWrap w:val="0"/>
                  <w:tcMar>
                    <w:left w:w="0" w:type="dxa"/>
                    <w:right w:w="0" w:type="dxa"/>
                  </w:tcMar>
                  <w:vAlign w:val="center"/>
                </w:tcPr>
                <w:p w14:paraId="5CF1CE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4BB47C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5C1F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09" w:hRule="atLeast"/>
                <w:jc w:val="center"/>
              </w:trPr>
              <w:tc>
                <w:tcPr>
                  <w:tcW w:w="346" w:type="pct"/>
                  <w:vMerge w:val="continue"/>
                  <w:noWrap w:val="0"/>
                  <w:tcMar>
                    <w:left w:w="0" w:type="dxa"/>
                    <w:right w:w="0" w:type="dxa"/>
                  </w:tcMar>
                  <w:vAlign w:val="center"/>
                </w:tcPr>
                <w:p w14:paraId="2C4000E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noWrap w:val="0"/>
                  <w:tcMar>
                    <w:left w:w="0" w:type="dxa"/>
                    <w:right w:w="0" w:type="dxa"/>
                  </w:tcMar>
                  <w:vAlign w:val="center"/>
                </w:tcPr>
                <w:p w14:paraId="210CBC3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S18</w:t>
                  </w:r>
                </w:p>
              </w:tc>
              <w:tc>
                <w:tcPr>
                  <w:tcW w:w="1312" w:type="pct"/>
                  <w:noWrap w:val="0"/>
                  <w:tcMar>
                    <w:left w:w="0" w:type="dxa"/>
                    <w:right w:w="0" w:type="dxa"/>
                  </w:tcMar>
                  <w:vAlign w:val="center"/>
                </w:tcPr>
                <w:p w14:paraId="5D0CD1C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职工生活</w:t>
                  </w:r>
                </w:p>
              </w:tc>
              <w:tc>
                <w:tcPr>
                  <w:tcW w:w="1028" w:type="pct"/>
                  <w:noWrap w:val="0"/>
                  <w:tcMar>
                    <w:left w:w="0" w:type="dxa"/>
                    <w:right w:w="0" w:type="dxa"/>
                  </w:tcMar>
                  <w:vAlign w:val="center"/>
                </w:tcPr>
                <w:p w14:paraId="383EA76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生活垃圾</w:t>
                  </w:r>
                </w:p>
              </w:tc>
              <w:tc>
                <w:tcPr>
                  <w:tcW w:w="768" w:type="pct"/>
                  <w:noWrap w:val="0"/>
                  <w:tcMar>
                    <w:left w:w="0" w:type="dxa"/>
                    <w:right w:w="0" w:type="dxa"/>
                  </w:tcMar>
                  <w:vAlign w:val="center"/>
                </w:tcPr>
                <w:p w14:paraId="24EB21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noWrap w:val="0"/>
                  <w:tcMar>
                    <w:left w:w="0" w:type="dxa"/>
                    <w:right w:w="0" w:type="dxa"/>
                  </w:tcMar>
                  <w:vAlign w:val="center"/>
                </w:tcPr>
                <w:p w14:paraId="4E49673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收集后送环卫部门处理</w:t>
                  </w:r>
                </w:p>
              </w:tc>
            </w:tr>
          </w:tbl>
          <w:p w14:paraId="12852416">
            <w:pPr>
              <w:pStyle w:val="51"/>
              <w:ind w:firstLine="0" w:firstLineChars="0"/>
              <w:rPr>
                <w:rFonts w:hint="default" w:ascii="Times New Roman" w:hAnsi="Times New Roman" w:cs="Times New Roman"/>
                <w:b/>
                <w:bCs/>
                <w:color w:val="auto"/>
                <w:szCs w:val="32"/>
                <w:highlight w:val="none"/>
              </w:rPr>
            </w:pPr>
          </w:p>
        </w:tc>
      </w:tr>
      <w:tr w14:paraId="49742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32" w:type="dxa"/>
            <w:vAlign w:val="center"/>
          </w:tcPr>
          <w:p w14:paraId="3797E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与项目有关的原有环境污染问题</w:t>
            </w:r>
          </w:p>
        </w:tc>
        <w:tc>
          <w:tcPr>
            <w:tcW w:w="7890" w:type="dxa"/>
          </w:tcPr>
          <w:p w14:paraId="2F528B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6590B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9366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经现场踏勘，本项目为新建项目，无原有污染情况及主要环境问题。</w:t>
            </w:r>
          </w:p>
          <w:p w14:paraId="03F09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128F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F96FB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34EF9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E1DF6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4188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5E2D7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8E5BD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2EA544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A0AA0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71DDEB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21913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C58C6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61085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331C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tc>
      </w:tr>
    </w:tbl>
    <w:p w14:paraId="38005A1E">
      <w:pPr>
        <w:pStyle w:val="36"/>
        <w:jc w:val="center"/>
        <w:rPr>
          <w:rFonts w:hint="default" w:ascii="Times New Roman" w:hAnsi="Times New Roman" w:eastAsia="黑体" w:cs="Times New Roman"/>
          <w:snapToGrid w:val="0"/>
          <w:color w:val="auto"/>
          <w:sz w:val="36"/>
          <w:szCs w:val="36"/>
          <w:highlight w:val="none"/>
        </w:rPr>
        <w:sectPr>
          <w:pgSz w:w="11906" w:h="16838"/>
          <w:pgMar w:top="1440" w:right="1800" w:bottom="1440" w:left="1800" w:header="851" w:footer="851" w:gutter="0"/>
          <w:pgBorders>
            <w:top w:val="none" w:sz="0" w:space="0"/>
            <w:left w:val="none" w:sz="0" w:space="0"/>
            <w:bottom w:val="none" w:sz="0" w:space="0"/>
            <w:right w:val="none" w:sz="0" w:space="0"/>
          </w:pgBorders>
          <w:pgNumType w:fmt="decimal"/>
          <w:cols w:space="720" w:num="1"/>
          <w:docGrid w:linePitch="312" w:charSpace="0"/>
        </w:sectPr>
      </w:pPr>
    </w:p>
    <w:p w14:paraId="560C77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7"/>
      </w:tblGrid>
      <w:tr w14:paraId="410D88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3FC9E9D8">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区</w:t>
            </w:r>
          </w:p>
          <w:p w14:paraId="5B13701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域</w:t>
            </w:r>
          </w:p>
          <w:p w14:paraId="208216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4BC7720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40D2415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质</w:t>
            </w:r>
          </w:p>
          <w:p w14:paraId="57D9EA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131C472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现</w:t>
            </w:r>
          </w:p>
          <w:p w14:paraId="55E987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状</w:t>
            </w:r>
          </w:p>
        </w:tc>
        <w:tc>
          <w:tcPr>
            <w:tcW w:w="8200" w:type="dxa"/>
            <w:tcBorders>
              <w:tl2br w:val="nil"/>
              <w:tr2bl w:val="nil"/>
            </w:tcBorders>
            <w:vAlign w:val="center"/>
          </w:tcPr>
          <w:p w14:paraId="044C4D91">
            <w:pPr>
              <w:keepNext w:val="0"/>
              <w:keepLines w:val="0"/>
              <w:pageBreakBefore w:val="0"/>
              <w:widowControl w:val="0"/>
              <w:kinsoku/>
              <w:wordWrap/>
              <w:overflowPunct/>
              <w:topLinePunct w:val="0"/>
              <w:bidi w:val="0"/>
              <w:snapToGrid/>
              <w:spacing w:line="360" w:lineRule="auto"/>
              <w:ind w:firstLine="482"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1、空气环境质量现状</w:t>
            </w:r>
          </w:p>
          <w:p w14:paraId="72FE17E2">
            <w:pPr>
              <w:pStyle w:val="115"/>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（1）区域环境空气质量现状达标性分析</w:t>
            </w:r>
          </w:p>
          <w:p w14:paraId="50964D61">
            <w:pPr>
              <w:keepNext w:val="0"/>
              <w:keepLines w:val="0"/>
              <w:pageBreakBefore w:val="0"/>
              <w:widowControl w:val="0"/>
              <w:kinsoku/>
              <w:wordWrap/>
              <w:overflowPunct/>
              <w:topLinePunct w:val="0"/>
              <w:autoSpaceDE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根据《环境空气质量标准》（GB3095-2012）</w:t>
            </w:r>
            <w:r>
              <w:rPr>
                <w:rFonts w:hint="default" w:ascii="Times New Roman" w:hAnsi="Times New Roman" w:eastAsia="宋体" w:cs="Times New Roman"/>
                <w:snapToGrid w:val="0"/>
                <w:color w:val="auto"/>
                <w:kern w:val="0"/>
                <w:sz w:val="24"/>
                <w:szCs w:val="24"/>
                <w:highlight w:val="none"/>
              </w:rPr>
              <w:t>及其修改单（生态环境部公告2018年第29号）相关要求</w:t>
            </w:r>
            <w:r>
              <w:rPr>
                <w:rFonts w:hint="default" w:ascii="Times New Roman" w:hAnsi="Times New Roman" w:eastAsia="宋体" w:cs="Times New Roman"/>
                <w:color w:val="auto"/>
                <w:sz w:val="24"/>
                <w:szCs w:val="24"/>
                <w:highlight w:val="none"/>
              </w:rPr>
              <w:t>，本项目所在区域为二类环境空气质量功能区。根据</w:t>
            </w:r>
            <w:r>
              <w:rPr>
                <w:rFonts w:hint="default" w:ascii="Times New Roman" w:hAnsi="Times New Roman" w:eastAsia="宋体" w:cs="Times New Roman"/>
                <w:color w:val="auto"/>
                <w:sz w:val="24"/>
                <w:szCs w:val="24"/>
                <w:highlight w:val="none"/>
                <w:lang w:val="en-US" w:eastAsia="zh-CN"/>
              </w:rPr>
              <w:t>202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年6月发布的</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pacing w:val="0"/>
                <w:sz w:val="24"/>
                <w:highlight w:val="none"/>
                <w:lang w:val="en-US" w:eastAsia="zh-CN"/>
              </w:rPr>
              <w:t>202</w:t>
            </w:r>
            <w:r>
              <w:rPr>
                <w:rFonts w:hint="default" w:ascii="Times New Roman" w:hAnsi="Times New Roman" w:cs="Times New Roman"/>
                <w:color w:val="auto"/>
                <w:spacing w:val="0"/>
                <w:sz w:val="24"/>
                <w:highlight w:val="none"/>
                <w:lang w:val="en-US" w:eastAsia="zh-CN"/>
              </w:rPr>
              <w:t>4</w:t>
            </w:r>
            <w:r>
              <w:rPr>
                <w:rFonts w:hint="default" w:ascii="Times New Roman" w:hAnsi="Times New Roman" w:eastAsia="宋体" w:cs="Times New Roman"/>
                <w:color w:val="auto"/>
                <w:spacing w:val="0"/>
                <w:sz w:val="24"/>
                <w:highlight w:val="none"/>
                <w:lang w:val="en-US" w:eastAsia="zh-CN"/>
              </w:rPr>
              <w:t>年石家庄市生态环境状况公报</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区域环境空气质量现状评价</w:t>
            </w:r>
            <w:r>
              <w:rPr>
                <w:rFonts w:hint="default" w:ascii="Times New Roman" w:hAnsi="Times New Roman" w:eastAsia="宋体" w:cs="Times New Roman"/>
                <w:color w:val="auto"/>
                <w:sz w:val="24"/>
                <w:szCs w:val="24"/>
                <w:highlight w:val="none"/>
                <w:lang w:eastAsia="zh-CN"/>
              </w:rPr>
              <w:t>如下</w:t>
            </w:r>
            <w:r>
              <w:rPr>
                <w:rFonts w:hint="default" w:ascii="Times New Roman" w:hAnsi="Times New Roman" w:eastAsia="宋体" w:cs="Times New Roman"/>
                <w:color w:val="auto"/>
                <w:sz w:val="24"/>
                <w:szCs w:val="24"/>
                <w:highlight w:val="none"/>
              </w:rPr>
              <w:t>。</w:t>
            </w:r>
          </w:p>
          <w:p w14:paraId="5F6212E4">
            <w:pPr>
              <w:keepNext w:val="0"/>
              <w:keepLines w:val="0"/>
              <w:pageBreakBefore w:val="0"/>
              <w:widowControl w:val="0"/>
              <w:kinsoku/>
              <w:wordWrap/>
              <w:overflowPunct/>
              <w:topLinePunct w:val="0"/>
              <w:autoSpaceDE w:val="0"/>
              <w:autoSpaceDN w:val="0"/>
              <w:bidi w:val="0"/>
              <w:adjustRightInd w:val="0"/>
              <w:snapToGrid/>
              <w:spacing w:line="360" w:lineRule="auto"/>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表3-1  基本污染物环境质量现状</w:t>
            </w:r>
          </w:p>
          <w:tbl>
            <w:tblPr>
              <w:tblStyle w:val="4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888"/>
              <w:gridCol w:w="1201"/>
              <w:gridCol w:w="1216"/>
              <w:gridCol w:w="1241"/>
              <w:gridCol w:w="914"/>
            </w:tblGrid>
            <w:tr w14:paraId="69E1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80" w:type="pct"/>
                  <w:vMerge w:val="restart"/>
                  <w:noWrap w:val="0"/>
                  <w:vAlign w:val="center"/>
                </w:tcPr>
                <w:p w14:paraId="6668426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污染物</w:t>
                  </w:r>
                </w:p>
              </w:tc>
              <w:tc>
                <w:tcPr>
                  <w:tcW w:w="1710" w:type="pct"/>
                  <w:vMerge w:val="restart"/>
                  <w:noWrap w:val="0"/>
                  <w:vAlign w:val="center"/>
                </w:tcPr>
                <w:p w14:paraId="56DF3F95">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年评价指标</w:t>
                  </w:r>
                </w:p>
              </w:tc>
              <w:tc>
                <w:tcPr>
                  <w:tcW w:w="711" w:type="pct"/>
                  <w:vMerge w:val="restart"/>
                  <w:noWrap w:val="0"/>
                  <w:vAlign w:val="center"/>
                </w:tcPr>
                <w:p w14:paraId="2DE3F58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评价标准/（µg/m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20" w:type="pct"/>
                  <w:vMerge w:val="restart"/>
                  <w:noWrap w:val="0"/>
                  <w:vAlign w:val="center"/>
                </w:tcPr>
                <w:p w14:paraId="43B2915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现状浓度（µg/m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35" w:type="pct"/>
                  <w:vMerge w:val="restart"/>
                  <w:noWrap w:val="0"/>
                  <w:vAlign w:val="center"/>
                </w:tcPr>
                <w:p w14:paraId="04FC23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最大浓度占标率/%</w:t>
                  </w:r>
                </w:p>
              </w:tc>
              <w:tc>
                <w:tcPr>
                  <w:tcW w:w="541" w:type="pct"/>
                  <w:vMerge w:val="restart"/>
                  <w:noWrap w:val="0"/>
                  <w:vAlign w:val="center"/>
                </w:tcPr>
                <w:p w14:paraId="0803307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达标情况</w:t>
                  </w:r>
                </w:p>
              </w:tc>
            </w:tr>
            <w:tr w14:paraId="0E17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0" w:type="pct"/>
                  <w:vMerge w:val="continue"/>
                  <w:noWrap w:val="0"/>
                  <w:vAlign w:val="center"/>
                </w:tcPr>
                <w:p w14:paraId="311D726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0" w:type="pct"/>
                  <w:vMerge w:val="continue"/>
                  <w:noWrap w:val="0"/>
                  <w:vAlign w:val="center"/>
                </w:tcPr>
                <w:p w14:paraId="060009FA">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11" w:type="pct"/>
                  <w:vMerge w:val="continue"/>
                  <w:noWrap w:val="0"/>
                  <w:vAlign w:val="center"/>
                </w:tcPr>
                <w:p w14:paraId="166F1CF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20" w:type="pct"/>
                  <w:vMerge w:val="continue"/>
                  <w:noWrap w:val="0"/>
                  <w:vAlign w:val="center"/>
                </w:tcPr>
                <w:p w14:paraId="0F23D93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35" w:type="pct"/>
                  <w:vMerge w:val="continue"/>
                  <w:noWrap w:val="0"/>
                  <w:vAlign w:val="center"/>
                </w:tcPr>
                <w:p w14:paraId="1B7431A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541" w:type="pct"/>
                  <w:vMerge w:val="continue"/>
                  <w:noWrap w:val="0"/>
                  <w:vAlign w:val="center"/>
                </w:tcPr>
                <w:p w14:paraId="39DA3E1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r>
            <w:tr w14:paraId="0335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8669BB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0180AB6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427A23E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60</w:t>
                  </w:r>
                </w:p>
              </w:tc>
              <w:tc>
                <w:tcPr>
                  <w:tcW w:w="720" w:type="pct"/>
                  <w:noWrap w:val="0"/>
                  <w:vAlign w:val="center"/>
                </w:tcPr>
                <w:p w14:paraId="16A07F9A">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015E31BF">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8.3</w:t>
                  </w:r>
                </w:p>
              </w:tc>
              <w:tc>
                <w:tcPr>
                  <w:tcW w:w="541" w:type="pct"/>
                  <w:noWrap w:val="0"/>
                  <w:vAlign w:val="center"/>
                </w:tcPr>
                <w:p w14:paraId="38CACC6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B4B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40F9038B">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NO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1330B70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3D443DAF">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w:t>
                  </w:r>
                </w:p>
              </w:tc>
              <w:tc>
                <w:tcPr>
                  <w:tcW w:w="720" w:type="pct"/>
                  <w:noWrap w:val="0"/>
                  <w:vAlign w:val="center"/>
                </w:tcPr>
                <w:p w14:paraId="73E90339">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27</w:t>
                  </w:r>
                </w:p>
              </w:tc>
              <w:tc>
                <w:tcPr>
                  <w:tcW w:w="735" w:type="pct"/>
                  <w:noWrap w:val="0"/>
                  <w:vAlign w:val="center"/>
                </w:tcPr>
                <w:p w14:paraId="0A343E0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67.5</w:t>
                  </w:r>
                </w:p>
              </w:tc>
              <w:tc>
                <w:tcPr>
                  <w:tcW w:w="541" w:type="pct"/>
                  <w:noWrap w:val="0"/>
                  <w:vAlign w:val="center"/>
                </w:tcPr>
                <w:p w14:paraId="3E59B244">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453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5DCF28E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10</w:t>
                  </w:r>
                </w:p>
              </w:tc>
              <w:tc>
                <w:tcPr>
                  <w:tcW w:w="1710" w:type="pct"/>
                  <w:noWrap w:val="0"/>
                  <w:vAlign w:val="center"/>
                </w:tcPr>
                <w:p w14:paraId="7532C55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0D1DFB60">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70</w:t>
                  </w:r>
                </w:p>
              </w:tc>
              <w:tc>
                <w:tcPr>
                  <w:tcW w:w="720" w:type="pct"/>
                  <w:noWrap w:val="0"/>
                  <w:vAlign w:val="center"/>
                </w:tcPr>
                <w:p w14:paraId="7E53DAC6">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78</w:t>
                  </w:r>
                </w:p>
              </w:tc>
              <w:tc>
                <w:tcPr>
                  <w:tcW w:w="735" w:type="pct"/>
                  <w:noWrap w:val="0"/>
                  <w:vAlign w:val="center"/>
                </w:tcPr>
                <w:p w14:paraId="41753F37">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111.4</w:t>
                  </w:r>
                </w:p>
              </w:tc>
              <w:tc>
                <w:tcPr>
                  <w:tcW w:w="541" w:type="pct"/>
                  <w:noWrap w:val="0"/>
                  <w:vAlign w:val="center"/>
                </w:tcPr>
                <w:p w14:paraId="642272A7">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18622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057BD31C">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2.5</w:t>
                  </w:r>
                </w:p>
              </w:tc>
              <w:tc>
                <w:tcPr>
                  <w:tcW w:w="1710" w:type="pct"/>
                  <w:noWrap w:val="0"/>
                  <w:vAlign w:val="center"/>
                </w:tcPr>
                <w:p w14:paraId="41D2FE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1E303011">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35</w:t>
                  </w:r>
                </w:p>
              </w:tc>
              <w:tc>
                <w:tcPr>
                  <w:tcW w:w="720" w:type="pct"/>
                  <w:noWrap w:val="0"/>
                  <w:vAlign w:val="center"/>
                </w:tcPr>
                <w:p w14:paraId="0495BA13">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4</w:t>
                  </w: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298DA03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12</w:t>
                  </w:r>
                  <w:r>
                    <w:rPr>
                      <w:rFonts w:hint="default" w:ascii="Times New Roman" w:hAnsi="Times New Roman" w:cs="Times New Roman"/>
                      <w:color w:val="auto"/>
                      <w:spacing w:val="-6"/>
                      <w:sz w:val="21"/>
                      <w:szCs w:val="21"/>
                      <w:highlight w:val="none"/>
                      <w:lang w:val="en-US" w:eastAsia="zh-CN"/>
                    </w:rPr>
                    <w:t>8.6</w:t>
                  </w:r>
                </w:p>
              </w:tc>
              <w:tc>
                <w:tcPr>
                  <w:tcW w:w="541" w:type="pct"/>
                  <w:noWrap w:val="0"/>
                  <w:vAlign w:val="center"/>
                </w:tcPr>
                <w:p w14:paraId="19E27222">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4FDE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ABCC653">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w:t>
                  </w:r>
                </w:p>
              </w:tc>
              <w:tc>
                <w:tcPr>
                  <w:tcW w:w="1710" w:type="pct"/>
                  <w:noWrap w:val="0"/>
                  <w:vAlign w:val="center"/>
                </w:tcPr>
                <w:p w14:paraId="36F0A19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24小时平均第95位百分位数</w:t>
                  </w:r>
                </w:p>
              </w:tc>
              <w:tc>
                <w:tcPr>
                  <w:tcW w:w="711" w:type="pct"/>
                  <w:noWrap w:val="0"/>
                  <w:vAlign w:val="center"/>
                </w:tcPr>
                <w:p w14:paraId="0EE6D4C4">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4000</w:t>
                  </w:r>
                </w:p>
              </w:tc>
              <w:tc>
                <w:tcPr>
                  <w:tcW w:w="720" w:type="pct"/>
                  <w:noWrap w:val="0"/>
                  <w:vAlign w:val="center"/>
                </w:tcPr>
                <w:p w14:paraId="732CC2ED">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w:t>
                  </w:r>
                  <w:r>
                    <w:rPr>
                      <w:rFonts w:hint="default"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00</w:t>
                  </w:r>
                </w:p>
              </w:tc>
              <w:tc>
                <w:tcPr>
                  <w:tcW w:w="735" w:type="pct"/>
                  <w:noWrap w:val="0"/>
                  <w:vAlign w:val="center"/>
                </w:tcPr>
                <w:p w14:paraId="1AF70220">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3</w:t>
                  </w:r>
                  <w:r>
                    <w:rPr>
                      <w:rFonts w:hint="default" w:ascii="Times New Roman" w:hAnsi="Times New Roman" w:cs="Times New Roman"/>
                      <w:color w:val="auto"/>
                      <w:spacing w:val="-6"/>
                      <w:sz w:val="21"/>
                      <w:szCs w:val="21"/>
                      <w:highlight w:val="none"/>
                      <w:lang w:val="en-US" w:eastAsia="zh-CN"/>
                    </w:rPr>
                    <w:t>0</w:t>
                  </w:r>
                </w:p>
              </w:tc>
              <w:tc>
                <w:tcPr>
                  <w:tcW w:w="541" w:type="pct"/>
                  <w:noWrap w:val="0"/>
                  <w:vAlign w:val="center"/>
                </w:tcPr>
                <w:p w14:paraId="7CB931A9">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776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580" w:type="pct"/>
                  <w:noWrap w:val="0"/>
                  <w:vAlign w:val="center"/>
                </w:tcPr>
                <w:p w14:paraId="0B70F59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O</w:t>
                  </w:r>
                  <w:r>
                    <w:rPr>
                      <w:rFonts w:hint="default" w:ascii="Times New Roman" w:hAnsi="Times New Roman" w:eastAsia="宋体" w:cs="Times New Roman"/>
                      <w:color w:val="auto"/>
                      <w:kern w:val="2"/>
                      <w:sz w:val="21"/>
                      <w:szCs w:val="21"/>
                      <w:highlight w:val="none"/>
                      <w:vertAlign w:val="subscript"/>
                      <w:lang w:val="en-US" w:eastAsia="zh-CN" w:bidi="ar-SA"/>
                    </w:rPr>
                    <w:t>3</w:t>
                  </w:r>
                </w:p>
              </w:tc>
              <w:tc>
                <w:tcPr>
                  <w:tcW w:w="1710" w:type="pct"/>
                  <w:noWrap w:val="0"/>
                  <w:vAlign w:val="center"/>
                </w:tcPr>
                <w:p w14:paraId="3053D0E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8小时平均第90位百分位数</w:t>
                  </w:r>
                </w:p>
              </w:tc>
              <w:tc>
                <w:tcPr>
                  <w:tcW w:w="711" w:type="pct"/>
                  <w:noWrap w:val="0"/>
                  <w:vAlign w:val="center"/>
                </w:tcPr>
                <w:p w14:paraId="3CA002E3">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160</w:t>
                  </w:r>
                </w:p>
              </w:tc>
              <w:tc>
                <w:tcPr>
                  <w:tcW w:w="720" w:type="pct"/>
                  <w:noWrap w:val="0"/>
                  <w:vAlign w:val="center"/>
                </w:tcPr>
                <w:p w14:paraId="05CE7455">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18</w:t>
                  </w:r>
                  <w:r>
                    <w:rPr>
                      <w:rFonts w:hint="default" w:ascii="Times New Roman" w:hAnsi="Times New Roman" w:cs="Times New Roman"/>
                      <w:color w:val="auto"/>
                      <w:spacing w:val="-6"/>
                      <w:sz w:val="21"/>
                      <w:szCs w:val="21"/>
                      <w:highlight w:val="none"/>
                      <w:lang w:val="en-US" w:eastAsia="zh-CN"/>
                    </w:rPr>
                    <w:t>2</w:t>
                  </w:r>
                </w:p>
              </w:tc>
              <w:tc>
                <w:tcPr>
                  <w:tcW w:w="735" w:type="pct"/>
                  <w:noWrap w:val="0"/>
                  <w:vAlign w:val="center"/>
                </w:tcPr>
                <w:p w14:paraId="029D5388">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w:t>
                  </w:r>
                  <w:r>
                    <w:rPr>
                      <w:rFonts w:hint="default" w:ascii="Times New Roman" w:hAnsi="Times New Roman" w:cs="Times New Roman"/>
                      <w:color w:val="auto"/>
                      <w:spacing w:val="-6"/>
                      <w:sz w:val="21"/>
                      <w:szCs w:val="21"/>
                      <w:highlight w:val="none"/>
                      <w:lang w:val="en-US" w:eastAsia="zh-CN"/>
                    </w:rPr>
                    <w:t>3.8</w:t>
                  </w:r>
                </w:p>
              </w:tc>
              <w:tc>
                <w:tcPr>
                  <w:tcW w:w="541" w:type="pct"/>
                  <w:noWrap w:val="0"/>
                  <w:vAlign w:val="center"/>
                </w:tcPr>
                <w:p w14:paraId="1340FCFF">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bl>
          <w:p w14:paraId="0E7AFFC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eastAsia="宋体" w:cs="Times New Roman"/>
                <w:snapToGrid w:val="0"/>
                <w:color w:val="auto"/>
                <w:kern w:val="0"/>
                <w:sz w:val="24"/>
                <w:szCs w:val="24"/>
                <w:highlight w:val="none"/>
              </w:rPr>
              <w:t>根据环境公报的结果，项目所在区域中的</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rPr>
              <w:t>CO、</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snapToGrid w:val="0"/>
                <w:color w:val="auto"/>
                <w:kern w:val="0"/>
                <w:sz w:val="24"/>
                <w:szCs w:val="24"/>
                <w:highlight w:val="none"/>
              </w:rPr>
              <w:t>达标且满足</w:t>
            </w:r>
            <w:r>
              <w:rPr>
                <w:rFonts w:hint="default" w:ascii="Times New Roman" w:hAnsi="Times New Roman" w:eastAsia="宋体" w:cs="Times New Roman"/>
                <w:color w:val="auto"/>
                <w:sz w:val="24"/>
                <w:szCs w:val="24"/>
                <w:highlight w:val="none"/>
              </w:rPr>
              <w:t>《环境空气质量标准》（GB3095-2012）中</w:t>
            </w:r>
            <w:r>
              <w:rPr>
                <w:rFonts w:hint="default" w:ascii="Times New Roman" w:hAnsi="Times New Roman" w:eastAsia="宋体" w:cs="Times New Roman"/>
                <w:color w:val="auto"/>
                <w:sz w:val="24"/>
                <w:szCs w:val="24"/>
                <w:highlight w:val="none"/>
                <w:lang w:eastAsia="zh-CN"/>
              </w:rPr>
              <w:t>及其修改单中</w:t>
            </w:r>
            <w:r>
              <w:rPr>
                <w:rFonts w:hint="default" w:ascii="Times New Roman" w:hAnsi="Times New Roman" w:eastAsia="宋体" w:cs="Times New Roman"/>
                <w:color w:val="auto"/>
                <w:sz w:val="24"/>
                <w:szCs w:val="24"/>
                <w:highlight w:val="none"/>
              </w:rPr>
              <w:t>表1二级标准要求。不达标的因子有PM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，本项目所在</w:t>
            </w:r>
            <w:r>
              <w:rPr>
                <w:rFonts w:hint="default" w:ascii="Times New Roman" w:hAnsi="Times New Roman" w:eastAsia="宋体" w:cs="Times New Roman"/>
                <w:color w:val="auto"/>
                <w:sz w:val="24"/>
                <w:szCs w:val="24"/>
                <w:highlight w:val="none"/>
                <w:lang w:val="en-US" w:eastAsia="zh-CN"/>
              </w:rPr>
              <w:t>区域</w:t>
            </w:r>
            <w:r>
              <w:rPr>
                <w:rFonts w:hint="default" w:ascii="Times New Roman" w:hAnsi="Times New Roman" w:eastAsia="宋体" w:cs="Times New Roman"/>
                <w:color w:val="auto"/>
                <w:sz w:val="24"/>
                <w:szCs w:val="24"/>
                <w:highlight w:val="none"/>
              </w:rPr>
              <w:t>为不达标区</w:t>
            </w:r>
            <w:r>
              <w:rPr>
                <w:rFonts w:hint="default" w:ascii="Times New Roman" w:hAnsi="Times New Roman" w:cs="Times New Roman"/>
                <w:color w:val="auto"/>
                <w:kern w:val="0"/>
                <w:sz w:val="24"/>
                <w:highlight w:val="none"/>
                <w:lang w:val="en-US" w:eastAsia="zh-CN"/>
              </w:rPr>
              <w:t>。</w:t>
            </w:r>
          </w:p>
          <w:p w14:paraId="43970DB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为改善环境空气质量，当地政府大力推进环保政策等工作的实施，本项目所在区域的空气质量会逐年好转。</w:t>
            </w:r>
          </w:p>
          <w:p w14:paraId="46A7E6E0">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（2）其他污染物环境质量现状数据</w:t>
            </w:r>
          </w:p>
          <w:p w14:paraId="61657E56">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highlight w:val="none"/>
              </w:rPr>
              <w:t>根据《建设项目环境影响报告表编制技术指南（污染影响类）（试行）》中的规定：“排放国家、地方环境空气质量标准中有标准限值要求的特征污染物时，引用建设项目周边5千米范围仅近3年的现有监测数据”。</w:t>
            </w:r>
          </w:p>
          <w:p w14:paraId="754EDC23">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本项目排放国家、地方环境空气质量标准中有标准限值要求的特征污染物为TSP</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执行《环境空气质量标准》（GB3095-2012）及其修改单中二级标准。本项目特征污染物TSP现状检测数据</w:t>
            </w:r>
            <w:r>
              <w:rPr>
                <w:rFonts w:hint="default" w:ascii="Times New Roman" w:hAnsi="Times New Roman" w:eastAsia="宋体" w:cs="Times New Roman"/>
                <w:color w:val="auto"/>
                <w:highlight w:val="none"/>
                <w:lang w:val="en-US" w:eastAsia="zh-CN"/>
              </w:rPr>
              <w:t>引用</w:t>
            </w:r>
            <w:r>
              <w:rPr>
                <w:rFonts w:hint="default" w:ascii="Times New Roman" w:hAnsi="Times New Roman" w:eastAsia="宋体" w:cs="Times New Roman"/>
                <w:color w:val="auto"/>
                <w:highlight w:val="none"/>
              </w:rPr>
              <w:t>河北正润环境科技有限公司</w:t>
            </w:r>
            <w:r>
              <w:rPr>
                <w:rFonts w:hint="default" w:ascii="Times New Roman" w:hAnsi="Times New Roman" w:eastAsia="宋体" w:cs="Times New Roman"/>
                <w:color w:val="auto"/>
                <w:highlight w:val="none"/>
                <w:lang w:val="en-US" w:eastAsia="zh-CN"/>
              </w:rPr>
              <w:t>于2024年5月14日出具的《河北石家庄矿区工业园区总体发展规划环境影响评价环境质量现状监测》</w:t>
            </w:r>
            <w:r>
              <w:rPr>
                <w:rFonts w:hint="default" w:ascii="Times New Roman" w:hAnsi="Times New Roman" w:cs="Times New Roman"/>
                <w:color w:val="auto"/>
                <w:highlight w:val="none"/>
                <w:lang w:val="en-US" w:eastAsia="zh-CN"/>
              </w:rPr>
              <w:t>（云环检字[2023]第0932号）</w:t>
            </w:r>
            <w:r>
              <w:rPr>
                <w:rFonts w:hint="default" w:ascii="Times New Roman" w:hAnsi="Times New Roman" w:eastAsia="宋体" w:cs="Times New Roman"/>
                <w:color w:val="auto"/>
                <w:highlight w:val="none"/>
              </w:rPr>
              <w:t>，</w:t>
            </w:r>
            <w:r>
              <w:rPr>
                <w:rFonts w:hint="default" w:ascii="Times New Roman" w:hAnsi="Times New Roman" w:cs="Times New Roman"/>
                <w:color w:val="auto"/>
                <w:highlight w:val="none"/>
                <w:lang w:eastAsia="zh-CN"/>
              </w:rPr>
              <w:t>监测</w:t>
            </w:r>
            <w:r>
              <w:rPr>
                <w:rFonts w:hint="default" w:ascii="Times New Roman" w:hAnsi="Times New Roman" w:eastAsia="宋体" w:cs="Times New Roman"/>
                <w:color w:val="auto"/>
                <w:highlight w:val="none"/>
              </w:rPr>
              <w:t>时间为202</w:t>
            </w:r>
            <w:r>
              <w:rPr>
                <w:rFonts w:hint="default" w:ascii="Times New Roman" w:hAnsi="Times New Roman"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15</w:t>
            </w:r>
            <w:r>
              <w:rPr>
                <w:rFonts w:hint="default" w:ascii="Times New Roman" w:hAnsi="Times New Roman" w:eastAsia="宋体" w:cs="Times New Roman"/>
                <w:color w:val="auto"/>
                <w:highlight w:val="none"/>
              </w:rPr>
              <w:t>日~</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21</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kern w:val="0"/>
                <w:highlight w:val="none"/>
              </w:rPr>
              <w:t>监测点位为</w:t>
            </w:r>
            <w:r>
              <w:rPr>
                <w:rFonts w:hint="default" w:ascii="Times New Roman" w:hAnsi="Times New Roman" w:cs="Times New Roman"/>
                <w:color w:val="auto"/>
                <w:kern w:val="0"/>
                <w:highlight w:val="none"/>
                <w:lang w:val="en-US" w:eastAsia="zh-CN"/>
              </w:rPr>
              <w:t>刘赵</w:t>
            </w:r>
            <w:r>
              <w:rPr>
                <w:rFonts w:hint="default" w:ascii="Times New Roman" w:hAnsi="Times New Roman" w:eastAsia="宋体" w:cs="Times New Roman"/>
                <w:color w:val="auto"/>
                <w:highlight w:val="none"/>
                <w:lang w:val="en-US" w:eastAsia="zh-CN"/>
              </w:rPr>
              <w:t>村</w:t>
            </w:r>
            <w:r>
              <w:rPr>
                <w:rFonts w:hint="default" w:ascii="Times New Roman" w:hAnsi="Times New Roman" w:eastAsia="宋体" w:cs="Times New Roman"/>
                <w:color w:val="auto"/>
                <w:kern w:val="0"/>
                <w:highlight w:val="none"/>
              </w:rPr>
              <w:t>，位于本项目</w:t>
            </w:r>
            <w:r>
              <w:rPr>
                <w:rFonts w:hint="default" w:ascii="Times New Roman" w:hAnsi="Times New Roman" w:cs="Times New Roman"/>
                <w:color w:val="auto"/>
                <w:kern w:val="0"/>
                <w:highlight w:val="none"/>
                <w:lang w:val="en-US" w:eastAsia="zh-CN"/>
              </w:rPr>
              <w:t>西</w:t>
            </w:r>
            <w:r>
              <w:rPr>
                <w:rFonts w:hint="default" w:ascii="Times New Roman" w:hAnsi="Times New Roman" w:eastAsia="宋体" w:cs="Times New Roman"/>
                <w:color w:val="auto"/>
                <w:highlight w:val="none"/>
                <w:lang w:val="en-US" w:eastAsia="zh-CN"/>
              </w:rPr>
              <w:t>侧</w:t>
            </w:r>
            <w:r>
              <w:rPr>
                <w:rFonts w:hint="default" w:ascii="Times New Roman" w:hAnsi="Times New Roman" w:eastAsia="宋体" w:cs="Times New Roman"/>
                <w:color w:val="auto"/>
                <w:highlight w:val="none"/>
              </w:rPr>
              <w:t>约</w:t>
            </w:r>
            <w:r>
              <w:rPr>
                <w:rFonts w:hint="default" w:ascii="Times New Roman" w:hAnsi="Times New Roman" w:cs="Times New Roman"/>
                <w:color w:val="auto"/>
                <w:highlight w:val="none"/>
                <w:lang w:val="en-US" w:eastAsia="zh-CN"/>
              </w:rPr>
              <w:t>1550</w:t>
            </w:r>
            <w:r>
              <w:rPr>
                <w:rFonts w:hint="default" w:ascii="Times New Roman" w:hAnsi="Times New Roman" w:eastAsia="宋体" w:cs="Times New Roman"/>
                <w:color w:val="auto"/>
                <w:highlight w:val="none"/>
              </w:rPr>
              <w:t>m。引用现有监测数据满足报告表编制技术指南要求。具体见表3-2。</w:t>
            </w:r>
          </w:p>
          <w:p w14:paraId="4548661A">
            <w:pPr>
              <w:spacing w:line="520" w:lineRule="exact"/>
              <w:jc w:val="center"/>
              <w:rPr>
                <w:rFonts w:hint="default" w:ascii="Times New Roman" w:hAnsi="Times New Roman" w:eastAsia="宋体" w:cs="Times New Roman"/>
                <w:b/>
                <w:color w:val="auto"/>
                <w:sz w:val="24"/>
                <w:highlight w:val="none"/>
              </w:rPr>
            </w:pPr>
            <w:r>
              <w:rPr>
                <w:rFonts w:hint="default" w:ascii="Times New Roman" w:hAnsi="Times New Roman" w:eastAsia="宋体" w:cs="Times New Roman"/>
                <w:b/>
                <w:color w:val="auto"/>
                <w:sz w:val="24"/>
                <w:highlight w:val="none"/>
              </w:rPr>
              <w:t>表3-2  TSP监测数据一览表</w:t>
            </w:r>
          </w:p>
          <w:tbl>
            <w:tblPr>
              <w:tblStyle w:val="4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503"/>
              <w:gridCol w:w="1079"/>
              <w:gridCol w:w="920"/>
              <w:gridCol w:w="985"/>
              <w:gridCol w:w="1396"/>
              <w:gridCol w:w="1039"/>
              <w:gridCol w:w="689"/>
              <w:gridCol w:w="762"/>
            </w:tblGrid>
            <w:tr w14:paraId="5A5B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4CF205B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监测点名称</w:t>
                  </w:r>
                  <w:r>
                    <w:rPr>
                      <w:rFonts w:hint="default" w:ascii="Times New Roman" w:hAnsi="Times New Roman" w:cs="Times New Roman"/>
                      <w:b w:val="0"/>
                      <w:bCs w:val="0"/>
                      <w:color w:val="auto"/>
                      <w:sz w:val="21"/>
                      <w:szCs w:val="21"/>
                      <w:highlight w:val="none"/>
                      <w:lang w:val="en-US" w:eastAsia="zh-CN"/>
                    </w:rPr>
                    <w:t>及采样日期</w:t>
                  </w:r>
                </w:p>
              </w:tc>
              <w:tc>
                <w:tcPr>
                  <w:tcW w:w="644" w:type="pct"/>
                  <w:noWrap w:val="0"/>
                  <w:vAlign w:val="center"/>
                </w:tcPr>
                <w:p w14:paraId="60007FD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549" w:type="pct"/>
                  <w:noWrap w:val="0"/>
                  <w:vAlign w:val="center"/>
                </w:tcPr>
                <w:p w14:paraId="133D96D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平均时间</w:t>
                  </w:r>
                </w:p>
              </w:tc>
              <w:tc>
                <w:tcPr>
                  <w:tcW w:w="588" w:type="pct"/>
                  <w:noWrap w:val="0"/>
                  <w:vAlign w:val="center"/>
                </w:tcPr>
                <w:p w14:paraId="0415B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评价标准</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833" w:type="pct"/>
                  <w:noWrap w:val="0"/>
                  <w:vAlign w:val="center"/>
                </w:tcPr>
                <w:p w14:paraId="638DFEB1">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监测浓度范围</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20" w:type="pct"/>
                  <w:noWrap w:val="0"/>
                  <w:vAlign w:val="center"/>
                </w:tcPr>
                <w:p w14:paraId="12FB10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最大浓度占标率%</w:t>
                  </w:r>
                </w:p>
              </w:tc>
              <w:tc>
                <w:tcPr>
                  <w:tcW w:w="411" w:type="pct"/>
                  <w:noWrap w:val="0"/>
                  <w:vAlign w:val="center"/>
                </w:tcPr>
                <w:p w14:paraId="0A53D24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超标率%</w:t>
                  </w:r>
                </w:p>
              </w:tc>
              <w:tc>
                <w:tcPr>
                  <w:tcW w:w="455" w:type="pct"/>
                  <w:noWrap w:val="0"/>
                  <w:vAlign w:val="center"/>
                </w:tcPr>
                <w:p w14:paraId="6D1FD6F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达标情况</w:t>
                  </w:r>
                </w:p>
              </w:tc>
            </w:tr>
            <w:tr w14:paraId="61D8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1BD153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刘赵村</w:t>
                  </w:r>
                </w:p>
                <w:p w14:paraId="5D3A4CCF">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202</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日~</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日</w:t>
                  </w:r>
                </w:p>
              </w:tc>
              <w:tc>
                <w:tcPr>
                  <w:tcW w:w="644" w:type="pct"/>
                  <w:shd w:val="clear" w:color="auto" w:fill="auto"/>
                  <w:noWrap w:val="0"/>
                  <w:vAlign w:val="center"/>
                </w:tcPr>
                <w:p w14:paraId="6DD4E02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TSP</w:t>
                  </w:r>
                </w:p>
              </w:tc>
              <w:tc>
                <w:tcPr>
                  <w:tcW w:w="549" w:type="pct"/>
                  <w:shd w:val="clear" w:color="auto" w:fill="auto"/>
                  <w:noWrap w:val="0"/>
                  <w:vAlign w:val="center"/>
                </w:tcPr>
                <w:p w14:paraId="0589A3D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小时</w:t>
                  </w:r>
                </w:p>
              </w:tc>
              <w:tc>
                <w:tcPr>
                  <w:tcW w:w="588" w:type="pct"/>
                  <w:shd w:val="clear" w:color="auto" w:fill="auto"/>
                  <w:noWrap w:val="0"/>
                  <w:vAlign w:val="center"/>
                </w:tcPr>
                <w:p w14:paraId="32C8730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0.3</w:t>
                  </w:r>
                </w:p>
              </w:tc>
              <w:tc>
                <w:tcPr>
                  <w:tcW w:w="833" w:type="pct"/>
                  <w:noWrap w:val="0"/>
                  <w:vAlign w:val="center"/>
                </w:tcPr>
                <w:p w14:paraId="404C94F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105</w:t>
                  </w: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297</w:t>
                  </w:r>
                </w:p>
              </w:tc>
              <w:tc>
                <w:tcPr>
                  <w:tcW w:w="620" w:type="pct"/>
                  <w:noWrap w:val="0"/>
                  <w:vAlign w:val="center"/>
                </w:tcPr>
                <w:p w14:paraId="49F7CF5C">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35~99</w:t>
                  </w:r>
                </w:p>
              </w:tc>
              <w:tc>
                <w:tcPr>
                  <w:tcW w:w="411" w:type="pct"/>
                  <w:shd w:val="clear" w:color="auto" w:fill="auto"/>
                  <w:noWrap w:val="0"/>
                  <w:vAlign w:val="center"/>
                </w:tcPr>
                <w:p w14:paraId="6E1D5F9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w:t>
                  </w:r>
                </w:p>
              </w:tc>
              <w:tc>
                <w:tcPr>
                  <w:tcW w:w="455" w:type="pct"/>
                  <w:shd w:val="clear" w:color="auto" w:fill="auto"/>
                  <w:noWrap w:val="0"/>
                  <w:vAlign w:val="center"/>
                </w:tcPr>
                <w:p w14:paraId="382B3FC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达标</w:t>
                  </w:r>
                </w:p>
              </w:tc>
            </w:tr>
          </w:tbl>
          <w:p w14:paraId="183DD360">
            <w:pPr>
              <w:pStyle w:val="115"/>
              <w:keepNext w:val="0"/>
              <w:keepLines w:val="0"/>
              <w:pageBreakBefore w:val="0"/>
              <w:widowControl w:val="0"/>
              <w:kinsoku/>
              <w:wordWrap/>
              <w:overflowPunct/>
              <w:topLinePunct w:val="0"/>
              <w:autoSpaceDE/>
              <w:autoSpaceDN/>
              <w:bidi w:val="0"/>
              <w:adjustRightInd/>
              <w:snapToGrid/>
              <w:spacing w:before="157" w:beforeLines="50"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由上表可知，</w:t>
            </w:r>
            <w:r>
              <w:rPr>
                <w:rFonts w:hint="default" w:ascii="Times New Roman" w:hAnsi="Times New Roman" w:cs="Times New Roman"/>
                <w:bCs/>
                <w:color w:val="auto"/>
                <w:w w:val="100"/>
                <w:kern w:val="2"/>
                <w:sz w:val="24"/>
                <w:szCs w:val="24"/>
                <w:highlight w:val="none"/>
                <w:lang w:val="en-US" w:eastAsia="zh-CN" w:bidi="ar-SA"/>
              </w:rPr>
              <w:t>项目所在区域</w:t>
            </w:r>
            <w:r>
              <w:rPr>
                <w:rFonts w:hint="default" w:ascii="Times New Roman" w:hAnsi="Times New Roman" w:eastAsia="宋体" w:cs="Times New Roman"/>
                <w:bCs/>
                <w:color w:val="auto"/>
                <w:kern w:val="2"/>
                <w:sz w:val="24"/>
                <w:szCs w:val="24"/>
                <w:highlight w:val="none"/>
                <w:lang w:val="en-US" w:eastAsia="zh-CN" w:bidi="ar-SA"/>
              </w:rPr>
              <w:t>评价区域大气中TSP日平均浓度满足《环境空气质量标准》 （GB3095-2012）中二级标准</w:t>
            </w:r>
            <w:r>
              <w:rPr>
                <w:rFonts w:hint="default" w:ascii="Times New Roman" w:hAnsi="Times New Roman" w:eastAsia="宋体" w:cs="Times New Roman"/>
                <w:color w:val="auto"/>
                <w:highlight w:val="none"/>
              </w:rPr>
              <w:t>及其修改单要求。</w:t>
            </w:r>
          </w:p>
          <w:p w14:paraId="395F7B06">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2、声环境质量现状</w:t>
            </w:r>
          </w:p>
          <w:p w14:paraId="07B5007E">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项目厂界外50m范围内不存在声环境保护目标，</w:t>
            </w:r>
            <w:r>
              <w:rPr>
                <w:rFonts w:hint="default" w:ascii="Times New Roman" w:hAnsi="Times New Roman" w:eastAsia="宋体" w:cs="Times New Roman"/>
                <w:color w:val="auto"/>
                <w:kern w:val="0"/>
                <w:position w:val="2"/>
                <w:highlight w:val="none"/>
              </w:rPr>
              <w:t>根据《建设项目环境影响报告表编制技术指南(污染影响类)(试行)》要求，</w:t>
            </w:r>
            <w:r>
              <w:rPr>
                <w:rFonts w:hint="default" w:ascii="Times New Roman" w:hAnsi="Times New Roman" w:eastAsia="宋体" w:cs="Times New Roman"/>
                <w:color w:val="auto"/>
                <w:highlight w:val="none"/>
              </w:rPr>
              <w:t>不需进行声环境质量现状监测及评价。</w:t>
            </w:r>
            <w:r>
              <w:rPr>
                <w:rFonts w:hint="default" w:ascii="Times New Roman" w:hAnsi="Times New Roman" w:eastAsia="宋体" w:cs="Times New Roman"/>
                <w:bCs/>
                <w:color w:val="auto"/>
                <w:sz w:val="24"/>
                <w:highlight w:val="none"/>
                <w:lang w:val="en-US" w:eastAsia="zh-CN"/>
              </w:rPr>
              <w:t>区域声环境现状符合《声环境质量标准》（GB3096-2008）3类标准要求，声环境质量良好。</w:t>
            </w:r>
          </w:p>
          <w:p w14:paraId="1E404C1B">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b/>
                <w:bCs/>
                <w:color w:val="auto"/>
                <w:highlight w:val="none"/>
              </w:rPr>
            </w:pPr>
            <w:r>
              <w:rPr>
                <w:rFonts w:hint="default"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rPr>
              <w:t>、地表水环境质量现状</w:t>
            </w:r>
          </w:p>
          <w:p w14:paraId="1012EC12">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lang w:eastAsia="zh-CN"/>
              </w:rPr>
              <w:t>根据</w:t>
            </w:r>
            <w:r>
              <w:rPr>
                <w:rFonts w:hint="default" w:ascii="Times New Roman" w:hAnsi="Times New Roman" w:cs="Times New Roman"/>
                <w:bCs/>
                <w:color w:val="auto"/>
                <w:sz w:val="24"/>
                <w:highlight w:val="none"/>
              </w:rPr>
              <w:t>《</w:t>
            </w:r>
            <w:r>
              <w:rPr>
                <w:rFonts w:hint="default" w:ascii="Times New Roman" w:hAnsi="Times New Roman" w:cs="Times New Roman"/>
                <w:bCs/>
                <w:color w:val="auto"/>
                <w:sz w:val="24"/>
                <w:highlight w:val="none"/>
                <w:lang w:eastAsia="zh-CN"/>
              </w:rPr>
              <w:t>2024年石家庄市生态环境状况公报》，</w:t>
            </w:r>
            <w:r>
              <w:rPr>
                <w:rFonts w:hint="default" w:ascii="Times New Roman" w:hAnsi="Times New Roman" w:eastAsia="宋体" w:cs="Times New Roman"/>
                <w:bCs/>
                <w:color w:val="auto"/>
                <w:sz w:val="24"/>
                <w:highlight w:val="none"/>
                <w:lang w:val="en-US" w:eastAsia="zh-CN"/>
              </w:rPr>
              <w:t>2024年，石家庄市地表水环境质量总体保持稳定，水质状况为轻度污染，其中水库水质状况为优，河流(渠)水质状况为轻度污染。全市12个地表水国省考断面中(2个监测断面长期断流无数据)，Ⅰ~Ш类水质断面共计8个，占比80%，IV类水质断面共计2个，占比20%，无V类、劣V类水。</w:t>
            </w:r>
          </w:p>
          <w:p w14:paraId="48EDA019">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河流(渠)水质状况</w:t>
            </w:r>
            <w:r>
              <w:rPr>
                <w:rFonts w:hint="default" w:ascii="Times New Roman" w:hAnsi="Times New Roman"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绵河-冶河、石津总干渠水质状况为优，槐河和滹沱河水质状况为良好，洨河和汪洋沟水质状况为轻度污染，磁河、午河长期断流无数据。</w:t>
            </w:r>
          </w:p>
          <w:p w14:paraId="70C1012D">
            <w:pPr>
              <w:numPr>
                <w:ilvl w:val="0"/>
                <w:numId w:val="0"/>
              </w:numPr>
              <w:autoSpaceDE w:val="0"/>
              <w:autoSpaceDN w:val="0"/>
              <w:adjustRightInd w:val="0"/>
              <w:spacing w:line="360" w:lineRule="auto"/>
              <w:ind w:leftChars="0" w:firstLine="480" w:firstLineChars="200"/>
              <w:jc w:val="left"/>
              <w:rPr>
                <w:rFonts w:hint="eastAsia"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距</w:t>
            </w:r>
            <w:r>
              <w:rPr>
                <w:rFonts w:hint="eastAsia" w:ascii="Times New Roman" w:hAnsi="Times New Roman" w:eastAsia="宋体" w:cs="Times New Roman"/>
                <w:bCs/>
                <w:color w:val="auto"/>
                <w:sz w:val="24"/>
                <w:highlight w:val="none"/>
                <w:lang w:val="en-US" w:eastAsia="zh-CN"/>
              </w:rPr>
              <w:t>项目</w:t>
            </w:r>
            <w:r>
              <w:rPr>
                <w:rFonts w:hint="default" w:ascii="Times New Roman" w:hAnsi="Times New Roman" w:eastAsia="宋体" w:cs="Times New Roman"/>
                <w:bCs/>
                <w:color w:val="auto"/>
                <w:sz w:val="24"/>
                <w:highlight w:val="none"/>
                <w:lang w:val="en-US" w:eastAsia="zh-CN"/>
              </w:rPr>
              <w:t>最近的河流</w:t>
            </w:r>
            <w:r>
              <w:rPr>
                <w:rFonts w:hint="eastAsia" w:ascii="Times New Roman" w:hAnsi="Times New Roman" w:eastAsia="宋体" w:cs="Times New Roman"/>
                <w:bCs/>
                <w:color w:val="auto"/>
                <w:sz w:val="24"/>
                <w:highlight w:val="none"/>
                <w:lang w:val="en-US" w:eastAsia="zh-CN"/>
              </w:rPr>
              <w:t>为项目东侧3.7km处的冶河，</w:t>
            </w:r>
            <w:r>
              <w:rPr>
                <w:rFonts w:hint="default" w:ascii="Times New Roman" w:hAnsi="Times New Roman" w:eastAsia="宋体" w:cs="Times New Roman"/>
                <w:bCs/>
                <w:color w:val="auto"/>
                <w:sz w:val="24"/>
                <w:highlight w:val="none"/>
                <w:lang w:val="en-US" w:eastAsia="zh-CN"/>
              </w:rPr>
              <w:t>根据《2024年石家庄市生态环境状况公报》</w:t>
            </w:r>
            <w:r>
              <w:rPr>
                <w:rFonts w:hint="eastAsia"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冶河水质状况为优，达到地表Ⅲ类水以上标准要求</w:t>
            </w:r>
            <w:r>
              <w:rPr>
                <w:rFonts w:hint="eastAsia" w:ascii="Times New Roman" w:hAnsi="Times New Roman" w:eastAsia="宋体" w:cs="Times New Roman"/>
                <w:bCs/>
                <w:color w:val="auto"/>
                <w:sz w:val="24"/>
                <w:highlight w:val="none"/>
                <w:lang w:val="en-US" w:eastAsia="zh-CN"/>
              </w:rPr>
              <w:t>。</w:t>
            </w:r>
          </w:p>
          <w:p w14:paraId="3B2730F1">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rPr>
              <w:t>、地下水</w:t>
            </w:r>
            <w:r>
              <w:rPr>
                <w:rFonts w:hint="default" w:ascii="Times New Roman" w:hAnsi="Times New Roman" w:eastAsia="宋体" w:cs="Times New Roman"/>
                <w:b/>
                <w:bCs/>
                <w:color w:val="auto"/>
                <w:highlight w:val="none"/>
                <w:lang w:eastAsia="zh-CN"/>
              </w:rPr>
              <w:t>、</w:t>
            </w:r>
            <w:r>
              <w:rPr>
                <w:rFonts w:hint="default" w:ascii="Times New Roman" w:hAnsi="Times New Roman" w:eastAsia="宋体" w:cs="Times New Roman"/>
                <w:b/>
                <w:bCs/>
                <w:color w:val="auto"/>
                <w:highlight w:val="none"/>
                <w:lang w:val="en-US" w:eastAsia="zh-CN"/>
              </w:rPr>
              <w:t>土壤</w:t>
            </w:r>
            <w:r>
              <w:rPr>
                <w:rFonts w:hint="default" w:ascii="Times New Roman" w:hAnsi="Times New Roman" w:eastAsia="宋体" w:cs="Times New Roman"/>
                <w:b/>
                <w:bCs/>
                <w:color w:val="auto"/>
                <w:highlight w:val="none"/>
              </w:rPr>
              <w:t>环境质量现状</w:t>
            </w:r>
          </w:p>
          <w:p w14:paraId="0AEE11C5">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根据《建设项目环境影响报告表编制技术指南（污染影响类）（试行）》中要求，地下水环境原则上不开展环境质量现状调查。</w:t>
            </w: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在工业园区内</w:t>
            </w:r>
            <w:r>
              <w:rPr>
                <w:rFonts w:hint="default" w:ascii="Times New Roman" w:hAnsi="Times New Roman" w:cs="Times New Roman"/>
                <w:color w:val="auto"/>
                <w:sz w:val="24"/>
                <w:highlight w:val="none"/>
                <w:lang w:val="en-US" w:eastAsia="zh-CN"/>
              </w:rPr>
              <w:t>建设</w:t>
            </w:r>
            <w:r>
              <w:rPr>
                <w:rFonts w:hint="default" w:ascii="Times New Roman" w:hAnsi="Times New Roman" w:eastAsia="宋体" w:cs="Times New Roman"/>
                <w:color w:val="auto"/>
                <w:sz w:val="24"/>
                <w:highlight w:val="none"/>
              </w:rPr>
              <w:t>，而且</w:t>
            </w:r>
            <w:r>
              <w:rPr>
                <w:rFonts w:hint="default" w:ascii="Times New Roman" w:hAnsi="Times New Roman" w:eastAsia="宋体" w:cs="Times New Roman"/>
                <w:color w:val="auto"/>
                <w:sz w:val="24"/>
                <w:highlight w:val="none"/>
                <w:lang w:val="en-US" w:eastAsia="zh-CN"/>
              </w:rPr>
              <w:t>项目车间</w:t>
            </w:r>
            <w:r>
              <w:rPr>
                <w:rFonts w:hint="default" w:ascii="Times New Roman" w:hAnsi="Times New Roman" w:eastAsia="宋体" w:cs="Times New Roman"/>
                <w:color w:val="auto"/>
                <w:sz w:val="24"/>
                <w:highlight w:val="none"/>
              </w:rPr>
              <w:t>地面均进行水泥浇筑硬化处理。本项目在严格落实本环评所提环保措施及“三同时”制度前提下，不存在地下水及土壤环境污染途径，因此不再对地下水、土壤环境质量现状进行调查。</w:t>
            </w:r>
          </w:p>
          <w:p w14:paraId="747AB29E">
            <w:pPr>
              <w:keepNext w:val="0"/>
              <w:keepLines w:val="0"/>
              <w:pageBreakBefore w:val="0"/>
              <w:kinsoku/>
              <w:wordWrap/>
              <w:overflowPunct/>
              <w:topLinePunct w:val="0"/>
              <w:autoSpaceDN/>
              <w:bidi w:val="0"/>
              <w:adjustRightInd/>
              <w:snapToGrid/>
              <w:spacing w:line="360" w:lineRule="auto"/>
              <w:ind w:firstLine="482" w:firstLineChars="200"/>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color w:val="auto"/>
                <w:kern w:val="0"/>
                <w:sz w:val="24"/>
                <w:highlight w:val="none"/>
                <w:lang w:val="en-US" w:eastAsia="zh-CN"/>
              </w:rPr>
              <w:t>5</w:t>
            </w:r>
            <w:r>
              <w:rPr>
                <w:rFonts w:hint="default" w:ascii="Times New Roman" w:hAnsi="Times New Roman" w:eastAsia="宋体" w:cs="Times New Roman"/>
                <w:b/>
                <w:color w:val="auto"/>
                <w:kern w:val="0"/>
                <w:sz w:val="24"/>
                <w:highlight w:val="none"/>
              </w:rPr>
              <w:t>、生态环境质量现状</w:t>
            </w:r>
          </w:p>
          <w:p w14:paraId="2C90B08D">
            <w:pPr>
              <w:keepNext w:val="0"/>
              <w:keepLines w:val="0"/>
              <w:pageBreakBefore w:val="0"/>
              <w:kinsoku/>
              <w:wordWrap/>
              <w:overflowPunct/>
              <w:topLinePunct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本项目位于河北省石家庄市</w:t>
            </w:r>
            <w:r>
              <w:rPr>
                <w:rFonts w:hint="default" w:ascii="Times New Roman" w:hAnsi="Times New Roman" w:cs="Times New Roman"/>
                <w:color w:val="auto"/>
                <w:sz w:val="24"/>
                <w:highlight w:val="none"/>
                <w:lang w:val="en-US" w:eastAsia="zh-CN"/>
              </w:rPr>
              <w:t>井陉矿区丰达产业园东区7号</w:t>
            </w:r>
            <w:r>
              <w:rPr>
                <w:rFonts w:hint="default" w:ascii="Times New Roman" w:hAnsi="Times New Roman" w:eastAsia="宋体" w:cs="Times New Roman"/>
                <w:color w:val="auto"/>
                <w:sz w:val="24"/>
                <w:highlight w:val="none"/>
              </w:rPr>
              <w:t>，项目位于产业园区内，无需进行生态现状调查。</w:t>
            </w:r>
          </w:p>
          <w:p w14:paraId="10DE2BB2">
            <w:pPr>
              <w:keepNext w:val="0"/>
              <w:keepLines w:val="0"/>
              <w:pageBreakBefore w:val="0"/>
              <w:widowControl/>
              <w:kinsoku/>
              <w:wordWrap/>
              <w:overflowPunct/>
              <w:topLinePunct w:val="0"/>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kern w:val="0"/>
                <w:sz w:val="24"/>
                <w:highlight w:val="none"/>
              </w:rPr>
            </w:pPr>
            <w:r>
              <w:rPr>
                <w:rFonts w:hint="default" w:ascii="Times New Roman" w:hAnsi="Times New Roman" w:eastAsia="宋体" w:cs="Times New Roman"/>
                <w:b/>
                <w:color w:val="auto"/>
                <w:kern w:val="0"/>
                <w:sz w:val="24"/>
                <w:highlight w:val="none"/>
                <w:lang w:val="en-US" w:eastAsia="zh-CN"/>
              </w:rPr>
              <w:t>6</w:t>
            </w:r>
            <w:r>
              <w:rPr>
                <w:rFonts w:hint="default" w:ascii="Times New Roman" w:hAnsi="Times New Roman" w:eastAsia="宋体" w:cs="Times New Roman"/>
                <w:b/>
                <w:color w:val="auto"/>
                <w:kern w:val="0"/>
                <w:sz w:val="24"/>
                <w:highlight w:val="none"/>
              </w:rPr>
              <w:t>、电磁辐射</w:t>
            </w:r>
          </w:p>
          <w:p w14:paraId="64FE55D9">
            <w:pPr>
              <w:pStyle w:val="36"/>
              <w:keepNext w:val="0"/>
              <w:keepLines w:val="0"/>
              <w:pageBreakBefore w:val="0"/>
              <w:widowControl w:val="0"/>
              <w:kinsoku/>
              <w:wordWrap/>
              <w:overflowPunct/>
              <w:topLinePunct w:val="0"/>
              <w:autoSpaceDE w:val="0"/>
              <w:autoSpaceDN/>
              <w:bidi w:val="0"/>
              <w:adjustRightInd/>
              <w:snapToGrid/>
              <w:spacing w:before="0" w:beforeAutospacing="0" w:after="0" w:afterAutospacing="0" w:line="360" w:lineRule="auto"/>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rPr>
              <w:t>本项目不属于电磁辐射类项目，不涉及电磁辐射</w:t>
            </w:r>
            <w:r>
              <w:rPr>
                <w:rFonts w:hint="default" w:ascii="Times New Roman" w:hAnsi="Times New Roman" w:eastAsia="宋体" w:cs="Times New Roman"/>
                <w:color w:val="auto"/>
                <w:szCs w:val="21"/>
                <w:highlight w:val="none"/>
              </w:rPr>
              <w:t>。</w:t>
            </w:r>
          </w:p>
        </w:tc>
      </w:tr>
      <w:tr w14:paraId="43758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7" w:hRule="atLeast"/>
          <w:jc w:val="center"/>
        </w:trPr>
        <w:tc>
          <w:tcPr>
            <w:tcW w:w="800" w:type="dxa"/>
            <w:tcBorders>
              <w:tl2br w:val="nil"/>
              <w:tr2bl w:val="nil"/>
            </w:tcBorders>
            <w:vAlign w:val="center"/>
          </w:tcPr>
          <w:p w14:paraId="1251955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3FC6DA1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56FC512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保</w:t>
            </w:r>
          </w:p>
          <w:p w14:paraId="6DC7ED5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护</w:t>
            </w:r>
          </w:p>
          <w:p w14:paraId="01BD539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目</w:t>
            </w:r>
          </w:p>
          <w:p w14:paraId="575C3BC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357A4B7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1、大气环境</w:t>
            </w:r>
          </w:p>
          <w:p w14:paraId="06E2E8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项目厂界外500m范围内无风景名胜区、自然保护区、文化区和农村地区等保护目标。</w:t>
            </w:r>
          </w:p>
          <w:p w14:paraId="34706BC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2、声环境</w:t>
            </w:r>
          </w:p>
          <w:p w14:paraId="2CB984D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项目厂界外50米范围内不存在声环境保护目标。</w:t>
            </w:r>
          </w:p>
          <w:p w14:paraId="1740DD4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3、地下水环境</w:t>
            </w:r>
          </w:p>
          <w:p w14:paraId="3812BB6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本项目厂界外500米范围内不存在地下水集中式饮用水水源和热水、矿泉水、温泉等特殊地下水资源。</w:t>
            </w:r>
          </w:p>
          <w:p w14:paraId="54F6BC1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4、生态环境</w:t>
            </w:r>
          </w:p>
          <w:p w14:paraId="7F9B269F">
            <w:pPr>
              <w:spacing w:line="44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bCs/>
                <w:color w:val="auto"/>
                <w:sz w:val="24"/>
                <w:highlight w:val="none"/>
              </w:rPr>
              <w:t>项目用地范围内无生态环境保护目标</w:t>
            </w:r>
            <w:r>
              <w:rPr>
                <w:rFonts w:hint="default" w:ascii="Times New Roman" w:hAnsi="Times New Roman" w:eastAsia="宋体" w:cs="Times New Roman"/>
                <w:bCs/>
                <w:color w:val="auto"/>
                <w:sz w:val="24"/>
                <w:szCs w:val="21"/>
                <w:highlight w:val="none"/>
              </w:rPr>
              <w:t>。</w:t>
            </w:r>
          </w:p>
          <w:p w14:paraId="34A829A2">
            <w:pPr>
              <w:pStyle w:val="51"/>
              <w:ind w:firstLine="0" w:firstLineChars="0"/>
              <w:rPr>
                <w:rFonts w:hint="default" w:ascii="Times New Roman" w:hAnsi="Times New Roman" w:cs="Times New Roman"/>
                <w:color w:val="auto"/>
                <w:highlight w:val="none"/>
              </w:rPr>
            </w:pPr>
          </w:p>
        </w:tc>
      </w:tr>
      <w:tr w14:paraId="2A31D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tcMar>
              <w:left w:w="28" w:type="dxa"/>
              <w:right w:w="28" w:type="dxa"/>
            </w:tcMar>
            <w:vAlign w:val="center"/>
          </w:tcPr>
          <w:p w14:paraId="7EDACC6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污染</w:t>
            </w:r>
          </w:p>
          <w:p w14:paraId="250B581A">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物排</w:t>
            </w:r>
          </w:p>
          <w:p w14:paraId="2B7175A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放控</w:t>
            </w:r>
          </w:p>
          <w:p w14:paraId="375A1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制标</w:t>
            </w:r>
          </w:p>
          <w:p w14:paraId="2C881BC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准</w:t>
            </w:r>
          </w:p>
        </w:tc>
        <w:tc>
          <w:tcPr>
            <w:tcW w:w="8200" w:type="dxa"/>
            <w:tcBorders>
              <w:tl2br w:val="nil"/>
              <w:tr2bl w:val="nil"/>
            </w:tcBorders>
            <w:vAlign w:val="center"/>
          </w:tcPr>
          <w:p w14:paraId="2CB2DD2D">
            <w:pPr>
              <w:pStyle w:val="60"/>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施工期：</w:t>
            </w:r>
          </w:p>
          <w:p w14:paraId="0686BF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1、废气</w:t>
            </w:r>
          </w:p>
          <w:p w14:paraId="574646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w:t>
            </w:r>
            <w:r>
              <w:rPr>
                <w:rFonts w:hint="default" w:ascii="Times New Roman" w:hAnsi="Times New Roman" w:cs="Times New Roman"/>
                <w:color w:val="auto"/>
                <w:sz w:val="24"/>
                <w:highlight w:val="none"/>
                <w:lang w:eastAsia="zh-CN"/>
              </w:rPr>
              <w:t>期</w:t>
            </w:r>
            <w:r>
              <w:rPr>
                <w:rFonts w:hint="default" w:ascii="Times New Roman" w:hAnsi="Times New Roman" w:cs="Times New Roman"/>
                <w:color w:val="auto"/>
                <w:sz w:val="24"/>
                <w:highlight w:val="none"/>
              </w:rPr>
              <w:t>扬尘排放执行《施工场地扬尘排放标准》(DB13/2934-2019)表1扬尘排放浓度限值。</w:t>
            </w:r>
          </w:p>
          <w:p w14:paraId="2A0633B2">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2A630A6D">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5DF9F3BB">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表3-</w:t>
            </w:r>
            <w:r>
              <w:rPr>
                <w:rFonts w:hint="default"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扬尘排放标准值</w:t>
            </w:r>
          </w:p>
          <w:tbl>
            <w:tblPr>
              <w:tblStyle w:val="40"/>
              <w:tblW w:w="4998"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076"/>
              <w:gridCol w:w="1654"/>
              <w:gridCol w:w="1583"/>
              <w:gridCol w:w="4055"/>
            </w:tblGrid>
            <w:tr w14:paraId="6D4D49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4869A6F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控制项目</w:t>
                  </w:r>
                </w:p>
              </w:tc>
              <w:tc>
                <w:tcPr>
                  <w:tcW w:w="988" w:type="pct"/>
                  <w:tcBorders>
                    <w:tl2br w:val="nil"/>
                    <w:tr2bl w:val="nil"/>
                  </w:tcBorders>
                  <w:vAlign w:val="center"/>
                </w:tcPr>
                <w:p w14:paraId="12A1D9D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监控点浓度限值</w:t>
                  </w: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（μg/m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p>
              </w:tc>
              <w:tc>
                <w:tcPr>
                  <w:tcW w:w="946" w:type="pct"/>
                  <w:tcBorders>
                    <w:right w:val="single" w:color="auto" w:sz="4" w:space="0"/>
                    <w:tl2br w:val="nil"/>
                    <w:tr2bl w:val="nil"/>
                  </w:tcBorders>
                  <w:vAlign w:val="center"/>
                </w:tcPr>
                <w:p w14:paraId="75339D4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达标判定依据（次/天）</w:t>
                  </w:r>
                </w:p>
              </w:tc>
              <w:tc>
                <w:tcPr>
                  <w:tcW w:w="2421" w:type="pct"/>
                  <w:tcBorders>
                    <w:left w:val="single" w:color="auto" w:sz="4" w:space="0"/>
                    <w:tl2br w:val="nil"/>
                    <w:tr2bl w:val="nil"/>
                  </w:tcBorders>
                  <w:vAlign w:val="center"/>
                </w:tcPr>
                <w:p w14:paraId="0B049F42">
                  <w:pPr>
                    <w:pStyle w:val="61"/>
                    <w:rPr>
                      <w:rFonts w:hint="default" w:ascii="Times New Roman" w:hAnsi="Times New Roman" w:cs="Times New Roman"/>
                      <w:color w:val="auto"/>
                      <w:szCs w:val="21"/>
                      <w:highlight w:val="none"/>
                      <w:lang w:eastAsia="zh-CN"/>
                    </w:rPr>
                  </w:pPr>
                  <w:r>
                    <w:rPr>
                      <w:rFonts w:hint="default" w:ascii="Times New Roman" w:hAnsi="Times New Roman" w:cs="Times New Roman"/>
                      <w:color w:val="auto"/>
                      <w:szCs w:val="21"/>
                      <w:highlight w:val="none"/>
                      <w:lang w:eastAsia="zh-CN"/>
                    </w:rPr>
                    <w:t>执行标准</w:t>
                  </w:r>
                </w:p>
              </w:tc>
            </w:tr>
            <w:tr w14:paraId="7B9839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1174BDD5">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988" w:type="pct"/>
                  <w:tcBorders>
                    <w:tl2br w:val="nil"/>
                    <w:tr2bl w:val="nil"/>
                  </w:tcBorders>
                  <w:vAlign w:val="center"/>
                </w:tcPr>
                <w:p w14:paraId="2713576F">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80</w:t>
                  </w:r>
                </w:p>
              </w:tc>
              <w:tc>
                <w:tcPr>
                  <w:tcW w:w="946" w:type="pct"/>
                  <w:tcBorders>
                    <w:right w:val="single" w:color="auto" w:sz="4" w:space="0"/>
                    <w:tl2br w:val="nil"/>
                    <w:tr2bl w:val="nil"/>
                  </w:tcBorders>
                  <w:vAlign w:val="center"/>
                </w:tcPr>
                <w:p w14:paraId="71D2E7C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2421" w:type="pct"/>
                  <w:tcBorders>
                    <w:left w:val="single" w:color="auto" w:sz="4" w:space="0"/>
                    <w:tl2br w:val="nil"/>
                    <w:tr2bl w:val="nil"/>
                  </w:tcBorders>
                  <w:vAlign w:val="center"/>
                </w:tcPr>
                <w:p w14:paraId="7CE3C59A">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《施工场地扬尘排放标准》(DB13/2934-2019)表1扬尘排放浓度限值</w:t>
                  </w:r>
                </w:p>
              </w:tc>
            </w:tr>
            <w:tr w14:paraId="4573E4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00" w:type="pct"/>
                  <w:gridSpan w:val="4"/>
                  <w:tcBorders>
                    <w:tl2br w:val="nil"/>
                    <w:tr2bl w:val="nil"/>
                  </w:tcBorders>
                  <w:vAlign w:val="center"/>
                </w:tcPr>
                <w:p w14:paraId="43E2EFB8">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指监测点PM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小时平均浓度实测值与同时段所属县（市、区）PM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小时平均浓度的差值。当县（市、区）PM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小时平均浓度值大于150µg/m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时，以150µg/m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计。</w:t>
                  </w:r>
                </w:p>
              </w:tc>
            </w:tr>
          </w:tbl>
          <w:p w14:paraId="26C068A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、噪声</w:t>
            </w:r>
          </w:p>
          <w:p w14:paraId="7E05960C">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本项目施工期噪声执行《建筑施工场界环境噪声排放标准》（GB 12523-2011）表1标准</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eastAsia="宋体" w:cs="Times New Roman"/>
                <w:color w:val="auto"/>
                <w:highlight w:val="none"/>
              </w:rPr>
              <w:t>表1标准。具体标准值见表3-</w:t>
            </w:r>
            <w:r>
              <w:rPr>
                <w:rFonts w:hint="default"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rPr>
              <w:t>。</w:t>
            </w:r>
          </w:p>
          <w:p w14:paraId="41B1C47C">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表3-</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 xml:space="preserve">   建筑施工场界环境噪声排放限值</w:t>
            </w:r>
          </w:p>
          <w:tbl>
            <w:tblPr>
              <w:tblStyle w:val="40"/>
              <w:tblW w:w="4991" w:type="pct"/>
              <w:tblInd w:w="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233"/>
              <w:gridCol w:w="1293"/>
              <w:gridCol w:w="1835"/>
            </w:tblGrid>
            <w:tr w14:paraId="693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5E0CC39">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标准</w:t>
                  </w:r>
                </w:p>
              </w:tc>
              <w:tc>
                <w:tcPr>
                  <w:tcW w:w="773" w:type="pct"/>
                  <w:tcBorders>
                    <w:left w:val="single" w:color="auto" w:sz="4" w:space="0"/>
                    <w:tl2br w:val="nil"/>
                    <w:tr2bl w:val="nil"/>
                  </w:tcBorders>
                  <w:shd w:val="clear" w:color="auto" w:fill="auto"/>
                  <w:vAlign w:val="center"/>
                </w:tcPr>
                <w:p w14:paraId="563BB3D5">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昼间</w:t>
                  </w:r>
                </w:p>
              </w:tc>
              <w:tc>
                <w:tcPr>
                  <w:tcW w:w="1097" w:type="pct"/>
                  <w:tcBorders>
                    <w:tl2br w:val="nil"/>
                    <w:tr2bl w:val="nil"/>
                  </w:tcBorders>
                  <w:vAlign w:val="center"/>
                </w:tcPr>
                <w:p w14:paraId="615AFD21">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夜间</w:t>
                  </w:r>
                </w:p>
              </w:tc>
            </w:tr>
            <w:tr w14:paraId="71B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2B8240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color w:val="auto"/>
                      <w:highlight w:val="none"/>
                    </w:rPr>
                    <w:t>《建筑施工场界环境噪声排放标准》（GB 12523-2011）</w:t>
                  </w:r>
                </w:p>
              </w:tc>
              <w:tc>
                <w:tcPr>
                  <w:tcW w:w="773" w:type="pct"/>
                  <w:tcBorders>
                    <w:left w:val="single" w:color="auto" w:sz="4" w:space="0"/>
                    <w:tl2br w:val="nil"/>
                    <w:tr2bl w:val="nil"/>
                  </w:tcBorders>
                  <w:shd w:val="clear" w:color="auto" w:fill="auto"/>
                  <w:vAlign w:val="center"/>
                </w:tcPr>
                <w:p w14:paraId="755FABC2">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vAlign w:val="center"/>
                </w:tcPr>
                <w:p w14:paraId="5F4B9431">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098E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7B2B8F0B">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w:t>
                  </w:r>
                </w:p>
              </w:tc>
              <w:tc>
                <w:tcPr>
                  <w:tcW w:w="773" w:type="pct"/>
                  <w:tcBorders>
                    <w:left w:val="single" w:color="auto" w:sz="4" w:space="0"/>
                    <w:tl2br w:val="nil"/>
                    <w:tr2bl w:val="nil"/>
                  </w:tcBorders>
                  <w:shd w:val="clear" w:color="auto" w:fill="auto"/>
                  <w:vAlign w:val="center"/>
                </w:tcPr>
                <w:p w14:paraId="00F607E0">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28C704E8">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7E9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5E594B9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本项目</w:t>
                  </w:r>
                </w:p>
              </w:tc>
              <w:tc>
                <w:tcPr>
                  <w:tcW w:w="773" w:type="pct"/>
                  <w:tcBorders>
                    <w:left w:val="single" w:color="auto" w:sz="4" w:space="0"/>
                    <w:tl2br w:val="nil"/>
                    <w:tr2bl w:val="nil"/>
                  </w:tcBorders>
                  <w:shd w:val="clear" w:color="auto" w:fill="auto"/>
                  <w:vAlign w:val="center"/>
                </w:tcPr>
                <w:p w14:paraId="4D7B1583">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69B4FF6C">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bl>
          <w:p w14:paraId="7D08FBD1">
            <w:pPr>
              <w:pStyle w:val="78"/>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运营期：</w:t>
            </w:r>
          </w:p>
          <w:p w14:paraId="0EFF7CC0">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1、废气</w:t>
            </w:r>
          </w:p>
          <w:p w14:paraId="49BCEBEF">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项目运营期生产过程中产生的大气污染物为</w:t>
            </w: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eastAsia="zh-CN"/>
              </w:rPr>
              <w:t>。</w:t>
            </w:r>
          </w:p>
          <w:p w14:paraId="74AC17FA">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eastAsia="zh-CN"/>
              </w:rPr>
              <w:t>有组织</w:t>
            </w:r>
            <w:r>
              <w:rPr>
                <w:rFonts w:hint="default" w:ascii="Times New Roman" w:hAnsi="Times New Roman" w:eastAsia="宋体" w:cs="Times New Roman"/>
                <w:color w:val="auto"/>
                <w:sz w:val="24"/>
                <w:szCs w:val="24"/>
                <w:highlight w:val="none"/>
              </w:rPr>
              <w:t>排放</w:t>
            </w:r>
            <w:r>
              <w:rPr>
                <w:rFonts w:hint="default" w:ascii="Times New Roman" w:hAnsi="Times New Roman" w:eastAsia="宋体" w:cs="Times New Roman"/>
                <w:color w:val="auto"/>
                <w:sz w:val="24"/>
                <w:szCs w:val="24"/>
                <w:highlight w:val="none"/>
                <w:lang w:val="en-US" w:eastAsia="zh-CN"/>
              </w:rPr>
              <w:t>满足《水泥工业大气污染物超低排放标准》(DB13/2167-2020)中表1中水泥仓及其它通风生产设备标准限值；无组织</w:t>
            </w:r>
            <w:r>
              <w:rPr>
                <w:rFonts w:hint="default" w:ascii="Times New Roman" w:hAnsi="Times New Roman" w:eastAsia="宋体" w:cs="Times New Roman"/>
                <w:color w:val="auto"/>
                <w:sz w:val="24"/>
                <w:szCs w:val="24"/>
                <w:highlight w:val="none"/>
              </w:rPr>
              <w:t>排放执行</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eastAsia="zh-CN"/>
              </w:rPr>
              <w:t>。</w:t>
            </w:r>
          </w:p>
          <w:p w14:paraId="7383358F">
            <w:pPr>
              <w:adjustRightInd w:val="0"/>
              <w:snapToGrid w:val="0"/>
              <w:spacing w:line="360" w:lineRule="auto"/>
              <w:jc w:val="center"/>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表3-</w:t>
            </w:r>
            <w:r>
              <w:rPr>
                <w:rFonts w:hint="default" w:ascii="Times New Roman" w:hAnsi="Times New Roman"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lang w:val="en-US" w:eastAsia="zh-CN"/>
              </w:rPr>
              <w:t xml:space="preserve">  大气污染物排放标准一览表</w:t>
            </w:r>
          </w:p>
          <w:tbl>
            <w:tblPr>
              <w:tblStyle w:val="40"/>
              <w:tblW w:w="50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892"/>
              <w:gridCol w:w="2234"/>
              <w:gridCol w:w="4449"/>
            </w:tblGrid>
            <w:tr w14:paraId="7EC1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49" w:type="pct"/>
                  <w:gridSpan w:val="2"/>
                  <w:noWrap w:val="0"/>
                  <w:vAlign w:val="center"/>
                </w:tcPr>
                <w:p w14:paraId="26015D0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污染物名称</w:t>
                  </w:r>
                </w:p>
              </w:tc>
              <w:tc>
                <w:tcPr>
                  <w:tcW w:w="1320" w:type="pct"/>
                  <w:noWrap w:val="0"/>
                  <w:vAlign w:val="center"/>
                </w:tcPr>
                <w:p w14:paraId="74690080">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p>
              </w:tc>
              <w:tc>
                <w:tcPr>
                  <w:tcW w:w="2629" w:type="pct"/>
                  <w:noWrap w:val="0"/>
                  <w:vAlign w:val="center"/>
                </w:tcPr>
                <w:p w14:paraId="4363507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rPr>
                    <w:t>标准来源</w:t>
                  </w:r>
                </w:p>
              </w:tc>
            </w:tr>
            <w:tr w14:paraId="5301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22" w:type="pct"/>
                  <w:noWrap w:val="0"/>
                  <w:vAlign w:val="center"/>
                </w:tcPr>
                <w:p w14:paraId="74035B6D">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有组织</w:t>
                  </w:r>
                </w:p>
              </w:tc>
              <w:tc>
                <w:tcPr>
                  <w:tcW w:w="527" w:type="pct"/>
                  <w:noWrap w:val="0"/>
                  <w:vAlign w:val="center"/>
                </w:tcPr>
                <w:p w14:paraId="2970EF1C">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320" w:type="pct"/>
                  <w:noWrap w:val="0"/>
                  <w:vAlign w:val="center"/>
                </w:tcPr>
                <w:p w14:paraId="5E6E5A14">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排放浓度≤10mg/m</w:t>
                  </w:r>
                  <w:r>
                    <w:rPr>
                      <w:rFonts w:hint="default" w:ascii="Times New Roman" w:hAnsi="Times New Roman" w:eastAsia="宋体" w:cs="Times New Roman"/>
                      <w:color w:val="auto"/>
                      <w:sz w:val="21"/>
                      <w:szCs w:val="21"/>
                      <w:highlight w:val="none"/>
                      <w:vertAlign w:val="superscript"/>
                      <w:lang w:val="en-US" w:eastAsia="zh-CN"/>
                    </w:rPr>
                    <w:t>3</w:t>
                  </w:r>
                </w:p>
              </w:tc>
              <w:tc>
                <w:tcPr>
                  <w:tcW w:w="2629" w:type="pct"/>
                  <w:noWrap w:val="0"/>
                  <w:vAlign w:val="center"/>
                </w:tcPr>
                <w:p w14:paraId="59E3F577">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5529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22" w:type="pct"/>
                  <w:noWrap w:val="0"/>
                  <w:vAlign w:val="center"/>
                </w:tcPr>
                <w:p w14:paraId="278D50C0">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527" w:type="pct"/>
                  <w:noWrap w:val="0"/>
                  <w:vAlign w:val="center"/>
                </w:tcPr>
                <w:p w14:paraId="4C046333">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en-US"/>
                    </w:rPr>
                  </w:pPr>
                  <w:r>
                    <w:rPr>
                      <w:rFonts w:hint="default" w:ascii="Times New Roman" w:hAnsi="Times New Roman" w:eastAsia="宋体" w:cs="Times New Roman"/>
                      <w:color w:val="auto"/>
                      <w:sz w:val="21"/>
                      <w:szCs w:val="21"/>
                      <w:highlight w:val="none"/>
                      <w:lang w:val="en-US" w:eastAsia="zh-CN"/>
                    </w:rPr>
                    <w:t>颗粒物</w:t>
                  </w:r>
                </w:p>
              </w:tc>
              <w:tc>
                <w:tcPr>
                  <w:tcW w:w="1320" w:type="pct"/>
                  <w:shd w:val="clear" w:color="auto" w:fill="auto"/>
                  <w:noWrap w:val="0"/>
                  <w:vAlign w:val="center"/>
                </w:tcPr>
                <w:p w14:paraId="47953EE7">
                  <w:pPr>
                    <w:widowControl/>
                    <w:snapToGrid w:val="0"/>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kern w:val="0"/>
                      <w:szCs w:val="21"/>
                      <w:highlight w:val="none"/>
                    </w:rPr>
                    <w:t>0.5mg/m</w:t>
                  </w:r>
                  <w:r>
                    <w:rPr>
                      <w:rFonts w:hint="default" w:ascii="Times New Roman" w:hAnsi="Times New Roman" w:eastAsia="宋体" w:cs="Times New Roman"/>
                      <w:color w:val="auto"/>
                      <w:kern w:val="0"/>
                      <w:szCs w:val="21"/>
                      <w:highlight w:val="none"/>
                      <w:vertAlign w:val="superscript"/>
                    </w:rPr>
                    <w:t>3</w:t>
                  </w:r>
                  <w:r>
                    <w:rPr>
                      <w:rFonts w:hint="default" w:ascii="Times New Roman" w:hAnsi="Times New Roman" w:eastAsia="宋体" w:cs="Times New Roman"/>
                      <w:color w:val="auto"/>
                      <w:kern w:val="0"/>
                      <w:szCs w:val="21"/>
                      <w:highlight w:val="none"/>
                      <w:lang w:val="en-US" w:eastAsia="zh-CN"/>
                    </w:rPr>
                    <w:t>(监控点与参照点总悬浮颗粒物1h浓度值的差值。厂界外 20m 处上风向设参照点，下风向设监控点)</w:t>
                  </w:r>
                </w:p>
              </w:tc>
              <w:tc>
                <w:tcPr>
                  <w:tcW w:w="2629" w:type="pct"/>
                  <w:shd w:val="clear" w:color="auto" w:fill="auto"/>
                  <w:noWrap w:val="0"/>
                  <w:vAlign w:val="center"/>
                </w:tcPr>
                <w:p w14:paraId="110D3B77">
                  <w:pPr>
                    <w:widowControl/>
                    <w:adjustRightInd w:val="0"/>
                    <w:snapToGrid w:val="0"/>
                    <w:spacing w:before="100" w:beforeAutospacing="1" w:after="100" w:afterAutospacing="1"/>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szCs w:val="21"/>
                      <w:highlight w:val="none"/>
                    </w:rPr>
                    <w:t>《水泥工业大气污染物超低排放标准》（DB13/2167-2020）表2大气污染物无组织排放限值</w:t>
                  </w:r>
                </w:p>
              </w:tc>
            </w:tr>
          </w:tbl>
          <w:p w14:paraId="5579307D">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、噪声</w:t>
            </w:r>
          </w:p>
          <w:p w14:paraId="30F95AAA">
            <w:pPr>
              <w:keepNext w:val="0"/>
              <w:keepLines/>
              <w:pageBreakBefore w:val="0"/>
              <w:widowControl/>
              <w:kinsoku/>
              <w:wordWrap/>
              <w:overflowPunct/>
              <w:topLinePunct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运营期厂界噪声执行《工业企业厂界环境噪声排放标准》（GB12348-2008）3类标准。</w:t>
            </w:r>
          </w:p>
          <w:p w14:paraId="6626AB94">
            <w:pPr>
              <w:keepNext w:val="0"/>
              <w:keepLines/>
              <w:pageBreakBefore w:val="0"/>
              <w:widowControl/>
              <w:kinsoku/>
              <w:wordWrap/>
              <w:overflowPunct/>
              <w:topLinePunct w:val="0"/>
              <w:bidi w:val="0"/>
              <w:adjustRightInd w:val="0"/>
              <w:snapToGrid w:val="0"/>
              <w:spacing w:line="360" w:lineRule="auto"/>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表3</w:t>
            </w:r>
            <w:r>
              <w:rPr>
                <w:rFonts w:hint="default" w:ascii="Times New Roman" w:hAnsi="Times New Roman" w:eastAsia="宋体" w:cs="Times New Roman"/>
                <w:b/>
                <w:bCs/>
                <w:color w:val="auto"/>
                <w:sz w:val="24"/>
                <w:highlight w:val="none"/>
                <w:lang w:val="en-US" w:eastAsia="zh-CN"/>
              </w:rPr>
              <w:t>-</w:t>
            </w:r>
            <w:r>
              <w:rPr>
                <w:rFonts w:hint="default"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噪声排放标准一览表</w:t>
            </w:r>
          </w:p>
          <w:tbl>
            <w:tblPr>
              <w:tblStyle w:val="40"/>
              <w:tblW w:w="50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185"/>
              <w:gridCol w:w="1184"/>
              <w:gridCol w:w="1186"/>
              <w:gridCol w:w="978"/>
              <w:gridCol w:w="3923"/>
            </w:tblGrid>
            <w:tr w14:paraId="667C1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52" w:hRule="atLeast"/>
                <w:jc w:val="center"/>
              </w:trPr>
              <w:tc>
                <w:tcPr>
                  <w:tcW w:w="701" w:type="pct"/>
                  <w:vMerge w:val="restart"/>
                  <w:noWrap w:val="0"/>
                  <w:vAlign w:val="center"/>
                </w:tcPr>
                <w:p w14:paraId="210AA1A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时段</w:t>
                  </w:r>
                </w:p>
              </w:tc>
              <w:tc>
                <w:tcPr>
                  <w:tcW w:w="1401" w:type="pct"/>
                  <w:gridSpan w:val="2"/>
                  <w:noWrap w:val="0"/>
                  <w:vAlign w:val="center"/>
                </w:tcPr>
                <w:p w14:paraId="2D7317B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标准值</w:t>
                  </w:r>
                </w:p>
              </w:tc>
              <w:tc>
                <w:tcPr>
                  <w:tcW w:w="578" w:type="pct"/>
                  <w:vMerge w:val="restart"/>
                  <w:noWrap w:val="0"/>
                  <w:vAlign w:val="center"/>
                </w:tcPr>
                <w:p w14:paraId="4AD11E2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单位</w:t>
                  </w:r>
                </w:p>
              </w:tc>
              <w:tc>
                <w:tcPr>
                  <w:tcW w:w="2319" w:type="pct"/>
                  <w:vMerge w:val="restart"/>
                  <w:noWrap w:val="0"/>
                  <w:vAlign w:val="center"/>
                </w:tcPr>
                <w:p w14:paraId="5782457A">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标准来源</w:t>
                  </w:r>
                </w:p>
              </w:tc>
            </w:tr>
            <w:tr w14:paraId="2F46D6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38" w:hRule="atLeast"/>
                <w:jc w:val="center"/>
              </w:trPr>
              <w:tc>
                <w:tcPr>
                  <w:tcW w:w="701" w:type="pct"/>
                  <w:vMerge w:val="continue"/>
                  <w:noWrap w:val="0"/>
                  <w:vAlign w:val="center"/>
                </w:tcPr>
                <w:p w14:paraId="2C0C1DE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700" w:type="pct"/>
                  <w:noWrap w:val="0"/>
                  <w:vAlign w:val="center"/>
                </w:tcPr>
                <w:p w14:paraId="0200800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昼间</w:t>
                  </w:r>
                </w:p>
              </w:tc>
              <w:tc>
                <w:tcPr>
                  <w:tcW w:w="701" w:type="pct"/>
                  <w:noWrap w:val="0"/>
                  <w:vAlign w:val="center"/>
                </w:tcPr>
                <w:p w14:paraId="13E7F75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夜间</w:t>
                  </w:r>
                </w:p>
              </w:tc>
              <w:tc>
                <w:tcPr>
                  <w:tcW w:w="578" w:type="pct"/>
                  <w:vMerge w:val="continue"/>
                  <w:tcBorders>
                    <w:bottom w:val="single" w:color="auto" w:sz="4" w:space="0"/>
                  </w:tcBorders>
                  <w:noWrap w:val="0"/>
                  <w:vAlign w:val="center"/>
                </w:tcPr>
                <w:p w14:paraId="090B508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2319" w:type="pct"/>
                  <w:vMerge w:val="continue"/>
                  <w:tcBorders>
                    <w:bottom w:val="single" w:color="auto" w:sz="4" w:space="0"/>
                  </w:tcBorders>
                  <w:noWrap w:val="0"/>
                  <w:vAlign w:val="center"/>
                </w:tcPr>
                <w:p w14:paraId="3E0F9FC7">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r>
            <w:tr w14:paraId="33AD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95" w:hRule="atLeast"/>
                <w:jc w:val="center"/>
              </w:trPr>
              <w:tc>
                <w:tcPr>
                  <w:tcW w:w="701" w:type="pct"/>
                  <w:tcBorders>
                    <w:top w:val="single" w:color="auto" w:sz="4" w:space="0"/>
                  </w:tcBorders>
                  <w:noWrap w:val="0"/>
                  <w:vAlign w:val="center"/>
                </w:tcPr>
                <w:p w14:paraId="5468592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运营期</w:t>
                  </w:r>
                </w:p>
              </w:tc>
              <w:tc>
                <w:tcPr>
                  <w:tcW w:w="700" w:type="pct"/>
                  <w:tcBorders>
                    <w:top w:val="single" w:color="auto" w:sz="4" w:space="0"/>
                    <w:bottom w:val="single" w:color="auto" w:sz="4" w:space="0"/>
                  </w:tcBorders>
                  <w:noWrap w:val="0"/>
                  <w:vAlign w:val="center"/>
                </w:tcPr>
                <w:p w14:paraId="61BBF40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65</w:t>
                  </w:r>
                </w:p>
              </w:tc>
              <w:tc>
                <w:tcPr>
                  <w:tcW w:w="701" w:type="pct"/>
                  <w:tcBorders>
                    <w:top w:val="single" w:color="auto" w:sz="4" w:space="0"/>
                    <w:bottom w:val="single" w:color="auto" w:sz="4" w:space="0"/>
                  </w:tcBorders>
                  <w:noWrap w:val="0"/>
                  <w:vAlign w:val="center"/>
                </w:tcPr>
                <w:p w14:paraId="66600F7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55</w:t>
                  </w:r>
                </w:p>
              </w:tc>
              <w:tc>
                <w:tcPr>
                  <w:tcW w:w="578" w:type="pct"/>
                  <w:noWrap w:val="0"/>
                  <w:vAlign w:val="center"/>
                </w:tcPr>
                <w:p w14:paraId="477588B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dB(A)</w:t>
                  </w:r>
                </w:p>
              </w:tc>
              <w:tc>
                <w:tcPr>
                  <w:tcW w:w="2319" w:type="pct"/>
                  <w:tcBorders>
                    <w:top w:val="single" w:color="auto" w:sz="4" w:space="0"/>
                    <w:bottom w:val="single" w:color="auto" w:sz="4" w:space="0"/>
                  </w:tcBorders>
                  <w:noWrap w:val="0"/>
                  <w:vAlign w:val="center"/>
                </w:tcPr>
                <w:p w14:paraId="2822372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《工业企业厂界环境噪声排放标准》（GB12348-2008）3类标准</w:t>
                  </w:r>
                </w:p>
              </w:tc>
            </w:tr>
          </w:tbl>
          <w:p w14:paraId="409AE358">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lang w:val="en-US" w:eastAsia="zh-CN"/>
              </w:rPr>
              <w:t>3</w:t>
            </w:r>
            <w:r>
              <w:rPr>
                <w:rFonts w:hint="default" w:ascii="Times New Roman" w:hAnsi="Times New Roman" w:eastAsia="宋体" w:cs="Times New Roman"/>
                <w:b/>
                <w:bCs/>
                <w:color w:val="auto"/>
                <w:kern w:val="0"/>
                <w:sz w:val="24"/>
                <w:highlight w:val="none"/>
              </w:rPr>
              <w:t>、固体废物</w:t>
            </w:r>
          </w:p>
          <w:p w14:paraId="608C3A7E">
            <w:pPr>
              <w:pStyle w:val="78"/>
              <w:keepNext w:val="0"/>
              <w:keepLines w:val="0"/>
              <w:pageBreakBefore w:val="0"/>
              <w:widowControl w:val="0"/>
              <w:kinsoku/>
              <w:wordWrap/>
              <w:overflowPunct/>
              <w:topLinePunct w:val="0"/>
              <w:autoSpaceDE/>
              <w:autoSpaceDN/>
              <w:bidi w:val="0"/>
              <w:adjustRightInd/>
              <w:snapToGrid/>
              <w:spacing w:line="480" w:lineRule="exact"/>
              <w:ind w:left="0" w:leftChars="0"/>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eastAsia="宋体" w:cs="Times New Roman"/>
                <w:color w:val="auto"/>
                <w:sz w:val="24"/>
                <w:highlight w:val="none"/>
                <w:lang w:eastAsia="zh-CN"/>
              </w:rPr>
              <w:t>项目一般固体废物处置执行《一般工业固体废物贮存和填埋污染控制标准》（GB18599-2020）中相关规定。</w:t>
            </w:r>
            <w:r>
              <w:rPr>
                <w:rFonts w:hint="default" w:ascii="Times New Roman" w:hAnsi="Times New Roman" w:eastAsia="宋体" w:cs="Times New Roman"/>
                <w:color w:val="auto"/>
                <w:sz w:val="24"/>
                <w:highlight w:val="none"/>
              </w:rPr>
              <w:t>生活垃圾参照执行《中华人民共和国固体废物污染环境防治法》（2020年9月1日起实施）中的相关规定要求。</w:t>
            </w:r>
          </w:p>
          <w:p w14:paraId="0128C1CB">
            <w:pPr>
              <w:rPr>
                <w:rFonts w:hint="default" w:ascii="Times New Roman" w:hAnsi="Times New Roman" w:cs="Times New Roman"/>
                <w:color w:val="auto"/>
                <w:highlight w:val="none"/>
              </w:rPr>
            </w:pPr>
          </w:p>
        </w:tc>
      </w:tr>
      <w:tr w14:paraId="353D6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769AF3AB">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总</w:t>
            </w:r>
          </w:p>
          <w:p w14:paraId="2005C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46C3538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控</w:t>
            </w:r>
          </w:p>
          <w:p w14:paraId="398F594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w:t>
            </w:r>
          </w:p>
          <w:p w14:paraId="30C91B8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指</w:t>
            </w:r>
          </w:p>
          <w:p w14:paraId="5474318D">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22853754">
            <w:pPr>
              <w:keepNext w:val="0"/>
              <w:keepLines w:val="0"/>
              <w:pageBreakBefore w:val="0"/>
              <w:widowControl/>
              <w:kinsoku/>
              <w:wordWrap/>
              <w:overflowPunct/>
              <w:topLinePunct w:val="0"/>
              <w:autoSpaceDE/>
              <w:autoSpaceDN/>
              <w:bidi w:val="0"/>
              <w:adjustRightInd/>
              <w:snapToGrid/>
              <w:spacing w:before="157" w:beforeLines="50" w:line="360" w:lineRule="auto"/>
              <w:ind w:firstLine="480" w:firstLineChars="200"/>
              <w:jc w:val="left"/>
              <w:textAlignment w:val="auto"/>
              <w:rPr>
                <w:rFonts w:hint="default" w:ascii="Times New Roman" w:hAnsi="Times New Roman" w:eastAsia="宋体" w:cs="Times New Roman"/>
                <w:color w:val="auto"/>
                <w:kern w:val="0"/>
                <w:sz w:val="24"/>
                <w:highlight w:val="none"/>
                <w:lang w:bidi="ar"/>
              </w:rPr>
            </w:pPr>
            <w:r>
              <w:rPr>
                <w:rFonts w:hint="default" w:ascii="Times New Roman" w:hAnsi="Times New Roman" w:cs="Times New Roman"/>
                <w:color w:val="auto"/>
                <w:sz w:val="24"/>
                <w:highlight w:val="none"/>
              </w:rPr>
              <w:t>根据《关于进一步改革和优化建设项目主要污染物排放总量核定工作的通知》（冀环总</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2014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283号）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《河北省主要污染物排污权确权管理 暂行办法》（冀环规范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2022</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3号）</w:t>
            </w:r>
            <w:r>
              <w:rPr>
                <w:rFonts w:hint="default" w:ascii="Times New Roman" w:hAnsi="Times New Roman" w:cs="Times New Roman"/>
                <w:color w:val="auto"/>
                <w:sz w:val="24"/>
                <w:highlight w:val="none"/>
                <w:lang w:eastAsia="zh-CN"/>
              </w:rPr>
              <w:t>及</w:t>
            </w:r>
            <w:r>
              <w:rPr>
                <w:rFonts w:hint="default" w:ascii="Times New Roman" w:hAnsi="Times New Roman" w:cs="Times New Roman"/>
                <w:color w:val="auto"/>
                <w:sz w:val="24"/>
                <w:highlight w:val="none"/>
              </w:rPr>
              <w:t>《关于深化</w:t>
            </w: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 HYPERLINK "https://huanbao.bjx.com.cn/topics/paiwuquanjiaoyi/" \t "https://huanbao.bjx.com.cn/news/20240129/_blank" </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t>排污权交易</w:t>
            </w:r>
            <w:r>
              <w:rPr>
                <w:rFonts w:hint="default" w:ascii="Times New Roman" w:hAnsi="Times New Roman" w:cs="Times New Roman"/>
                <w:color w:val="auto"/>
                <w:sz w:val="24"/>
                <w:highlight w:val="none"/>
              </w:rPr>
              <w:fldChar w:fldCharType="end"/>
            </w:r>
            <w:r>
              <w:rPr>
                <w:rFonts w:hint="default" w:ascii="Times New Roman" w:hAnsi="Times New Roman" w:cs="Times New Roman"/>
                <w:color w:val="auto"/>
                <w:sz w:val="24"/>
                <w:highlight w:val="none"/>
              </w:rPr>
              <w:t>改革的若干措施》</w:t>
            </w:r>
            <w:r>
              <w:rPr>
                <w:rFonts w:hint="default" w:ascii="Times New Roman" w:hAnsi="Times New Roman" w:cs="Times New Roman"/>
                <w:color w:val="auto"/>
                <w:sz w:val="24"/>
                <w:highlight w:val="none"/>
                <w:lang w:eastAsia="zh-CN"/>
              </w:rPr>
              <w:t>（冀环排污权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2024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6号）</w:t>
            </w:r>
            <w:r>
              <w:rPr>
                <w:rFonts w:hint="default" w:ascii="Times New Roman" w:hAnsi="Times New Roman" w:cs="Times New Roman"/>
                <w:color w:val="auto"/>
                <w:sz w:val="24"/>
                <w:highlight w:val="none"/>
              </w:rPr>
              <w:t>，</w:t>
            </w:r>
            <w:r>
              <w:rPr>
                <w:rFonts w:hint="default" w:ascii="Times New Roman" w:hAnsi="Times New Roman" w:cs="Times New Roman"/>
                <w:color w:val="auto"/>
                <w:sz w:val="24"/>
                <w:szCs w:val="24"/>
                <w:highlight w:val="none"/>
              </w:rPr>
              <w:t>根据建设项目污染物排放特征，确定本项目实施总量控制的污染物为</w:t>
            </w:r>
            <w:r>
              <w:rPr>
                <w:rFonts w:hint="default" w:ascii="Times New Roman" w:hAnsi="Times New Roman" w:eastAsia="宋体" w:cs="Times New Roman"/>
                <w:color w:val="auto"/>
                <w:kern w:val="0"/>
                <w:sz w:val="24"/>
                <w:highlight w:val="none"/>
                <w:lang w:bidi="ar"/>
              </w:rPr>
              <w:t>COD、氨氮、SO</w:t>
            </w:r>
            <w:r>
              <w:rPr>
                <w:rFonts w:hint="default" w:ascii="Times New Roman" w:hAnsi="Times New Roman" w:eastAsia="宋体" w:cs="Times New Roman"/>
                <w:color w:val="auto"/>
                <w:kern w:val="0"/>
                <w:sz w:val="24"/>
                <w:highlight w:val="none"/>
                <w:vertAlign w:val="subscript"/>
                <w:lang w:bidi="ar"/>
              </w:rPr>
              <w:t>2</w:t>
            </w:r>
            <w:r>
              <w:rPr>
                <w:rFonts w:hint="default" w:ascii="Times New Roman" w:hAnsi="Times New Roman" w:eastAsia="宋体" w:cs="Times New Roman"/>
                <w:color w:val="auto"/>
                <w:kern w:val="0"/>
                <w:sz w:val="24"/>
                <w:highlight w:val="none"/>
                <w:lang w:bidi="ar"/>
              </w:rPr>
              <w:t>、NOx。</w:t>
            </w:r>
          </w:p>
          <w:p w14:paraId="0CAA85C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sz w:val="24"/>
                <w:szCs w:val="24"/>
                <w:highlight w:val="none"/>
                <w:lang w:bidi="ar"/>
              </w:rPr>
              <w:t>本项目不涉及SO</w:t>
            </w:r>
            <w:r>
              <w:rPr>
                <w:rFonts w:hint="default" w:ascii="Times New Roman" w:hAnsi="Times New Roman" w:eastAsia="宋体" w:cs="Times New Roman"/>
                <w:color w:val="auto"/>
                <w:sz w:val="24"/>
                <w:szCs w:val="24"/>
                <w:highlight w:val="none"/>
                <w:vertAlign w:val="subscript"/>
                <w:lang w:bidi="ar"/>
              </w:rPr>
              <w:t>2</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color w:val="auto"/>
                <w:sz w:val="24"/>
                <w:szCs w:val="24"/>
                <w:highlight w:val="none"/>
                <w:lang w:bidi="ar"/>
              </w:rPr>
              <w:t>排放</w:t>
            </w:r>
            <w:r>
              <w:rPr>
                <w:rFonts w:hint="default" w:ascii="Times New Roman" w:hAnsi="Times New Roman" w:eastAsia="宋体" w:cs="Times New Roman"/>
                <w:color w:val="auto"/>
                <w:kern w:val="0"/>
                <w:sz w:val="24"/>
                <w:highlight w:val="none"/>
                <w:lang w:eastAsia="zh-CN" w:bidi="ar"/>
              </w:rPr>
              <w:t>。</w:t>
            </w:r>
            <w:r>
              <w:rPr>
                <w:rFonts w:hint="default" w:ascii="Times New Roman" w:hAnsi="Times New Roman" w:eastAsia="宋体" w:cs="Times New Roman"/>
                <w:color w:val="auto"/>
                <w:kern w:val="0"/>
                <w:sz w:val="24"/>
                <w:highlight w:val="none"/>
                <w:lang w:bidi="ar"/>
              </w:rPr>
              <w:t>项目</w:t>
            </w:r>
            <w:r>
              <w:rPr>
                <w:rFonts w:hint="default" w:ascii="Times New Roman" w:hAnsi="Times New Roman" w:eastAsia="宋体" w:cs="Times New Roman"/>
                <w:color w:val="auto"/>
                <w:kern w:val="0"/>
                <w:sz w:val="24"/>
                <w:highlight w:val="none"/>
                <w:lang w:val="en-US" w:eastAsia="zh-CN" w:bidi="ar"/>
              </w:rPr>
              <w:t>清洗废水经沉淀池沉淀后回用于生产，不外排；</w:t>
            </w:r>
            <w:r>
              <w:rPr>
                <w:rFonts w:hint="default" w:ascii="Times New Roman" w:hAnsi="Times New Roman" w:eastAsia="宋体" w:cs="Times New Roman"/>
                <w:color w:val="auto"/>
                <w:kern w:val="0"/>
                <w:sz w:val="24"/>
                <w:highlight w:val="none"/>
                <w:lang w:bidi="ar"/>
              </w:rPr>
              <w:t>生活污水进入化粪池处理，定期清掏用作农肥，不外排。</w:t>
            </w:r>
            <w:r>
              <w:rPr>
                <w:rFonts w:hint="default" w:ascii="Times New Roman" w:hAnsi="Times New Roman" w:eastAsia="宋体" w:cs="Times New Roman"/>
                <w:color w:val="auto"/>
                <w:kern w:val="0"/>
                <w:sz w:val="24"/>
                <w:highlight w:val="none"/>
                <w:lang w:eastAsia="zh-CN" w:bidi="ar"/>
              </w:rPr>
              <w:t>因此，本项目</w:t>
            </w:r>
            <w:r>
              <w:rPr>
                <w:rFonts w:hint="default" w:ascii="Times New Roman" w:hAnsi="Times New Roman" w:eastAsia="宋体" w:cs="Times New Roman"/>
                <w:color w:val="auto"/>
                <w:kern w:val="0"/>
                <w:sz w:val="24"/>
                <w:highlight w:val="none"/>
                <w:lang w:bidi="ar"/>
              </w:rPr>
              <w:t>总量</w:t>
            </w:r>
            <w:r>
              <w:rPr>
                <w:rFonts w:hint="default" w:ascii="Times New Roman" w:hAnsi="Times New Roman" w:eastAsia="宋体" w:cs="Times New Roman"/>
                <w:color w:val="auto"/>
                <w:kern w:val="0"/>
                <w:sz w:val="24"/>
                <w:szCs w:val="24"/>
                <w:highlight w:val="none"/>
                <w:lang w:bidi="ar"/>
              </w:rPr>
              <w:t>控制指标为SO</w:t>
            </w:r>
            <w:r>
              <w:rPr>
                <w:rFonts w:hint="default" w:ascii="Times New Roman" w:hAnsi="Times New Roman" w:eastAsia="宋体" w:cs="Times New Roman"/>
                <w:color w:val="auto"/>
                <w:kern w:val="0"/>
                <w:sz w:val="24"/>
                <w:szCs w:val="24"/>
                <w:highlight w:val="none"/>
                <w:vertAlign w:val="subscript"/>
                <w:lang w:bidi="ar"/>
              </w:rPr>
              <w:t>2</w:t>
            </w:r>
            <w:r>
              <w:rPr>
                <w:rFonts w:hint="default" w:ascii="Times New Roman" w:hAnsi="Times New Roman" w:eastAsia="宋体" w:cs="Times New Roman"/>
                <w:color w:val="auto"/>
                <w:kern w:val="0"/>
                <w:sz w:val="24"/>
                <w:szCs w:val="24"/>
                <w:highlight w:val="none"/>
                <w:lang w:bidi="ar"/>
              </w:rPr>
              <w:t>0t/a、NO</w:t>
            </w:r>
            <w:r>
              <w:rPr>
                <w:rFonts w:hint="default" w:ascii="Times New Roman" w:hAnsi="Times New Roman" w:eastAsia="宋体" w:cs="Times New Roman"/>
                <w:color w:val="auto"/>
                <w:kern w:val="0"/>
                <w:sz w:val="24"/>
                <w:szCs w:val="24"/>
                <w:highlight w:val="none"/>
                <w:vertAlign w:val="subscript"/>
                <w:lang w:bidi="ar"/>
              </w:rPr>
              <w:t>x</w:t>
            </w:r>
            <w:r>
              <w:rPr>
                <w:rFonts w:hint="default" w:ascii="Times New Roman" w:hAnsi="Times New Roman" w:eastAsia="宋体" w:cs="Times New Roman"/>
                <w:color w:val="auto"/>
                <w:kern w:val="0"/>
                <w:sz w:val="24"/>
                <w:szCs w:val="24"/>
                <w:highlight w:val="none"/>
                <w:lang w:bidi="ar"/>
              </w:rPr>
              <w:t>0t/a，COD0t/a、氨氮0t/a。</w:t>
            </w:r>
          </w:p>
          <w:p w14:paraId="2358F3E1">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snapToGrid w:val="0"/>
                <w:color w:val="auto"/>
                <w:sz w:val="24"/>
                <w:szCs w:val="24"/>
                <w:highlight w:val="none"/>
                <w:lang w:eastAsia="zh-CN"/>
              </w:rPr>
            </w:pPr>
            <w:r>
              <w:rPr>
                <w:rFonts w:hint="default" w:ascii="Times New Roman" w:hAnsi="Times New Roman" w:eastAsia="宋体" w:cs="Times New Roman"/>
                <w:bCs/>
                <w:snapToGrid w:val="0"/>
                <w:color w:val="auto"/>
                <w:sz w:val="24"/>
                <w:szCs w:val="24"/>
                <w:highlight w:val="none"/>
                <w:lang w:eastAsia="zh-CN"/>
              </w:rPr>
              <w:t>综上，</w:t>
            </w:r>
            <w:r>
              <w:rPr>
                <w:rFonts w:hint="default" w:ascii="Times New Roman" w:hAnsi="Times New Roman" w:eastAsia="宋体" w:cs="Times New Roman"/>
                <w:bCs/>
                <w:snapToGrid w:val="0"/>
                <w:color w:val="auto"/>
                <w:sz w:val="24"/>
                <w:szCs w:val="24"/>
                <w:highlight w:val="none"/>
                <w:lang w:val="en-US" w:eastAsia="zh-CN"/>
              </w:rPr>
              <w:t>建设单位</w:t>
            </w:r>
            <w:r>
              <w:rPr>
                <w:rFonts w:hint="default" w:ascii="Times New Roman" w:hAnsi="Times New Roman" w:eastAsia="宋体" w:cs="Times New Roman"/>
                <w:snapToGrid w:val="0"/>
                <w:color w:val="auto"/>
                <w:sz w:val="24"/>
                <w:szCs w:val="24"/>
                <w:highlight w:val="none"/>
              </w:rPr>
              <w:t>污染物总量控制指标为</w:t>
            </w:r>
            <w:r>
              <w:rPr>
                <w:rFonts w:hint="default" w:ascii="Times New Roman" w:hAnsi="Times New Roman" w:eastAsia="宋体" w:cs="Times New Roman"/>
                <w:bCs/>
                <w:snapToGrid w:val="0"/>
                <w:color w:val="auto"/>
                <w:sz w:val="24"/>
                <w:szCs w:val="24"/>
                <w:highlight w:val="none"/>
              </w:rPr>
              <w:t>COD：</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氨氮</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t/a、SO</w:t>
            </w:r>
            <w:r>
              <w:rPr>
                <w:rFonts w:hint="default" w:ascii="Times New Roman" w:hAnsi="Times New Roman" w:eastAsia="宋体" w:cs="Times New Roman"/>
                <w:bCs/>
                <w:snapToGrid w:val="0"/>
                <w:color w:val="auto"/>
                <w:sz w:val="24"/>
                <w:szCs w:val="24"/>
                <w:highlight w:val="none"/>
                <w:vertAlign w:val="subscript"/>
              </w:rPr>
              <w:t>2</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w:t>
            </w:r>
          </w:p>
          <w:p w14:paraId="7E6B0214">
            <w:pPr>
              <w:pStyle w:val="2"/>
              <w:rPr>
                <w:rFonts w:hint="default" w:ascii="Times New Roman" w:hAnsi="Times New Roman" w:eastAsia="宋体" w:cs="Times New Roman"/>
                <w:bCs/>
                <w:snapToGrid w:val="0"/>
                <w:color w:val="auto"/>
                <w:sz w:val="24"/>
                <w:szCs w:val="24"/>
                <w:highlight w:val="none"/>
                <w:lang w:eastAsia="zh-CN"/>
              </w:rPr>
            </w:pPr>
          </w:p>
          <w:p w14:paraId="652954B8">
            <w:pPr>
              <w:pStyle w:val="3"/>
              <w:rPr>
                <w:rFonts w:hint="default" w:ascii="Times New Roman" w:hAnsi="Times New Roman" w:eastAsia="宋体" w:cs="Times New Roman"/>
                <w:bCs/>
                <w:snapToGrid w:val="0"/>
                <w:color w:val="auto"/>
                <w:sz w:val="24"/>
                <w:szCs w:val="24"/>
                <w:highlight w:val="none"/>
                <w:lang w:eastAsia="zh-CN"/>
              </w:rPr>
            </w:pPr>
          </w:p>
          <w:p w14:paraId="4399E20A">
            <w:pPr>
              <w:rPr>
                <w:rFonts w:hint="default" w:ascii="Times New Roman" w:hAnsi="Times New Roman" w:eastAsia="宋体" w:cs="Times New Roman"/>
                <w:bCs/>
                <w:snapToGrid w:val="0"/>
                <w:color w:val="auto"/>
                <w:sz w:val="24"/>
                <w:szCs w:val="24"/>
                <w:highlight w:val="none"/>
                <w:lang w:eastAsia="zh-CN"/>
              </w:rPr>
            </w:pPr>
          </w:p>
          <w:p w14:paraId="673061D3">
            <w:pPr>
              <w:pStyle w:val="3"/>
              <w:rPr>
                <w:rFonts w:hint="default" w:ascii="Times New Roman" w:hAnsi="Times New Roman" w:eastAsia="宋体" w:cs="Times New Roman"/>
                <w:bCs/>
                <w:snapToGrid w:val="0"/>
                <w:color w:val="auto"/>
                <w:sz w:val="24"/>
                <w:szCs w:val="24"/>
                <w:highlight w:val="none"/>
                <w:lang w:eastAsia="zh-CN"/>
              </w:rPr>
            </w:pPr>
          </w:p>
          <w:p w14:paraId="1F6EB0EF">
            <w:pPr>
              <w:rPr>
                <w:rFonts w:hint="default" w:ascii="Times New Roman" w:hAnsi="Times New Roman" w:eastAsia="宋体" w:cs="Times New Roman"/>
                <w:bCs/>
                <w:snapToGrid w:val="0"/>
                <w:color w:val="auto"/>
                <w:sz w:val="24"/>
                <w:szCs w:val="24"/>
                <w:highlight w:val="none"/>
                <w:lang w:eastAsia="zh-CN"/>
              </w:rPr>
            </w:pPr>
          </w:p>
          <w:p w14:paraId="0FEDF73D">
            <w:pPr>
              <w:pStyle w:val="2"/>
              <w:rPr>
                <w:rFonts w:hint="default" w:ascii="Times New Roman" w:hAnsi="Times New Roman" w:eastAsia="宋体" w:cs="Times New Roman"/>
                <w:bCs/>
                <w:snapToGrid w:val="0"/>
                <w:color w:val="auto"/>
                <w:sz w:val="24"/>
                <w:szCs w:val="24"/>
                <w:highlight w:val="none"/>
                <w:lang w:eastAsia="zh-CN"/>
              </w:rPr>
            </w:pPr>
          </w:p>
          <w:p w14:paraId="564EC143">
            <w:pPr>
              <w:pStyle w:val="3"/>
              <w:rPr>
                <w:rFonts w:hint="default" w:ascii="Times New Roman" w:hAnsi="Times New Roman" w:eastAsia="宋体" w:cs="Times New Roman"/>
                <w:bCs/>
                <w:snapToGrid w:val="0"/>
                <w:color w:val="auto"/>
                <w:sz w:val="24"/>
                <w:szCs w:val="24"/>
                <w:highlight w:val="none"/>
                <w:lang w:eastAsia="zh-CN"/>
              </w:rPr>
            </w:pPr>
          </w:p>
          <w:p w14:paraId="0E8522B9">
            <w:pPr>
              <w:rPr>
                <w:rFonts w:hint="default" w:ascii="Times New Roman" w:hAnsi="Times New Roman" w:eastAsia="宋体" w:cs="Times New Roman"/>
                <w:bCs/>
                <w:snapToGrid w:val="0"/>
                <w:color w:val="auto"/>
                <w:sz w:val="24"/>
                <w:szCs w:val="24"/>
                <w:highlight w:val="none"/>
                <w:lang w:eastAsia="zh-CN"/>
              </w:rPr>
            </w:pPr>
          </w:p>
          <w:p w14:paraId="50EEA2B2">
            <w:pPr>
              <w:pStyle w:val="2"/>
              <w:rPr>
                <w:rFonts w:hint="default" w:ascii="Times New Roman" w:hAnsi="Times New Roman" w:cs="Times New Roman"/>
                <w:color w:val="auto"/>
                <w:highlight w:val="none"/>
                <w:lang w:eastAsia="zh-CN"/>
              </w:rPr>
            </w:pPr>
          </w:p>
        </w:tc>
      </w:tr>
    </w:tbl>
    <w:p w14:paraId="587C2AB1">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8253"/>
      </w:tblGrid>
      <w:tr w14:paraId="551BB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808" w:type="dxa"/>
            <w:tcMar>
              <w:left w:w="28" w:type="dxa"/>
              <w:right w:w="28" w:type="dxa"/>
            </w:tcMar>
            <w:vAlign w:val="center"/>
          </w:tcPr>
          <w:p w14:paraId="4130878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50800D2">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38FC47E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12EEC4A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4227A093">
            <w:pPr>
              <w:pStyle w:val="36"/>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highlight w:val="none"/>
              </w:rPr>
              <w:t>施</w:t>
            </w:r>
          </w:p>
        </w:tc>
        <w:tc>
          <w:tcPr>
            <w:tcW w:w="8253" w:type="dxa"/>
            <w:vAlign w:val="center"/>
          </w:tcPr>
          <w:p w14:paraId="2C19FF3B">
            <w:pPr>
              <w:pageBreakBefore w:val="0"/>
              <w:wordWrap w:val="0"/>
              <w:overflowPunct/>
              <w:topLinePunct w:val="0"/>
              <w:autoSpaceDE w:val="0"/>
              <w:autoSpaceDN w:val="0"/>
              <w:bidi w:val="0"/>
              <w:adjustRightInd w:val="0"/>
              <w:spacing w:after="0"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本项目属于新建项目，新建厂房</w:t>
            </w:r>
            <w:r>
              <w:rPr>
                <w:rFonts w:hint="default" w:ascii="Times New Roman" w:hAnsi="Times New Roman" w:eastAsia="宋体" w:cs="Times New Roman"/>
                <w:color w:val="auto"/>
                <w:kern w:val="0"/>
                <w:sz w:val="24"/>
                <w:szCs w:val="24"/>
                <w:highlight w:val="none"/>
              </w:rPr>
              <w:t>施工期产生的废气污染物为扬尘；施工期污水主要是职工生活污水；噪声主要是建筑施工噪声、拆卸以及设备安装噪声；固废污染源主要是建筑垃圾和生活垃圾。</w:t>
            </w:r>
          </w:p>
          <w:p w14:paraId="0731A617">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1、大气环境影响分析</w:t>
            </w:r>
          </w:p>
          <w:p w14:paraId="4B77A28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（1）施工期扬尘治理措施</w:t>
            </w:r>
          </w:p>
          <w:p w14:paraId="6486DF5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为有效控制施工期扬尘影响，根据《河北省扬尘污染防治办法》（省政府办公厅，2020年4月1日施行）中有关施工扬尘的管理规定，建设工程施工应当符合下列防尘要求： </w:t>
            </w:r>
          </w:p>
          <w:p w14:paraId="5423D8E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（一）在施工现场出入口明显位置设置公示牌，公示施工现场负责人、环保监督员、防尘措施、扬尘监督管理部门、举报投诉电话等信息；</w:t>
            </w:r>
          </w:p>
          <w:p w14:paraId="278248F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（二）在施工现场周边设置硬质封闭围挡或者围墙，位于主要路段的，高度不低于2.5米，位于一般路段的，高度不低于1.8米，并在围挡底端设置不低于0.2米的防溢座；</w:t>
            </w:r>
          </w:p>
          <w:p w14:paraId="6AB2BFC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（三）对施工现场出入口、场内施工道路、材料加工堆放区、办公区、生活区进行硬化处理，并保持地面整洁；</w:t>
            </w:r>
          </w:p>
          <w:p w14:paraId="2B4CC66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（四）在施工现场出口处设置车辆清洗设施并配套设置排水、泥浆沉淀设施，车辆冲洗干净后方可驶出；</w:t>
            </w:r>
          </w:p>
          <w:p w14:paraId="72DF184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（五）按照规定使用预拌混凝土、预拌砂浆等建筑材料，只能现场搅拌的，应当采取防尘措施；</w:t>
            </w:r>
          </w:p>
          <w:p w14:paraId="0BD8CAF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（六）在施工工地内堆放水泥、灰土、砂石、建筑土方等易产生扬尘的粉状、粒状建筑材料的，应当采取密闭或者遮盖等防尘措施，装卸、搬运时应当采取防尘措施；</w:t>
            </w:r>
          </w:p>
          <w:p w14:paraId="4038917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（七）建筑垃圾应当及时清运，在场地内堆存的，应当集中堆放并采取密闭或者遮盖等防尘措施；</w:t>
            </w:r>
            <w:r>
              <w:rPr>
                <w:rFonts w:hint="default" w:ascii="Times New Roman" w:hAnsi="Times New Roman" w:eastAsia="宋体" w:cs="Times New Roman"/>
                <w:color w:val="auto"/>
                <w:sz w:val="24"/>
                <w:szCs w:val="24"/>
                <w:highlight w:val="none"/>
                <w:lang w:val="en-US" w:eastAsia="zh-CN"/>
              </w:rPr>
              <w:t xml:space="preserve">  </w:t>
            </w:r>
          </w:p>
          <w:p w14:paraId="7A53D72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（八）在施工工地同步安装视频监控设备和扬尘污染物在线监测设备，分别与建设主管部门、生态环境主管部门的监控设备联网，并保证系统正常运行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09138A0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堆放易产生扬尘物料的场所，应当符合下列防尘要求：</w:t>
            </w:r>
          </w:p>
          <w:p w14:paraId="0799898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（一）划分物料区域和道路界限，及时清除散落的物料，保持物料堆放区域和道路整洁；</w:t>
            </w:r>
          </w:p>
          <w:p w14:paraId="37BB3B9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（二）场地进行硬化处理，并及时清扫、清洗；</w:t>
            </w:r>
          </w:p>
          <w:p w14:paraId="76C08AE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（三）物料堆场周边设置高于堆存物料的围挡、防风网等设施，并采取遮盖、喷淋等防尘措施；</w:t>
            </w:r>
          </w:p>
          <w:p w14:paraId="689A53BA">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（四）露天装卸作业的，应当采取洒水等防尘措施，采用密闭输送设备作业的，在装料、卸料处配备吸尘、喷淋等防尘设施，并保持防尘设施正常使用；</w:t>
            </w:r>
          </w:p>
          <w:p w14:paraId="692E48A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（五）出口应当硬化地面并设置车辆清洗保洁设施，车辆冲洗干净后方可驶出；</w:t>
            </w:r>
          </w:p>
          <w:p w14:paraId="4B144F8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（六）同步安装视频监控设备和扬尘污染物在线监测设备，并与生态环境主管部门及其他负有扬尘污染防治监督管理职责的部门的监控设备联网，保证系统正常运行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2EDA208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此外，扬尘防治还应遵循“扬尘防治八个百分百”：</w:t>
            </w:r>
          </w:p>
          <w:p w14:paraId="66945A0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（一）现场封闭管理100%；</w:t>
            </w:r>
          </w:p>
          <w:p w14:paraId="0E414AC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（二）现场湿法作业100%；</w:t>
            </w:r>
          </w:p>
          <w:p w14:paraId="4F336FA6">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（三）施工道路硬化100%；</w:t>
            </w:r>
          </w:p>
          <w:p w14:paraId="7CEE742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（四）渣土物料覆盖100%；</w:t>
            </w:r>
          </w:p>
          <w:p w14:paraId="46400569">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（五）物料密闭运输100%；</w:t>
            </w:r>
          </w:p>
          <w:p w14:paraId="1C61F91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（六）出入车辆清洗100%；</w:t>
            </w:r>
          </w:p>
          <w:p w14:paraId="4B4FD57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（七）扬尘监控安装100%；</w:t>
            </w:r>
          </w:p>
          <w:p w14:paraId="2B341A8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（八）工地内非道路移动机械车辆100%达标。</w:t>
            </w:r>
          </w:p>
          <w:p w14:paraId="31B01F3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除施工扬尘外，禁止在工地内熔融沥青，焚烧油毡、油漆以及其它产生有害、有毒气体和烟尘的物品。</w:t>
            </w:r>
          </w:p>
          <w:p w14:paraId="21F4628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通过采取以上措施后，可较大限度降低施工废气对环境的影响，场地扬尘排放可以满足《施工场地扬尘排放标准》(DB13/2934-2019)表1扬尘排放浓度限值。</w:t>
            </w:r>
          </w:p>
          <w:p w14:paraId="4BF0471C">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2、废水影响分析</w:t>
            </w:r>
          </w:p>
          <w:p w14:paraId="627D9375">
            <w:pPr>
              <w:pageBreakBefore w:val="0"/>
              <w:wordWrap w:val="0"/>
              <w:overflowPunct/>
              <w:topLinePunct w:val="0"/>
              <w:bidi w:val="0"/>
              <w:spacing w:after="0" w:line="360" w:lineRule="auto"/>
              <w:ind w:firstLine="477" w:firstLineChars="199"/>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施工期间，建筑工人日常生活产生生活污水。该污水的主要污染因子为COD、BOD</w:t>
            </w:r>
            <w:r>
              <w:rPr>
                <w:rFonts w:hint="default" w:ascii="Times New Roman" w:hAnsi="Times New Roman" w:eastAsia="宋体" w:cs="Times New Roman"/>
                <w:color w:val="auto"/>
                <w:kern w:val="0"/>
                <w:sz w:val="24"/>
                <w:szCs w:val="24"/>
                <w:highlight w:val="none"/>
                <w:vertAlign w:val="subscript"/>
              </w:rPr>
              <w:t>5</w:t>
            </w:r>
            <w:r>
              <w:rPr>
                <w:rFonts w:hint="default" w:ascii="Times New Roman" w:hAnsi="Times New Roman" w:eastAsia="宋体" w:cs="Times New Roman"/>
                <w:color w:val="auto"/>
                <w:kern w:val="0"/>
                <w:sz w:val="24"/>
                <w:szCs w:val="24"/>
                <w:highlight w:val="none"/>
              </w:rPr>
              <w:t>、SS和NH</w:t>
            </w:r>
            <w:r>
              <w:rPr>
                <w:rFonts w:hint="default" w:ascii="Times New Roman" w:hAnsi="Times New Roman" w:eastAsia="宋体" w:cs="Times New Roman"/>
                <w:color w:val="auto"/>
                <w:kern w:val="0"/>
                <w:sz w:val="24"/>
                <w:szCs w:val="24"/>
                <w:highlight w:val="none"/>
                <w:vertAlign w:val="subscript"/>
              </w:rPr>
              <w:t>3</w:t>
            </w:r>
            <w:r>
              <w:rPr>
                <w:rFonts w:hint="default" w:ascii="Times New Roman" w:hAnsi="Times New Roman" w:eastAsia="宋体" w:cs="Times New Roman"/>
                <w:color w:val="auto"/>
                <w:kern w:val="0"/>
                <w:sz w:val="24"/>
                <w:szCs w:val="24"/>
                <w:highlight w:val="none"/>
              </w:rPr>
              <w:t>-N等。由于其排放比较分散且排放量较小，可以用于场地抑尘。</w:t>
            </w:r>
          </w:p>
          <w:p w14:paraId="6D91CAF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施工期间，工地施工人员使用防渗旱厕，并且要制定完善的管理措施，</w:t>
            </w:r>
            <w:r>
              <w:rPr>
                <w:rFonts w:hint="default" w:ascii="Times New Roman" w:hAnsi="Times New Roman" w:cs="Times New Roman"/>
                <w:color w:val="auto"/>
                <w:sz w:val="24"/>
                <w:szCs w:val="24"/>
                <w:highlight w:val="none"/>
                <w:lang w:val="en-US" w:eastAsia="zh-CN"/>
              </w:rPr>
              <w:t>定期清掏</w:t>
            </w:r>
            <w:r>
              <w:rPr>
                <w:rFonts w:hint="default" w:ascii="Times New Roman" w:hAnsi="Times New Roman" w:eastAsia="宋体" w:cs="Times New Roman"/>
                <w:color w:val="auto"/>
                <w:sz w:val="24"/>
                <w:szCs w:val="24"/>
                <w:highlight w:val="none"/>
              </w:rPr>
              <w:t>，保证厕所在正常使用的情况下不对环境产生明显影响。</w:t>
            </w:r>
          </w:p>
          <w:p w14:paraId="7EF9D3E7">
            <w:pPr>
              <w:pageBreakBefore w:val="0"/>
              <w:wordWrap w:val="0"/>
              <w:overflowPunct/>
              <w:topLinePunct w:val="0"/>
              <w:autoSpaceDE w:val="0"/>
              <w:autoSpaceDN w:val="0"/>
              <w:bidi w:val="0"/>
              <w:adjustRightInd w:val="0"/>
              <w:spacing w:after="0" w:line="360" w:lineRule="auto"/>
              <w:ind w:firstLine="482" w:firstLineChars="20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3、噪声影响分析</w:t>
            </w:r>
          </w:p>
          <w:p w14:paraId="1FAE481B">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施工期的噪声主要来源于设备拆卸和安装的噪声，结合本工程的施工特点，经类比分析，设备拆卸和安装的噪声产生噪声级值为70~</w:t>
            </w:r>
            <w:r>
              <w:rPr>
                <w:rFonts w:hint="default" w:ascii="Times New Roman" w:hAnsi="Times New Roman" w:eastAsia="宋体" w:cs="Times New Roman"/>
                <w:color w:val="auto"/>
                <w:sz w:val="24"/>
                <w:szCs w:val="24"/>
                <w:highlight w:val="none"/>
                <w:lang w:val="en-US" w:eastAsia="zh-CN"/>
              </w:rPr>
              <w:t>85</w:t>
            </w:r>
            <w:r>
              <w:rPr>
                <w:rFonts w:hint="default" w:ascii="Times New Roman" w:hAnsi="Times New Roman" w:eastAsia="宋体" w:cs="Times New Roman"/>
                <w:color w:val="auto"/>
                <w:sz w:val="24"/>
                <w:szCs w:val="24"/>
                <w:highlight w:val="none"/>
              </w:rPr>
              <w:t>dB(A)。据计算，昼间距离工地60m，夜间距离300m方可满足《建筑施工场界环境噪声排放标准》(GB12523-2011)要求</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cs="Times New Roman"/>
                <w:color w:val="auto"/>
                <w:highlight w:val="none"/>
                <w:lang w:eastAsia="zh-CN"/>
              </w:rPr>
              <w:t>要求</w:t>
            </w:r>
            <w:r>
              <w:rPr>
                <w:rFonts w:hint="default" w:ascii="Times New Roman" w:hAnsi="Times New Roman" w:eastAsia="宋体" w:cs="Times New Roman"/>
                <w:color w:val="auto"/>
                <w:sz w:val="24"/>
                <w:szCs w:val="24"/>
                <w:highlight w:val="none"/>
              </w:rPr>
              <w:t>。为最大限度避免和减轻设备安装噪声对周围声环境的不利影响，本评价建议该工程在施工期采取以下噪声控制措施和对策：</w:t>
            </w:r>
          </w:p>
          <w:p w14:paraId="789C4D9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(1)从声源上控制。要求在装卸机器时使用低噪声机械设备，同时在装卸的过程中施工单位应设专人对机械设备进行定期保养，并对现场员工进行培训，严格按照操作规范使用各类机械。</w:t>
            </w:r>
          </w:p>
          <w:p w14:paraId="61853559">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(2)合理安排时间和进度，避免在敏感时间施工，不准在12：00~14:00、22:00~次日6:00期间使用高噪声设备。</w:t>
            </w:r>
          </w:p>
          <w:p w14:paraId="2C7928A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(3)严格按照设备说明书中的要求拆卸和安装，有条件时，可以针对施工人员进行设备安装培训。</w:t>
            </w:r>
          </w:p>
          <w:p w14:paraId="38C15E7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(4)加强日常监督管理。</w:t>
            </w:r>
          </w:p>
          <w:p w14:paraId="746C4BA4">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4、固体废物影响分析</w:t>
            </w:r>
          </w:p>
          <w:p w14:paraId="52D16FE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施工期产生的固体废物主要为</w:t>
            </w:r>
            <w:r>
              <w:rPr>
                <w:rFonts w:hint="default" w:ascii="Times New Roman" w:hAnsi="Times New Roman" w:eastAsia="宋体" w:cs="Times New Roman"/>
                <w:color w:val="auto"/>
                <w:sz w:val="24"/>
                <w:szCs w:val="24"/>
                <w:highlight w:val="none"/>
                <w:lang w:val="en-US" w:eastAsia="zh-CN"/>
              </w:rPr>
              <w:t>安装</w:t>
            </w:r>
            <w:r>
              <w:rPr>
                <w:rFonts w:hint="default" w:ascii="Times New Roman" w:hAnsi="Times New Roman" w:eastAsia="宋体" w:cs="Times New Roman"/>
                <w:color w:val="auto"/>
                <w:sz w:val="24"/>
                <w:szCs w:val="24"/>
                <w:highlight w:val="none"/>
              </w:rPr>
              <w:t>机器时产生的包装垃圾和职工生活垃圾，包装垃圾可送至回收站进行统一回收处理，严禁乱扔乱放；生活垃圾由环卫部门统一收集和处理，不会对周围环境产生影响，本评价针对施工期固体废物建议采取如下措施：</w:t>
            </w:r>
          </w:p>
          <w:p w14:paraId="6EBAE85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(1)包装垃圾送至回收站统一回收处理，严禁乱扔乱放；生活垃圾专门放入垃圾收集点、垃圾箱等，严禁乱扔乱放；</w:t>
            </w:r>
          </w:p>
          <w:p w14:paraId="3F3D5A68">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(2)定期清运垃圾，避免超过垃圾箱最大容纳量；</w:t>
            </w:r>
          </w:p>
          <w:p w14:paraId="4C956F8A">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(3)加强日常管理。</w:t>
            </w:r>
          </w:p>
          <w:p w14:paraId="6E37F249">
            <w:pPr>
              <w:autoSpaceDE w:val="0"/>
              <w:autoSpaceDN w:val="0"/>
              <w:adjustRightInd w:val="0"/>
              <w:spacing w:line="43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rPr>
              <w:t>综上所述，以上影响随着施工期的结束而结束，对周围环境不会产生明显影响</w:t>
            </w:r>
            <w:r>
              <w:rPr>
                <w:rFonts w:hint="default" w:ascii="Times New Roman" w:hAnsi="Times New Roman" w:cs="Times New Roman"/>
                <w:color w:val="auto"/>
                <w:sz w:val="24"/>
                <w:highlight w:val="none"/>
              </w:rPr>
              <w:t>。</w:t>
            </w:r>
          </w:p>
          <w:p w14:paraId="5B59235F">
            <w:pPr>
              <w:spacing w:line="360" w:lineRule="auto"/>
              <w:contextualSpacing/>
              <w:rPr>
                <w:rFonts w:hint="default" w:ascii="Times New Roman" w:hAnsi="Times New Roman" w:eastAsia="宋体" w:cs="Times New Roman"/>
                <w:color w:val="auto"/>
                <w:highlight w:val="none"/>
                <w:lang w:eastAsia="zh-CN"/>
              </w:rPr>
            </w:pPr>
          </w:p>
          <w:p w14:paraId="57A85CF0">
            <w:pPr>
              <w:pStyle w:val="2"/>
              <w:rPr>
                <w:rFonts w:hint="default" w:ascii="Times New Roman" w:hAnsi="Times New Roman" w:eastAsia="宋体" w:cs="Times New Roman"/>
                <w:color w:val="auto"/>
                <w:highlight w:val="none"/>
                <w:lang w:eastAsia="zh-CN"/>
              </w:rPr>
            </w:pPr>
          </w:p>
          <w:p w14:paraId="6568AD64">
            <w:pPr>
              <w:pStyle w:val="3"/>
              <w:rPr>
                <w:rFonts w:hint="default" w:ascii="Times New Roman" w:hAnsi="Times New Roman" w:eastAsia="宋体" w:cs="Times New Roman"/>
                <w:color w:val="auto"/>
                <w:highlight w:val="none"/>
                <w:lang w:eastAsia="zh-CN"/>
              </w:rPr>
            </w:pPr>
          </w:p>
          <w:p w14:paraId="07685BCB">
            <w:pPr>
              <w:rPr>
                <w:rFonts w:hint="default" w:ascii="Times New Roman" w:hAnsi="Times New Roman" w:eastAsia="宋体" w:cs="Times New Roman"/>
                <w:color w:val="auto"/>
                <w:highlight w:val="none"/>
                <w:lang w:eastAsia="zh-CN"/>
              </w:rPr>
            </w:pPr>
          </w:p>
          <w:p w14:paraId="56E58EE5">
            <w:pPr>
              <w:pStyle w:val="2"/>
              <w:rPr>
                <w:rFonts w:hint="default" w:ascii="Times New Roman" w:hAnsi="Times New Roman" w:eastAsia="宋体" w:cs="Times New Roman"/>
                <w:color w:val="auto"/>
                <w:highlight w:val="none"/>
                <w:lang w:eastAsia="zh-CN"/>
              </w:rPr>
            </w:pPr>
          </w:p>
          <w:p w14:paraId="54A66DB2">
            <w:pPr>
              <w:pStyle w:val="3"/>
              <w:rPr>
                <w:rFonts w:hint="default" w:ascii="Times New Roman" w:hAnsi="Times New Roman" w:eastAsia="宋体" w:cs="Times New Roman"/>
                <w:color w:val="auto"/>
                <w:highlight w:val="none"/>
                <w:lang w:eastAsia="zh-CN"/>
              </w:rPr>
            </w:pPr>
          </w:p>
          <w:p w14:paraId="165E6F55">
            <w:pPr>
              <w:rPr>
                <w:rFonts w:hint="default" w:ascii="Times New Roman" w:hAnsi="Times New Roman" w:eastAsia="宋体" w:cs="Times New Roman"/>
                <w:color w:val="auto"/>
                <w:highlight w:val="none"/>
                <w:lang w:eastAsia="zh-CN"/>
              </w:rPr>
            </w:pPr>
          </w:p>
          <w:p w14:paraId="528B1D84">
            <w:pPr>
              <w:pStyle w:val="2"/>
              <w:rPr>
                <w:rFonts w:hint="default" w:ascii="Times New Roman" w:hAnsi="Times New Roman" w:eastAsia="宋体" w:cs="Times New Roman"/>
                <w:color w:val="auto"/>
                <w:highlight w:val="none"/>
                <w:lang w:eastAsia="zh-CN"/>
              </w:rPr>
            </w:pPr>
          </w:p>
          <w:p w14:paraId="4E2E9F7F">
            <w:pPr>
              <w:pStyle w:val="3"/>
              <w:rPr>
                <w:rFonts w:hint="default" w:ascii="Times New Roman" w:hAnsi="Times New Roman" w:eastAsia="宋体" w:cs="Times New Roman"/>
                <w:color w:val="auto"/>
                <w:highlight w:val="none"/>
                <w:lang w:eastAsia="zh-CN"/>
              </w:rPr>
            </w:pPr>
          </w:p>
          <w:p w14:paraId="22AFAFA2">
            <w:pPr>
              <w:rPr>
                <w:rFonts w:hint="default" w:ascii="Times New Roman" w:hAnsi="Times New Roman" w:eastAsia="宋体" w:cs="Times New Roman"/>
                <w:color w:val="auto"/>
                <w:highlight w:val="none"/>
                <w:lang w:eastAsia="zh-CN"/>
              </w:rPr>
            </w:pPr>
          </w:p>
          <w:p w14:paraId="3D883E88">
            <w:pPr>
              <w:pStyle w:val="2"/>
              <w:rPr>
                <w:rFonts w:hint="default" w:ascii="Times New Roman" w:hAnsi="Times New Roman" w:eastAsia="宋体" w:cs="Times New Roman"/>
                <w:color w:val="auto"/>
                <w:highlight w:val="none"/>
                <w:lang w:eastAsia="zh-CN"/>
              </w:rPr>
            </w:pPr>
          </w:p>
          <w:p w14:paraId="6BE15D99">
            <w:pPr>
              <w:pStyle w:val="3"/>
              <w:rPr>
                <w:rFonts w:hint="default" w:ascii="Times New Roman" w:hAnsi="Times New Roman" w:eastAsia="宋体" w:cs="Times New Roman"/>
                <w:color w:val="auto"/>
                <w:highlight w:val="none"/>
                <w:lang w:eastAsia="zh-CN"/>
              </w:rPr>
            </w:pPr>
          </w:p>
          <w:p w14:paraId="37E7E859">
            <w:pPr>
              <w:rPr>
                <w:rFonts w:hint="default" w:ascii="Times New Roman" w:hAnsi="Times New Roman" w:eastAsia="宋体" w:cs="Times New Roman"/>
                <w:color w:val="auto"/>
                <w:highlight w:val="none"/>
                <w:lang w:eastAsia="zh-CN"/>
              </w:rPr>
            </w:pPr>
          </w:p>
          <w:p w14:paraId="3D21FFB0">
            <w:pPr>
              <w:pStyle w:val="2"/>
              <w:rPr>
                <w:rFonts w:hint="default" w:ascii="Times New Roman" w:hAnsi="Times New Roman" w:eastAsia="宋体" w:cs="Times New Roman"/>
                <w:color w:val="auto"/>
                <w:highlight w:val="none"/>
                <w:lang w:eastAsia="zh-CN"/>
              </w:rPr>
            </w:pPr>
          </w:p>
          <w:p w14:paraId="1998F379">
            <w:pPr>
              <w:pStyle w:val="3"/>
              <w:rPr>
                <w:rFonts w:hint="default" w:ascii="Times New Roman" w:hAnsi="Times New Roman" w:eastAsia="宋体" w:cs="Times New Roman"/>
                <w:color w:val="auto"/>
                <w:highlight w:val="none"/>
                <w:lang w:eastAsia="zh-CN"/>
              </w:rPr>
            </w:pPr>
          </w:p>
          <w:p w14:paraId="35E1EE96">
            <w:pPr>
              <w:rPr>
                <w:rFonts w:hint="default" w:ascii="Times New Roman" w:hAnsi="Times New Roman" w:eastAsia="宋体" w:cs="Times New Roman"/>
                <w:color w:val="auto"/>
                <w:highlight w:val="none"/>
                <w:lang w:eastAsia="zh-CN"/>
              </w:rPr>
            </w:pPr>
          </w:p>
          <w:p w14:paraId="5A99C885">
            <w:pPr>
              <w:pStyle w:val="2"/>
              <w:rPr>
                <w:rFonts w:hint="default" w:ascii="Times New Roman" w:hAnsi="Times New Roman" w:eastAsia="宋体" w:cs="Times New Roman"/>
                <w:color w:val="auto"/>
                <w:highlight w:val="none"/>
                <w:lang w:eastAsia="zh-CN"/>
              </w:rPr>
            </w:pPr>
          </w:p>
          <w:p w14:paraId="2D216E38">
            <w:pPr>
              <w:pStyle w:val="3"/>
              <w:rPr>
                <w:rFonts w:hint="default" w:ascii="Times New Roman" w:hAnsi="Times New Roman" w:eastAsia="宋体" w:cs="Times New Roman"/>
                <w:color w:val="auto"/>
                <w:highlight w:val="none"/>
                <w:lang w:eastAsia="zh-CN"/>
              </w:rPr>
            </w:pPr>
          </w:p>
          <w:p w14:paraId="0B063838">
            <w:pPr>
              <w:rPr>
                <w:rFonts w:hint="default" w:ascii="Times New Roman" w:hAnsi="Times New Roman" w:eastAsia="宋体" w:cs="Times New Roman"/>
                <w:color w:val="auto"/>
                <w:highlight w:val="none"/>
                <w:lang w:eastAsia="zh-CN"/>
              </w:rPr>
            </w:pPr>
          </w:p>
          <w:p w14:paraId="60164C7F">
            <w:pPr>
              <w:pStyle w:val="2"/>
              <w:rPr>
                <w:rFonts w:hint="default" w:ascii="Times New Roman" w:hAnsi="Times New Roman" w:eastAsia="宋体" w:cs="Times New Roman"/>
                <w:color w:val="auto"/>
                <w:highlight w:val="none"/>
                <w:lang w:eastAsia="zh-CN"/>
              </w:rPr>
            </w:pPr>
          </w:p>
          <w:p w14:paraId="124DC79E">
            <w:pPr>
              <w:pStyle w:val="3"/>
              <w:rPr>
                <w:rFonts w:hint="default" w:ascii="Times New Roman" w:hAnsi="Times New Roman" w:eastAsia="宋体" w:cs="Times New Roman"/>
                <w:color w:val="auto"/>
                <w:highlight w:val="none"/>
                <w:lang w:eastAsia="zh-CN"/>
              </w:rPr>
            </w:pPr>
          </w:p>
          <w:p w14:paraId="64C1A35E">
            <w:pPr>
              <w:rPr>
                <w:rFonts w:hint="default" w:ascii="Times New Roman" w:hAnsi="Times New Roman" w:eastAsia="宋体" w:cs="Times New Roman"/>
                <w:color w:val="auto"/>
                <w:highlight w:val="none"/>
                <w:lang w:eastAsia="zh-CN"/>
              </w:rPr>
            </w:pPr>
          </w:p>
          <w:p w14:paraId="29934AE1">
            <w:pPr>
              <w:pStyle w:val="2"/>
              <w:rPr>
                <w:rFonts w:hint="default" w:ascii="Times New Roman" w:hAnsi="Times New Roman" w:eastAsia="宋体" w:cs="Times New Roman"/>
                <w:color w:val="auto"/>
                <w:highlight w:val="none"/>
                <w:lang w:eastAsia="zh-CN"/>
              </w:rPr>
            </w:pPr>
          </w:p>
          <w:p w14:paraId="2137F865">
            <w:pPr>
              <w:pStyle w:val="3"/>
              <w:rPr>
                <w:rFonts w:hint="default" w:ascii="Times New Roman" w:hAnsi="Times New Roman" w:eastAsia="宋体" w:cs="Times New Roman"/>
                <w:color w:val="auto"/>
                <w:highlight w:val="none"/>
                <w:lang w:eastAsia="zh-CN"/>
              </w:rPr>
            </w:pPr>
          </w:p>
          <w:p w14:paraId="56D0B933">
            <w:pPr>
              <w:rPr>
                <w:rFonts w:hint="default" w:ascii="Times New Roman" w:hAnsi="Times New Roman" w:eastAsia="宋体" w:cs="Times New Roman"/>
                <w:color w:val="auto"/>
                <w:highlight w:val="none"/>
                <w:lang w:eastAsia="zh-CN"/>
              </w:rPr>
            </w:pPr>
          </w:p>
          <w:p w14:paraId="122A7AAF">
            <w:pPr>
              <w:pStyle w:val="2"/>
              <w:rPr>
                <w:rFonts w:hint="default" w:ascii="Times New Roman" w:hAnsi="Times New Roman" w:eastAsia="宋体" w:cs="Times New Roman"/>
                <w:color w:val="auto"/>
                <w:highlight w:val="none"/>
                <w:lang w:eastAsia="zh-CN"/>
              </w:rPr>
            </w:pPr>
          </w:p>
          <w:p w14:paraId="23A1B1E6">
            <w:pPr>
              <w:pStyle w:val="3"/>
              <w:rPr>
                <w:rFonts w:hint="default" w:ascii="Times New Roman" w:hAnsi="Times New Roman" w:eastAsia="宋体" w:cs="Times New Roman"/>
                <w:color w:val="auto"/>
                <w:highlight w:val="none"/>
                <w:lang w:eastAsia="zh-CN"/>
              </w:rPr>
            </w:pPr>
          </w:p>
          <w:p w14:paraId="38E4D9C6">
            <w:pPr>
              <w:rPr>
                <w:rFonts w:hint="default" w:ascii="Times New Roman" w:hAnsi="Times New Roman" w:eastAsia="宋体" w:cs="Times New Roman"/>
                <w:color w:val="auto"/>
                <w:highlight w:val="none"/>
                <w:lang w:eastAsia="zh-CN"/>
              </w:rPr>
            </w:pPr>
          </w:p>
          <w:p w14:paraId="37E5188D">
            <w:pPr>
              <w:pStyle w:val="2"/>
              <w:rPr>
                <w:rFonts w:hint="default" w:ascii="Times New Roman" w:hAnsi="Times New Roman" w:eastAsia="宋体" w:cs="Times New Roman"/>
                <w:color w:val="auto"/>
                <w:highlight w:val="none"/>
                <w:lang w:eastAsia="zh-CN"/>
              </w:rPr>
            </w:pPr>
          </w:p>
          <w:p w14:paraId="1EA71467">
            <w:pPr>
              <w:pStyle w:val="3"/>
              <w:rPr>
                <w:rFonts w:hint="default" w:ascii="Times New Roman" w:hAnsi="Times New Roman" w:eastAsia="宋体" w:cs="Times New Roman"/>
                <w:color w:val="auto"/>
                <w:highlight w:val="none"/>
                <w:lang w:eastAsia="zh-CN"/>
              </w:rPr>
            </w:pPr>
          </w:p>
          <w:p w14:paraId="72B49EB2">
            <w:pPr>
              <w:rPr>
                <w:rFonts w:hint="default" w:ascii="Times New Roman" w:hAnsi="Times New Roman" w:eastAsia="宋体" w:cs="Times New Roman"/>
                <w:color w:val="auto"/>
                <w:highlight w:val="none"/>
                <w:lang w:eastAsia="zh-CN"/>
              </w:rPr>
            </w:pPr>
          </w:p>
          <w:p w14:paraId="7DBD2833">
            <w:pPr>
              <w:pStyle w:val="2"/>
              <w:rPr>
                <w:rFonts w:hint="default" w:ascii="Times New Roman" w:hAnsi="Times New Roman" w:eastAsia="宋体" w:cs="Times New Roman"/>
                <w:color w:val="auto"/>
                <w:highlight w:val="none"/>
                <w:lang w:eastAsia="zh-CN"/>
              </w:rPr>
            </w:pPr>
          </w:p>
          <w:p w14:paraId="406080CF">
            <w:pPr>
              <w:pStyle w:val="3"/>
              <w:rPr>
                <w:rFonts w:hint="default" w:ascii="Times New Roman" w:hAnsi="Times New Roman" w:eastAsia="宋体" w:cs="Times New Roman"/>
                <w:color w:val="auto"/>
                <w:highlight w:val="none"/>
                <w:lang w:eastAsia="zh-CN"/>
              </w:rPr>
            </w:pPr>
          </w:p>
          <w:p w14:paraId="078D51E8">
            <w:pPr>
              <w:rPr>
                <w:rFonts w:hint="default" w:ascii="Times New Roman" w:hAnsi="Times New Roman" w:cs="Times New Roman"/>
                <w:color w:val="auto"/>
                <w:highlight w:val="none"/>
                <w:lang w:eastAsia="zh-CN"/>
              </w:rPr>
            </w:pPr>
          </w:p>
        </w:tc>
      </w:tr>
    </w:tbl>
    <w:p w14:paraId="09EAD1F7">
      <w:pPr>
        <w:pStyle w:val="36"/>
        <w:adjustRightInd w:val="0"/>
        <w:snapToGrid w:val="0"/>
        <w:spacing w:before="0" w:beforeAutospacing="0" w:after="0" w:afterAutospacing="0"/>
        <w:jc w:val="cente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8588"/>
      </w:tblGrid>
      <w:tr w14:paraId="672B09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10" w:hRule="atLeast"/>
          <w:jc w:val="center"/>
        </w:trPr>
        <w:tc>
          <w:tcPr>
            <w:tcW w:w="808" w:type="dxa"/>
            <w:tcBorders>
              <w:left w:val="single" w:color="auto" w:sz="4" w:space="0"/>
              <w:bottom w:val="single" w:color="auto" w:sz="4" w:space="0"/>
            </w:tcBorders>
            <w:tcMar>
              <w:left w:w="28" w:type="dxa"/>
              <w:right w:w="28" w:type="dxa"/>
            </w:tcMar>
            <w:vAlign w:val="center"/>
          </w:tcPr>
          <w:p w14:paraId="2BDFC10C">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B9EE1B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225CA234">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31908365">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EEA1269">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3C9B475">
            <w:pPr>
              <w:pStyle w:val="36"/>
              <w:adjustRightInd w:val="0"/>
              <w:snapToGrid w:val="0"/>
              <w:spacing w:before="0" w:beforeAutospacing="0" w:after="0" w:afterAutospacing="0"/>
              <w:jc w:val="center"/>
              <w:rPr>
                <w:rFonts w:hint="default" w:ascii="Times New Roman" w:hAnsi="Times New Roman" w:cs="Times New Roman"/>
                <w:bCs/>
                <w:color w:val="auto"/>
                <w:szCs w:val="21"/>
                <w:highlight w:val="none"/>
              </w:rPr>
            </w:pPr>
            <w:r>
              <w:rPr>
                <w:rFonts w:hint="default" w:ascii="Times New Roman" w:hAnsi="Times New Roman" w:cs="Times New Roman"/>
                <w:color w:val="auto"/>
                <w:highlight w:val="none"/>
              </w:rPr>
              <w:t>措施</w:t>
            </w:r>
          </w:p>
        </w:tc>
        <w:tc>
          <w:tcPr>
            <w:tcW w:w="8253" w:type="dxa"/>
            <w:tcBorders>
              <w:bottom w:val="single" w:color="auto" w:sz="4" w:space="0"/>
              <w:right w:val="single" w:color="auto" w:sz="4" w:space="0"/>
            </w:tcBorders>
            <w:vAlign w:val="center"/>
          </w:tcPr>
          <w:p w14:paraId="0D1C1A55">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rPr>
              <w:t>、废气</w:t>
            </w:r>
          </w:p>
          <w:p w14:paraId="24DE900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lang w:eastAsia="zh-CN"/>
              </w:rPr>
              <w:t>废气污染源强分析</w:t>
            </w:r>
          </w:p>
          <w:p w14:paraId="0CBAECEB">
            <w:pPr>
              <w:widowControl/>
              <w:spacing w:line="440" w:lineRule="exact"/>
              <w:ind w:firstLine="480" w:firstLineChars="200"/>
              <w:rPr>
                <w:rFonts w:hint="default" w:ascii="Times New Roman" w:hAnsi="Times New Roman" w:eastAsia="宋体" w:cs="Times New Roman"/>
                <w:color w:val="auto"/>
                <w:kern w:val="0"/>
                <w:sz w:val="24"/>
                <w:szCs w:val="22"/>
                <w:highlight w:val="none"/>
                <w:lang w:eastAsia="zh-CN"/>
              </w:rPr>
            </w:pPr>
            <w:r>
              <w:rPr>
                <w:rFonts w:hint="default" w:ascii="Times New Roman" w:hAnsi="Times New Roman" w:eastAsia="宋体" w:cs="Times New Roman"/>
                <w:color w:val="auto"/>
                <w:sz w:val="24"/>
                <w:highlight w:val="none"/>
              </w:rPr>
              <w:t>本项目运营期</w:t>
            </w:r>
            <w:r>
              <w:rPr>
                <w:rFonts w:hint="default" w:ascii="Times New Roman" w:hAnsi="Times New Roman" w:eastAsia="宋体" w:cs="Times New Roman"/>
                <w:color w:val="auto"/>
                <w:sz w:val="24"/>
                <w:highlight w:val="none"/>
                <w:lang w:eastAsia="zh-CN"/>
              </w:rPr>
              <w:t>有组织废气为储罐呼吸废气</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eastAsia="zh-CN"/>
              </w:rPr>
              <w:t>上料废气、</w:t>
            </w:r>
            <w:r>
              <w:rPr>
                <w:rFonts w:hint="default" w:ascii="Times New Roman" w:hAnsi="Times New Roman" w:eastAsia="宋体" w:cs="Times New Roman"/>
                <w:color w:val="auto"/>
                <w:sz w:val="24"/>
                <w:highlight w:val="none"/>
                <w:lang w:eastAsia="zh-CN"/>
              </w:rPr>
              <w:t>搅拌废气</w:t>
            </w:r>
            <w:r>
              <w:rPr>
                <w:rFonts w:hint="default" w:ascii="Times New Roman" w:hAnsi="Times New Roman" w:cs="Times New Roman"/>
                <w:color w:val="auto"/>
                <w:sz w:val="24"/>
                <w:highlight w:val="none"/>
                <w:lang w:eastAsia="zh-CN"/>
              </w:rPr>
              <w:t>、分装废气</w:t>
            </w:r>
            <w:r>
              <w:rPr>
                <w:rFonts w:hint="default" w:ascii="Times New Roman" w:hAnsi="Times New Roman" w:eastAsia="宋体" w:cs="Times New Roman"/>
                <w:color w:val="auto"/>
                <w:sz w:val="24"/>
                <w:highlight w:val="none"/>
                <w:lang w:eastAsia="zh-CN"/>
              </w:rPr>
              <w:t>，无组织废气为未被收集的少量粉尘、车辆运输扬尘、焊接烟尘。</w:t>
            </w:r>
          </w:p>
          <w:p w14:paraId="1F64C219">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①有组织废气</w:t>
            </w:r>
          </w:p>
          <w:p w14:paraId="4066BB7F">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包装机落料点上方设置集气罩，储罐呼吸废气经罐顶除尘器处理后，和上料废气、搅拌废气、分装废气一同引至一套布袋除尘器处理，处理后经1根15m高排气筒（DA001）排放。</w:t>
            </w:r>
          </w:p>
          <w:p w14:paraId="62415148">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②无组织废气</w:t>
            </w:r>
          </w:p>
          <w:p w14:paraId="25597E15">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无组织废气（集气罩未收集废气）：采取车间密闭措施。</w:t>
            </w:r>
          </w:p>
          <w:p w14:paraId="64364FAC">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车辆运输扬尘：采取车辆加盖苫布、道路硬化、定期清扫、进出厂车辆冲洗等控制措施。</w:t>
            </w:r>
          </w:p>
          <w:p w14:paraId="514518B0">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焊接烟尘：经移动焊烟净化器处理后，车间内无组织排放。</w:t>
            </w:r>
          </w:p>
          <w:p w14:paraId="6134ABC1">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rPr>
            </w:pPr>
            <w:r>
              <w:rPr>
                <w:rFonts w:hint="default" w:ascii="Times New Roman" w:hAnsi="Times New Roman" w:eastAsia="宋体" w:cs="Times New Roman"/>
                <w:b/>
                <w:bCs/>
                <w:color w:val="auto"/>
                <w:szCs w:val="24"/>
                <w:highlight w:val="none"/>
              </w:rPr>
              <w:t xml:space="preserve">表4-1    </w:t>
            </w:r>
            <w:r>
              <w:rPr>
                <w:rFonts w:hint="default" w:ascii="Times New Roman" w:hAnsi="Times New Roman" w:eastAsia="宋体" w:cs="Times New Roman"/>
                <w:b/>
                <w:bCs/>
                <w:color w:val="auto"/>
                <w:szCs w:val="24"/>
                <w:highlight w:val="none"/>
                <w:lang w:val="en-US" w:eastAsia="zh-CN"/>
              </w:rPr>
              <w:t>项目</w:t>
            </w:r>
            <w:r>
              <w:rPr>
                <w:rFonts w:hint="default" w:ascii="Times New Roman" w:hAnsi="Times New Roman" w:eastAsia="宋体" w:cs="Times New Roman"/>
                <w:b/>
                <w:bCs/>
                <w:color w:val="auto"/>
                <w:szCs w:val="24"/>
                <w:highlight w:val="none"/>
              </w:rPr>
              <w:t>废气收集、处理、排放方案一览表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930"/>
              <w:gridCol w:w="781"/>
              <w:gridCol w:w="746"/>
              <w:gridCol w:w="2175"/>
              <w:gridCol w:w="1124"/>
              <w:gridCol w:w="885"/>
              <w:gridCol w:w="718"/>
            </w:tblGrid>
            <w:tr w14:paraId="3C82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1154" w:type="pct"/>
                  <w:vMerge w:val="restart"/>
                  <w:vAlign w:val="center"/>
                </w:tcPr>
                <w:p w14:paraId="294B0C5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产排污环节</w:t>
                  </w:r>
                </w:p>
              </w:tc>
              <w:tc>
                <w:tcPr>
                  <w:tcW w:w="467" w:type="pct"/>
                  <w:vMerge w:val="restart"/>
                  <w:vAlign w:val="center"/>
                </w:tcPr>
                <w:p w14:paraId="34018B8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污染物种类</w:t>
                  </w:r>
                </w:p>
              </w:tc>
              <w:tc>
                <w:tcPr>
                  <w:tcW w:w="446" w:type="pct"/>
                  <w:vMerge w:val="restart"/>
                  <w:vAlign w:val="center"/>
                </w:tcPr>
                <w:p w14:paraId="526D8A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排放形式</w:t>
                  </w:r>
                </w:p>
              </w:tc>
              <w:tc>
                <w:tcPr>
                  <w:tcW w:w="2501" w:type="pct"/>
                  <w:gridSpan w:val="3"/>
                  <w:vAlign w:val="center"/>
                </w:tcPr>
                <w:p w14:paraId="0587E7E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污染防治设施</w:t>
                  </w:r>
                </w:p>
              </w:tc>
              <w:tc>
                <w:tcPr>
                  <w:tcW w:w="429" w:type="pct"/>
                  <w:vMerge w:val="restart"/>
                  <w:vAlign w:val="center"/>
                </w:tcPr>
                <w:p w14:paraId="40F7EE8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排气筒编号</w:t>
                  </w:r>
                </w:p>
              </w:tc>
            </w:tr>
            <w:tr w14:paraId="040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Merge w:val="continue"/>
                  <w:vAlign w:val="center"/>
                </w:tcPr>
                <w:p w14:paraId="18F965B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67" w:type="pct"/>
                  <w:vMerge w:val="continue"/>
                  <w:vAlign w:val="center"/>
                </w:tcPr>
                <w:p w14:paraId="7D40BFF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46" w:type="pct"/>
                  <w:vMerge w:val="continue"/>
                  <w:vAlign w:val="center"/>
                </w:tcPr>
                <w:p w14:paraId="096B2EF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1972" w:type="pct"/>
                  <w:gridSpan w:val="2"/>
                  <w:vAlign w:val="center"/>
                </w:tcPr>
                <w:p w14:paraId="1CD888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污染防治措施名称及工艺</w:t>
                  </w:r>
                </w:p>
              </w:tc>
              <w:tc>
                <w:tcPr>
                  <w:tcW w:w="529" w:type="pct"/>
                  <w:vAlign w:val="center"/>
                </w:tcPr>
                <w:p w14:paraId="4E09361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是否为可行技术</w:t>
                  </w:r>
                </w:p>
              </w:tc>
              <w:tc>
                <w:tcPr>
                  <w:tcW w:w="429" w:type="pct"/>
                  <w:vMerge w:val="continue"/>
                  <w:vAlign w:val="center"/>
                </w:tcPr>
                <w:p w14:paraId="77376CF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r>
            <w:tr w14:paraId="36CB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shd w:val="clear" w:color="auto" w:fill="auto"/>
                  <w:vAlign w:val="center"/>
                </w:tcPr>
                <w:p w14:paraId="568127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储罐</w:t>
                  </w:r>
                </w:p>
              </w:tc>
              <w:tc>
                <w:tcPr>
                  <w:tcW w:w="467" w:type="pct"/>
                  <w:shd w:val="clear" w:color="auto" w:fill="auto"/>
                  <w:vAlign w:val="center"/>
                </w:tcPr>
                <w:p w14:paraId="46EB520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24BC6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453843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集气管道(收集效率100%)+8套罐顶除尘器</w:t>
                  </w:r>
                </w:p>
              </w:tc>
              <w:tc>
                <w:tcPr>
                  <w:tcW w:w="672" w:type="pct"/>
                  <w:vMerge w:val="restart"/>
                  <w:shd w:val="clear" w:color="auto" w:fill="auto"/>
                  <w:vAlign w:val="center"/>
                </w:tcPr>
                <w:p w14:paraId="143DDBB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布袋除尘器</w:t>
                  </w:r>
                  <w:r>
                    <w:rPr>
                      <w:rFonts w:hint="default" w:ascii="Times New Roman" w:hAnsi="Times New Roman" w:eastAsia="宋体" w:cs="Times New Roman"/>
                      <w:bCs/>
                      <w:color w:val="auto"/>
                      <w:sz w:val="21"/>
                      <w:szCs w:val="21"/>
                      <w:highlight w:val="none"/>
                    </w:rPr>
                    <w:t>(处理效率9</w:t>
                  </w:r>
                  <w:r>
                    <w:rPr>
                      <w:rFonts w:hint="default" w:ascii="Times New Roman" w:hAnsi="Times New Roman" w:eastAsia="宋体" w:cs="Times New Roman"/>
                      <w:bCs/>
                      <w:color w:val="auto"/>
                      <w:sz w:val="21"/>
                      <w:szCs w:val="21"/>
                      <w:highlight w:val="none"/>
                      <w:lang w:val="en-US" w:eastAsia="zh-CN"/>
                    </w:rPr>
                    <w:t>9.7</w:t>
                  </w:r>
                  <w:r>
                    <w:rPr>
                      <w:rFonts w:hint="default" w:ascii="Times New Roman" w:hAnsi="Times New Roman" w:eastAsia="宋体" w:cs="Times New Roman"/>
                      <w:bCs/>
                      <w:color w:val="auto"/>
                      <w:sz w:val="21"/>
                      <w:szCs w:val="21"/>
                      <w:highlight w:val="none"/>
                    </w:rPr>
                    <w:t>%)</w:t>
                  </w:r>
                  <w:r>
                    <w:rPr>
                      <w:rFonts w:hint="default" w:ascii="Times New Roman" w:hAnsi="Times New Roman" w:eastAsia="宋体" w:cs="Times New Roman"/>
                      <w:bCs/>
                      <w:color w:val="auto"/>
                      <w:sz w:val="21"/>
                      <w:szCs w:val="21"/>
                      <w:highlight w:val="none"/>
                      <w:lang w:val="en-US" w:eastAsia="zh-CN"/>
                    </w:rPr>
                    <w:t>+1根15m高排气筒</w:t>
                  </w:r>
                </w:p>
              </w:tc>
              <w:tc>
                <w:tcPr>
                  <w:tcW w:w="529" w:type="pct"/>
                  <w:vAlign w:val="center"/>
                </w:tcPr>
                <w:p w14:paraId="668457A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05FA9D0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AE8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4313F3A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67" w:type="pct"/>
                  <w:vAlign w:val="center"/>
                </w:tcPr>
                <w:p w14:paraId="2E47323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5DB1EFC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49AE952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F3DD5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437956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45E97A4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5D25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37" w:hRule="atLeast"/>
              </w:trPr>
              <w:tc>
                <w:tcPr>
                  <w:tcW w:w="1154" w:type="pct"/>
                  <w:vAlign w:val="center"/>
                </w:tcPr>
                <w:p w14:paraId="1FAFFE2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搅拌仓（石膏砂浆）</w:t>
                  </w:r>
                </w:p>
              </w:tc>
              <w:tc>
                <w:tcPr>
                  <w:tcW w:w="467" w:type="pct"/>
                  <w:vAlign w:val="center"/>
                </w:tcPr>
                <w:p w14:paraId="1F8C506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1C760E0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296F89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44CBF3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restart"/>
                  <w:vAlign w:val="center"/>
                </w:tcPr>
                <w:p w14:paraId="0610C34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Merge w:val="restart"/>
                  <w:vAlign w:val="center"/>
                </w:tcPr>
                <w:p w14:paraId="6A79C95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C23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3" w:hRule="atLeast"/>
              </w:trPr>
              <w:tc>
                <w:tcPr>
                  <w:tcW w:w="1154" w:type="pct"/>
                  <w:vAlign w:val="center"/>
                </w:tcPr>
                <w:p w14:paraId="4789196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搅拌仓（防火保温砂浆）</w:t>
                  </w:r>
                </w:p>
              </w:tc>
              <w:tc>
                <w:tcPr>
                  <w:tcW w:w="467" w:type="pct"/>
                  <w:shd w:val="clear" w:color="auto" w:fill="auto"/>
                  <w:vAlign w:val="center"/>
                </w:tcPr>
                <w:p w14:paraId="2A9295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7F740E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64CC4D3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8C2102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continue"/>
                  <w:vAlign w:val="center"/>
                </w:tcPr>
                <w:p w14:paraId="65A552E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29" w:type="pct"/>
                  <w:vMerge w:val="continue"/>
                  <w:vAlign w:val="center"/>
                </w:tcPr>
                <w:p w14:paraId="016924F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r>
            <w:tr w14:paraId="4F27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7BFBCA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包装机</w:t>
                  </w:r>
                  <w:r>
                    <w:rPr>
                      <w:rFonts w:hint="default" w:ascii="Times New Roman" w:hAnsi="Times New Roman" w:cs="Times New Roman"/>
                      <w:bCs/>
                      <w:color w:val="auto"/>
                      <w:sz w:val="21"/>
                      <w:szCs w:val="21"/>
                      <w:highlight w:val="none"/>
                      <w:lang w:val="en-US" w:eastAsia="zh-CN"/>
                    </w:rPr>
                    <w:t>（石膏砂浆）</w:t>
                  </w:r>
                </w:p>
              </w:tc>
              <w:tc>
                <w:tcPr>
                  <w:tcW w:w="467" w:type="pct"/>
                  <w:vAlign w:val="center"/>
                </w:tcPr>
                <w:p w14:paraId="2A6997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73CEAB3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354777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集气罩（90%）</w:t>
                  </w:r>
                </w:p>
              </w:tc>
              <w:tc>
                <w:tcPr>
                  <w:tcW w:w="672" w:type="pct"/>
                  <w:vMerge w:val="continue"/>
                  <w:vAlign w:val="center"/>
                </w:tcPr>
                <w:p w14:paraId="7AF450B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1C6FD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5734E51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49E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5" w:hRule="atLeast"/>
              </w:trPr>
              <w:tc>
                <w:tcPr>
                  <w:tcW w:w="1154" w:type="pct"/>
                  <w:vAlign w:val="center"/>
                </w:tcPr>
                <w:p w14:paraId="58C41AA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cs="Times New Roman"/>
                      <w:color w:val="auto"/>
                      <w:sz w:val="21"/>
                      <w:szCs w:val="21"/>
                      <w:highlight w:val="none"/>
                      <w:lang w:eastAsia="zh-CN"/>
                    </w:rPr>
                    <w:t>车间无组织废气（集气罩未收集废气）</w:t>
                  </w:r>
                </w:p>
              </w:tc>
              <w:tc>
                <w:tcPr>
                  <w:tcW w:w="467" w:type="pct"/>
                  <w:vAlign w:val="center"/>
                </w:tcPr>
                <w:p w14:paraId="6806ADE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颗粒物</w:t>
                  </w:r>
                </w:p>
              </w:tc>
              <w:tc>
                <w:tcPr>
                  <w:tcW w:w="446" w:type="pct"/>
                  <w:vAlign w:val="center"/>
                </w:tcPr>
                <w:p w14:paraId="6B346D1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无组织</w:t>
                  </w:r>
                </w:p>
              </w:tc>
              <w:tc>
                <w:tcPr>
                  <w:tcW w:w="1972" w:type="pct"/>
                  <w:gridSpan w:val="2"/>
                  <w:vAlign w:val="center"/>
                </w:tcPr>
                <w:p w14:paraId="59AF565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采取车间密闭等措施</w:t>
                  </w:r>
                </w:p>
              </w:tc>
              <w:tc>
                <w:tcPr>
                  <w:tcW w:w="529" w:type="pct"/>
                  <w:vAlign w:val="center"/>
                </w:tcPr>
                <w:p w14:paraId="55A4B9F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3AA7465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w:t>
                  </w:r>
                </w:p>
              </w:tc>
            </w:tr>
            <w:tr w14:paraId="4F58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trPr>
              <w:tc>
                <w:tcPr>
                  <w:tcW w:w="1154" w:type="pct"/>
                  <w:shd w:val="clear" w:color="auto" w:fill="auto"/>
                  <w:vAlign w:val="center"/>
                </w:tcPr>
                <w:p w14:paraId="369FDE9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eastAsia="zh-CN"/>
                    </w:rPr>
                    <w:t>车辆运输扬尘</w:t>
                  </w:r>
                </w:p>
              </w:tc>
              <w:tc>
                <w:tcPr>
                  <w:tcW w:w="467" w:type="pct"/>
                  <w:shd w:val="clear" w:color="auto" w:fill="auto"/>
                  <w:vAlign w:val="center"/>
                </w:tcPr>
                <w:p w14:paraId="3C595C3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颗粒物</w:t>
                  </w:r>
                </w:p>
              </w:tc>
              <w:tc>
                <w:tcPr>
                  <w:tcW w:w="446" w:type="pct"/>
                  <w:shd w:val="clear" w:color="auto" w:fill="auto"/>
                  <w:vAlign w:val="center"/>
                </w:tcPr>
                <w:p w14:paraId="126078C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无组织</w:t>
                  </w:r>
                </w:p>
              </w:tc>
              <w:tc>
                <w:tcPr>
                  <w:tcW w:w="1972" w:type="pct"/>
                  <w:gridSpan w:val="2"/>
                  <w:shd w:val="clear" w:color="auto" w:fill="auto"/>
                  <w:vAlign w:val="center"/>
                </w:tcPr>
                <w:p w14:paraId="448D078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采取车辆加盖苫布、</w:t>
                  </w:r>
                  <w:r>
                    <w:rPr>
                      <w:rFonts w:hint="default" w:ascii="Times New Roman" w:hAnsi="Times New Roman" w:cs="Times New Roman"/>
                      <w:color w:val="auto"/>
                      <w:sz w:val="21"/>
                      <w:szCs w:val="21"/>
                      <w:highlight w:val="none"/>
                      <w:lang w:val="en-US" w:eastAsia="zh-CN"/>
                    </w:rPr>
                    <w:t>道路硬化</w:t>
                  </w:r>
                  <w:r>
                    <w:rPr>
                      <w:rFonts w:hint="default" w:ascii="Times New Roman" w:hAnsi="Times New Roman" w:eastAsia="宋体" w:cs="Times New Roman"/>
                      <w:color w:val="auto"/>
                      <w:sz w:val="21"/>
                      <w:szCs w:val="21"/>
                      <w:highlight w:val="none"/>
                      <w:lang w:val="en-US" w:eastAsia="zh-CN"/>
                    </w:rPr>
                    <w:t>、定期清扫、进出厂车辆冲洗等控制措施。</w:t>
                  </w:r>
                </w:p>
              </w:tc>
              <w:tc>
                <w:tcPr>
                  <w:tcW w:w="529" w:type="pct"/>
                  <w:shd w:val="clear" w:color="auto" w:fill="auto"/>
                  <w:vAlign w:val="center"/>
                </w:tcPr>
                <w:p w14:paraId="353318F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72E18B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r w14:paraId="3B24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trPr>
              <w:tc>
                <w:tcPr>
                  <w:tcW w:w="1154" w:type="pct"/>
                  <w:vAlign w:val="center"/>
                </w:tcPr>
                <w:p w14:paraId="4A32C98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焊接烟尘</w:t>
                  </w:r>
                </w:p>
              </w:tc>
              <w:tc>
                <w:tcPr>
                  <w:tcW w:w="467" w:type="pct"/>
                  <w:vAlign w:val="center"/>
                </w:tcPr>
                <w:p w14:paraId="4DDDD87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颗粒物</w:t>
                  </w:r>
                </w:p>
              </w:tc>
              <w:tc>
                <w:tcPr>
                  <w:tcW w:w="446" w:type="pct"/>
                  <w:vAlign w:val="center"/>
                </w:tcPr>
                <w:p w14:paraId="4E2EC3B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无组织</w:t>
                  </w:r>
                </w:p>
              </w:tc>
              <w:tc>
                <w:tcPr>
                  <w:tcW w:w="1972" w:type="pct"/>
                  <w:gridSpan w:val="2"/>
                  <w:vAlign w:val="center"/>
                </w:tcPr>
                <w:p w14:paraId="750CF29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移动式焊烟净化器</w:t>
                  </w:r>
                </w:p>
              </w:tc>
              <w:tc>
                <w:tcPr>
                  <w:tcW w:w="529" w:type="pct"/>
                  <w:shd w:val="clear" w:color="auto" w:fill="auto"/>
                  <w:vAlign w:val="center"/>
                </w:tcPr>
                <w:p w14:paraId="726179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15E1ED7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bl>
          <w:p w14:paraId="3815F58A">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2</w:t>
            </w:r>
            <w:r>
              <w:rPr>
                <w:rFonts w:hint="default" w:ascii="Times New Roman" w:hAnsi="Times New Roman" w:eastAsia="宋体" w:cs="Times New Roman"/>
                <w:b/>
                <w:bCs/>
                <w:color w:val="auto"/>
                <w:szCs w:val="24"/>
                <w:highlight w:val="none"/>
                <w:lang w:val="en-US" w:eastAsia="zh-CN"/>
              </w:rPr>
              <w:t xml:space="preserve">  本项目有组织废气</w:t>
            </w:r>
            <w:r>
              <w:rPr>
                <w:rFonts w:hint="default" w:ascii="Times New Roman" w:hAnsi="Times New Roman" w:eastAsia="宋体" w:cs="Times New Roman"/>
                <w:b/>
                <w:bCs/>
                <w:color w:val="auto"/>
                <w:szCs w:val="24"/>
                <w:highlight w:val="none"/>
              </w:rPr>
              <w:t>产生及排放情况一览表</w:t>
            </w:r>
          </w:p>
          <w:tbl>
            <w:tblPr>
              <w:tblStyle w:val="40"/>
              <w:tblW w:w="499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665"/>
              <w:gridCol w:w="603"/>
              <w:gridCol w:w="788"/>
              <w:gridCol w:w="729"/>
              <w:gridCol w:w="684"/>
              <w:gridCol w:w="713"/>
              <w:gridCol w:w="545"/>
              <w:gridCol w:w="897"/>
              <w:gridCol w:w="721"/>
              <w:gridCol w:w="766"/>
              <w:gridCol w:w="637"/>
              <w:gridCol w:w="606"/>
            </w:tblGrid>
            <w:tr w14:paraId="7A50A2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vAlign w:val="center"/>
                </w:tcPr>
                <w:p w14:paraId="55A85E5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排气筒</w:t>
                  </w:r>
                </w:p>
              </w:tc>
              <w:tc>
                <w:tcPr>
                  <w:tcW w:w="361" w:type="pct"/>
                  <w:vMerge w:val="restart"/>
                  <w:vAlign w:val="center"/>
                </w:tcPr>
                <w:p w14:paraId="48F8FCBB">
                  <w:pPr>
                    <w:adjustRightInd w:val="0"/>
                    <w:snapToGrid w:val="0"/>
                    <w:spacing w:line="240" w:lineRule="atLeas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产污点</w:t>
                  </w:r>
                </w:p>
              </w:tc>
              <w:tc>
                <w:tcPr>
                  <w:tcW w:w="471" w:type="pct"/>
                  <w:vMerge w:val="restart"/>
                  <w:vAlign w:val="center"/>
                </w:tcPr>
                <w:p w14:paraId="4C143AF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436" w:type="pct"/>
                  <w:vAlign w:val="center"/>
                </w:tcPr>
                <w:p w14:paraId="6539FE0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19256B7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09" w:type="pct"/>
                  <w:vAlign w:val="center"/>
                </w:tcPr>
                <w:p w14:paraId="48A0C3FC">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617BB21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752" w:type="pct"/>
                  <w:gridSpan w:val="2"/>
                  <w:vMerge w:val="restart"/>
                  <w:vAlign w:val="center"/>
                </w:tcPr>
                <w:p w14:paraId="1AFF24FC">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治理</w:t>
                  </w:r>
                </w:p>
                <w:p w14:paraId="03C2B162">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措施</w:t>
                  </w:r>
                </w:p>
              </w:tc>
              <w:tc>
                <w:tcPr>
                  <w:tcW w:w="536" w:type="pct"/>
                  <w:vMerge w:val="restart"/>
                  <w:vAlign w:val="center"/>
                </w:tcPr>
                <w:p w14:paraId="2CFF177C">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cs="Times New Roman"/>
                      <w:color w:val="auto"/>
                      <w:sz w:val="21"/>
                      <w:szCs w:val="21"/>
                      <w:highlight w:val="cyan"/>
                    </w:rPr>
                    <w:t>处理效率</w:t>
                  </w:r>
                  <w:r>
                    <w:rPr>
                      <w:rFonts w:hint="default" w:ascii="Times New Roman" w:hAnsi="Times New Roman" w:cs="Times New Roman"/>
                      <w:color w:val="auto"/>
                      <w:sz w:val="21"/>
                      <w:szCs w:val="21"/>
                      <w:highlight w:val="cyan"/>
                      <w:lang w:val="en-US" w:eastAsia="zh-CN"/>
                    </w:rPr>
                    <w:t>%</w:t>
                  </w:r>
                </w:p>
              </w:tc>
              <w:tc>
                <w:tcPr>
                  <w:tcW w:w="431" w:type="pct"/>
                  <w:vAlign w:val="center"/>
                </w:tcPr>
                <w:p w14:paraId="542CCB6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总排</w:t>
                  </w:r>
                </w:p>
                <w:p w14:paraId="0CB6F104">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风量</w:t>
                  </w:r>
                </w:p>
              </w:tc>
              <w:tc>
                <w:tcPr>
                  <w:tcW w:w="458" w:type="pct"/>
                  <w:vAlign w:val="center"/>
                </w:tcPr>
                <w:p w14:paraId="487CA09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562980E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381" w:type="pct"/>
                  <w:vAlign w:val="center"/>
                </w:tcPr>
                <w:p w14:paraId="6103842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64AF057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362" w:type="pct"/>
                  <w:vAlign w:val="center"/>
                </w:tcPr>
                <w:p w14:paraId="3ADD63C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排放量</w:t>
                  </w:r>
                </w:p>
              </w:tc>
            </w:tr>
            <w:tr w14:paraId="349421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vAlign w:val="center"/>
                </w:tcPr>
                <w:p w14:paraId="67F1598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1" w:type="pct"/>
                  <w:vMerge w:val="continue"/>
                  <w:vAlign w:val="center"/>
                </w:tcPr>
                <w:p w14:paraId="50FE606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71" w:type="pct"/>
                  <w:vMerge w:val="continue"/>
                  <w:vAlign w:val="center"/>
                </w:tcPr>
                <w:p w14:paraId="74EA1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6" w:type="pct"/>
                  <w:vAlign w:val="center"/>
                </w:tcPr>
                <w:p w14:paraId="5D84D16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409" w:type="pct"/>
                  <w:vAlign w:val="center"/>
                </w:tcPr>
                <w:p w14:paraId="77F3CCA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752" w:type="pct"/>
                  <w:gridSpan w:val="2"/>
                  <w:vMerge w:val="continue"/>
                  <w:vAlign w:val="center"/>
                </w:tcPr>
                <w:p w14:paraId="0021774F">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p>
              </w:tc>
              <w:tc>
                <w:tcPr>
                  <w:tcW w:w="536" w:type="pct"/>
                  <w:vMerge w:val="continue"/>
                  <w:vAlign w:val="center"/>
                </w:tcPr>
                <w:p w14:paraId="36A2A7A3">
                  <w:pPr>
                    <w:adjustRightInd w:val="0"/>
                    <w:snapToGrid w:val="0"/>
                    <w:spacing w:line="240" w:lineRule="atLeast"/>
                    <w:jc w:val="center"/>
                    <w:rPr>
                      <w:rFonts w:hint="default" w:ascii="Times New Roman" w:hAnsi="Times New Roman" w:cs="Times New Roman"/>
                      <w:color w:val="auto"/>
                      <w:sz w:val="21"/>
                      <w:szCs w:val="21"/>
                      <w:highlight w:val="cyan"/>
                    </w:rPr>
                  </w:pPr>
                </w:p>
              </w:tc>
              <w:tc>
                <w:tcPr>
                  <w:tcW w:w="431" w:type="pct"/>
                  <w:vAlign w:val="center"/>
                </w:tcPr>
                <w:p w14:paraId="24391E6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/h</w:t>
                  </w:r>
                </w:p>
              </w:tc>
              <w:tc>
                <w:tcPr>
                  <w:tcW w:w="458" w:type="pct"/>
                  <w:vAlign w:val="center"/>
                </w:tcPr>
                <w:p w14:paraId="28D0347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381" w:type="pct"/>
                  <w:vAlign w:val="center"/>
                </w:tcPr>
                <w:p w14:paraId="2C48EAD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362" w:type="pct"/>
                  <w:vAlign w:val="center"/>
                </w:tcPr>
                <w:p w14:paraId="1A5998EE">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r>
            <w:tr w14:paraId="6A658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shd w:val="clear" w:color="auto" w:fill="auto"/>
                  <w:vAlign w:val="center"/>
                </w:tcPr>
                <w:p w14:paraId="08A8D21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DA001</w:t>
                  </w:r>
                </w:p>
              </w:tc>
              <w:tc>
                <w:tcPr>
                  <w:tcW w:w="361" w:type="pct"/>
                  <w:shd w:val="clear" w:color="auto" w:fill="auto"/>
                  <w:vAlign w:val="center"/>
                </w:tcPr>
                <w:p w14:paraId="384D43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储罐</w:t>
                  </w:r>
                </w:p>
              </w:tc>
              <w:tc>
                <w:tcPr>
                  <w:tcW w:w="471" w:type="pct"/>
                  <w:shd w:val="clear" w:color="auto" w:fill="auto"/>
                  <w:vAlign w:val="center"/>
                </w:tcPr>
                <w:p w14:paraId="1B19A39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restart"/>
                  <w:shd w:val="clear" w:color="auto" w:fill="auto"/>
                  <w:vAlign w:val="center"/>
                </w:tcPr>
                <w:p w14:paraId="4C1ABBFF">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2306.54</w:t>
                  </w:r>
                </w:p>
              </w:tc>
              <w:tc>
                <w:tcPr>
                  <w:tcW w:w="409" w:type="pct"/>
                  <w:vMerge w:val="restart"/>
                  <w:vAlign w:val="center"/>
                </w:tcPr>
                <w:p w14:paraId="6DBE4D0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w:t>
                  </w:r>
                </w:p>
              </w:tc>
              <w:tc>
                <w:tcPr>
                  <w:tcW w:w="426" w:type="pct"/>
                  <w:tcBorders>
                    <w:right w:val="single" w:color="auto" w:sz="4" w:space="0"/>
                  </w:tcBorders>
                  <w:shd w:val="clear" w:color="auto" w:fill="auto"/>
                  <w:vAlign w:val="center"/>
                </w:tcPr>
                <w:p w14:paraId="031145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集气管道+8套罐顶除尘器</w:t>
                  </w:r>
                </w:p>
              </w:tc>
              <w:tc>
                <w:tcPr>
                  <w:tcW w:w="326" w:type="pct"/>
                  <w:vMerge w:val="restart"/>
                  <w:tcBorders>
                    <w:left w:val="single" w:color="auto" w:sz="4" w:space="0"/>
                  </w:tcBorders>
                  <w:shd w:val="clear" w:color="auto" w:fill="auto"/>
                  <w:vAlign w:val="center"/>
                </w:tcPr>
                <w:p w14:paraId="429B6C3E">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布袋除尘器+1根15m高排气筒</w:t>
                  </w:r>
                </w:p>
              </w:tc>
              <w:tc>
                <w:tcPr>
                  <w:tcW w:w="536" w:type="pct"/>
                  <w:vMerge w:val="restart"/>
                  <w:vAlign w:val="center"/>
                </w:tcPr>
                <w:p w14:paraId="31EE81B8">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cyan"/>
                      <w:lang w:val="en-US" w:eastAsia="zh-CN"/>
                    </w:rPr>
                    <w:t>99.7</w:t>
                  </w:r>
                </w:p>
              </w:tc>
              <w:tc>
                <w:tcPr>
                  <w:tcW w:w="431" w:type="pct"/>
                  <w:vMerge w:val="restart"/>
                  <w:vAlign w:val="center"/>
                </w:tcPr>
                <w:p w14:paraId="36A339F9">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10000</w:t>
                  </w:r>
                </w:p>
              </w:tc>
              <w:tc>
                <w:tcPr>
                  <w:tcW w:w="458" w:type="pct"/>
                  <w:vMerge w:val="restart"/>
                  <w:shd w:val="clear" w:color="auto" w:fill="auto"/>
                  <w:vAlign w:val="center"/>
                </w:tcPr>
                <w:p w14:paraId="24B34263">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6.92</w:t>
                  </w:r>
                </w:p>
              </w:tc>
              <w:tc>
                <w:tcPr>
                  <w:tcW w:w="381" w:type="pct"/>
                  <w:vMerge w:val="restart"/>
                  <w:shd w:val="clear" w:color="auto" w:fill="auto"/>
                  <w:vAlign w:val="center"/>
                </w:tcPr>
                <w:p w14:paraId="74815727">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0.069</w:t>
                  </w:r>
                </w:p>
              </w:tc>
              <w:tc>
                <w:tcPr>
                  <w:tcW w:w="362" w:type="pct"/>
                  <w:vMerge w:val="restart"/>
                  <w:shd w:val="clear" w:color="auto" w:fill="auto"/>
                  <w:vAlign w:val="center"/>
                </w:tcPr>
                <w:p w14:paraId="1FE672FA">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0.166</w:t>
                  </w:r>
                </w:p>
              </w:tc>
            </w:tr>
            <w:tr w14:paraId="31EE79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590" w:hRule="atLeast"/>
                <w:jc w:val="center"/>
              </w:trPr>
              <w:tc>
                <w:tcPr>
                  <w:tcW w:w="397" w:type="pct"/>
                  <w:vMerge w:val="continue"/>
                  <w:shd w:val="clear" w:color="auto" w:fill="auto"/>
                  <w:vAlign w:val="center"/>
                </w:tcPr>
                <w:p w14:paraId="3E82F2F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4DE068D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71" w:type="pct"/>
                  <w:shd w:val="clear" w:color="auto" w:fill="auto"/>
                  <w:vAlign w:val="center"/>
                </w:tcPr>
                <w:p w14:paraId="626BC53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229F050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09" w:type="pct"/>
                  <w:vMerge w:val="continue"/>
                  <w:vAlign w:val="center"/>
                </w:tcPr>
                <w:p w14:paraId="71BA66B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26" w:type="pct"/>
                  <w:tcBorders>
                    <w:right w:val="single" w:color="auto" w:sz="4" w:space="0"/>
                  </w:tcBorders>
                  <w:shd w:val="clear" w:color="auto" w:fill="auto"/>
                  <w:vAlign w:val="center"/>
                </w:tcPr>
                <w:p w14:paraId="284733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2943069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F110984">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p>
              </w:tc>
              <w:tc>
                <w:tcPr>
                  <w:tcW w:w="431" w:type="pct"/>
                  <w:vMerge w:val="continue"/>
                  <w:vAlign w:val="center"/>
                </w:tcPr>
                <w:p w14:paraId="31DF8D13">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7F51E0B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0E3AECE8">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D6C91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27B64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65BB9B5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61B8B5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搅拌仓（石膏砂浆）</w:t>
                  </w:r>
                </w:p>
              </w:tc>
              <w:tc>
                <w:tcPr>
                  <w:tcW w:w="471" w:type="pct"/>
                  <w:shd w:val="clear" w:color="auto" w:fill="auto"/>
                  <w:vAlign w:val="center"/>
                </w:tcPr>
                <w:p w14:paraId="58CF52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3F2BC1E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3D9A780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54F3A44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7F6264A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E27E97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31A28C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4907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1DBA8DE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332F73D">
                  <w:pPr>
                    <w:adjustRightInd w:val="0"/>
                    <w:snapToGrid w:val="0"/>
                    <w:spacing w:line="240" w:lineRule="atLeast"/>
                    <w:jc w:val="center"/>
                    <w:rPr>
                      <w:rFonts w:hint="default" w:ascii="Times New Roman" w:hAnsi="Times New Roman" w:cs="Times New Roman"/>
                      <w:color w:val="auto"/>
                      <w:sz w:val="21"/>
                      <w:szCs w:val="21"/>
                      <w:highlight w:val="none"/>
                    </w:rPr>
                  </w:pPr>
                </w:p>
              </w:tc>
            </w:tr>
            <w:tr w14:paraId="0D6B19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05664F3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4562B6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搅拌仓（防火保温砂浆）</w:t>
                  </w:r>
                </w:p>
              </w:tc>
              <w:tc>
                <w:tcPr>
                  <w:tcW w:w="471" w:type="pct"/>
                  <w:shd w:val="clear" w:color="auto" w:fill="auto"/>
                  <w:vAlign w:val="center"/>
                </w:tcPr>
                <w:p w14:paraId="17AB70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1EA6FD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73E74B4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34DF906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4D10DB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2AB680B">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EDF9AA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58B1A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7779346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EE74E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57A3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29188D9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3370FA0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包装机</w:t>
                  </w:r>
                </w:p>
              </w:tc>
              <w:tc>
                <w:tcPr>
                  <w:tcW w:w="471" w:type="pct"/>
                  <w:shd w:val="clear" w:color="auto" w:fill="auto"/>
                  <w:vAlign w:val="center"/>
                </w:tcPr>
                <w:p w14:paraId="72852E1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07ACE5C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28390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4CC14EF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集气罩</w:t>
                  </w:r>
                </w:p>
              </w:tc>
              <w:tc>
                <w:tcPr>
                  <w:tcW w:w="326" w:type="pct"/>
                  <w:vMerge w:val="continue"/>
                  <w:tcBorders>
                    <w:left w:val="single" w:color="auto" w:sz="4" w:space="0"/>
                  </w:tcBorders>
                  <w:shd w:val="clear" w:color="auto" w:fill="auto"/>
                  <w:vAlign w:val="center"/>
                </w:tcPr>
                <w:p w14:paraId="05CD5F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B7884B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6B471FD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23872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4F42470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1D0D4A5">
                  <w:pPr>
                    <w:adjustRightInd w:val="0"/>
                    <w:snapToGrid w:val="0"/>
                    <w:spacing w:line="240" w:lineRule="atLeast"/>
                    <w:jc w:val="center"/>
                    <w:rPr>
                      <w:rFonts w:hint="default" w:ascii="Times New Roman" w:hAnsi="Times New Roman" w:cs="Times New Roman"/>
                      <w:color w:val="auto"/>
                      <w:sz w:val="21"/>
                      <w:szCs w:val="21"/>
                      <w:highlight w:val="none"/>
                    </w:rPr>
                  </w:pPr>
                </w:p>
              </w:tc>
            </w:tr>
          </w:tbl>
          <w:p w14:paraId="0865D5BF">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3</w:t>
            </w:r>
            <w:r>
              <w:rPr>
                <w:rFonts w:hint="default" w:ascii="Times New Roman" w:hAnsi="Times New Roman" w:eastAsia="宋体" w:cs="Times New Roman"/>
                <w:b/>
                <w:bCs/>
                <w:color w:val="auto"/>
                <w:szCs w:val="24"/>
                <w:highlight w:val="none"/>
                <w:lang w:val="en-US" w:eastAsia="zh-CN"/>
              </w:rPr>
              <w:t xml:space="preserve">   本项目无组织废气产生及排放情况一览表</w:t>
            </w:r>
          </w:p>
          <w:tbl>
            <w:tblPr>
              <w:tblStyle w:val="40"/>
              <w:tblW w:w="495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1285"/>
              <w:gridCol w:w="953"/>
              <w:gridCol w:w="973"/>
              <w:gridCol w:w="1633"/>
              <w:gridCol w:w="582"/>
              <w:gridCol w:w="990"/>
              <w:gridCol w:w="1033"/>
              <w:gridCol w:w="834"/>
            </w:tblGrid>
            <w:tr w14:paraId="054D6D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775" w:type="pct"/>
                  <w:vMerge w:val="restart"/>
                  <w:vAlign w:val="center"/>
                </w:tcPr>
                <w:p w14:paraId="4C7CD1C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75" w:type="pct"/>
                  <w:vAlign w:val="center"/>
                </w:tcPr>
                <w:p w14:paraId="161895C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587" w:type="pct"/>
                  <w:vAlign w:val="center"/>
                </w:tcPr>
                <w:p w14:paraId="25C884D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产生速率</w:t>
                  </w:r>
                </w:p>
              </w:tc>
              <w:tc>
                <w:tcPr>
                  <w:tcW w:w="985" w:type="pct"/>
                  <w:vMerge w:val="restart"/>
                  <w:vAlign w:val="center"/>
                </w:tcPr>
                <w:p w14:paraId="0904DB0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351" w:type="pct"/>
                  <w:vMerge w:val="restart"/>
                  <w:vAlign w:val="center"/>
                </w:tcPr>
                <w:p w14:paraId="44BED84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处理效率</w:t>
                  </w:r>
                </w:p>
              </w:tc>
              <w:tc>
                <w:tcPr>
                  <w:tcW w:w="597" w:type="pct"/>
                  <w:vAlign w:val="center"/>
                </w:tcPr>
                <w:p w14:paraId="2E31314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w:t>
                  </w:r>
                </w:p>
              </w:tc>
              <w:tc>
                <w:tcPr>
                  <w:tcW w:w="623" w:type="pct"/>
                  <w:vAlign w:val="center"/>
                </w:tcPr>
                <w:p w14:paraId="403FEA0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w:t>
                  </w:r>
                </w:p>
              </w:tc>
              <w:tc>
                <w:tcPr>
                  <w:tcW w:w="503" w:type="pct"/>
                  <w:vAlign w:val="center"/>
                </w:tcPr>
                <w:p w14:paraId="799E80E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p>
              </w:tc>
            </w:tr>
            <w:tr w14:paraId="50513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vMerge w:val="continue"/>
                  <w:vAlign w:val="center"/>
                </w:tcPr>
                <w:p w14:paraId="108CAD6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75" w:type="pct"/>
                  <w:vAlign w:val="center"/>
                </w:tcPr>
                <w:p w14:paraId="124D7FF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587" w:type="pct"/>
                  <w:vAlign w:val="center"/>
                </w:tcPr>
                <w:p w14:paraId="26567D9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85" w:type="pct"/>
                  <w:vMerge w:val="continue"/>
                  <w:vAlign w:val="center"/>
                </w:tcPr>
                <w:p w14:paraId="1A2C2724">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351" w:type="pct"/>
                  <w:vMerge w:val="continue"/>
                  <w:vAlign w:val="center"/>
                </w:tcPr>
                <w:p w14:paraId="4536B01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97" w:type="pct"/>
                  <w:vAlign w:val="center"/>
                </w:tcPr>
                <w:p w14:paraId="269AC0EF">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623" w:type="pct"/>
                  <w:vAlign w:val="center"/>
                </w:tcPr>
                <w:p w14:paraId="2C6E4EB5">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03" w:type="pct"/>
                  <w:vAlign w:val="center"/>
                </w:tcPr>
                <w:p w14:paraId="3E1C4AD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585B2E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76822A13">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颗粒物（车辆运输扬尘）</w:t>
                  </w:r>
                </w:p>
              </w:tc>
              <w:tc>
                <w:tcPr>
                  <w:tcW w:w="575" w:type="pct"/>
                  <w:shd w:val="clear" w:color="auto" w:fill="auto"/>
                  <w:vAlign w:val="center"/>
                </w:tcPr>
                <w:p w14:paraId="77BBD06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6F55601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4</w:t>
                  </w:r>
                </w:p>
              </w:tc>
              <w:tc>
                <w:tcPr>
                  <w:tcW w:w="985" w:type="pct"/>
                  <w:shd w:val="clear" w:color="auto" w:fill="auto"/>
                  <w:vAlign w:val="center"/>
                </w:tcPr>
                <w:p w14:paraId="6A0D69B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车辆加盖苫布、道路硬化、定期清扫、进出厂车辆冲洗等控制措施。</w:t>
                  </w:r>
                </w:p>
              </w:tc>
              <w:tc>
                <w:tcPr>
                  <w:tcW w:w="351" w:type="pct"/>
                  <w:shd w:val="clear" w:color="auto" w:fill="auto"/>
                  <w:vAlign w:val="center"/>
                </w:tcPr>
                <w:p w14:paraId="2B09226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597" w:type="pct"/>
                  <w:shd w:val="clear" w:color="auto" w:fill="auto"/>
                  <w:vAlign w:val="center"/>
                </w:tcPr>
                <w:p w14:paraId="711C19B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72B30D3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2</w:t>
                  </w:r>
                </w:p>
              </w:tc>
              <w:tc>
                <w:tcPr>
                  <w:tcW w:w="503" w:type="pct"/>
                  <w:shd w:val="clear" w:color="auto" w:fill="auto"/>
                  <w:vAlign w:val="center"/>
                </w:tcPr>
                <w:p w14:paraId="5FA2DE6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0.0001</w:t>
                  </w:r>
                </w:p>
              </w:tc>
            </w:tr>
            <w:tr w14:paraId="04F257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1F501C4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颗粒物（焊接烟尘）</w:t>
                  </w:r>
                </w:p>
              </w:tc>
              <w:tc>
                <w:tcPr>
                  <w:tcW w:w="575" w:type="pct"/>
                  <w:shd w:val="clear" w:color="auto" w:fill="auto"/>
                  <w:vAlign w:val="center"/>
                </w:tcPr>
                <w:p w14:paraId="1CA1A43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0CEAA2D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0.008</w:t>
                  </w:r>
                </w:p>
              </w:tc>
              <w:tc>
                <w:tcPr>
                  <w:tcW w:w="985" w:type="pct"/>
                  <w:shd w:val="clear" w:color="auto" w:fill="auto"/>
                  <w:vAlign w:val="center"/>
                </w:tcPr>
                <w:p w14:paraId="4E657BB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351" w:type="pct"/>
                  <w:shd w:val="clear" w:color="auto" w:fill="auto"/>
                  <w:vAlign w:val="center"/>
                </w:tcPr>
                <w:p w14:paraId="7938FF1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w:t>
                  </w:r>
                </w:p>
              </w:tc>
              <w:tc>
                <w:tcPr>
                  <w:tcW w:w="597" w:type="pct"/>
                  <w:shd w:val="clear" w:color="auto" w:fill="auto"/>
                  <w:vAlign w:val="center"/>
                </w:tcPr>
                <w:p w14:paraId="51F10F2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6007D8A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c>
                <w:tcPr>
                  <w:tcW w:w="503" w:type="pct"/>
                  <w:shd w:val="clear" w:color="auto" w:fill="auto"/>
                  <w:vAlign w:val="center"/>
                </w:tcPr>
                <w:p w14:paraId="54A2CC8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5E4B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1103" w:hRule="atLeast"/>
                <w:jc w:val="center"/>
              </w:trPr>
              <w:tc>
                <w:tcPr>
                  <w:tcW w:w="775" w:type="pct"/>
                  <w:vAlign w:val="center"/>
                </w:tcPr>
                <w:p w14:paraId="55A35D0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颗粒物（车间未收集废气）</w:t>
                  </w:r>
                </w:p>
              </w:tc>
              <w:tc>
                <w:tcPr>
                  <w:tcW w:w="575" w:type="pct"/>
                  <w:vAlign w:val="center"/>
                </w:tcPr>
                <w:p w14:paraId="57671060">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587" w:type="pct"/>
                  <w:vAlign w:val="center"/>
                </w:tcPr>
                <w:p w14:paraId="7F619C5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0.13</w:t>
                  </w:r>
                  <w:r>
                    <w:rPr>
                      <w:rFonts w:hint="default" w:ascii="Times New Roman" w:hAnsi="Times New Roman" w:cs="Times New Roman"/>
                      <w:color w:val="auto"/>
                      <w:sz w:val="21"/>
                      <w:szCs w:val="21"/>
                      <w:highlight w:val="none"/>
                      <w:lang w:val="en-US" w:eastAsia="zh-CN"/>
                    </w:rPr>
                    <w:t>1</w:t>
                  </w:r>
                </w:p>
              </w:tc>
              <w:tc>
                <w:tcPr>
                  <w:tcW w:w="985" w:type="pct"/>
                  <w:tcBorders>
                    <w:bottom w:val="single" w:color="auto" w:sz="4" w:space="0"/>
                  </w:tcBorders>
                  <w:vAlign w:val="center"/>
                </w:tcPr>
                <w:p w14:paraId="0C41663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351" w:type="pct"/>
                  <w:vAlign w:val="center"/>
                </w:tcPr>
                <w:p w14:paraId="0B19AE5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97" w:type="pct"/>
                  <w:vAlign w:val="center"/>
                </w:tcPr>
                <w:p w14:paraId="74252A3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vAlign w:val="center"/>
                </w:tcPr>
                <w:p w14:paraId="7AB2F39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0.131 </w:t>
                  </w:r>
                </w:p>
              </w:tc>
              <w:tc>
                <w:tcPr>
                  <w:tcW w:w="503" w:type="pct"/>
                  <w:vAlign w:val="center"/>
                </w:tcPr>
                <w:p w14:paraId="35D0822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0.31</w:t>
                  </w:r>
                  <w:r>
                    <w:rPr>
                      <w:rFonts w:hint="eastAsia" w:cs="Times New Roman"/>
                      <w:color w:val="auto"/>
                      <w:sz w:val="21"/>
                      <w:szCs w:val="21"/>
                      <w:highlight w:val="none"/>
                      <w:lang w:val="en-US" w:eastAsia="zh-CN"/>
                    </w:rPr>
                    <w:t>5</w:t>
                  </w:r>
                </w:p>
              </w:tc>
            </w:tr>
          </w:tbl>
          <w:p w14:paraId="0AF968D4">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废气源强分析如下：</w:t>
            </w:r>
          </w:p>
          <w:p w14:paraId="0BFC6C8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1）原料储罐</w:t>
            </w:r>
            <w:r>
              <w:rPr>
                <w:rFonts w:hint="default" w:ascii="Times New Roman" w:hAnsi="Times New Roman" w:eastAsia="宋体" w:cs="Times New Roman"/>
                <w:snapToGrid w:val="0"/>
                <w:color w:val="auto"/>
                <w:kern w:val="0"/>
                <w:sz w:val="24"/>
                <w:szCs w:val="24"/>
                <w:highlight w:val="none"/>
                <w:lang w:val="en-US" w:eastAsia="zh-CN"/>
              </w:rPr>
              <w:t>呼吸</w:t>
            </w:r>
          </w:p>
          <w:p w14:paraId="6FCBFE1F">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原料（石膏、粉煤灰、水泥、蛭石、重钙、玻化微珠）由罐车运输，经罐车泵入原料储罐内。原料泵入原料储罐过程中有粉尘产生，参照《逸散性工业粉尘控制技术》“表22-1搅拌厂的散逸尘排放因子中“卸水泥至高架贮仓”排污系数为0.12kg/t-物料计，本项目设有8个原料储罐，年储存原料量为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），则储罐呼吸废气中粉尘产生量为</w:t>
            </w:r>
            <w:r>
              <w:rPr>
                <w:rFonts w:hint="default" w:ascii="Times New Roman" w:hAnsi="Times New Roman" w:cs="Times New Roman"/>
                <w:snapToGrid w:val="0"/>
                <w:color w:val="auto"/>
                <w:kern w:val="0"/>
                <w:sz w:val="24"/>
                <w:szCs w:val="24"/>
                <w:highlight w:val="none"/>
                <w:lang w:val="en-US" w:eastAsia="zh-CN"/>
              </w:rPr>
              <w:t>11.3874</w:t>
            </w:r>
            <w:r>
              <w:rPr>
                <w:rFonts w:hint="default" w:ascii="Times New Roman" w:hAnsi="Times New Roman" w:eastAsia="宋体" w:cs="Times New Roman"/>
                <w:snapToGrid w:val="0"/>
                <w:color w:val="auto"/>
                <w:kern w:val="0"/>
                <w:sz w:val="24"/>
                <w:szCs w:val="24"/>
                <w:highlight w:val="none"/>
                <w:lang w:val="en-US" w:eastAsia="zh-CN"/>
              </w:rPr>
              <w:t>t/a。</w:t>
            </w:r>
          </w:p>
          <w:p w14:paraId="38DC3039">
            <w:pPr>
              <w:spacing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snapToGrid w:val="0"/>
                <w:color w:val="auto"/>
                <w:kern w:val="0"/>
                <w:sz w:val="24"/>
                <w:szCs w:val="24"/>
                <w:highlight w:val="none"/>
                <w:lang w:val="en-US" w:eastAsia="zh-CN"/>
              </w:rPr>
              <w:t>依据建设单位提供资料，储罐废气采用密闭管道收集，收集率为100%。</w:t>
            </w:r>
          </w:p>
          <w:p w14:paraId="37C1AF7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上料废气</w:t>
            </w:r>
          </w:p>
          <w:p w14:paraId="01CBADDB">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w:t>
            </w:r>
            <w:r>
              <w:rPr>
                <w:rFonts w:hint="default" w:ascii="Times New Roman" w:hAnsi="Times New Roman" w:cs="Times New Roman"/>
                <w:snapToGrid w:val="0"/>
                <w:color w:val="auto"/>
                <w:kern w:val="0"/>
                <w:sz w:val="24"/>
                <w:szCs w:val="24"/>
                <w:highlight w:val="none"/>
                <w:lang w:val="en-US" w:eastAsia="zh-CN"/>
              </w:rPr>
              <w:t>上料</w:t>
            </w:r>
            <w:r>
              <w:rPr>
                <w:rFonts w:hint="default" w:ascii="Times New Roman" w:hAnsi="Times New Roman" w:eastAsia="宋体" w:cs="Times New Roman"/>
                <w:snapToGrid w:val="0"/>
                <w:color w:val="auto"/>
                <w:kern w:val="0"/>
                <w:sz w:val="24"/>
                <w:szCs w:val="24"/>
                <w:highlight w:val="none"/>
                <w:lang w:val="en-US" w:eastAsia="zh-CN"/>
              </w:rPr>
              <w:t>过程有粉尘产生。砂浆生产</w:t>
            </w:r>
            <w:r>
              <w:rPr>
                <w:rFonts w:hint="default" w:ascii="Times New Roman" w:hAnsi="Times New Roman" w:cs="Times New Roman"/>
                <w:snapToGrid w:val="0"/>
                <w:color w:val="auto"/>
                <w:kern w:val="0"/>
                <w:sz w:val="24"/>
                <w:szCs w:val="24"/>
                <w:highlight w:val="none"/>
                <w:lang w:val="en-US" w:eastAsia="zh-CN"/>
              </w:rPr>
              <w:t>时</w:t>
            </w:r>
            <w:r>
              <w:rPr>
                <w:rFonts w:hint="default" w:ascii="Times New Roman" w:hAnsi="Times New Roman" w:eastAsia="宋体" w:cs="Times New Roman"/>
                <w:snapToGrid w:val="0"/>
                <w:color w:val="auto"/>
                <w:kern w:val="0"/>
                <w:sz w:val="24"/>
                <w:szCs w:val="24"/>
                <w:highlight w:val="none"/>
                <w:lang w:val="en-US" w:eastAsia="zh-CN"/>
              </w:rPr>
              <w:t>上料过程产生粉尘。</w:t>
            </w:r>
            <w:r>
              <w:rPr>
                <w:rFonts w:hint="default" w:ascii="Times New Roman" w:hAnsi="Times New Roman" w:eastAsia="宋体" w:cs="Times New Roman"/>
                <w:color w:val="auto"/>
                <w:sz w:val="24"/>
                <w:szCs w:val="24"/>
                <w:highlight w:val="none"/>
              </w:rPr>
              <w:t>参照《非金属矿物制品业系数手册》—3021水泥制品制造(含3022砼结 构构件制造、3029其他水泥类似制品制造)行业系数手册，物料输送储存产污系数为0.19千克/吨-产品</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lang w:val="en-US" w:eastAsia="zh-CN"/>
              </w:rPr>
              <w:t>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t/a）、石膏砂浆年产25000t/a、防火保温砂浆年产5000t/a，则上料</w:t>
            </w:r>
            <w:r>
              <w:rPr>
                <w:rFonts w:hint="default" w:ascii="Times New Roman" w:hAnsi="Times New Roman" w:cs="Times New Roman"/>
                <w:snapToGrid w:val="0"/>
                <w:color w:val="auto"/>
                <w:kern w:val="0"/>
                <w:sz w:val="24"/>
                <w:szCs w:val="24"/>
                <w:highlight w:val="none"/>
                <w:lang w:val="en-US" w:eastAsia="zh-CN"/>
              </w:rPr>
              <w:t>工序颗粒物</w:t>
            </w:r>
            <w:r>
              <w:rPr>
                <w:rFonts w:hint="default" w:ascii="Times New Roman" w:hAnsi="Times New Roman" w:eastAsia="宋体" w:cs="Times New Roman"/>
                <w:snapToGrid w:val="0"/>
                <w:color w:val="auto"/>
                <w:kern w:val="0"/>
                <w:sz w:val="24"/>
                <w:szCs w:val="24"/>
                <w:highlight w:val="none"/>
                <w:lang w:val="en-US" w:eastAsia="zh-CN"/>
              </w:rPr>
              <w:t>产生量为</w:t>
            </w:r>
            <w:r>
              <w:rPr>
                <w:rFonts w:hint="default" w:ascii="Times New Roman" w:hAnsi="Times New Roman" w:cs="Times New Roman"/>
                <w:snapToGrid w:val="0"/>
                <w:color w:val="auto"/>
                <w:kern w:val="0"/>
                <w:sz w:val="24"/>
                <w:szCs w:val="24"/>
                <w:highlight w:val="none"/>
                <w:lang w:val="en-US" w:eastAsia="zh-CN"/>
              </w:rPr>
              <w:t>25.22535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eastAsia="宋体" w:cs="Times New Roman"/>
                <w:bCs/>
                <w:color w:val="auto"/>
                <w:sz w:val="24"/>
                <w:szCs w:val="24"/>
                <w:highlight w:val="none"/>
                <w:lang w:val="en-US" w:eastAsia="zh-CN"/>
              </w:rPr>
              <w:t>。</w:t>
            </w:r>
          </w:p>
          <w:p w14:paraId="557009D6">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依据建设单位提供资料，上料废气采用密闭管道收集，收集率为100%。</w:t>
            </w:r>
          </w:p>
          <w:p w14:paraId="4237294C">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w:t>
            </w:r>
            <w:r>
              <w:rPr>
                <w:rFonts w:hint="default" w:ascii="Times New Roman" w:hAnsi="Times New Roman" w:eastAsia="宋体" w:cs="Times New Roman"/>
                <w:snapToGrid w:val="0"/>
                <w:color w:val="auto"/>
                <w:kern w:val="0"/>
                <w:sz w:val="24"/>
                <w:szCs w:val="24"/>
                <w:highlight w:val="none"/>
                <w:lang w:val="en-US" w:eastAsia="zh-CN"/>
              </w:rPr>
              <w:t>搅拌废气</w:t>
            </w:r>
          </w:p>
          <w:p w14:paraId="48554CCE">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生产中搅拌过程有粉尘产生。参照《非金属矿物制品业系数手册》—3021水泥制品制造(含3022砼结 构构件制造、3029其他水泥类似制品制造)行业系数手册，物料混合搅拌产污系数为0.12千克/吨-产品。本项目隔墙板浆料年产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t/a）、石膏砂浆年产25000t/a、防火保温砂浆年产5000t/a，则搅拌工序颗粒物产生量为1</w:t>
            </w:r>
            <w:r>
              <w:rPr>
                <w:rFonts w:hint="default" w:ascii="Times New Roman" w:hAnsi="Times New Roman" w:cs="Times New Roman"/>
                <w:snapToGrid w:val="0"/>
                <w:color w:val="auto"/>
                <w:kern w:val="0"/>
                <w:sz w:val="24"/>
                <w:szCs w:val="24"/>
                <w:highlight w:val="none"/>
                <w:lang w:val="en-US" w:eastAsia="zh-CN"/>
              </w:rPr>
              <w:t>5.9318</w:t>
            </w:r>
            <w:r>
              <w:rPr>
                <w:rFonts w:hint="default" w:ascii="Times New Roman" w:hAnsi="Times New Roman" w:eastAsia="宋体" w:cs="Times New Roman"/>
                <w:snapToGrid w:val="0"/>
                <w:color w:val="auto"/>
                <w:kern w:val="0"/>
                <w:sz w:val="24"/>
                <w:szCs w:val="24"/>
                <w:highlight w:val="none"/>
                <w:lang w:val="en-US" w:eastAsia="zh-CN"/>
              </w:rPr>
              <w:t>t/a。</w:t>
            </w:r>
          </w:p>
          <w:p w14:paraId="710BCE8D">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依据建设单位提供资料，搅拌废气采用密闭管道收集，收集率为100%。</w:t>
            </w:r>
          </w:p>
          <w:p w14:paraId="2C6EDD5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分装废气</w:t>
            </w:r>
          </w:p>
          <w:p w14:paraId="2B78A003">
            <w:pPr>
              <w:spacing w:line="360" w:lineRule="auto"/>
              <w:ind w:firstLine="480" w:firstLineChars="200"/>
              <w:jc w:val="both"/>
              <w:rPr>
                <w:rFonts w:hint="default" w:ascii="Times New Roman" w:hAnsi="Times New Roman" w:eastAsia="宋体" w:cs="Times New Roman"/>
                <w:bCs/>
                <w:color w:val="auto"/>
                <w:sz w:val="24"/>
                <w:szCs w:val="24"/>
                <w:highlight w:val="none"/>
                <w:lang w:eastAsia="zh-CN"/>
              </w:rPr>
            </w:pPr>
            <w:r>
              <w:rPr>
                <w:rFonts w:hint="default" w:ascii="Times New Roman" w:hAnsi="Times New Roman" w:cs="Times New Roman"/>
                <w:color w:val="auto"/>
                <w:sz w:val="24"/>
                <w:szCs w:val="24"/>
                <w:highlight w:val="none"/>
                <w:lang w:eastAsia="zh-CN"/>
              </w:rPr>
              <w:t>石膏砂浆产品分装过程产生粉尘。参照《逸散性工业粉尘控制技术》“表3-1 石灰生产的逸散尘排放因子”中“包装和装运”颗粒物排放</w:t>
            </w:r>
            <w:r>
              <w:rPr>
                <w:rFonts w:hint="default" w:ascii="Times New Roman" w:hAnsi="Times New Roman" w:cs="Times New Roman"/>
                <w:color w:val="auto"/>
                <w:sz w:val="24"/>
                <w:szCs w:val="24"/>
                <w:highlight w:val="none"/>
                <w:lang w:val="en-US" w:eastAsia="zh-CN"/>
              </w:rPr>
              <w:t>系数</w:t>
            </w:r>
            <w:r>
              <w:rPr>
                <w:rFonts w:hint="default" w:ascii="Times New Roman" w:hAnsi="Times New Roman" w:cs="Times New Roman"/>
                <w:color w:val="auto"/>
                <w:sz w:val="24"/>
                <w:szCs w:val="24"/>
                <w:highlight w:val="none"/>
                <w:lang w:eastAsia="zh-CN"/>
              </w:rPr>
              <w:t>为 0.</w:t>
            </w:r>
            <w:r>
              <w:rPr>
                <w:rFonts w:hint="default" w:ascii="Times New Roman" w:hAnsi="Times New Roman" w:cs="Times New Roman"/>
                <w:color w:val="auto"/>
                <w:sz w:val="24"/>
                <w:szCs w:val="24"/>
                <w:highlight w:val="none"/>
                <w:lang w:val="en-US" w:eastAsia="zh-CN"/>
              </w:rPr>
              <w:t>125</w:t>
            </w:r>
            <w:r>
              <w:rPr>
                <w:rFonts w:hint="default" w:ascii="Times New Roman" w:hAnsi="Times New Roman" w:cs="Times New Roman"/>
                <w:color w:val="auto"/>
                <w:sz w:val="24"/>
                <w:szCs w:val="24"/>
                <w:highlight w:val="none"/>
                <w:lang w:eastAsia="zh-CN"/>
              </w:rPr>
              <w:t>kg/t（装运），本项目</w:t>
            </w:r>
            <w:r>
              <w:rPr>
                <w:rFonts w:hint="default" w:ascii="Times New Roman" w:hAnsi="Times New Roman" w:eastAsia="宋体" w:cs="Times New Roman"/>
                <w:snapToGrid w:val="0"/>
                <w:color w:val="auto"/>
                <w:kern w:val="0"/>
                <w:sz w:val="24"/>
                <w:szCs w:val="24"/>
                <w:highlight w:val="none"/>
                <w:lang w:val="en-US" w:eastAsia="zh-CN"/>
              </w:rPr>
              <w:t>石膏砂浆年产25000t/a，</w:t>
            </w:r>
            <w:r>
              <w:rPr>
                <w:rFonts w:hint="default" w:ascii="Times New Roman" w:hAnsi="Times New Roman" w:cs="Times New Roman"/>
                <w:color w:val="auto"/>
                <w:sz w:val="24"/>
                <w:szCs w:val="24"/>
                <w:highlight w:val="none"/>
                <w:lang w:eastAsia="zh-CN"/>
              </w:rPr>
              <w:t>则</w:t>
            </w:r>
            <w:r>
              <w:rPr>
                <w:rFonts w:hint="default" w:ascii="Times New Roman" w:hAnsi="Times New Roman" w:cs="Times New Roman"/>
                <w:color w:val="auto"/>
                <w:sz w:val="24"/>
                <w:szCs w:val="24"/>
                <w:highlight w:val="none"/>
                <w:lang w:val="en-US" w:eastAsia="zh-CN"/>
              </w:rPr>
              <w:t>分装</w:t>
            </w:r>
            <w:r>
              <w:rPr>
                <w:rFonts w:hint="default" w:ascii="Times New Roman" w:hAnsi="Times New Roman" w:cs="Times New Roman"/>
                <w:color w:val="auto"/>
                <w:sz w:val="24"/>
                <w:szCs w:val="24"/>
                <w:highlight w:val="none"/>
                <w:lang w:eastAsia="zh-CN"/>
              </w:rPr>
              <w:t>工序颗粒物产生量为</w:t>
            </w:r>
            <w:r>
              <w:rPr>
                <w:rFonts w:hint="default" w:ascii="Times New Roman" w:hAnsi="Times New Roman" w:cs="Times New Roman"/>
                <w:color w:val="auto"/>
                <w:sz w:val="24"/>
                <w:szCs w:val="24"/>
                <w:highlight w:val="none"/>
                <w:lang w:val="en-US" w:eastAsia="zh-CN"/>
              </w:rPr>
              <w:t>3.125</w:t>
            </w:r>
            <w:r>
              <w:rPr>
                <w:rFonts w:hint="default" w:ascii="Times New Roman" w:hAnsi="Times New Roman" w:cs="Times New Roman"/>
                <w:color w:val="auto"/>
                <w:sz w:val="24"/>
                <w:szCs w:val="24"/>
                <w:highlight w:val="none"/>
                <w:lang w:eastAsia="zh-CN"/>
              </w:rPr>
              <w:t>t/a。</w:t>
            </w:r>
            <w:r>
              <w:rPr>
                <w:rFonts w:hint="default" w:ascii="Times New Roman" w:hAnsi="Times New Roman" w:cs="Times New Roman"/>
                <w:color w:val="auto"/>
                <w:sz w:val="24"/>
                <w:szCs w:val="24"/>
                <w:highlight w:val="none"/>
                <w:lang w:val="en-US" w:eastAsia="zh-CN"/>
              </w:rPr>
              <w:t>分装工序设置集气装置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收集效率按</w:t>
            </w:r>
            <w:r>
              <w:rPr>
                <w:rFonts w:hint="default" w:ascii="Times New Roman" w:hAnsi="Times New Roman" w:cs="Times New Roman"/>
                <w:color w:val="auto"/>
                <w:sz w:val="24"/>
                <w:szCs w:val="24"/>
                <w:highlight w:val="none"/>
                <w:lang w:val="en-US" w:eastAsia="zh-CN"/>
              </w:rPr>
              <w:t>90</w:t>
            </w:r>
            <w:r>
              <w:rPr>
                <w:rFonts w:hint="default" w:ascii="Times New Roman" w:hAnsi="Times New Roman" w:cs="Times New Roman"/>
                <w:color w:val="auto"/>
                <w:sz w:val="24"/>
                <w:szCs w:val="24"/>
                <w:highlight w:val="none"/>
              </w:rPr>
              <w:t>%计，则</w:t>
            </w:r>
            <w:r>
              <w:rPr>
                <w:rFonts w:hint="default" w:ascii="Times New Roman" w:hAnsi="Times New Roman" w:cs="Times New Roman"/>
                <w:color w:val="auto"/>
                <w:sz w:val="24"/>
                <w:szCs w:val="24"/>
                <w:highlight w:val="none"/>
                <w:lang w:eastAsia="zh-CN"/>
              </w:rPr>
              <w:t>有组织</w:t>
            </w:r>
            <w:r>
              <w:rPr>
                <w:rFonts w:hint="default" w:ascii="Times New Roman" w:hAnsi="Times New Roman" w:cs="Times New Roman"/>
                <w:color w:val="auto"/>
                <w:sz w:val="24"/>
                <w:szCs w:val="24"/>
                <w:highlight w:val="none"/>
              </w:rPr>
              <w:t>颗粒物</w:t>
            </w:r>
            <w:r>
              <w:rPr>
                <w:rFonts w:hint="default" w:ascii="Times New Roman" w:hAnsi="Times New Roman" w:cs="Times New Roman"/>
                <w:color w:val="auto"/>
                <w:sz w:val="24"/>
                <w:szCs w:val="24"/>
                <w:highlight w:val="none"/>
                <w:lang w:eastAsia="zh-CN"/>
              </w:rPr>
              <w:t>收集量</w:t>
            </w:r>
            <w:r>
              <w:rPr>
                <w:rFonts w:hint="default" w:ascii="Times New Roman" w:hAnsi="Times New Roman"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2.813</w:t>
            </w:r>
            <w:r>
              <w:rPr>
                <w:rFonts w:hint="default" w:ascii="Times New Roman" w:hAnsi="Times New Roman" w:cs="Times New Roman"/>
                <w:color w:val="auto"/>
                <w:sz w:val="24"/>
                <w:szCs w:val="24"/>
                <w:highlight w:val="none"/>
              </w:rPr>
              <w:t>t/a</w:t>
            </w:r>
            <w:r>
              <w:rPr>
                <w:rFonts w:hint="default" w:ascii="Times New Roman" w:hAnsi="Times New Roman" w:eastAsia="宋体" w:cs="Times New Roman"/>
                <w:bCs/>
                <w:color w:val="auto"/>
                <w:sz w:val="24"/>
                <w:szCs w:val="24"/>
                <w:highlight w:val="none"/>
                <w:lang w:eastAsia="zh-CN"/>
              </w:rPr>
              <w:t>。</w:t>
            </w:r>
          </w:p>
          <w:p w14:paraId="4D664703">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bCs/>
                <w:color w:val="auto"/>
                <w:sz w:val="24"/>
                <w:szCs w:val="24"/>
                <w:highlight w:val="none"/>
                <w:lang w:val="en-US" w:eastAsia="zh-CN"/>
              </w:rPr>
              <w:t>2台包装机</w:t>
            </w:r>
            <w:r>
              <w:rPr>
                <w:rFonts w:hint="default" w:ascii="Times New Roman" w:hAnsi="Times New Roman" w:eastAsia="宋体" w:cs="Times New Roman"/>
                <w:bCs/>
                <w:color w:val="auto"/>
                <w:sz w:val="24"/>
                <w:szCs w:val="24"/>
                <w:highlight w:val="none"/>
                <w:lang w:val="en-US" w:eastAsia="zh-CN"/>
              </w:rPr>
              <w:t>上</w:t>
            </w:r>
            <w:r>
              <w:rPr>
                <w:rFonts w:hint="default" w:ascii="Times New Roman" w:hAnsi="Times New Roman" w:cs="Times New Roman"/>
                <w:bCs/>
                <w:color w:val="auto"/>
                <w:sz w:val="24"/>
                <w:szCs w:val="24"/>
                <w:highlight w:val="none"/>
                <w:lang w:val="en-US" w:eastAsia="zh-CN"/>
              </w:rPr>
              <w:t>方均</w:t>
            </w:r>
            <w:r>
              <w:rPr>
                <w:rFonts w:hint="default" w:ascii="Times New Roman" w:hAnsi="Times New Roman" w:eastAsia="宋体" w:cs="Times New Roman"/>
                <w:bCs/>
                <w:color w:val="auto"/>
                <w:sz w:val="24"/>
                <w:szCs w:val="24"/>
                <w:highlight w:val="none"/>
                <w:lang w:val="en-US" w:eastAsia="zh-CN"/>
              </w:rPr>
              <w:t>设集气罩，集气罩</w:t>
            </w:r>
            <w:r>
              <w:rPr>
                <w:rFonts w:hint="default" w:ascii="Times New Roman" w:hAnsi="Times New Roman" w:cs="Times New Roman"/>
                <w:bCs/>
                <w:color w:val="auto"/>
                <w:sz w:val="24"/>
                <w:szCs w:val="24"/>
                <w:highlight w:val="none"/>
                <w:lang w:val="en-US" w:eastAsia="zh-CN"/>
              </w:rPr>
              <w:t>设计</w:t>
            </w:r>
            <w:r>
              <w:rPr>
                <w:rFonts w:hint="default" w:ascii="Times New Roman" w:hAnsi="Times New Roman" w:eastAsia="宋体" w:cs="Times New Roman"/>
                <w:bCs/>
                <w:color w:val="auto"/>
                <w:sz w:val="24"/>
                <w:szCs w:val="24"/>
                <w:highlight w:val="none"/>
                <w:lang w:val="en-US" w:eastAsia="zh-CN"/>
              </w:rPr>
              <w:t>尺寸为0.7m×0.</w:t>
            </w:r>
            <w:r>
              <w:rPr>
                <w:rFonts w:hint="default" w:ascii="Times New Roman" w:hAnsi="Times New Roman" w:cs="Times New Roman"/>
                <w:bCs/>
                <w:color w:val="auto"/>
                <w:sz w:val="24"/>
                <w:szCs w:val="24"/>
                <w:highlight w:val="none"/>
                <w:lang w:val="en-US" w:eastAsia="zh-CN"/>
              </w:rPr>
              <w:t>5</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color w:val="auto"/>
                <w:sz w:val="24"/>
                <w:highlight w:val="none"/>
                <w:lang w:eastAsia="zh-CN"/>
              </w:rPr>
              <w:t>，高度在设备安装过程</w:t>
            </w:r>
            <w:r>
              <w:rPr>
                <w:rFonts w:hint="eastAsia" w:cs="Times New Roman"/>
                <w:color w:val="auto"/>
                <w:sz w:val="24"/>
                <w:highlight w:val="none"/>
                <w:lang w:eastAsia="zh-CN"/>
              </w:rPr>
              <w:t>中</w:t>
            </w:r>
            <w:r>
              <w:rPr>
                <w:rFonts w:hint="default" w:ascii="Times New Roman" w:hAnsi="Times New Roman" w:eastAsia="宋体" w:cs="Times New Roman"/>
                <w:color w:val="auto"/>
                <w:sz w:val="24"/>
                <w:highlight w:val="none"/>
                <w:lang w:eastAsia="zh-CN"/>
              </w:rPr>
              <w:t>根据设备尺寸具体调整，为了确保集气效率可加装软帘。</w:t>
            </w:r>
          </w:p>
          <w:p w14:paraId="2E6A4CD8">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根据《局部排风设施控制风速检测与评估技术规范》（AQ/T4274-2016），粉尘上吸式控制风速为1.2m/s。集气罩的风量根据《三废处理工程技术手册-废气卷》中有关公式计算，计算公式如下： </w:t>
            </w:r>
          </w:p>
          <w:p w14:paraId="60FD0DFA">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Q=K×V×F×3600 </w:t>
            </w:r>
          </w:p>
          <w:p w14:paraId="1DBA0FD5">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Q：设计风量，m</w:t>
            </w:r>
            <w:r>
              <w:rPr>
                <w:rFonts w:hint="default" w:ascii="Times New Roman" w:hAnsi="Times New Roman" w:eastAsia="宋体" w:cs="Times New Roman"/>
                <w:bCs/>
                <w:color w:val="auto"/>
                <w:sz w:val="24"/>
                <w:szCs w:val="24"/>
                <w:highlight w:val="none"/>
                <w:vertAlign w:val="superscript"/>
                <w:lang w:val="en-US" w:eastAsia="zh-CN"/>
              </w:rPr>
              <w:t>3</w:t>
            </w:r>
            <w:r>
              <w:rPr>
                <w:rFonts w:hint="default" w:ascii="Times New Roman" w:hAnsi="Times New Roman" w:eastAsia="宋体" w:cs="Times New Roman"/>
                <w:bCs/>
                <w:color w:val="auto"/>
                <w:sz w:val="24"/>
                <w:szCs w:val="24"/>
                <w:highlight w:val="none"/>
                <w:lang w:val="en-US" w:eastAsia="zh-CN"/>
              </w:rPr>
              <w:t xml:space="preserve"> /h； </w:t>
            </w:r>
          </w:p>
          <w:p w14:paraId="0401D2AF">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K：高度分布不均匀系数（经验值），1.05； </w:t>
            </w:r>
          </w:p>
          <w:p w14:paraId="1CAD1586">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V：进口风速，m/s，本项目取1.2m/s； </w:t>
            </w:r>
          </w:p>
          <w:p w14:paraId="55A7A67E">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F：集气罩面积，㎡。 </w:t>
            </w:r>
          </w:p>
          <w:p w14:paraId="5583B122">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经计算，</w:t>
            </w:r>
            <w:r>
              <w:rPr>
                <w:rFonts w:hint="default" w:ascii="Times New Roman" w:hAnsi="Times New Roman" w:cs="Times New Roman"/>
                <w:bCs/>
                <w:color w:val="auto"/>
                <w:sz w:val="24"/>
                <w:szCs w:val="24"/>
                <w:highlight w:val="none"/>
                <w:lang w:val="en-US" w:eastAsia="zh-CN"/>
              </w:rPr>
              <w:t>每个</w:t>
            </w:r>
            <w:r>
              <w:rPr>
                <w:rFonts w:hint="default" w:ascii="Times New Roman" w:hAnsi="Times New Roman" w:eastAsia="宋体" w:cs="Times New Roman"/>
                <w:bCs/>
                <w:color w:val="auto"/>
                <w:sz w:val="24"/>
                <w:szCs w:val="24"/>
                <w:highlight w:val="none"/>
                <w:lang w:val="en-US" w:eastAsia="zh-CN"/>
              </w:rPr>
              <w:t>集气罩风量为</w:t>
            </w:r>
            <w:r>
              <w:rPr>
                <w:rFonts w:hint="default" w:ascii="Times New Roman" w:hAnsi="Times New Roman" w:cs="Times New Roman"/>
                <w:bCs/>
                <w:color w:val="auto"/>
                <w:sz w:val="24"/>
                <w:szCs w:val="24"/>
                <w:highlight w:val="none"/>
                <w:lang w:val="en-US" w:eastAsia="zh-CN"/>
              </w:rPr>
              <w:t>1587.6</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，2台包装机集气罩风量为3175.2</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w:t>
            </w:r>
          </w:p>
          <w:p w14:paraId="45548EF0">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计算本项目原料储罐呼吸、上料工序、搅拌工序废气为密闭管道收集</w:t>
            </w: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总风机风量设置为10000</w:t>
            </w:r>
            <w:r>
              <w:rPr>
                <w:rFonts w:hint="default" w:ascii="Times New Roman" w:hAnsi="Times New Roman" w:eastAsia="宋体" w:cs="Times New Roman"/>
                <w:bCs/>
                <w:color w:val="auto"/>
                <w:sz w:val="24"/>
                <w:szCs w:val="24"/>
                <w:highlight w:val="none"/>
                <w:lang w:val="en-US" w:eastAsia="zh-CN"/>
              </w:rPr>
              <w:t>m³/h，满足生产要求。</w:t>
            </w:r>
          </w:p>
          <w:p w14:paraId="324BED4B">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w:t>
            </w:r>
            <w:r>
              <w:rPr>
                <w:rFonts w:hint="default" w:ascii="Times New Roman" w:hAnsi="Times New Roman" w:eastAsia="宋体" w:cs="Times New Roman"/>
                <w:color w:val="auto"/>
                <w:sz w:val="24"/>
                <w:highlight w:val="none"/>
                <w:lang w:eastAsia="zh-CN"/>
              </w:rPr>
              <w:t>包装机落料点上方设置集气罩，</w:t>
            </w:r>
            <w:r>
              <w:rPr>
                <w:rFonts w:hint="default" w:ascii="Times New Roman" w:hAnsi="Times New Roman" w:cs="Times New Roman"/>
                <w:snapToGrid w:val="0"/>
                <w:color w:val="auto"/>
                <w:kern w:val="0"/>
                <w:sz w:val="24"/>
                <w:szCs w:val="24"/>
                <w:highlight w:val="none"/>
                <w:lang w:val="en-US" w:eastAsia="zh-CN"/>
              </w:rPr>
              <w:t>储罐呼吸废气经罐顶除尘器处理后，和</w:t>
            </w:r>
            <w:r>
              <w:rPr>
                <w:rFonts w:hint="default" w:ascii="Times New Roman" w:hAnsi="Times New Roman" w:eastAsia="宋体" w:cs="Times New Roman"/>
                <w:snapToGrid w:val="0"/>
                <w:color w:val="auto"/>
                <w:kern w:val="0"/>
                <w:sz w:val="24"/>
                <w:szCs w:val="24"/>
                <w:highlight w:val="none"/>
                <w:lang w:val="en-US" w:eastAsia="zh-CN"/>
              </w:rPr>
              <w:t>上料废气、搅拌废气、分装废气</w:t>
            </w:r>
            <w:r>
              <w:rPr>
                <w:rFonts w:hint="default" w:ascii="Times New Roman" w:hAnsi="Times New Roman" w:cs="Times New Roman"/>
                <w:snapToGrid w:val="0"/>
                <w:color w:val="auto"/>
                <w:kern w:val="0"/>
                <w:sz w:val="24"/>
                <w:szCs w:val="24"/>
                <w:highlight w:val="none"/>
                <w:lang w:val="en-US" w:eastAsia="zh-CN"/>
              </w:rPr>
              <w:t>一同引至一套</w:t>
            </w:r>
            <w:r>
              <w:rPr>
                <w:rFonts w:hint="default" w:ascii="Times New Roman" w:hAnsi="Times New Roman" w:eastAsia="宋体" w:cs="Times New Roman"/>
                <w:snapToGrid w:val="0"/>
                <w:color w:val="auto"/>
                <w:kern w:val="0"/>
                <w:sz w:val="24"/>
                <w:szCs w:val="24"/>
                <w:highlight w:val="none"/>
                <w:lang w:val="en-US" w:eastAsia="zh-CN"/>
              </w:rPr>
              <w:t>布袋除尘器处理，处理后经1根</w:t>
            </w:r>
            <w:r>
              <w:rPr>
                <w:rFonts w:hint="default" w:ascii="Times New Roman" w:hAnsi="Times New Roman" w:cs="Times New Roman"/>
                <w:snapToGrid w:val="0"/>
                <w:color w:val="auto"/>
                <w:kern w:val="0"/>
                <w:sz w:val="24"/>
                <w:szCs w:val="24"/>
                <w:highlight w:val="none"/>
                <w:lang w:val="en-US" w:eastAsia="zh-CN"/>
              </w:rPr>
              <w:t>15</w:t>
            </w:r>
            <w:r>
              <w:rPr>
                <w:rFonts w:hint="default" w:ascii="Times New Roman" w:hAnsi="Times New Roman" w:eastAsia="宋体" w:cs="Times New Roman"/>
                <w:snapToGrid w:val="0"/>
                <w:color w:val="auto"/>
                <w:kern w:val="0"/>
                <w:sz w:val="24"/>
                <w:szCs w:val="24"/>
                <w:highlight w:val="none"/>
                <w:lang w:val="en-US" w:eastAsia="zh-CN"/>
              </w:rPr>
              <w:t>m高排气筒（DA001）排放。粉尘收集量为</w:t>
            </w:r>
            <w:r>
              <w:rPr>
                <w:rFonts w:hint="default" w:ascii="Times New Roman" w:hAnsi="Times New Roman" w:cs="Times New Roman"/>
                <w:snapToGrid w:val="0"/>
                <w:color w:val="auto"/>
                <w:kern w:val="0"/>
                <w:sz w:val="24"/>
                <w:szCs w:val="24"/>
                <w:highlight w:val="none"/>
                <w:lang w:val="en-US" w:eastAsia="zh-CN"/>
              </w:rPr>
              <w:t>55.357</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，风机风量为10000m³/h，</w:t>
            </w:r>
            <w:r>
              <w:rPr>
                <w:rFonts w:hint="default" w:ascii="Times New Roman" w:hAnsi="Times New Roman" w:eastAsia="宋体" w:cs="Times New Roman"/>
                <w:snapToGrid w:val="0"/>
                <w:color w:val="auto"/>
                <w:kern w:val="0"/>
                <w:sz w:val="24"/>
                <w:szCs w:val="24"/>
                <w:highlight w:val="cyan"/>
                <w:lang w:val="en-US" w:eastAsia="zh-CN"/>
              </w:rPr>
              <w:t>布袋除尘器处理效率按照99.</w:t>
            </w:r>
            <w:r>
              <w:rPr>
                <w:rFonts w:hint="default" w:ascii="Times New Roman" w:hAnsi="Times New Roman" w:cs="Times New Roman"/>
                <w:snapToGrid w:val="0"/>
                <w:color w:val="auto"/>
                <w:kern w:val="0"/>
                <w:sz w:val="24"/>
                <w:szCs w:val="24"/>
                <w:highlight w:val="cyan"/>
                <w:lang w:val="en-US" w:eastAsia="zh-CN"/>
              </w:rPr>
              <w:t>7</w:t>
            </w:r>
            <w:r>
              <w:rPr>
                <w:rFonts w:hint="default" w:ascii="Times New Roman" w:hAnsi="Times New Roman" w:eastAsia="宋体" w:cs="Times New Roman"/>
                <w:snapToGrid w:val="0"/>
                <w:color w:val="auto"/>
                <w:kern w:val="0"/>
                <w:sz w:val="24"/>
                <w:szCs w:val="24"/>
                <w:highlight w:val="cyan"/>
                <w:lang w:val="en-US" w:eastAsia="zh-CN"/>
              </w:rPr>
              <w:t>%计，则颗粒物排放浓度为</w:t>
            </w:r>
            <w:r>
              <w:rPr>
                <w:rFonts w:hint="eastAsia" w:cs="Times New Roman"/>
                <w:snapToGrid w:val="0"/>
                <w:color w:val="auto"/>
                <w:kern w:val="0"/>
                <w:sz w:val="24"/>
                <w:szCs w:val="24"/>
                <w:highlight w:val="cyan"/>
                <w:lang w:val="en-US" w:eastAsia="zh-CN"/>
              </w:rPr>
              <w:t>6.92</w:t>
            </w:r>
            <w:r>
              <w:rPr>
                <w:rFonts w:hint="default" w:ascii="Times New Roman" w:hAnsi="Times New Roman" w:eastAsia="宋体" w:cs="Times New Roman"/>
                <w:snapToGrid w:val="0"/>
                <w:color w:val="auto"/>
                <w:kern w:val="0"/>
                <w:sz w:val="24"/>
                <w:szCs w:val="24"/>
                <w:highlight w:val="cyan"/>
                <w:lang w:val="en-US" w:eastAsia="zh-CN"/>
              </w:rPr>
              <w:t>mg/m³，排放速率为0.0</w:t>
            </w:r>
            <w:r>
              <w:rPr>
                <w:rFonts w:hint="eastAsia" w:cs="Times New Roman"/>
                <w:snapToGrid w:val="0"/>
                <w:color w:val="auto"/>
                <w:kern w:val="0"/>
                <w:sz w:val="24"/>
                <w:szCs w:val="24"/>
                <w:highlight w:val="cyan"/>
                <w:lang w:val="en-US" w:eastAsia="zh-CN"/>
              </w:rPr>
              <w:t>69</w:t>
            </w:r>
            <w:r>
              <w:rPr>
                <w:rFonts w:hint="default" w:ascii="Times New Roman" w:hAnsi="Times New Roman" w:eastAsia="宋体" w:cs="Times New Roman"/>
                <w:snapToGrid w:val="0"/>
                <w:color w:val="auto"/>
                <w:kern w:val="0"/>
                <w:sz w:val="24"/>
                <w:szCs w:val="24"/>
                <w:highlight w:val="cyan"/>
                <w:lang w:val="en-US" w:eastAsia="zh-CN"/>
              </w:rPr>
              <w:t>kg/h，排放量为0.</w:t>
            </w:r>
            <w:r>
              <w:rPr>
                <w:rFonts w:hint="default" w:ascii="Times New Roman" w:hAnsi="Times New Roman" w:cs="Times New Roman"/>
                <w:snapToGrid w:val="0"/>
                <w:color w:val="auto"/>
                <w:kern w:val="0"/>
                <w:sz w:val="24"/>
                <w:szCs w:val="24"/>
                <w:highlight w:val="cyan"/>
                <w:lang w:val="en-US" w:eastAsia="zh-CN"/>
              </w:rPr>
              <w:t>1</w:t>
            </w:r>
            <w:r>
              <w:rPr>
                <w:rFonts w:hint="eastAsia" w:cs="Times New Roman"/>
                <w:snapToGrid w:val="0"/>
                <w:color w:val="auto"/>
                <w:kern w:val="0"/>
                <w:sz w:val="24"/>
                <w:szCs w:val="24"/>
                <w:highlight w:val="cyan"/>
                <w:lang w:val="en-US" w:eastAsia="zh-CN"/>
              </w:rPr>
              <w:t>66</w:t>
            </w:r>
            <w:r>
              <w:rPr>
                <w:rFonts w:hint="default" w:ascii="Times New Roman" w:hAnsi="Times New Roman" w:eastAsia="宋体" w:cs="Times New Roman"/>
                <w:snapToGrid w:val="0"/>
                <w:color w:val="auto"/>
                <w:kern w:val="0"/>
                <w:sz w:val="24"/>
                <w:szCs w:val="24"/>
                <w:highlight w:val="cyan"/>
                <w:lang w:val="en-US" w:eastAsia="zh-CN"/>
              </w:rPr>
              <w:t>t</w:t>
            </w:r>
            <w:r>
              <w:rPr>
                <w:rFonts w:hint="default" w:ascii="Times New Roman" w:hAnsi="Times New Roman" w:cs="Times New Roman"/>
                <w:snapToGrid w:val="0"/>
                <w:color w:val="auto"/>
                <w:kern w:val="0"/>
                <w:sz w:val="24"/>
                <w:szCs w:val="24"/>
                <w:highlight w:val="cyan"/>
                <w:lang w:val="en-US" w:eastAsia="zh-CN"/>
              </w:rPr>
              <w:t>/a</w:t>
            </w:r>
            <w:r>
              <w:rPr>
                <w:rFonts w:hint="default" w:ascii="Times New Roman" w:hAnsi="Times New Roman" w:eastAsia="宋体" w:cs="Times New Roman"/>
                <w:snapToGrid w:val="0"/>
                <w:color w:val="auto"/>
                <w:kern w:val="0"/>
                <w:sz w:val="24"/>
                <w:szCs w:val="24"/>
                <w:highlight w:val="cyan"/>
                <w:lang w:val="en-US" w:eastAsia="zh-CN"/>
              </w:rPr>
              <w:t>，</w:t>
            </w:r>
            <w:r>
              <w:rPr>
                <w:rFonts w:hint="default" w:ascii="Times New Roman" w:hAnsi="Times New Roman" w:eastAsia="宋体" w:cs="Times New Roman"/>
                <w:snapToGrid w:val="0"/>
                <w:color w:val="auto"/>
                <w:kern w:val="0"/>
                <w:sz w:val="24"/>
                <w:szCs w:val="24"/>
                <w:highlight w:val="none"/>
                <w:lang w:val="en-US" w:eastAsia="zh-CN"/>
              </w:rPr>
              <w:t>满足《水泥工业大气污染物超低排放标准》（DB13/2167-2020）表1中水泥仓及其它通风生产设备标准限值。</w:t>
            </w:r>
          </w:p>
          <w:p w14:paraId="158998D1">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5）无组织废气</w:t>
            </w:r>
          </w:p>
          <w:p w14:paraId="47A958DC">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①车辆运输扬尘</w:t>
            </w:r>
          </w:p>
          <w:p w14:paraId="787F0363">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0"/>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石膏、粉煤灰、水泥、蛭石、重钙、玻化微珠等用量9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t/a，采用30t/辆的</w:t>
            </w:r>
            <w:r>
              <w:rPr>
                <w:rFonts w:hint="default" w:ascii="Times New Roman" w:hAnsi="Times New Roman" w:cs="Times New Roman"/>
                <w:snapToGrid w:val="0"/>
                <w:color w:val="auto"/>
                <w:kern w:val="0"/>
                <w:sz w:val="24"/>
                <w:szCs w:val="24"/>
                <w:highlight w:val="none"/>
                <w:lang w:val="en-US" w:eastAsia="zh-CN"/>
              </w:rPr>
              <w:t>罐车</w:t>
            </w:r>
            <w:r>
              <w:rPr>
                <w:rFonts w:hint="default" w:ascii="Times New Roman" w:hAnsi="Times New Roman" w:eastAsia="宋体" w:cs="Times New Roman"/>
                <w:snapToGrid w:val="0"/>
                <w:color w:val="auto"/>
                <w:kern w:val="0"/>
                <w:sz w:val="24"/>
                <w:szCs w:val="24"/>
                <w:highlight w:val="none"/>
                <w:lang w:val="en-US" w:eastAsia="zh-CN"/>
              </w:rPr>
              <w:t>运输，年运输3</w:t>
            </w:r>
            <w:r>
              <w:rPr>
                <w:rFonts w:hint="default" w:ascii="Times New Roman" w:hAnsi="Times New Roman" w:cs="Times New Roman"/>
                <w:snapToGrid w:val="0"/>
                <w:color w:val="auto"/>
                <w:kern w:val="0"/>
                <w:sz w:val="24"/>
                <w:szCs w:val="24"/>
                <w:highlight w:val="none"/>
                <w:lang w:val="en-US" w:eastAsia="zh-CN"/>
              </w:rPr>
              <w:t>163</w:t>
            </w:r>
            <w:r>
              <w:rPr>
                <w:rFonts w:hint="default" w:ascii="Times New Roman" w:hAnsi="Times New Roman" w:eastAsia="宋体" w:cs="Times New Roman"/>
                <w:snapToGrid w:val="0"/>
                <w:color w:val="auto"/>
                <w:kern w:val="0"/>
                <w:sz w:val="24"/>
                <w:szCs w:val="24"/>
                <w:highlight w:val="none"/>
                <w:lang w:val="en-US" w:eastAsia="zh-CN"/>
              </w:rPr>
              <w:t>.</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次，记为3</w:t>
            </w:r>
            <w:r>
              <w:rPr>
                <w:rFonts w:hint="default" w:ascii="Times New Roman" w:hAnsi="Times New Roman" w:cs="Times New Roman"/>
                <w:snapToGrid w:val="0"/>
                <w:color w:val="auto"/>
                <w:kern w:val="0"/>
                <w:sz w:val="24"/>
                <w:szCs w:val="24"/>
                <w:highlight w:val="none"/>
                <w:lang w:val="en-US" w:eastAsia="zh-CN"/>
              </w:rPr>
              <w:t>16</w:t>
            </w:r>
            <w:r>
              <w:rPr>
                <w:rFonts w:hint="default" w:ascii="Times New Roman" w:hAnsi="Times New Roman" w:eastAsia="宋体" w:cs="Times New Roman"/>
                <w:snapToGrid w:val="0"/>
                <w:color w:val="auto"/>
                <w:kern w:val="0"/>
                <w:sz w:val="24"/>
                <w:szCs w:val="24"/>
                <w:highlight w:val="none"/>
                <w:lang w:val="en-US" w:eastAsia="zh-CN"/>
              </w:rPr>
              <w:t>4次。本项目网格布（</w:t>
            </w:r>
            <w:r>
              <w:rPr>
                <w:rFonts w:hint="default" w:ascii="Times New Roman" w:hAnsi="Times New Roman" w:cs="Times New Roman"/>
                <w:snapToGrid w:val="0"/>
                <w:color w:val="auto"/>
                <w:kern w:val="0"/>
                <w:sz w:val="24"/>
                <w:szCs w:val="24"/>
                <w:highlight w:val="none"/>
                <w:lang w:val="en-US" w:eastAsia="zh-CN"/>
              </w:rPr>
              <w:t>12</w:t>
            </w:r>
            <w:r>
              <w:rPr>
                <w:rFonts w:hint="default" w:ascii="Times New Roman" w:hAnsi="Times New Roman" w:eastAsia="宋体" w:cs="Times New Roman"/>
                <w:snapToGrid w:val="0"/>
                <w:color w:val="auto"/>
                <w:kern w:val="0"/>
                <w:sz w:val="24"/>
                <w:szCs w:val="24"/>
                <w:highlight w:val="none"/>
                <w:lang w:val="en-US" w:eastAsia="zh-CN"/>
              </w:rPr>
              <w:t>00吨）、钢板</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00吨，采用30t/辆的自卸车运输，年运输</w:t>
            </w:r>
            <w:r>
              <w:rPr>
                <w:rFonts w:hint="default" w:ascii="Times New Roman" w:hAnsi="Times New Roman" w:cs="Times New Roman"/>
                <w:snapToGrid w:val="0"/>
                <w:color w:val="auto"/>
                <w:kern w:val="0"/>
                <w:sz w:val="24"/>
                <w:szCs w:val="24"/>
                <w:highlight w:val="none"/>
                <w:lang w:val="en-US" w:eastAsia="zh-CN"/>
              </w:rPr>
              <w:t>46.7</w:t>
            </w:r>
            <w:r>
              <w:rPr>
                <w:rFonts w:hint="default" w:ascii="Times New Roman" w:hAnsi="Times New Roman" w:eastAsia="宋体" w:cs="Times New Roman"/>
                <w:snapToGrid w:val="0"/>
                <w:color w:val="auto"/>
                <w:kern w:val="0"/>
                <w:sz w:val="24"/>
                <w:szCs w:val="24"/>
                <w:highlight w:val="none"/>
                <w:lang w:val="en-US" w:eastAsia="zh-CN"/>
              </w:rPr>
              <w:t>次，记为</w:t>
            </w:r>
            <w:r>
              <w:rPr>
                <w:rFonts w:hint="default" w:ascii="Times New Roman" w:hAnsi="Times New Roman" w:cs="Times New Roman"/>
                <w:snapToGrid w:val="0"/>
                <w:color w:val="auto"/>
                <w:kern w:val="0"/>
                <w:sz w:val="24"/>
                <w:szCs w:val="24"/>
                <w:highlight w:val="none"/>
                <w:lang w:val="en-US" w:eastAsia="zh-CN"/>
              </w:rPr>
              <w:t>47</w:t>
            </w:r>
            <w:r>
              <w:rPr>
                <w:rFonts w:hint="default" w:ascii="Times New Roman" w:hAnsi="Times New Roman" w:eastAsia="宋体" w:cs="Times New Roman"/>
                <w:snapToGrid w:val="0"/>
                <w:color w:val="auto"/>
                <w:kern w:val="0"/>
                <w:sz w:val="24"/>
                <w:szCs w:val="24"/>
                <w:highlight w:val="none"/>
                <w:lang w:val="en-US" w:eastAsia="zh-CN"/>
              </w:rPr>
              <w:t>次。焊材</w:t>
            </w: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eastAsia="宋体" w:cs="Times New Roman"/>
                <w:snapToGrid w:val="0"/>
                <w:color w:val="auto"/>
                <w:kern w:val="0"/>
                <w:sz w:val="24"/>
                <w:szCs w:val="24"/>
                <w:highlight w:val="none"/>
                <w:lang w:val="en-US" w:eastAsia="zh-CN"/>
              </w:rPr>
              <w:t>t/a、缓凝剂用量</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t/a，采用1t/辆的自卸车运输，年运输6次。</w:t>
            </w:r>
            <w:r>
              <w:rPr>
                <w:rFonts w:hint="default" w:ascii="Times New Roman" w:hAnsi="Times New Roman" w:eastAsia="宋体" w:cs="Times New Roman"/>
                <w:color w:val="auto"/>
                <w:sz w:val="24"/>
                <w:highlight w:val="none"/>
                <w:lang w:val="en-US" w:eastAsia="zh-CN"/>
              </w:rPr>
              <w:t>全厂运输车辆数为</w:t>
            </w:r>
            <w:r>
              <w:rPr>
                <w:rFonts w:hint="default" w:ascii="Times New Roman" w:hAnsi="Times New Roman" w:cs="Times New Roman"/>
                <w:color w:val="auto"/>
                <w:sz w:val="24"/>
                <w:highlight w:val="none"/>
                <w:lang w:val="en-US" w:eastAsia="zh-CN"/>
              </w:rPr>
              <w:t>3217</w:t>
            </w:r>
            <w:r>
              <w:rPr>
                <w:rFonts w:hint="default" w:ascii="Times New Roman" w:hAnsi="Times New Roman" w:eastAsia="宋体" w:cs="Times New Roman"/>
                <w:color w:val="auto"/>
                <w:sz w:val="24"/>
                <w:highlight w:val="none"/>
                <w:lang w:val="en-US" w:eastAsia="zh-CN"/>
              </w:rPr>
              <w:t>次。</w:t>
            </w:r>
            <w:r>
              <w:rPr>
                <w:rFonts w:hint="default" w:ascii="Times New Roman" w:hAnsi="Times New Roman" w:eastAsia="宋体" w:cs="Times New Roman"/>
                <w:color w:val="auto"/>
                <w:kern w:val="2"/>
                <w:sz w:val="24"/>
                <w:szCs w:val="24"/>
                <w:highlight w:val="none"/>
                <w:lang w:val="en-US" w:eastAsia="zh-CN" w:bidi="ar-SA"/>
              </w:rPr>
              <w:t>车辆运输扬尘采取车辆加盖苫布、</w:t>
            </w:r>
            <w:r>
              <w:rPr>
                <w:rFonts w:hint="default" w:ascii="Times New Roman" w:hAnsi="Times New Roman" w:cs="Times New Roman"/>
                <w:color w:val="auto"/>
                <w:kern w:val="2"/>
                <w:sz w:val="24"/>
                <w:szCs w:val="24"/>
                <w:highlight w:val="none"/>
                <w:lang w:val="en-US" w:eastAsia="zh-CN" w:bidi="ar-SA"/>
              </w:rPr>
              <w:t>道路硬化</w:t>
            </w:r>
            <w:r>
              <w:rPr>
                <w:rFonts w:hint="default" w:ascii="Times New Roman" w:hAnsi="Times New Roman" w:eastAsia="宋体" w:cs="Times New Roman"/>
                <w:color w:val="auto"/>
                <w:kern w:val="2"/>
                <w:sz w:val="24"/>
                <w:szCs w:val="24"/>
                <w:highlight w:val="none"/>
                <w:lang w:val="en-US" w:eastAsia="zh-CN" w:bidi="ar-SA"/>
              </w:rPr>
              <w:t>、定期清扫、进出厂车辆冲洗等控制措施，确保不带泥带料行驶。</w:t>
            </w:r>
          </w:p>
          <w:p w14:paraId="3F516029">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选用《逸散性工业粉尘控制技术》中逸散尘铺砌路面来往车辆的排放因子可得 3.15g/辆·km，则项目运输作业无组织颗粒物排放情况见下表。</w:t>
            </w:r>
          </w:p>
          <w:p w14:paraId="1F9AD136">
            <w:pPr>
              <w:pStyle w:val="5"/>
              <w:spacing w:line="36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表4-</w:t>
            </w:r>
            <w:r>
              <w:rPr>
                <w:rFonts w:hint="default" w:ascii="Times New Roman" w:hAnsi="Times New Roman" w:cs="Times New Roman"/>
                <w:color w:val="auto"/>
                <w:kern w:val="2"/>
                <w:sz w:val="24"/>
                <w:szCs w:val="24"/>
                <w:highlight w:val="none"/>
                <w:lang w:val="en-US" w:eastAsia="zh-CN" w:bidi="ar-SA"/>
              </w:rPr>
              <w:t>4</w:t>
            </w:r>
            <w:r>
              <w:rPr>
                <w:rFonts w:hint="default" w:ascii="Times New Roman" w:hAnsi="Times New Roman" w:eastAsia="宋体" w:cs="Times New Roman"/>
                <w:color w:val="auto"/>
                <w:kern w:val="2"/>
                <w:sz w:val="24"/>
                <w:szCs w:val="24"/>
                <w:highlight w:val="none"/>
                <w:lang w:val="en-US" w:eastAsia="zh-CN" w:bidi="ar-SA"/>
              </w:rPr>
              <w:t xml:space="preserve">  项目运输作业无组织颗粒物排放情况</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498"/>
              <w:gridCol w:w="994"/>
              <w:gridCol w:w="783"/>
              <w:gridCol w:w="719"/>
              <w:gridCol w:w="861"/>
              <w:gridCol w:w="935"/>
              <w:gridCol w:w="1666"/>
              <w:gridCol w:w="480"/>
              <w:gridCol w:w="719"/>
              <w:gridCol w:w="702"/>
            </w:tblGrid>
            <w:tr w14:paraId="2437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07D96C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运输种类</w:t>
                  </w:r>
                </w:p>
              </w:tc>
              <w:tc>
                <w:tcPr>
                  <w:tcW w:w="594" w:type="pct"/>
                  <w:vAlign w:val="center"/>
                </w:tcPr>
                <w:p w14:paraId="75AF75DE">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汽车扬尘量(kg/</w:t>
                  </w:r>
                  <w:r>
                    <w:rPr>
                      <w:rFonts w:hint="default" w:ascii="Times New Roman" w:hAnsi="Times New Roman" w:eastAsia="宋体" w:cs="Times New Roman"/>
                      <w:b w:val="0"/>
                      <w:bCs w:val="0"/>
                      <w:color w:val="auto"/>
                      <w:kern w:val="0"/>
                      <w:sz w:val="21"/>
                      <w:szCs w:val="21"/>
                      <w:highlight w:val="none"/>
                      <w:lang w:val="en-US" w:eastAsia="zh-CN" w:bidi="ar"/>
                    </w:rPr>
                    <w:t>·km</w:t>
                  </w:r>
                  <w:r>
                    <w:rPr>
                      <w:rFonts w:hint="default" w:ascii="Times New Roman" w:hAnsi="Times New Roman" w:eastAsia="宋体" w:cs="Times New Roman"/>
                      <w:b w:val="0"/>
                      <w:bCs w:val="0"/>
                      <w:color w:val="auto"/>
                      <w:sz w:val="21"/>
                      <w:szCs w:val="21"/>
                      <w:highlight w:val="none"/>
                      <w:vertAlign w:val="baseline"/>
                      <w:lang w:val="en-US" w:eastAsia="zh-CN"/>
                    </w:rPr>
                    <w:t>)</w:t>
                  </w:r>
                </w:p>
              </w:tc>
              <w:tc>
                <w:tcPr>
                  <w:tcW w:w="468" w:type="pct"/>
                  <w:vAlign w:val="center"/>
                </w:tcPr>
                <w:p w14:paraId="3FE269B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厂区内运输距离（km）</w:t>
                  </w:r>
                </w:p>
              </w:tc>
              <w:tc>
                <w:tcPr>
                  <w:tcW w:w="430" w:type="pct"/>
                  <w:vAlign w:val="center"/>
                </w:tcPr>
                <w:p w14:paraId="3B6A62DD">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运输车辆数（次）</w:t>
                  </w:r>
                </w:p>
              </w:tc>
              <w:tc>
                <w:tcPr>
                  <w:tcW w:w="515" w:type="pct"/>
                  <w:vAlign w:val="center"/>
                </w:tcPr>
                <w:p w14:paraId="42A4626A">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无措施下产生量（t/a）</w:t>
                  </w:r>
                </w:p>
              </w:tc>
              <w:tc>
                <w:tcPr>
                  <w:tcW w:w="559" w:type="pct"/>
                  <w:vAlign w:val="center"/>
                </w:tcPr>
                <w:p w14:paraId="0691AC1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无措施下产生速率（kg/h）</w:t>
                  </w:r>
                </w:p>
              </w:tc>
              <w:tc>
                <w:tcPr>
                  <w:tcW w:w="996" w:type="pct"/>
                  <w:vAlign w:val="center"/>
                </w:tcPr>
                <w:p w14:paraId="1E088C7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治理措施</w:t>
                  </w:r>
                </w:p>
              </w:tc>
              <w:tc>
                <w:tcPr>
                  <w:tcW w:w="287" w:type="pct"/>
                  <w:vAlign w:val="center"/>
                </w:tcPr>
                <w:p w14:paraId="586AAEBC">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处理效率</w:t>
                  </w:r>
                </w:p>
              </w:tc>
              <w:tc>
                <w:tcPr>
                  <w:tcW w:w="430" w:type="pct"/>
                  <w:vAlign w:val="center"/>
                </w:tcPr>
                <w:p w14:paraId="4003695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排放量（t/a）</w:t>
                  </w:r>
                </w:p>
              </w:tc>
              <w:tc>
                <w:tcPr>
                  <w:tcW w:w="419" w:type="pct"/>
                  <w:vAlign w:val="center"/>
                </w:tcPr>
                <w:p w14:paraId="0A15BD0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排放速率</w:t>
                  </w:r>
                  <w:r>
                    <w:rPr>
                      <w:rFonts w:hint="default" w:ascii="Times New Roman" w:hAns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kg/h</w:t>
                  </w:r>
                  <w:r>
                    <w:rPr>
                      <w:rFonts w:hint="default" w:ascii="Times New Roman" w:hAnsi="Times New Roman" w:cs="Times New Roman"/>
                      <w:b w:val="0"/>
                      <w:bCs w:val="0"/>
                      <w:color w:val="auto"/>
                      <w:sz w:val="21"/>
                      <w:szCs w:val="21"/>
                      <w:highlight w:val="none"/>
                      <w:vertAlign w:val="baseline"/>
                      <w:lang w:val="en-US" w:eastAsia="zh-CN"/>
                    </w:rPr>
                    <w:t>)</w:t>
                  </w:r>
                </w:p>
              </w:tc>
            </w:tr>
            <w:tr w14:paraId="73E10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98" w:type="pct"/>
                  <w:vAlign w:val="center"/>
                </w:tcPr>
                <w:p w14:paraId="26B5BB77">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w:t>
                  </w:r>
                </w:p>
              </w:tc>
              <w:tc>
                <w:tcPr>
                  <w:tcW w:w="594" w:type="pct"/>
                  <w:vAlign w:val="center"/>
                </w:tcPr>
                <w:p w14:paraId="5D5CE474">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0.00315</w:t>
                  </w:r>
                </w:p>
              </w:tc>
              <w:tc>
                <w:tcPr>
                  <w:tcW w:w="468" w:type="pct"/>
                  <w:vAlign w:val="center"/>
                </w:tcPr>
                <w:p w14:paraId="5D87954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0.1</w:t>
                  </w:r>
                </w:p>
              </w:tc>
              <w:tc>
                <w:tcPr>
                  <w:tcW w:w="430" w:type="pct"/>
                  <w:vAlign w:val="center"/>
                </w:tcPr>
                <w:p w14:paraId="3D1728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vertAlign w:val="baseline"/>
                      <w:lang w:val="en-US" w:eastAsia="zh-CN"/>
                    </w:rPr>
                    <w:t>3217</w:t>
                  </w:r>
                </w:p>
              </w:tc>
              <w:tc>
                <w:tcPr>
                  <w:tcW w:w="515" w:type="pct"/>
                  <w:vAlign w:val="center"/>
                </w:tcPr>
                <w:p w14:paraId="6458682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0.001</w:t>
                  </w:r>
                </w:p>
              </w:tc>
              <w:tc>
                <w:tcPr>
                  <w:tcW w:w="559" w:type="pct"/>
                  <w:vAlign w:val="center"/>
                </w:tcPr>
                <w:p w14:paraId="5D5791C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4</w:t>
                  </w:r>
                </w:p>
              </w:tc>
              <w:tc>
                <w:tcPr>
                  <w:tcW w:w="996" w:type="pct"/>
                  <w:vAlign w:val="center"/>
                </w:tcPr>
                <w:p w14:paraId="7BE994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车辆加盖苫布、</w:t>
                  </w:r>
                  <w:r>
                    <w:rPr>
                      <w:rFonts w:hint="default" w:ascii="Times New Roman" w:hAnsi="Times New Roman" w:cs="Times New Roman"/>
                      <w:b w:val="0"/>
                      <w:bCs w:val="0"/>
                      <w:color w:val="auto"/>
                      <w:sz w:val="21"/>
                      <w:szCs w:val="21"/>
                      <w:highlight w:val="none"/>
                      <w:vertAlign w:val="baseline"/>
                      <w:lang w:val="en-US" w:eastAsia="zh-CN"/>
                    </w:rPr>
                    <w:t>道路硬化</w:t>
                  </w:r>
                  <w:r>
                    <w:rPr>
                      <w:rFonts w:hint="default" w:ascii="Times New Roman" w:hAnsi="Times New Roman" w:eastAsia="宋体" w:cs="Times New Roman"/>
                      <w:b w:val="0"/>
                      <w:bCs w:val="0"/>
                      <w:color w:val="auto"/>
                      <w:sz w:val="21"/>
                      <w:szCs w:val="21"/>
                      <w:highlight w:val="none"/>
                      <w:vertAlign w:val="baseline"/>
                      <w:lang w:val="en-US" w:eastAsia="zh-CN"/>
                    </w:rPr>
                    <w:t>、定期清扫、进出厂车辆冲洗等控制措施</w:t>
                  </w:r>
                </w:p>
              </w:tc>
              <w:tc>
                <w:tcPr>
                  <w:tcW w:w="287" w:type="pct"/>
                  <w:vAlign w:val="center"/>
                </w:tcPr>
                <w:p w14:paraId="5B37143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80%</w:t>
                  </w:r>
                </w:p>
              </w:tc>
              <w:tc>
                <w:tcPr>
                  <w:tcW w:w="430" w:type="pct"/>
                  <w:vAlign w:val="center"/>
                </w:tcPr>
                <w:p w14:paraId="2FBD0E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2</w:t>
                  </w:r>
                </w:p>
              </w:tc>
              <w:tc>
                <w:tcPr>
                  <w:tcW w:w="419" w:type="pct"/>
                  <w:vAlign w:val="center"/>
                </w:tcPr>
                <w:p w14:paraId="16BC76C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0.0001</w:t>
                  </w:r>
                </w:p>
              </w:tc>
            </w:tr>
          </w:tbl>
          <w:p w14:paraId="7974D7B1">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综上分析，车辆运输颗粒物排放量为0.000</w:t>
            </w:r>
            <w:r>
              <w:rPr>
                <w:rFonts w:hint="default" w:ascii="Times New Roman" w:hAnsi="Times New Roman"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t/a，颗粒物排放速率为0.0001kg/h。</w:t>
            </w:r>
          </w:p>
          <w:p w14:paraId="454B68C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w:t>
            </w:r>
            <w:r>
              <w:rPr>
                <w:rFonts w:hint="default" w:ascii="Times New Roman" w:hAnsi="Times New Roman" w:eastAsia="宋体" w:cs="Times New Roman"/>
                <w:bCs/>
                <w:color w:val="auto"/>
                <w:sz w:val="24"/>
                <w:szCs w:val="24"/>
                <w:highlight w:val="none"/>
                <w:lang w:val="en-US" w:eastAsia="zh-CN"/>
              </w:rPr>
              <w:t>焊接废气：</w:t>
            </w:r>
          </w:p>
          <w:p w14:paraId="050E8CF4">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焊接工序产生烟尘，根据《排放源统计调查产排污核算方法和系数手册》“机械行业系数手册 33金属制品业”中 09 焊接核算环节-药芯焊丝的颗粒物产污系数：20.5千克/吨-焊料，本项目焊丝用量1t/a，</w:t>
            </w:r>
            <w:r>
              <w:rPr>
                <w:rFonts w:hint="default" w:ascii="Times New Roman" w:hAnsi="Times New Roman" w:cs="Times New Roman"/>
                <w:color w:val="auto"/>
                <w:sz w:val="24"/>
                <w:szCs w:val="24"/>
                <w:highlight w:val="none"/>
                <w:lang w:val="en-US" w:eastAsia="zh-CN"/>
              </w:rPr>
              <w:t>则</w:t>
            </w:r>
            <w:r>
              <w:rPr>
                <w:rFonts w:hint="default" w:ascii="Times New Roman" w:hAnsi="Times New Roman" w:eastAsia="宋体" w:cs="Times New Roman"/>
                <w:color w:val="auto"/>
                <w:sz w:val="24"/>
                <w:szCs w:val="24"/>
                <w:highlight w:val="none"/>
                <w:lang w:val="en-US" w:eastAsia="zh-CN"/>
              </w:rPr>
              <w:t>焊接过程中颗粒物产生量为0.021t/a，颗粒物产生量较小，使用移动式焊烟净化器收集处理后无组织排放。焊烟净化器收集效率按90%计，净化效率按9</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%计，则处理后焊接颗粒物排放量为0.00</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t/a(0.00</w:t>
            </w:r>
            <w:r>
              <w:rPr>
                <w:rFonts w:hint="default" w:ascii="Times New Roman" w:hAnsi="Times New Roman" w:cs="Times New Roman"/>
                <w:color w:val="auto"/>
                <w:sz w:val="24"/>
                <w:szCs w:val="24"/>
                <w:highlight w:val="none"/>
                <w:lang w:val="en-US" w:eastAsia="zh-CN"/>
              </w:rPr>
              <w:t>04</w:t>
            </w:r>
            <w:r>
              <w:rPr>
                <w:rFonts w:hint="default" w:ascii="Times New Roman" w:hAnsi="Times New Roman" w:eastAsia="宋体" w:cs="Times New Roman"/>
                <w:color w:val="auto"/>
                <w:sz w:val="24"/>
                <w:szCs w:val="24"/>
                <w:highlight w:val="none"/>
                <w:lang w:val="en-US" w:eastAsia="zh-CN"/>
              </w:rPr>
              <w:t>kg/h)。</w:t>
            </w:r>
          </w:p>
          <w:p w14:paraId="7DDADC48">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③未收集废气：</w:t>
            </w:r>
            <w:r>
              <w:rPr>
                <w:rFonts w:hint="default" w:ascii="Times New Roman" w:hAnsi="Times New Roman" w:eastAsia="宋体" w:cs="Times New Roman"/>
                <w:snapToGrid w:val="0"/>
                <w:color w:val="auto"/>
                <w:kern w:val="0"/>
                <w:sz w:val="24"/>
                <w:szCs w:val="24"/>
                <w:highlight w:val="none"/>
                <w:lang w:val="en-US" w:eastAsia="zh-CN"/>
              </w:rPr>
              <w:t>分装工序未收集的粉尘为0.312</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cs="Times New Roman"/>
                <w:color w:val="auto"/>
                <w:sz w:val="24"/>
                <w:szCs w:val="24"/>
                <w:highlight w:val="none"/>
                <w:lang w:val="en-US" w:eastAsia="zh-CN"/>
              </w:rPr>
              <w:t>焊接烟尘未收集量为0.002</w:t>
            </w:r>
            <w:r>
              <w:rPr>
                <w:rFonts w:hint="default" w:ascii="Times New Roman" w:hAnsi="Times New Roman" w:eastAsia="宋体" w:cs="Times New Roman"/>
                <w:color w:val="auto"/>
                <w:sz w:val="24"/>
                <w:szCs w:val="24"/>
                <w:highlight w:val="none"/>
                <w:lang w:val="en-US" w:eastAsia="zh-CN"/>
              </w:rPr>
              <w:t>t/a，采取</w:t>
            </w:r>
            <w:r>
              <w:rPr>
                <w:rFonts w:hint="default" w:ascii="Times New Roman" w:hAnsi="Times New Roman" w:eastAsia="宋体" w:cs="Times New Roman"/>
                <w:color w:val="auto"/>
                <w:sz w:val="24"/>
                <w:highlight w:val="none"/>
              </w:rPr>
              <w:t>生产车间</w:t>
            </w:r>
            <w:r>
              <w:rPr>
                <w:rFonts w:hint="default" w:ascii="Times New Roman" w:hAnsi="Times New Roman" w:eastAsia="宋体" w:cs="Times New Roman"/>
                <w:color w:val="auto"/>
                <w:sz w:val="24"/>
                <w:highlight w:val="none"/>
                <w:lang w:eastAsia="zh-CN"/>
              </w:rPr>
              <w:t>密闭</w:t>
            </w:r>
            <w:r>
              <w:rPr>
                <w:rFonts w:hint="default" w:ascii="Times New Roman" w:hAnsi="Times New Roman" w:cs="Times New Roman"/>
                <w:color w:val="auto"/>
                <w:sz w:val="24"/>
                <w:highlight w:val="none"/>
                <w:lang w:eastAsia="zh-CN"/>
              </w:rPr>
              <w:t>等措施</w:t>
            </w:r>
            <w:r>
              <w:rPr>
                <w:rFonts w:hint="default" w:ascii="Times New Roman" w:hAnsi="Times New Roman" w:eastAsia="宋体" w:cs="Times New Roman"/>
                <w:color w:val="auto"/>
                <w:sz w:val="24"/>
                <w:highlight w:val="none"/>
                <w:lang w:val="en-US" w:eastAsia="zh-CN"/>
              </w:rPr>
              <w:t>，则</w:t>
            </w:r>
            <w:r>
              <w:rPr>
                <w:rFonts w:hint="default" w:ascii="Times New Roman" w:hAnsi="Times New Roman" w:eastAsia="宋体" w:cs="Times New Roman"/>
                <w:color w:val="auto"/>
                <w:sz w:val="24"/>
                <w:highlight w:val="none"/>
              </w:rPr>
              <w:t>无组织排放至车间外</w:t>
            </w:r>
            <w:r>
              <w:rPr>
                <w:rFonts w:hint="default" w:ascii="Times New Roman" w:hAnsi="Times New Roman" w:eastAsia="宋体" w:cs="Times New Roman"/>
                <w:color w:val="auto"/>
                <w:sz w:val="24"/>
                <w:highlight w:val="none"/>
                <w:lang w:eastAsia="zh-CN"/>
              </w:rPr>
              <w:t>的颗粒物排放量</w:t>
            </w:r>
            <w:r>
              <w:rPr>
                <w:rFonts w:hint="default" w:ascii="Times New Roman" w:hAnsi="Times New Roman" w:eastAsia="宋体" w:cs="Times New Roman"/>
                <w:color w:val="auto"/>
                <w:sz w:val="24"/>
                <w:szCs w:val="24"/>
                <w:highlight w:val="none"/>
                <w:lang w:val="en-US" w:eastAsia="zh-CN"/>
              </w:rPr>
              <w:t>排放量为0.31</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t/a，排放速率为0.131kg/h。</w:t>
            </w:r>
          </w:p>
          <w:p w14:paraId="2CB5A65A">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综上，厂区内无组织颗粒物排放量约为0.31</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t/a，排放速率为0.13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kg/h，无组织颗粒物边界浓度可满足</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val="en-US" w:eastAsia="zh-CN"/>
              </w:rPr>
              <w:t>。</w:t>
            </w:r>
          </w:p>
          <w:p w14:paraId="599559F1">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（3）</w:t>
            </w:r>
            <w:r>
              <w:rPr>
                <w:rFonts w:hint="default" w:ascii="Times New Roman" w:hAnsi="Times New Roman" w:eastAsia="宋体" w:cs="Times New Roman"/>
                <w:b/>
                <w:color w:val="auto"/>
                <w:sz w:val="24"/>
                <w:szCs w:val="24"/>
                <w:highlight w:val="none"/>
                <w:lang w:val="en-US" w:eastAsia="zh-CN"/>
              </w:rPr>
              <w:t>废气治理措施可行性分析</w:t>
            </w:r>
          </w:p>
          <w:p w14:paraId="6B863F17">
            <w:p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本项目有组织废气主要污染物为粉尘，采取布袋除尘器进行治理。</w:t>
            </w:r>
            <w:r>
              <w:rPr>
                <w:rFonts w:hint="default" w:ascii="Times New Roman" w:hAnsi="Times New Roman" w:cs="Times New Roman"/>
                <w:color w:val="auto"/>
                <w:sz w:val="24"/>
                <w:szCs w:val="24"/>
                <w:highlight w:val="none"/>
                <w:lang w:val="en-US" w:eastAsia="zh-CN"/>
              </w:rPr>
              <w:t>根据《排污许可证申请与核发技术规范-陶瓷砖瓦工业》（HJ954-2018）中表31-隔热和隔音材料工业排污单位废气污染防治可行技术，袋式除尘为可行技术</w:t>
            </w:r>
            <w:r>
              <w:rPr>
                <w:rFonts w:hint="default" w:ascii="Times New Roman" w:hAnsi="Times New Roman" w:eastAsia="宋体" w:cs="Times New Roman"/>
                <w:color w:val="auto"/>
                <w:sz w:val="24"/>
                <w:szCs w:val="24"/>
                <w:highlight w:val="none"/>
                <w:lang w:val="en-US" w:eastAsia="zh-CN"/>
              </w:rPr>
              <w:t>。</w:t>
            </w:r>
          </w:p>
          <w:p w14:paraId="6350F058">
            <w:pPr>
              <w:pStyle w:val="123"/>
              <w:ind w:firstLine="482" w:firstLineChars="200"/>
              <w:jc w:val="left"/>
              <w:rPr>
                <w:rFonts w:hint="default" w:ascii="Times New Roman" w:hAnsi="Times New Roman" w:cs="Times New Roman"/>
                <w:b/>
                <w:bCs w:val="0"/>
                <w:color w:val="auto"/>
                <w:highlight w:val="none"/>
              </w:rPr>
            </w:pPr>
            <w:r>
              <w:rPr>
                <w:rFonts w:hint="default" w:ascii="Times New Roman" w:hAnsi="Times New Roman" w:cs="Times New Roman"/>
                <w:b/>
                <w:bCs w:val="0"/>
                <w:color w:val="auto"/>
                <w:sz w:val="24"/>
                <w:szCs w:val="24"/>
                <w:highlight w:val="none"/>
                <w:lang w:val="en-US" w:eastAsia="zh-CN"/>
              </w:rPr>
              <w:t>（4）</w:t>
            </w:r>
            <w:r>
              <w:rPr>
                <w:rFonts w:hint="default" w:ascii="Times New Roman" w:hAnsi="Times New Roman" w:cs="Times New Roman"/>
                <w:b/>
                <w:bCs w:val="0"/>
                <w:color w:val="auto"/>
                <w:highlight w:val="none"/>
              </w:rPr>
              <w:t>废气排放口基本情况</w:t>
            </w:r>
          </w:p>
          <w:p w14:paraId="55DBD944">
            <w:pPr>
              <w:pStyle w:val="123"/>
              <w:ind w:firstLine="480" w:firstLineChars="20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废气</w:t>
            </w:r>
            <w:r>
              <w:rPr>
                <w:rFonts w:hint="default" w:ascii="Times New Roman" w:hAnsi="Times New Roman" w:cs="Times New Roman"/>
                <w:color w:val="auto"/>
                <w:highlight w:val="none"/>
              </w:rPr>
              <w:t>排放口基本情况见</w:t>
            </w:r>
            <w:r>
              <w:rPr>
                <w:rFonts w:hint="default" w:ascii="Times New Roman" w:hAnsi="Times New Roman" w:cs="Times New Roman"/>
                <w:color w:val="auto"/>
                <w:highlight w:val="none"/>
                <w:lang w:eastAsia="zh-CN"/>
              </w:rPr>
              <w:t>下表。</w:t>
            </w:r>
          </w:p>
          <w:p w14:paraId="7D3A40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 xml:space="preserve">表 </w:t>
            </w:r>
            <w:r>
              <w:rPr>
                <w:rFonts w:hint="default" w:ascii="Times New Roman" w:hAnsi="Times New Roman" w:cs="Times New Roman"/>
                <w:b/>
                <w:bCs/>
                <w:color w:val="auto"/>
                <w:sz w:val="24"/>
                <w:highlight w:val="none"/>
                <w:lang w:val="en-US" w:eastAsia="zh-CN"/>
              </w:rPr>
              <w:t>4-5</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eastAsia="zh-CN"/>
              </w:rPr>
              <w:t>废气</w:t>
            </w:r>
            <w:r>
              <w:rPr>
                <w:rFonts w:hint="default" w:ascii="Times New Roman" w:hAnsi="Times New Roman" w:cs="Times New Roman"/>
                <w:b/>
                <w:bCs/>
                <w:color w:val="auto"/>
                <w:sz w:val="24"/>
                <w:highlight w:val="none"/>
              </w:rPr>
              <w:t>排放口基本情况表</w:t>
            </w:r>
          </w:p>
          <w:tbl>
            <w:tblPr>
              <w:tblStyle w:val="40"/>
              <w:tblW w:w="813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28" w:type="dxa"/>
              </w:tblCellMar>
            </w:tblPr>
            <w:tblGrid>
              <w:gridCol w:w="303"/>
              <w:gridCol w:w="452"/>
              <w:gridCol w:w="214"/>
              <w:gridCol w:w="1068"/>
              <w:gridCol w:w="539"/>
              <w:gridCol w:w="736"/>
              <w:gridCol w:w="538"/>
              <w:gridCol w:w="595"/>
              <w:gridCol w:w="545"/>
              <w:gridCol w:w="545"/>
              <w:gridCol w:w="267"/>
              <w:gridCol w:w="258"/>
              <w:gridCol w:w="1413"/>
              <w:gridCol w:w="661"/>
            </w:tblGrid>
            <w:tr w14:paraId="72B5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52" w:hRule="atLeast"/>
                <w:jc w:val="right"/>
              </w:trPr>
              <w:tc>
                <w:tcPr>
                  <w:tcW w:w="303" w:type="dxa"/>
                  <w:vMerge w:val="restart"/>
                  <w:vAlign w:val="center"/>
                </w:tcPr>
                <w:p w14:paraId="26F03F0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排放口编号</w:t>
                  </w:r>
                </w:p>
              </w:tc>
              <w:tc>
                <w:tcPr>
                  <w:tcW w:w="452" w:type="dxa"/>
                  <w:vMerge w:val="restart"/>
                  <w:vAlign w:val="center"/>
                </w:tcPr>
                <w:p w14:paraId="2EBE8C7F">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排放口名称</w:t>
                  </w:r>
                </w:p>
              </w:tc>
              <w:tc>
                <w:tcPr>
                  <w:tcW w:w="214" w:type="dxa"/>
                  <w:vMerge w:val="restart"/>
                  <w:vAlign w:val="center"/>
                </w:tcPr>
                <w:p w14:paraId="2E75485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污染物种类</w:t>
                  </w:r>
                </w:p>
              </w:tc>
              <w:tc>
                <w:tcPr>
                  <w:tcW w:w="1068" w:type="dxa"/>
                  <w:vMerge w:val="restart"/>
                  <w:vAlign w:val="center"/>
                </w:tcPr>
                <w:p w14:paraId="2C9D7C62">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地理坐标</w:t>
                  </w:r>
                </w:p>
              </w:tc>
              <w:tc>
                <w:tcPr>
                  <w:tcW w:w="539" w:type="dxa"/>
                  <w:vMerge w:val="restart"/>
                  <w:vAlign w:val="center"/>
                </w:tcPr>
                <w:p w14:paraId="4BF26D65">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废</w:t>
                  </w:r>
                  <w:r>
                    <w:rPr>
                      <w:rFonts w:hint="default" w:ascii="Times New Roman" w:hAnsi="Times New Roman" w:cs="Times New Roman"/>
                      <w:b/>
                      <w:color w:val="auto"/>
                      <w:sz w:val="18"/>
                      <w:szCs w:val="18"/>
                      <w:highlight w:val="none"/>
                    </w:rPr>
                    <w:t>气量</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rPr>
                    <w:t>/h</w:t>
                  </w:r>
                  <w:r>
                    <w:rPr>
                      <w:rFonts w:hint="default" w:ascii="Times New Roman" w:hAnsi="Times New Roman" w:cs="Times New Roman"/>
                      <w:b/>
                      <w:color w:val="auto"/>
                      <w:sz w:val="18"/>
                      <w:szCs w:val="18"/>
                      <w:highlight w:val="none"/>
                      <w:lang w:val="en-US" w:eastAsia="zh-CN"/>
                    </w:rPr>
                    <w:t>)</w:t>
                  </w:r>
                </w:p>
              </w:tc>
              <w:tc>
                <w:tcPr>
                  <w:tcW w:w="736" w:type="dxa"/>
                  <w:vMerge w:val="restart"/>
                  <w:vAlign w:val="center"/>
                </w:tcPr>
                <w:p w14:paraId="071C4028">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rPr>
                    <w:t>排放浓度</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c>
                <w:tcPr>
                  <w:tcW w:w="538" w:type="dxa"/>
                  <w:vMerge w:val="restart"/>
                  <w:vAlign w:val="center"/>
                </w:tcPr>
                <w:p w14:paraId="326911AD">
                  <w:pPr>
                    <w:pStyle w:val="68"/>
                    <w:spacing w:line="0" w:lineRule="atLeast"/>
                    <w:jc w:val="center"/>
                    <w:rPr>
                      <w:rFonts w:hint="default" w:ascii="Times New Roman" w:hAnsi="Times New Roman" w:eastAsia="宋体" w:cs="Times New Roman"/>
                      <w:b/>
                      <w:color w:val="auto"/>
                      <w:sz w:val="18"/>
                      <w:szCs w:val="18"/>
                      <w:highlight w:val="none"/>
                      <w:lang w:val="en-US" w:eastAsia="zh-CN"/>
                    </w:rPr>
                  </w:pPr>
                  <w:r>
                    <w:rPr>
                      <w:rFonts w:hint="default" w:ascii="Times New Roman" w:hAnsi="Times New Roman" w:cs="Times New Roman"/>
                      <w:b/>
                      <w:color w:val="auto"/>
                      <w:sz w:val="18"/>
                      <w:szCs w:val="18"/>
                      <w:highlight w:val="none"/>
                      <w:lang w:eastAsia="zh-CN"/>
                    </w:rPr>
                    <w:t>排放速率</w:t>
                  </w:r>
                  <w:r>
                    <w:rPr>
                      <w:rFonts w:hint="default" w:ascii="Times New Roman" w:hAnsi="Times New Roman" w:cs="Times New Roman"/>
                      <w:b/>
                      <w:color w:val="auto"/>
                      <w:sz w:val="18"/>
                      <w:szCs w:val="18"/>
                      <w:highlight w:val="none"/>
                      <w:lang w:val="en-US" w:eastAsia="zh-CN"/>
                    </w:rPr>
                    <w:t>(kg/h)</w:t>
                  </w:r>
                </w:p>
              </w:tc>
              <w:tc>
                <w:tcPr>
                  <w:tcW w:w="595" w:type="dxa"/>
                  <w:vMerge w:val="restart"/>
                  <w:vAlign w:val="center"/>
                </w:tcPr>
                <w:p w14:paraId="57F0126A">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排放量（</w:t>
                  </w:r>
                  <w:r>
                    <w:rPr>
                      <w:rFonts w:hint="default" w:ascii="Times New Roman" w:hAnsi="Times New Roman" w:cs="Times New Roman"/>
                      <w:b/>
                      <w:color w:val="auto"/>
                      <w:sz w:val="18"/>
                      <w:szCs w:val="18"/>
                      <w:highlight w:val="none"/>
                      <w:lang w:val="en-US" w:eastAsia="zh-CN"/>
                    </w:rPr>
                    <w:t>t/a</w:t>
                  </w:r>
                  <w:r>
                    <w:rPr>
                      <w:rFonts w:hint="default" w:ascii="Times New Roman" w:hAnsi="Times New Roman" w:cs="Times New Roman"/>
                      <w:b/>
                      <w:color w:val="auto"/>
                      <w:sz w:val="18"/>
                      <w:szCs w:val="18"/>
                      <w:highlight w:val="none"/>
                      <w:lang w:eastAsia="zh-CN"/>
                    </w:rPr>
                    <w:t>）</w:t>
                  </w:r>
                </w:p>
              </w:tc>
              <w:tc>
                <w:tcPr>
                  <w:tcW w:w="545" w:type="dxa"/>
                  <w:vMerge w:val="restart"/>
                  <w:vAlign w:val="center"/>
                </w:tcPr>
                <w:p w14:paraId="3B5D1C17">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排气筒高度（m）</w:t>
                  </w:r>
                </w:p>
              </w:tc>
              <w:tc>
                <w:tcPr>
                  <w:tcW w:w="545" w:type="dxa"/>
                  <w:vMerge w:val="restart"/>
                  <w:vAlign w:val="center"/>
                </w:tcPr>
                <w:p w14:paraId="31D778C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排气筒内径（m）</w:t>
                  </w:r>
                </w:p>
              </w:tc>
              <w:tc>
                <w:tcPr>
                  <w:tcW w:w="267" w:type="dxa"/>
                  <w:vMerge w:val="restart"/>
                  <w:vAlign w:val="center"/>
                </w:tcPr>
                <w:p w14:paraId="15B35B3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烟气温度</w:t>
                  </w:r>
                </w:p>
                <w:p w14:paraId="48CDC8ED">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w:t>
                  </w:r>
                </w:p>
              </w:tc>
              <w:tc>
                <w:tcPr>
                  <w:tcW w:w="258" w:type="dxa"/>
                  <w:vMerge w:val="restart"/>
                  <w:vAlign w:val="center"/>
                </w:tcPr>
                <w:p w14:paraId="7D95208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排放口类型</w:t>
                  </w:r>
                </w:p>
              </w:tc>
              <w:tc>
                <w:tcPr>
                  <w:tcW w:w="2074" w:type="dxa"/>
                  <w:gridSpan w:val="2"/>
                  <w:vAlign w:val="center"/>
                </w:tcPr>
                <w:p w14:paraId="37D82450">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污染物排放情况</w:t>
                  </w:r>
                </w:p>
              </w:tc>
            </w:tr>
            <w:tr w14:paraId="29A4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523" w:hRule="atLeast"/>
                <w:jc w:val="right"/>
              </w:trPr>
              <w:tc>
                <w:tcPr>
                  <w:tcW w:w="303" w:type="dxa"/>
                  <w:vMerge w:val="continue"/>
                  <w:vAlign w:val="center"/>
                </w:tcPr>
                <w:p w14:paraId="0BB58079">
                  <w:pPr>
                    <w:pStyle w:val="68"/>
                    <w:spacing w:line="0" w:lineRule="atLeast"/>
                    <w:jc w:val="center"/>
                    <w:rPr>
                      <w:rFonts w:hint="default" w:ascii="Times New Roman" w:hAnsi="Times New Roman" w:cs="Times New Roman"/>
                      <w:b/>
                      <w:color w:val="auto"/>
                      <w:sz w:val="18"/>
                      <w:szCs w:val="18"/>
                      <w:highlight w:val="none"/>
                    </w:rPr>
                  </w:pPr>
                </w:p>
              </w:tc>
              <w:tc>
                <w:tcPr>
                  <w:tcW w:w="452" w:type="dxa"/>
                  <w:vMerge w:val="continue"/>
                  <w:vAlign w:val="center"/>
                </w:tcPr>
                <w:p w14:paraId="1D4760F6">
                  <w:pPr>
                    <w:pStyle w:val="68"/>
                    <w:spacing w:line="0" w:lineRule="atLeast"/>
                    <w:jc w:val="center"/>
                    <w:rPr>
                      <w:rFonts w:hint="default" w:ascii="Times New Roman" w:hAnsi="Times New Roman" w:cs="Times New Roman"/>
                      <w:b/>
                      <w:color w:val="auto"/>
                      <w:sz w:val="18"/>
                      <w:szCs w:val="18"/>
                      <w:highlight w:val="none"/>
                    </w:rPr>
                  </w:pPr>
                </w:p>
              </w:tc>
              <w:tc>
                <w:tcPr>
                  <w:tcW w:w="214" w:type="dxa"/>
                  <w:vMerge w:val="continue"/>
                  <w:vAlign w:val="center"/>
                </w:tcPr>
                <w:p w14:paraId="3DA5DE57">
                  <w:pPr>
                    <w:pStyle w:val="68"/>
                    <w:spacing w:line="0" w:lineRule="atLeast"/>
                    <w:jc w:val="center"/>
                    <w:rPr>
                      <w:rFonts w:hint="default" w:ascii="Times New Roman" w:hAnsi="Times New Roman" w:cs="Times New Roman"/>
                      <w:b/>
                      <w:color w:val="auto"/>
                      <w:sz w:val="18"/>
                      <w:szCs w:val="18"/>
                      <w:highlight w:val="none"/>
                    </w:rPr>
                  </w:pPr>
                </w:p>
              </w:tc>
              <w:tc>
                <w:tcPr>
                  <w:tcW w:w="1068" w:type="dxa"/>
                  <w:vMerge w:val="continue"/>
                  <w:vAlign w:val="center"/>
                </w:tcPr>
                <w:p w14:paraId="7A765ACF">
                  <w:pPr>
                    <w:pStyle w:val="68"/>
                    <w:spacing w:line="0" w:lineRule="atLeast"/>
                    <w:jc w:val="center"/>
                    <w:rPr>
                      <w:rFonts w:hint="default" w:ascii="Times New Roman" w:hAnsi="Times New Roman" w:cs="Times New Roman"/>
                      <w:b/>
                      <w:color w:val="auto"/>
                      <w:sz w:val="18"/>
                      <w:szCs w:val="18"/>
                      <w:highlight w:val="none"/>
                    </w:rPr>
                  </w:pPr>
                </w:p>
              </w:tc>
              <w:tc>
                <w:tcPr>
                  <w:tcW w:w="539" w:type="dxa"/>
                  <w:vMerge w:val="continue"/>
                  <w:vAlign w:val="center"/>
                </w:tcPr>
                <w:p w14:paraId="57796DB4">
                  <w:pPr>
                    <w:pStyle w:val="68"/>
                    <w:spacing w:line="0" w:lineRule="atLeast"/>
                    <w:jc w:val="center"/>
                    <w:rPr>
                      <w:rFonts w:hint="default" w:ascii="Times New Roman" w:hAnsi="Times New Roman" w:cs="Times New Roman"/>
                      <w:b/>
                      <w:color w:val="auto"/>
                      <w:sz w:val="18"/>
                      <w:szCs w:val="18"/>
                      <w:highlight w:val="none"/>
                    </w:rPr>
                  </w:pPr>
                </w:p>
              </w:tc>
              <w:tc>
                <w:tcPr>
                  <w:tcW w:w="736" w:type="dxa"/>
                  <w:vMerge w:val="continue"/>
                  <w:vAlign w:val="center"/>
                </w:tcPr>
                <w:p w14:paraId="4AAB4520">
                  <w:pPr>
                    <w:pStyle w:val="68"/>
                    <w:spacing w:line="0" w:lineRule="atLeast"/>
                    <w:jc w:val="center"/>
                    <w:rPr>
                      <w:rFonts w:hint="default" w:ascii="Times New Roman" w:hAnsi="Times New Roman" w:cs="Times New Roman"/>
                      <w:b/>
                      <w:color w:val="auto"/>
                      <w:sz w:val="18"/>
                      <w:szCs w:val="18"/>
                      <w:highlight w:val="none"/>
                    </w:rPr>
                  </w:pPr>
                </w:p>
              </w:tc>
              <w:tc>
                <w:tcPr>
                  <w:tcW w:w="538" w:type="dxa"/>
                  <w:vMerge w:val="continue"/>
                  <w:vAlign w:val="center"/>
                </w:tcPr>
                <w:p w14:paraId="5DB819A2">
                  <w:pPr>
                    <w:pStyle w:val="68"/>
                    <w:spacing w:line="0" w:lineRule="atLeast"/>
                    <w:jc w:val="center"/>
                    <w:rPr>
                      <w:rFonts w:hint="default" w:ascii="Times New Roman" w:hAnsi="Times New Roman" w:cs="Times New Roman"/>
                      <w:b/>
                      <w:color w:val="auto"/>
                      <w:sz w:val="18"/>
                      <w:szCs w:val="18"/>
                      <w:highlight w:val="none"/>
                    </w:rPr>
                  </w:pPr>
                </w:p>
              </w:tc>
              <w:tc>
                <w:tcPr>
                  <w:tcW w:w="595" w:type="dxa"/>
                  <w:vMerge w:val="continue"/>
                  <w:vAlign w:val="center"/>
                </w:tcPr>
                <w:p w14:paraId="54C80FC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2DC037D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34A8C1EE">
                  <w:pPr>
                    <w:pStyle w:val="68"/>
                    <w:spacing w:line="0" w:lineRule="atLeast"/>
                    <w:jc w:val="center"/>
                    <w:rPr>
                      <w:rFonts w:hint="default" w:ascii="Times New Roman" w:hAnsi="Times New Roman" w:cs="Times New Roman"/>
                      <w:b/>
                      <w:color w:val="auto"/>
                      <w:sz w:val="18"/>
                      <w:szCs w:val="18"/>
                      <w:highlight w:val="none"/>
                    </w:rPr>
                  </w:pPr>
                </w:p>
              </w:tc>
              <w:tc>
                <w:tcPr>
                  <w:tcW w:w="267" w:type="dxa"/>
                  <w:vMerge w:val="continue"/>
                  <w:vAlign w:val="center"/>
                </w:tcPr>
                <w:p w14:paraId="50461AF7">
                  <w:pPr>
                    <w:pStyle w:val="68"/>
                    <w:spacing w:line="0" w:lineRule="atLeast"/>
                    <w:jc w:val="center"/>
                    <w:rPr>
                      <w:rFonts w:hint="default" w:ascii="Times New Roman" w:hAnsi="Times New Roman" w:cs="Times New Roman"/>
                      <w:b/>
                      <w:color w:val="auto"/>
                      <w:sz w:val="18"/>
                      <w:szCs w:val="18"/>
                      <w:highlight w:val="none"/>
                    </w:rPr>
                  </w:pPr>
                </w:p>
              </w:tc>
              <w:tc>
                <w:tcPr>
                  <w:tcW w:w="258" w:type="dxa"/>
                  <w:vMerge w:val="continue"/>
                  <w:vAlign w:val="center"/>
                </w:tcPr>
                <w:p w14:paraId="0C25DD83">
                  <w:pPr>
                    <w:pStyle w:val="68"/>
                    <w:spacing w:line="0" w:lineRule="atLeast"/>
                    <w:jc w:val="center"/>
                    <w:rPr>
                      <w:rFonts w:hint="default" w:ascii="Times New Roman" w:hAnsi="Times New Roman" w:cs="Times New Roman"/>
                      <w:b/>
                      <w:color w:val="auto"/>
                      <w:sz w:val="18"/>
                      <w:szCs w:val="18"/>
                      <w:highlight w:val="none"/>
                    </w:rPr>
                  </w:pPr>
                </w:p>
              </w:tc>
              <w:tc>
                <w:tcPr>
                  <w:tcW w:w="1413" w:type="dxa"/>
                  <w:vAlign w:val="center"/>
                </w:tcPr>
                <w:p w14:paraId="290BA2D3">
                  <w:pPr>
                    <w:autoSpaceDE w:val="0"/>
                    <w:autoSpaceDN w:val="0"/>
                    <w:spacing w:line="0" w:lineRule="atLeast"/>
                    <w:jc w:val="center"/>
                    <w:rPr>
                      <w:rFonts w:hint="default"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b/>
                      <w:bCs/>
                      <w:color w:val="auto"/>
                      <w:kern w:val="0"/>
                      <w:sz w:val="18"/>
                      <w:szCs w:val="18"/>
                      <w:highlight w:val="none"/>
                      <w:lang w:eastAsia="zh-CN"/>
                    </w:rPr>
                    <w:t>标准</w:t>
                  </w:r>
                </w:p>
              </w:tc>
              <w:tc>
                <w:tcPr>
                  <w:tcW w:w="661" w:type="dxa"/>
                  <w:vAlign w:val="center"/>
                </w:tcPr>
                <w:p w14:paraId="192A9DBF">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限值</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r>
            <w:tr w14:paraId="41BA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01" w:hRule="atLeast"/>
                <w:jc w:val="right"/>
              </w:trPr>
              <w:tc>
                <w:tcPr>
                  <w:tcW w:w="303" w:type="dxa"/>
                  <w:vAlign w:val="center"/>
                </w:tcPr>
                <w:p w14:paraId="6F90F01F">
                  <w:pPr>
                    <w:pStyle w:val="68"/>
                    <w:spacing w:line="0" w:lineRule="atLeast"/>
                    <w:jc w:val="center"/>
                    <w:rPr>
                      <w:rFonts w:hint="default" w:ascii="Times New Roman" w:hAnsi="Times New Roman" w:cs="Times New Roman"/>
                      <w:bCs/>
                      <w:color w:val="auto"/>
                      <w:sz w:val="18"/>
                      <w:szCs w:val="18"/>
                      <w:highlight w:val="none"/>
                    </w:rPr>
                  </w:pPr>
                  <w:r>
                    <w:rPr>
                      <w:rFonts w:hint="default" w:ascii="Times New Roman" w:hAnsi="Times New Roman" w:cs="Times New Roman"/>
                      <w:bCs/>
                      <w:color w:val="auto"/>
                      <w:sz w:val="18"/>
                      <w:szCs w:val="18"/>
                      <w:highlight w:val="none"/>
                    </w:rPr>
                    <w:t>DA</w:t>
                  </w:r>
                </w:p>
                <w:p w14:paraId="189E10C8">
                  <w:pPr>
                    <w:pStyle w:val="68"/>
                    <w:spacing w:line="0" w:lineRule="atLeast"/>
                    <w:jc w:val="center"/>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rPr>
                    <w:t>00</w:t>
                  </w:r>
                  <w:r>
                    <w:rPr>
                      <w:rFonts w:hint="default" w:ascii="Times New Roman" w:hAnsi="Times New Roman" w:cs="Times New Roman"/>
                      <w:bCs/>
                      <w:color w:val="auto"/>
                      <w:sz w:val="18"/>
                      <w:szCs w:val="18"/>
                      <w:highlight w:val="none"/>
                      <w:lang w:val="en-US" w:eastAsia="zh-CN"/>
                    </w:rPr>
                    <w:t>1</w:t>
                  </w:r>
                </w:p>
              </w:tc>
              <w:tc>
                <w:tcPr>
                  <w:tcW w:w="452" w:type="dxa"/>
                  <w:vAlign w:val="center"/>
                </w:tcPr>
                <w:p w14:paraId="2FC4E26E">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储罐呼吸、上料、搅拌、分装废气</w:t>
                  </w:r>
                </w:p>
              </w:tc>
              <w:tc>
                <w:tcPr>
                  <w:tcW w:w="214" w:type="dxa"/>
                  <w:shd w:val="clear" w:color="auto" w:fill="auto"/>
                  <w:vAlign w:val="center"/>
                </w:tcPr>
                <w:p w14:paraId="43E9D3A6">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颗粒物</w:t>
                  </w:r>
                </w:p>
              </w:tc>
              <w:tc>
                <w:tcPr>
                  <w:tcW w:w="1068" w:type="dxa"/>
                  <w:vAlign w:val="center"/>
                </w:tcPr>
                <w:p w14:paraId="7ED9C508">
                  <w:pPr>
                    <w:jc w:val="center"/>
                    <w:rPr>
                      <w:rFonts w:hint="default" w:ascii="Times New Roman" w:hAnsi="Times New Roman" w:eastAsia="宋体" w:cs="Times New Roman"/>
                      <w:color w:val="auto"/>
                      <w:sz w:val="18"/>
                      <w:szCs w:val="18"/>
                      <w:highlight w:val="none"/>
                      <w:lang w:eastAsia="zh-CN" w:bidi="ar"/>
                    </w:rPr>
                  </w:pPr>
                  <w:r>
                    <w:rPr>
                      <w:rFonts w:hint="default" w:ascii="Times New Roman" w:hAnsi="Times New Roman" w:eastAsia="宋体" w:cs="Times New Roman"/>
                      <w:color w:val="auto"/>
                      <w:sz w:val="18"/>
                      <w:szCs w:val="18"/>
                      <w:highlight w:val="none"/>
                      <w:lang w:eastAsia="zh-CN" w:bidi="ar"/>
                    </w:rPr>
                    <w:t>E：</w:t>
                  </w:r>
                  <w:r>
                    <w:rPr>
                      <w:rFonts w:hint="default" w:ascii="Times New Roman" w:hAnsi="Times New Roman" w:eastAsia="宋体" w:cs="Times New Roman"/>
                      <w:color w:val="auto"/>
                      <w:sz w:val="18"/>
                      <w:szCs w:val="18"/>
                      <w:highlight w:val="none"/>
                      <w:lang w:val="en-US" w:eastAsia="zh-CN" w:bidi="ar"/>
                    </w:rPr>
                    <w:t>114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5</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38.162</w:t>
                  </w:r>
                  <w:r>
                    <w:rPr>
                      <w:rFonts w:hint="default" w:ascii="Times New Roman" w:hAnsi="Times New Roman" w:eastAsia="宋体" w:cs="Times New Roman"/>
                      <w:color w:val="auto"/>
                      <w:sz w:val="18"/>
                      <w:szCs w:val="18"/>
                      <w:highlight w:val="none"/>
                      <w:lang w:eastAsia="zh-CN" w:bidi="ar"/>
                    </w:rPr>
                    <w:t>″</w:t>
                  </w:r>
                </w:p>
                <w:p w14:paraId="7A424414">
                  <w:pPr>
                    <w:autoSpaceDE w:val="0"/>
                    <w:autoSpaceDN w:val="0"/>
                    <w:spacing w:line="0" w:lineRule="atLeast"/>
                    <w:jc w:val="center"/>
                    <w:rPr>
                      <w:rFonts w:hint="default" w:ascii="Times New Roman" w:hAnsi="Times New Roman" w:eastAsia="宋体" w:cs="Times New Roman"/>
                      <w:color w:val="auto"/>
                      <w:kern w:val="0"/>
                      <w:sz w:val="18"/>
                      <w:szCs w:val="18"/>
                      <w:highlight w:val="none"/>
                      <w:lang w:val="en-US" w:eastAsia="en-US"/>
                    </w:rPr>
                  </w:pPr>
                  <w:r>
                    <w:rPr>
                      <w:rFonts w:hint="default" w:ascii="Times New Roman" w:hAnsi="Times New Roman" w:eastAsia="宋体" w:cs="Times New Roman"/>
                      <w:color w:val="auto"/>
                      <w:sz w:val="18"/>
                      <w:szCs w:val="18"/>
                      <w:highlight w:val="none"/>
                      <w:lang w:eastAsia="zh-CN" w:bidi="ar"/>
                    </w:rPr>
                    <w:t>N：38°</w:t>
                  </w:r>
                  <w:r>
                    <w:rPr>
                      <w:rFonts w:hint="default" w:ascii="Times New Roman" w:hAnsi="Times New Roman" w:cs="Times New Roman"/>
                      <w:color w:val="auto"/>
                      <w:sz w:val="18"/>
                      <w:szCs w:val="18"/>
                      <w:highlight w:val="none"/>
                      <w:lang w:val="en-US" w:eastAsia="zh-CN" w:bidi="ar"/>
                    </w:rPr>
                    <w:t>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26.274</w:t>
                  </w:r>
                  <w:r>
                    <w:rPr>
                      <w:rFonts w:hint="default" w:ascii="Times New Roman" w:hAnsi="Times New Roman" w:eastAsia="宋体" w:cs="Times New Roman"/>
                      <w:color w:val="auto"/>
                      <w:sz w:val="18"/>
                      <w:szCs w:val="18"/>
                      <w:highlight w:val="none"/>
                      <w:lang w:eastAsia="zh-CN" w:bidi="ar"/>
                    </w:rPr>
                    <w:t>″</w:t>
                  </w:r>
                </w:p>
              </w:tc>
              <w:tc>
                <w:tcPr>
                  <w:tcW w:w="539" w:type="dxa"/>
                  <w:vAlign w:val="center"/>
                </w:tcPr>
                <w:p w14:paraId="655A6DF2">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10000</w:t>
                  </w:r>
                </w:p>
              </w:tc>
              <w:tc>
                <w:tcPr>
                  <w:tcW w:w="736" w:type="dxa"/>
                  <w:shd w:val="clear" w:color="auto" w:fill="auto"/>
                  <w:vAlign w:val="center"/>
                </w:tcPr>
                <w:p w14:paraId="0C5FF9F6">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6.92</w:t>
                  </w:r>
                </w:p>
              </w:tc>
              <w:tc>
                <w:tcPr>
                  <w:tcW w:w="538" w:type="dxa"/>
                  <w:shd w:val="clear" w:color="auto" w:fill="auto"/>
                  <w:vAlign w:val="center"/>
                </w:tcPr>
                <w:p w14:paraId="72AF420D">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0.069</w:t>
                  </w:r>
                </w:p>
              </w:tc>
              <w:tc>
                <w:tcPr>
                  <w:tcW w:w="595" w:type="dxa"/>
                  <w:shd w:val="clear" w:color="auto" w:fill="auto"/>
                  <w:vAlign w:val="center"/>
                </w:tcPr>
                <w:p w14:paraId="48C446E4">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0.166</w:t>
                  </w:r>
                </w:p>
              </w:tc>
              <w:tc>
                <w:tcPr>
                  <w:tcW w:w="545" w:type="dxa"/>
                  <w:shd w:val="clear" w:color="auto" w:fill="auto"/>
                  <w:vAlign w:val="center"/>
                </w:tcPr>
                <w:p w14:paraId="23E1B29F">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15</w:t>
                  </w:r>
                </w:p>
              </w:tc>
              <w:tc>
                <w:tcPr>
                  <w:tcW w:w="545" w:type="dxa"/>
                  <w:shd w:val="clear" w:color="auto" w:fill="auto"/>
                  <w:vAlign w:val="center"/>
                </w:tcPr>
                <w:p w14:paraId="486CB990">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0.5</w:t>
                  </w:r>
                </w:p>
              </w:tc>
              <w:tc>
                <w:tcPr>
                  <w:tcW w:w="267" w:type="dxa"/>
                  <w:shd w:val="clear" w:color="auto" w:fill="auto"/>
                  <w:vAlign w:val="center"/>
                </w:tcPr>
                <w:p w14:paraId="6FADE814">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20</w:t>
                  </w:r>
                </w:p>
              </w:tc>
              <w:tc>
                <w:tcPr>
                  <w:tcW w:w="258" w:type="dxa"/>
                  <w:vAlign w:val="center"/>
                </w:tcPr>
                <w:p w14:paraId="30CBC69D">
                  <w:pPr>
                    <w:autoSpaceDE w:val="0"/>
                    <w:autoSpaceDN w:val="0"/>
                    <w:spacing w:line="0" w:lineRule="atLeast"/>
                    <w:jc w:val="center"/>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eastAsia="zh-CN"/>
                    </w:rPr>
                    <w:t>一般排放口</w:t>
                  </w:r>
                </w:p>
              </w:tc>
              <w:tc>
                <w:tcPr>
                  <w:tcW w:w="1413" w:type="dxa"/>
                  <w:vAlign w:val="center"/>
                </w:tcPr>
                <w:p w14:paraId="006AE017">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《水泥工业大气污染物超低排放标准》(DB13/2167-2020)</w:t>
                  </w:r>
                </w:p>
              </w:tc>
              <w:tc>
                <w:tcPr>
                  <w:tcW w:w="661" w:type="dxa"/>
                  <w:vAlign w:val="center"/>
                </w:tcPr>
                <w:p w14:paraId="7FA90423">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10</w:t>
                  </w:r>
                </w:p>
              </w:tc>
            </w:tr>
          </w:tbl>
          <w:p w14:paraId="5FAE4CD9">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lang w:val="en-US" w:eastAsia="zh-CN"/>
              </w:rPr>
              <w:t>非正常工况分析</w:t>
            </w:r>
          </w:p>
          <w:p w14:paraId="51A69671">
            <w:pPr>
              <w:spacing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非正常排放是指项目生产过程中由于开车、停车、检修、一般性事故时的污染物排放情况，本项目不涉及开车、停车、检修时段，本工程</w:t>
            </w:r>
            <w:r>
              <w:rPr>
                <w:rFonts w:hint="eastAsia" w:cs="Times New Roman"/>
                <w:color w:val="auto"/>
                <w:sz w:val="24"/>
                <w:szCs w:val="24"/>
                <w:highlight w:val="none"/>
                <w:lang w:eastAsia="zh-CN"/>
              </w:rPr>
              <w:t>涉及</w:t>
            </w:r>
            <w:r>
              <w:rPr>
                <w:rFonts w:hint="default" w:ascii="Times New Roman" w:hAnsi="Times New Roman" w:eastAsia="宋体" w:cs="Times New Roman"/>
                <w:color w:val="auto"/>
                <w:sz w:val="24"/>
                <w:szCs w:val="24"/>
                <w:highlight w:val="none"/>
                <w:lang w:eastAsia="zh-CN"/>
              </w:rPr>
              <w:t>的非正常排放原因可能为治理设施失效，导致项目产生的废气未经治理排放，非正常工况见下表4-</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w:t>
            </w:r>
          </w:p>
          <w:p w14:paraId="0D24F700">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eastAsia="zh-CN"/>
              </w:rPr>
              <w:t xml:space="preserve">  非正常工况排放统计结果表</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930"/>
              <w:gridCol w:w="1002"/>
              <w:gridCol w:w="1005"/>
              <w:gridCol w:w="1102"/>
              <w:gridCol w:w="761"/>
              <w:gridCol w:w="892"/>
              <w:gridCol w:w="1355"/>
            </w:tblGrid>
            <w:tr w14:paraId="169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83" w:type="pct"/>
                  <w:noWrap w:val="0"/>
                  <w:tcMar>
                    <w:left w:w="28" w:type="dxa"/>
                    <w:right w:w="28" w:type="dxa"/>
                  </w:tcMar>
                  <w:vAlign w:val="center"/>
                </w:tcPr>
                <w:p w14:paraId="6DC311A7">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非正常工况</w:t>
                  </w:r>
                </w:p>
              </w:tc>
              <w:tc>
                <w:tcPr>
                  <w:tcW w:w="556" w:type="pct"/>
                  <w:noWrap w:val="0"/>
                  <w:tcMar>
                    <w:left w:w="28" w:type="dxa"/>
                    <w:right w:w="28" w:type="dxa"/>
                  </w:tcMar>
                  <w:vAlign w:val="center"/>
                </w:tcPr>
                <w:p w14:paraId="2BFCCA0E">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排气筒</w:t>
                  </w:r>
                </w:p>
              </w:tc>
              <w:tc>
                <w:tcPr>
                  <w:tcW w:w="599" w:type="pct"/>
                  <w:noWrap w:val="0"/>
                  <w:tcMar>
                    <w:left w:w="28" w:type="dxa"/>
                    <w:right w:w="28" w:type="dxa"/>
                  </w:tcMar>
                  <w:vAlign w:val="center"/>
                </w:tcPr>
                <w:p w14:paraId="5C4804E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发生频次</w:t>
                  </w:r>
                </w:p>
              </w:tc>
              <w:tc>
                <w:tcPr>
                  <w:tcW w:w="601" w:type="pct"/>
                  <w:noWrap w:val="0"/>
                  <w:tcMar>
                    <w:left w:w="28" w:type="dxa"/>
                    <w:right w:w="28" w:type="dxa"/>
                  </w:tcMar>
                  <w:vAlign w:val="center"/>
                </w:tcPr>
                <w:p w14:paraId="078509E2">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污染物</w:t>
                  </w:r>
                </w:p>
              </w:tc>
              <w:tc>
                <w:tcPr>
                  <w:tcW w:w="659" w:type="pct"/>
                  <w:noWrap w:val="0"/>
                  <w:tcMar>
                    <w:left w:w="28" w:type="dxa"/>
                    <w:right w:w="28" w:type="dxa"/>
                  </w:tcMar>
                  <w:vAlign w:val="center"/>
                </w:tcPr>
                <w:p w14:paraId="36CEF35D">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排放浓度</w:t>
                  </w:r>
                </w:p>
                <w:p w14:paraId="65E67AA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mg/m</w:t>
                  </w:r>
                  <w:r>
                    <w:rPr>
                      <w:rFonts w:hint="default" w:ascii="Times New Roman" w:hAnsi="Times New Roman" w:eastAsia="宋体" w:cs="Times New Roman"/>
                      <w:b/>
                      <w:color w:val="auto"/>
                      <w:sz w:val="21"/>
                      <w:szCs w:val="21"/>
                      <w:highlight w:val="none"/>
                      <w:vertAlign w:val="superscript"/>
                      <w:lang w:eastAsia="zh-CN" w:bidi="ar"/>
                    </w:rPr>
                    <w:t>3</w:t>
                  </w:r>
                </w:p>
              </w:tc>
              <w:tc>
                <w:tcPr>
                  <w:tcW w:w="455" w:type="pct"/>
                  <w:noWrap w:val="0"/>
                  <w:tcMar>
                    <w:left w:w="28" w:type="dxa"/>
                    <w:right w:w="28" w:type="dxa"/>
                  </w:tcMar>
                  <w:vAlign w:val="center"/>
                </w:tcPr>
                <w:p w14:paraId="18A21DB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持续时间</w:t>
                  </w:r>
                </w:p>
              </w:tc>
              <w:tc>
                <w:tcPr>
                  <w:tcW w:w="533" w:type="pct"/>
                  <w:noWrap w:val="0"/>
                  <w:tcMar>
                    <w:left w:w="28" w:type="dxa"/>
                    <w:right w:w="28" w:type="dxa"/>
                  </w:tcMar>
                  <w:vAlign w:val="center"/>
                </w:tcPr>
                <w:p w14:paraId="391BD69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排放量</w:t>
                  </w:r>
                </w:p>
                <w:p w14:paraId="681F6986">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kg/h</w:t>
                  </w:r>
                </w:p>
              </w:tc>
              <w:tc>
                <w:tcPr>
                  <w:tcW w:w="810" w:type="pct"/>
                  <w:noWrap w:val="0"/>
                  <w:tcMar>
                    <w:left w:w="28" w:type="dxa"/>
                    <w:right w:w="28" w:type="dxa"/>
                  </w:tcMar>
                  <w:vAlign w:val="center"/>
                </w:tcPr>
                <w:p w14:paraId="469FD51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措施</w:t>
                  </w:r>
                </w:p>
              </w:tc>
            </w:tr>
            <w:tr w14:paraId="30A7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783" w:type="pct"/>
                  <w:noWrap w:val="0"/>
                  <w:tcMar>
                    <w:left w:w="28" w:type="dxa"/>
                    <w:right w:w="28" w:type="dxa"/>
                  </w:tcMar>
                  <w:vAlign w:val="center"/>
                </w:tcPr>
                <w:p w14:paraId="3AFD73A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cs="Times New Roman"/>
                      <w:color w:val="auto"/>
                      <w:sz w:val="21"/>
                      <w:szCs w:val="21"/>
                      <w:highlight w:val="none"/>
                      <w:lang w:eastAsia="zh-CN" w:bidi="ar"/>
                    </w:rPr>
                    <w:t>布袋除尘器</w:t>
                  </w:r>
                  <w:r>
                    <w:rPr>
                      <w:rFonts w:hint="default" w:ascii="Times New Roman" w:hAnsi="Times New Roman" w:eastAsia="宋体" w:cs="Times New Roman"/>
                      <w:color w:val="auto"/>
                      <w:sz w:val="21"/>
                      <w:szCs w:val="21"/>
                      <w:highlight w:val="none"/>
                      <w:lang w:eastAsia="zh-CN" w:bidi="ar"/>
                    </w:rPr>
                    <w:t>故障，处理效率降低为0</w:t>
                  </w:r>
                </w:p>
              </w:tc>
              <w:tc>
                <w:tcPr>
                  <w:tcW w:w="556" w:type="pct"/>
                  <w:noWrap w:val="0"/>
                  <w:tcMar>
                    <w:left w:w="28" w:type="dxa"/>
                    <w:right w:w="28" w:type="dxa"/>
                  </w:tcMar>
                  <w:vAlign w:val="center"/>
                </w:tcPr>
                <w:p w14:paraId="014955D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DA001</w:t>
                  </w:r>
                </w:p>
              </w:tc>
              <w:tc>
                <w:tcPr>
                  <w:tcW w:w="599" w:type="pct"/>
                  <w:noWrap w:val="0"/>
                  <w:tcMar>
                    <w:left w:w="28" w:type="dxa"/>
                    <w:right w:w="28" w:type="dxa"/>
                  </w:tcMar>
                  <w:vAlign w:val="center"/>
                </w:tcPr>
                <w:p w14:paraId="77E919B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601" w:type="pct"/>
                  <w:noWrap w:val="0"/>
                  <w:tcMar>
                    <w:left w:w="28" w:type="dxa"/>
                    <w:right w:w="28" w:type="dxa"/>
                  </w:tcMar>
                  <w:vAlign w:val="center"/>
                </w:tcPr>
                <w:p w14:paraId="35E57B23">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659" w:type="pct"/>
                  <w:noWrap w:val="0"/>
                  <w:tcMar>
                    <w:left w:w="28" w:type="dxa"/>
                    <w:right w:w="28" w:type="dxa"/>
                  </w:tcMar>
                  <w:vAlign w:val="center"/>
                </w:tcPr>
                <w:p w14:paraId="37CD2DA7">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2306.54</w:t>
                  </w:r>
                </w:p>
              </w:tc>
              <w:tc>
                <w:tcPr>
                  <w:tcW w:w="455" w:type="pct"/>
                  <w:noWrap w:val="0"/>
                  <w:tcMar>
                    <w:left w:w="28" w:type="dxa"/>
                    <w:right w:w="28" w:type="dxa"/>
                  </w:tcMar>
                  <w:vAlign w:val="center"/>
                </w:tcPr>
                <w:p w14:paraId="629EC78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小于30min</w:t>
                  </w:r>
                </w:p>
              </w:tc>
              <w:tc>
                <w:tcPr>
                  <w:tcW w:w="533" w:type="pct"/>
                  <w:noWrap w:val="0"/>
                  <w:tcMar>
                    <w:left w:w="28" w:type="dxa"/>
                    <w:right w:w="28" w:type="dxa"/>
                  </w:tcMar>
                  <w:vAlign w:val="center"/>
                </w:tcPr>
                <w:p w14:paraId="3EF634E2">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11.533</w:t>
                  </w:r>
                </w:p>
              </w:tc>
              <w:tc>
                <w:tcPr>
                  <w:tcW w:w="810" w:type="pct"/>
                  <w:noWrap w:val="0"/>
                  <w:tcMar>
                    <w:left w:w="28" w:type="dxa"/>
                    <w:right w:w="28" w:type="dxa"/>
                  </w:tcMar>
                  <w:vAlign w:val="center"/>
                </w:tcPr>
                <w:p w14:paraId="080B80A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立即停产检修，加强日常维护和检查</w:t>
                  </w:r>
                </w:p>
              </w:tc>
            </w:tr>
          </w:tbl>
          <w:p w14:paraId="4C23245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val="en-US" w:eastAsia="zh-CN"/>
              </w:rPr>
              <w:t>监测计划</w:t>
            </w:r>
          </w:p>
          <w:p w14:paraId="78EC5FB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bidi="ar"/>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水泥工业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HJ848-2017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陶瓷工业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HJ1255-2022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w w:val="100"/>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eastAsia="zh-CN" w:bidi="ar"/>
              </w:rPr>
              <w:t>对废气的日常监测要求详见下表4-</w:t>
            </w:r>
            <w:r>
              <w:rPr>
                <w:rFonts w:hint="default" w:ascii="Times New Roman" w:hAnsi="Times New Roman" w:cs="Times New Roman"/>
                <w:color w:val="auto"/>
                <w:sz w:val="24"/>
                <w:szCs w:val="24"/>
                <w:highlight w:val="none"/>
                <w:lang w:val="en-US" w:eastAsia="zh-CN" w:bidi="ar"/>
              </w:rPr>
              <w:t>7</w:t>
            </w:r>
            <w:r>
              <w:rPr>
                <w:rFonts w:hint="default" w:ascii="Times New Roman" w:hAnsi="Times New Roman" w:eastAsia="宋体" w:cs="Times New Roman"/>
                <w:color w:val="auto"/>
                <w:sz w:val="24"/>
                <w:szCs w:val="24"/>
                <w:highlight w:val="none"/>
                <w:lang w:eastAsia="zh-CN" w:bidi="ar"/>
              </w:rPr>
              <w:t>。</w:t>
            </w:r>
          </w:p>
          <w:p w14:paraId="57ABD971">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7</w:t>
            </w:r>
            <w:r>
              <w:rPr>
                <w:rFonts w:hint="default" w:ascii="Times New Roman" w:hAnsi="Times New Roman" w:eastAsia="宋体" w:cs="Times New Roman"/>
                <w:b/>
                <w:color w:val="auto"/>
                <w:sz w:val="24"/>
                <w:szCs w:val="24"/>
                <w:highlight w:val="none"/>
                <w:lang w:eastAsia="zh-CN"/>
              </w:rPr>
              <w:t xml:space="preserve">  废气污染源</w:t>
            </w:r>
            <w:r>
              <w:rPr>
                <w:rFonts w:hint="default" w:ascii="Times New Roman" w:hAnsi="Times New Roman" w:eastAsia="宋体" w:cs="Times New Roman"/>
                <w:b/>
                <w:color w:val="auto"/>
                <w:sz w:val="24"/>
                <w:szCs w:val="24"/>
                <w:highlight w:val="none"/>
                <w:lang w:val="en-US" w:eastAsia="zh-CN"/>
              </w:rPr>
              <w:t>监测</w:t>
            </w:r>
            <w:r>
              <w:rPr>
                <w:rFonts w:hint="default" w:ascii="Times New Roman" w:hAnsi="Times New Roman" w:eastAsia="宋体" w:cs="Times New Roman"/>
                <w:b/>
                <w:color w:val="auto"/>
                <w:sz w:val="24"/>
                <w:szCs w:val="24"/>
                <w:highlight w:val="none"/>
                <w:lang w:eastAsia="zh-CN"/>
              </w:rPr>
              <w:t>计划一览表</w:t>
            </w:r>
          </w:p>
          <w:tbl>
            <w:tblPr>
              <w:tblStyle w:val="41"/>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720"/>
              <w:gridCol w:w="1140"/>
              <w:gridCol w:w="1153"/>
              <w:gridCol w:w="992"/>
              <w:gridCol w:w="3628"/>
            </w:tblGrid>
            <w:tr w14:paraId="2D4E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 w:type="dxa"/>
                  <w:noWrap w:val="0"/>
                  <w:tcMar>
                    <w:left w:w="28" w:type="dxa"/>
                    <w:right w:w="28" w:type="dxa"/>
                  </w:tcMar>
                  <w:vAlign w:val="center"/>
                </w:tcPr>
                <w:p w14:paraId="7641694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类别</w:t>
                  </w:r>
                </w:p>
              </w:tc>
              <w:tc>
                <w:tcPr>
                  <w:tcW w:w="720" w:type="dxa"/>
                  <w:noWrap w:val="0"/>
                  <w:tcMar>
                    <w:left w:w="28" w:type="dxa"/>
                    <w:right w:w="28" w:type="dxa"/>
                  </w:tcMar>
                  <w:vAlign w:val="center"/>
                </w:tcPr>
                <w:p w14:paraId="7E7522F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编号</w:t>
                  </w:r>
                </w:p>
              </w:tc>
              <w:tc>
                <w:tcPr>
                  <w:tcW w:w="1140" w:type="dxa"/>
                  <w:noWrap w:val="0"/>
                  <w:tcMar>
                    <w:left w:w="28" w:type="dxa"/>
                    <w:right w:w="28" w:type="dxa"/>
                  </w:tcMar>
                  <w:vAlign w:val="center"/>
                </w:tcPr>
                <w:p w14:paraId="74D6704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监测位置</w:t>
                  </w:r>
                </w:p>
              </w:tc>
              <w:tc>
                <w:tcPr>
                  <w:tcW w:w="1153" w:type="dxa"/>
                  <w:noWrap w:val="0"/>
                  <w:tcMar>
                    <w:left w:w="28" w:type="dxa"/>
                    <w:right w:w="28" w:type="dxa"/>
                  </w:tcMar>
                  <w:vAlign w:val="center"/>
                </w:tcPr>
                <w:p w14:paraId="67CA5ACF">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监测因子</w:t>
                  </w:r>
                </w:p>
              </w:tc>
              <w:tc>
                <w:tcPr>
                  <w:tcW w:w="992" w:type="dxa"/>
                  <w:noWrap w:val="0"/>
                  <w:tcMar>
                    <w:left w:w="28" w:type="dxa"/>
                    <w:right w:w="28" w:type="dxa"/>
                  </w:tcMar>
                  <w:vAlign w:val="center"/>
                </w:tcPr>
                <w:p w14:paraId="2B77E91C">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监测频率</w:t>
                  </w:r>
                </w:p>
              </w:tc>
              <w:tc>
                <w:tcPr>
                  <w:tcW w:w="3628" w:type="dxa"/>
                  <w:noWrap w:val="0"/>
                  <w:tcMar>
                    <w:left w:w="28" w:type="dxa"/>
                    <w:right w:w="28" w:type="dxa"/>
                  </w:tcMar>
                  <w:vAlign w:val="center"/>
                </w:tcPr>
                <w:p w14:paraId="6725D4A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执行标准</w:t>
                  </w:r>
                </w:p>
              </w:tc>
            </w:tr>
            <w:tr w14:paraId="024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29" w:type="dxa"/>
                  <w:noWrap w:val="0"/>
                  <w:tcMar>
                    <w:left w:w="28" w:type="dxa"/>
                    <w:right w:w="28" w:type="dxa"/>
                  </w:tcMar>
                  <w:vAlign w:val="center"/>
                </w:tcPr>
                <w:p w14:paraId="09817D3C">
                  <w:pPr>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有组织</w:t>
                  </w:r>
                </w:p>
              </w:tc>
              <w:tc>
                <w:tcPr>
                  <w:tcW w:w="720" w:type="dxa"/>
                  <w:noWrap w:val="0"/>
                  <w:tcMar>
                    <w:left w:w="28" w:type="dxa"/>
                    <w:right w:w="28" w:type="dxa"/>
                  </w:tcMar>
                  <w:vAlign w:val="center"/>
                </w:tcPr>
                <w:p w14:paraId="0EC8ADD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w:t>
                  </w:r>
                  <w:r>
                    <w:rPr>
                      <w:rFonts w:hint="default" w:ascii="Times New Roman" w:hAnsi="Times New Roman" w:eastAsia="宋体" w:cs="Times New Roman"/>
                      <w:color w:val="auto"/>
                      <w:sz w:val="21"/>
                      <w:szCs w:val="21"/>
                      <w:highlight w:val="none"/>
                      <w:lang w:val="en-US" w:eastAsia="zh-CN" w:bidi="ar"/>
                    </w:rPr>
                    <w:t>1</w:t>
                  </w:r>
                </w:p>
              </w:tc>
              <w:tc>
                <w:tcPr>
                  <w:tcW w:w="1140" w:type="dxa"/>
                  <w:noWrap w:val="0"/>
                  <w:tcMar>
                    <w:left w:w="28" w:type="dxa"/>
                    <w:right w:w="28" w:type="dxa"/>
                  </w:tcMar>
                  <w:vAlign w:val="center"/>
                </w:tcPr>
                <w:p w14:paraId="775A981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排气筒</w:t>
                  </w:r>
                </w:p>
              </w:tc>
              <w:tc>
                <w:tcPr>
                  <w:tcW w:w="1153" w:type="dxa"/>
                  <w:noWrap w:val="0"/>
                  <w:tcMar>
                    <w:left w:w="28" w:type="dxa"/>
                    <w:right w:w="28" w:type="dxa"/>
                  </w:tcMar>
                  <w:vAlign w:val="center"/>
                </w:tcPr>
                <w:p w14:paraId="2B9C0C67">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3C860DC4">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3628" w:type="dxa"/>
                  <w:noWrap w:val="0"/>
                  <w:tcMar>
                    <w:left w:w="28" w:type="dxa"/>
                    <w:right w:w="28" w:type="dxa"/>
                  </w:tcMar>
                  <w:vAlign w:val="center"/>
                </w:tcPr>
                <w:p w14:paraId="138BB60F">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《水泥工业大气污染物超低排放标准》(DB13/2167-2020)中表1水泥制品生产大气污染物最高允许排放浓度</w:t>
                  </w:r>
                </w:p>
              </w:tc>
            </w:tr>
            <w:tr w14:paraId="2C5F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9" w:type="dxa"/>
                  <w:noWrap w:val="0"/>
                  <w:tcMar>
                    <w:left w:w="28" w:type="dxa"/>
                    <w:right w:w="28" w:type="dxa"/>
                  </w:tcMar>
                  <w:vAlign w:val="center"/>
                </w:tcPr>
                <w:p w14:paraId="7A288C6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无组织</w:t>
                  </w:r>
                </w:p>
              </w:tc>
              <w:tc>
                <w:tcPr>
                  <w:tcW w:w="720" w:type="dxa"/>
                  <w:noWrap w:val="0"/>
                  <w:tcMar>
                    <w:left w:w="28" w:type="dxa"/>
                    <w:right w:w="28" w:type="dxa"/>
                  </w:tcMar>
                  <w:vAlign w:val="center"/>
                </w:tcPr>
                <w:p w14:paraId="7E9FB4D0">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w:t>
                  </w:r>
                </w:p>
              </w:tc>
              <w:tc>
                <w:tcPr>
                  <w:tcW w:w="1140" w:type="dxa"/>
                  <w:noWrap w:val="0"/>
                  <w:tcMar>
                    <w:left w:w="28" w:type="dxa"/>
                    <w:right w:w="28" w:type="dxa"/>
                  </w:tcMar>
                  <w:vAlign w:val="center"/>
                </w:tcPr>
                <w:p w14:paraId="28B7956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rPr>
                    <w:t>厂界</w:t>
                  </w:r>
                </w:p>
              </w:tc>
              <w:tc>
                <w:tcPr>
                  <w:tcW w:w="1153" w:type="dxa"/>
                  <w:noWrap w:val="0"/>
                  <w:tcMar>
                    <w:left w:w="28" w:type="dxa"/>
                    <w:right w:w="28" w:type="dxa"/>
                  </w:tcMar>
                  <w:vAlign w:val="center"/>
                </w:tcPr>
                <w:p w14:paraId="1C563527">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14F69222">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1次/季度</w:t>
                  </w:r>
                </w:p>
              </w:tc>
              <w:tc>
                <w:tcPr>
                  <w:tcW w:w="3628" w:type="dxa"/>
                  <w:noWrap w:val="0"/>
                  <w:tcMar>
                    <w:left w:w="28" w:type="dxa"/>
                    <w:right w:w="28" w:type="dxa"/>
                  </w:tcMar>
                  <w:vAlign w:val="center"/>
                </w:tcPr>
                <w:p w14:paraId="0810983E">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《水泥工业大气污染物超低排放标准》（DB13/2167-2020）表2大气污染物无组织排放限值</w:t>
                  </w:r>
                </w:p>
              </w:tc>
            </w:tr>
          </w:tbl>
          <w:p w14:paraId="5BF5A38F">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eastAsia="zh-CN"/>
              </w:rPr>
            </w:pPr>
            <w:r>
              <w:rPr>
                <w:rFonts w:hint="default" w:ascii="Times New Roman" w:hAnsi="Times New Roman" w:cs="Times New Roman"/>
                <w:b/>
                <w:bCs/>
                <w:snapToGrid w:val="0"/>
                <w:color w:val="auto"/>
                <w:kern w:val="0"/>
                <w:sz w:val="24"/>
                <w:szCs w:val="24"/>
                <w:highlight w:val="none"/>
                <w:lang w:val="en-US" w:eastAsia="zh-CN"/>
              </w:rPr>
              <w:t>2</w:t>
            </w:r>
            <w:r>
              <w:rPr>
                <w:rFonts w:hint="default" w:ascii="Times New Roman" w:hAnsi="Times New Roman" w:eastAsia="宋体" w:cs="Times New Roman"/>
                <w:b/>
                <w:bCs/>
                <w:snapToGrid w:val="0"/>
                <w:color w:val="auto"/>
                <w:kern w:val="0"/>
                <w:sz w:val="24"/>
                <w:szCs w:val="24"/>
                <w:highlight w:val="none"/>
                <w:lang w:eastAsia="zh-CN"/>
              </w:rPr>
              <w:t>、废水</w:t>
            </w:r>
          </w:p>
          <w:p w14:paraId="75085C04">
            <w:pPr>
              <w:keepNext w:val="0"/>
              <w:keepLines w:val="0"/>
              <w:pageBreakBefore w:val="0"/>
              <w:kinsoku/>
              <w:wordWrap/>
              <w:overflowPunct/>
              <w:topLinePunct w:val="0"/>
              <w:autoSpaceDE w:val="0"/>
              <w:autoSpaceDN w:val="0"/>
              <w:bidi w:val="0"/>
              <w:adjustRightInd w:val="0"/>
              <w:spacing w:line="480" w:lineRule="exact"/>
              <w:ind w:firstLine="480" w:firstLineChars="20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本项目搅拌用水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；模具冲洗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w:t>
            </w:r>
          </w:p>
          <w:p w14:paraId="69D1ED53">
            <w:pPr>
              <w:keepNext w:val="0"/>
              <w:keepLines w:val="0"/>
              <w:pageBreakBefore w:val="0"/>
              <w:kinsoku/>
              <w:wordWrap/>
              <w:overflowPunct/>
              <w:topLinePunct w:val="0"/>
              <w:bidi w:val="0"/>
              <w:snapToGrid w:val="0"/>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w:t>
            </w:r>
            <w:r>
              <w:rPr>
                <w:rFonts w:hint="default" w:ascii="Times New Roman" w:hAnsi="Times New Roman" w:cs="Times New Roman"/>
                <w:color w:val="auto"/>
                <w:sz w:val="24"/>
                <w:szCs w:val="24"/>
                <w:highlight w:val="none"/>
                <w:lang w:eastAsia="zh-CN"/>
              </w:rPr>
              <w:t>废水主要为</w:t>
            </w:r>
            <w:r>
              <w:rPr>
                <w:rFonts w:hint="default" w:ascii="Times New Roman" w:hAnsi="Times New Roman" w:eastAsia="宋体"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z w:val="24"/>
                <w:highlight w:val="none"/>
                <w:lang w:eastAsia="zh-CN"/>
              </w:rPr>
              <w:t>主要为职工盥洗废水，</w:t>
            </w:r>
            <w:r>
              <w:rPr>
                <w:rFonts w:hint="default" w:ascii="Times New Roman" w:hAnsi="Times New Roman" w:eastAsia="宋体" w:cs="Times New Roman"/>
                <w:color w:val="auto"/>
                <w:sz w:val="24"/>
                <w:szCs w:val="24"/>
                <w:highlight w:val="none"/>
              </w:rPr>
              <w:t>产生量为</w:t>
            </w:r>
            <w:r>
              <w:rPr>
                <w:rFonts w:hint="default" w:ascii="Times New Roman" w:hAnsi="Times New Roman"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/d，水量较小，</w:t>
            </w:r>
            <w:r>
              <w:rPr>
                <w:rFonts w:hint="default" w:ascii="Times New Roman" w:hAnsi="Times New Roman" w:eastAsia="宋体" w:cs="Times New Roman"/>
                <w:color w:val="auto"/>
                <w:sz w:val="24"/>
                <w:szCs w:val="24"/>
                <w:highlight w:val="none"/>
                <w:lang w:eastAsia="zh-CN"/>
              </w:rPr>
              <w:t>水质</w:t>
            </w:r>
            <w:r>
              <w:rPr>
                <w:rFonts w:hint="default" w:ascii="Times New Roman" w:hAnsi="Times New Roman" w:eastAsia="宋体" w:cs="Times New Roman"/>
                <w:color w:val="auto"/>
                <w:sz w:val="24"/>
                <w:szCs w:val="24"/>
                <w:highlight w:val="none"/>
              </w:rPr>
              <w:t>简单，</w:t>
            </w:r>
            <w:r>
              <w:rPr>
                <w:rFonts w:hint="default" w:ascii="Times New Roman" w:hAnsi="Times New Roman" w:cs="Times New Roman"/>
                <w:bCs/>
                <w:color w:val="auto"/>
                <w:sz w:val="24"/>
                <w:highlight w:val="none"/>
              </w:rPr>
              <w:t>根据《第二次全国污染源普查生活污染源产排污系数手册（试用版）》表6-2</w:t>
            </w:r>
            <w:r>
              <w:rPr>
                <w:rFonts w:hint="default" w:ascii="Times New Roman" w:hAnsi="Times New Roman" w:cs="Times New Roman"/>
                <w:bCs/>
                <w:color w:val="auto"/>
                <w:sz w:val="24"/>
                <w:highlight w:val="none"/>
                <w:lang w:eastAsia="zh-CN"/>
              </w:rPr>
              <w:t>，</w:t>
            </w:r>
            <w:r>
              <w:rPr>
                <w:rFonts w:hint="default" w:ascii="Times New Roman" w:hAnsi="Times New Roman" w:cs="Times New Roman"/>
                <w:color w:val="auto"/>
                <w:spacing w:val="6"/>
                <w:sz w:val="24"/>
                <w:highlight w:val="none"/>
                <w:lang w:eastAsia="zh-CN"/>
              </w:rPr>
              <w:t>生活污水中</w:t>
            </w:r>
            <w:r>
              <w:rPr>
                <w:rFonts w:hint="default" w:ascii="Times New Roman" w:hAnsi="Times New Roman" w:cs="Times New Roman"/>
                <w:color w:val="auto"/>
                <w:spacing w:val="6"/>
                <w:sz w:val="24"/>
                <w:highlight w:val="none"/>
              </w:rPr>
              <w:t>污染物产生浓度为：COD400mg/L、BOD</w:t>
            </w:r>
            <w:r>
              <w:rPr>
                <w:rFonts w:hint="default" w:ascii="Times New Roman" w:hAnsi="Times New Roman" w:cs="Times New Roman"/>
                <w:color w:val="auto"/>
                <w:spacing w:val="6"/>
                <w:sz w:val="24"/>
                <w:highlight w:val="none"/>
                <w:vertAlign w:val="subscript"/>
              </w:rPr>
              <w:t>5</w:t>
            </w:r>
            <w:r>
              <w:rPr>
                <w:rFonts w:hint="default" w:ascii="Times New Roman" w:hAnsi="Times New Roman" w:cs="Times New Roman"/>
                <w:color w:val="auto"/>
                <w:spacing w:val="6"/>
                <w:sz w:val="24"/>
                <w:highlight w:val="none"/>
              </w:rPr>
              <w:t>2</w:t>
            </w:r>
            <w:r>
              <w:rPr>
                <w:rFonts w:hint="default" w:ascii="Times New Roman" w:hAnsi="Times New Roman" w:cs="Times New Roman"/>
                <w:color w:val="auto"/>
                <w:spacing w:val="6"/>
                <w:sz w:val="24"/>
                <w:highlight w:val="none"/>
                <w:lang w:val="en-US" w:eastAsia="zh-CN"/>
              </w:rPr>
              <w:t>4</w:t>
            </w:r>
            <w:r>
              <w:rPr>
                <w:rFonts w:hint="default" w:ascii="Times New Roman" w:hAnsi="Times New Roman" w:cs="Times New Roman"/>
                <w:color w:val="auto"/>
                <w:spacing w:val="6"/>
                <w:sz w:val="24"/>
                <w:highlight w:val="none"/>
              </w:rPr>
              <w:t>0mg/L、悬浮物</w:t>
            </w:r>
            <w:r>
              <w:rPr>
                <w:rFonts w:hint="default" w:ascii="Times New Roman" w:hAnsi="Times New Roman" w:cs="Times New Roman"/>
                <w:color w:val="auto"/>
                <w:spacing w:val="6"/>
                <w:sz w:val="24"/>
                <w:highlight w:val="none"/>
                <w:lang w:val="en-US" w:eastAsia="zh-CN"/>
              </w:rPr>
              <w:t>200</w:t>
            </w:r>
            <w:r>
              <w:rPr>
                <w:rFonts w:hint="default" w:ascii="Times New Roman" w:hAnsi="Times New Roman" w:cs="Times New Roman"/>
                <w:color w:val="auto"/>
                <w:spacing w:val="6"/>
                <w:sz w:val="24"/>
                <w:highlight w:val="none"/>
              </w:rPr>
              <w:t>mg/L、氨氮</w:t>
            </w:r>
            <w:r>
              <w:rPr>
                <w:rFonts w:hint="default" w:ascii="Times New Roman" w:hAnsi="Times New Roman" w:cs="Times New Roman"/>
                <w:color w:val="auto"/>
                <w:spacing w:val="6"/>
                <w:sz w:val="24"/>
                <w:highlight w:val="none"/>
                <w:lang w:val="en-US" w:eastAsia="zh-CN"/>
              </w:rPr>
              <w:t>50</w:t>
            </w:r>
            <w:r>
              <w:rPr>
                <w:rFonts w:hint="default" w:ascii="Times New Roman" w:hAnsi="Times New Roman" w:cs="Times New Roman"/>
                <w:color w:val="auto"/>
                <w:spacing w:val="6"/>
                <w:sz w:val="24"/>
                <w:highlight w:val="none"/>
              </w:rPr>
              <w:t>mg/L。</w:t>
            </w:r>
            <w:r>
              <w:rPr>
                <w:rFonts w:hint="default" w:ascii="Times New Roman" w:hAnsi="Times New Roman" w:eastAsia="宋体" w:cs="Times New Roman"/>
                <w:color w:val="auto"/>
                <w:sz w:val="24"/>
                <w:szCs w:val="24"/>
                <w:highlight w:val="none"/>
              </w:rPr>
              <w:t>厂区设</w:t>
            </w:r>
            <w:r>
              <w:rPr>
                <w:rFonts w:hint="default" w:ascii="Times New Roman" w:hAnsi="Times New Roman" w:eastAsia="宋体"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，定期清掏用作农肥</w:t>
            </w:r>
            <w:r>
              <w:rPr>
                <w:rFonts w:hint="default" w:ascii="Times New Roman" w:hAnsi="Times New Roman" w:eastAsia="宋体" w:cs="Times New Roman"/>
                <w:color w:val="auto"/>
                <w:sz w:val="24"/>
                <w:highlight w:val="none"/>
              </w:rPr>
              <w:t>。</w:t>
            </w:r>
          </w:p>
          <w:p w14:paraId="2ED3EC9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Cs/>
                <w:color w:val="auto"/>
                <w:sz w:val="24"/>
                <w:szCs w:val="24"/>
                <w:highlight w:val="none"/>
                <w:lang w:val="en-US" w:eastAsia="zh-CN"/>
              </w:rPr>
              <w:t>综上，本项目无外排废水，对地表水环境基本不产生影响。</w:t>
            </w:r>
          </w:p>
          <w:p w14:paraId="056EEFE2">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val="en-US" w:eastAsia="zh-CN"/>
              </w:rPr>
            </w:pPr>
            <w:r>
              <w:rPr>
                <w:rFonts w:hint="default" w:ascii="Times New Roman" w:hAnsi="Times New Roman" w:eastAsia="宋体" w:cs="Times New Roman"/>
                <w:b/>
                <w:bCs/>
                <w:snapToGrid w:val="0"/>
                <w:color w:val="auto"/>
                <w:kern w:val="0"/>
                <w:sz w:val="24"/>
                <w:szCs w:val="24"/>
                <w:highlight w:val="none"/>
                <w:lang w:val="en-US" w:eastAsia="zh-CN"/>
              </w:rPr>
              <w:t>3、声环境影响分析</w:t>
            </w:r>
          </w:p>
          <w:p w14:paraId="7D8FD093">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（1）噪声源强分析</w:t>
            </w:r>
          </w:p>
          <w:p w14:paraId="3AA196E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项目主要噪声源为生产设备和风机等设备产生的噪声，噪声级在70～90dB（A）之间。项目采取选用低噪声设备、基础减震、厂房隔声等措施控制噪声源对周边声环境的影响，可有效控制噪声对周围环境的影响，噪声源及防治措施见下表。</w:t>
            </w:r>
          </w:p>
          <w:p w14:paraId="1E88142B">
            <w:pPr>
              <w:spacing w:line="480" w:lineRule="exact"/>
              <w:ind w:firstLine="48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4"/>
                <w:highlight w:val="none"/>
              </w:rPr>
              <w:t>表</w:t>
            </w:r>
            <w:r>
              <w:rPr>
                <w:rFonts w:hint="default" w:ascii="Times New Roman" w:hAnsi="Times New Roman" w:cs="Times New Roman"/>
                <w:b/>
                <w:bCs/>
                <w:color w:val="auto"/>
                <w:sz w:val="24"/>
                <w:highlight w:val="none"/>
                <w:lang w:val="en-US" w:eastAsia="zh-CN"/>
              </w:rPr>
              <w:t>4-8</w:t>
            </w:r>
            <w:r>
              <w:rPr>
                <w:rFonts w:hint="eastAsia"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eastAsia" w:cs="Times New Roman"/>
                <w:b/>
                <w:bCs/>
                <w:color w:val="auto"/>
                <w:sz w:val="24"/>
                <w:highlight w:val="none"/>
                <w:lang w:val="en-US" w:eastAsia="zh-CN"/>
              </w:rPr>
              <w:t>室内</w:t>
            </w:r>
            <w:r>
              <w:rPr>
                <w:rFonts w:hint="default" w:ascii="Times New Roman" w:hAnsi="Times New Roman" w:cs="Times New Roman"/>
                <w:b/>
                <w:bCs/>
                <w:color w:val="auto"/>
                <w:sz w:val="24"/>
                <w:highlight w:val="none"/>
              </w:rPr>
              <w:t>主</w:t>
            </w:r>
            <w:r>
              <w:rPr>
                <w:rFonts w:hint="default" w:ascii="Times New Roman" w:hAnsi="Times New Roman" w:cs="Times New Roman"/>
                <w:b/>
                <w:color w:val="auto"/>
                <w:sz w:val="24"/>
                <w:highlight w:val="none"/>
              </w:rPr>
              <w:t>要噪声源及控制措施</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3" w:type="dxa"/>
              </w:tblCellMar>
            </w:tblPr>
            <w:tblGrid>
              <w:gridCol w:w="417"/>
              <w:gridCol w:w="417"/>
              <w:gridCol w:w="816"/>
              <w:gridCol w:w="532"/>
              <w:gridCol w:w="676"/>
              <w:gridCol w:w="569"/>
              <w:gridCol w:w="400"/>
              <w:gridCol w:w="363"/>
              <w:gridCol w:w="351"/>
              <w:gridCol w:w="544"/>
              <w:gridCol w:w="726"/>
              <w:gridCol w:w="569"/>
              <w:gridCol w:w="686"/>
              <w:gridCol w:w="763"/>
              <w:gridCol w:w="533"/>
            </w:tblGrid>
            <w:tr w14:paraId="3623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restart"/>
                  <w:tcBorders>
                    <w:tl2br w:val="nil"/>
                    <w:tr2bl w:val="nil"/>
                  </w:tcBorders>
                  <w:noWrap w:val="0"/>
                  <w:vAlign w:val="center"/>
                </w:tcPr>
                <w:p w14:paraId="4D9CBEE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序号</w:t>
                  </w:r>
                </w:p>
              </w:tc>
              <w:tc>
                <w:tcPr>
                  <w:tcW w:w="250" w:type="pct"/>
                  <w:vMerge w:val="restart"/>
                  <w:tcBorders>
                    <w:tl2br w:val="nil"/>
                    <w:tr2bl w:val="nil"/>
                  </w:tcBorders>
                  <w:noWrap w:val="0"/>
                  <w:vAlign w:val="center"/>
                </w:tcPr>
                <w:p w14:paraId="461F4A6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建筑物名称</w:t>
                  </w:r>
                </w:p>
              </w:tc>
              <w:tc>
                <w:tcPr>
                  <w:tcW w:w="488" w:type="pct"/>
                  <w:vMerge w:val="restart"/>
                  <w:tcBorders>
                    <w:tl2br w:val="nil"/>
                    <w:tr2bl w:val="nil"/>
                  </w:tcBorders>
                  <w:noWrap w:val="0"/>
                  <w:vAlign w:val="center"/>
                </w:tcPr>
                <w:p w14:paraId="0F9B1A4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rPr>
                    <w:t>声源</w:t>
                  </w:r>
                  <w:r>
                    <w:rPr>
                      <w:rFonts w:hint="default" w:ascii="Times New Roman" w:hAnsi="Times New Roman" w:eastAsia="宋体" w:cs="Times New Roman"/>
                      <w:color w:val="auto"/>
                      <w:spacing w:val="-11"/>
                      <w:sz w:val="21"/>
                      <w:szCs w:val="21"/>
                      <w:highlight w:val="none"/>
                      <w:lang w:val="en-US" w:eastAsia="zh-CN"/>
                    </w:rPr>
                    <w:t>名称</w:t>
                  </w:r>
                </w:p>
              </w:tc>
              <w:tc>
                <w:tcPr>
                  <w:tcW w:w="318" w:type="pct"/>
                  <w:vMerge w:val="restart"/>
                  <w:tcBorders>
                    <w:tl2br w:val="nil"/>
                    <w:tr2bl w:val="nil"/>
                  </w:tcBorders>
                  <w:noWrap w:val="0"/>
                  <w:vAlign w:val="center"/>
                </w:tcPr>
                <w:p w14:paraId="57E28BD3">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型号/数量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台/套</w:t>
                  </w:r>
                  <w:r>
                    <w:rPr>
                      <w:rFonts w:hint="default" w:ascii="Times New Roman" w:hAnsi="Times New Roman" w:eastAsia="宋体" w:cs="Times New Roman"/>
                      <w:color w:val="auto"/>
                      <w:sz w:val="21"/>
                      <w:szCs w:val="21"/>
                      <w:highlight w:val="none"/>
                      <w:lang w:eastAsia="zh-CN"/>
                    </w:rPr>
                    <w:t>）</w:t>
                  </w:r>
                </w:p>
              </w:tc>
              <w:tc>
                <w:tcPr>
                  <w:tcW w:w="404" w:type="pct"/>
                  <w:vMerge w:val="restart"/>
                  <w:tcBorders>
                    <w:tl2br w:val="nil"/>
                    <w:tr2bl w:val="nil"/>
                  </w:tcBorders>
                  <w:noWrap w:val="0"/>
                  <w:vAlign w:val="center"/>
                </w:tcPr>
                <w:p w14:paraId="4B284DA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声功率</w:t>
                  </w:r>
                  <w:r>
                    <w:rPr>
                      <w:rFonts w:hint="default" w:ascii="Times New Roman" w:hAnsi="Times New Roman" w:eastAsia="宋体" w:cs="Times New Roman"/>
                      <w:color w:val="auto"/>
                      <w:spacing w:val="-11"/>
                      <w:sz w:val="21"/>
                      <w:szCs w:val="21"/>
                      <w:highlight w:val="none"/>
                    </w:rPr>
                    <w:t>级</w:t>
                  </w:r>
                  <w:r>
                    <w:rPr>
                      <w:rFonts w:hint="default" w:ascii="Times New Roman" w:hAnsi="Times New Roman" w:cs="Times New Roman"/>
                      <w:color w:val="auto"/>
                      <w:spacing w:val="-11"/>
                      <w:sz w:val="21"/>
                      <w:szCs w:val="21"/>
                      <w:highlight w:val="none"/>
                      <w:lang w:val="en-US" w:eastAsia="zh-CN"/>
                    </w:rPr>
                    <w:t>/</w:t>
                  </w:r>
                </w:p>
                <w:p w14:paraId="74CBC22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dB(A)</w:t>
                  </w:r>
                </w:p>
              </w:tc>
              <w:tc>
                <w:tcPr>
                  <w:tcW w:w="340" w:type="pct"/>
                  <w:vMerge w:val="restart"/>
                  <w:tcBorders>
                    <w:tl2br w:val="nil"/>
                    <w:tr2bl w:val="nil"/>
                  </w:tcBorders>
                  <w:noWrap w:val="0"/>
                  <w:vAlign w:val="center"/>
                </w:tcPr>
                <w:p w14:paraId="68E9D01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lang w:val="en-US" w:eastAsia="zh-CN"/>
                    </w:rPr>
                    <w:t>声源控制</w:t>
                  </w:r>
                  <w:r>
                    <w:rPr>
                      <w:rFonts w:hint="default" w:ascii="Times New Roman" w:hAnsi="Times New Roman" w:eastAsia="宋体" w:cs="Times New Roman"/>
                      <w:color w:val="auto"/>
                      <w:spacing w:val="-11"/>
                      <w:sz w:val="21"/>
                      <w:szCs w:val="21"/>
                      <w:highlight w:val="none"/>
                    </w:rPr>
                    <w:t>措施</w:t>
                  </w:r>
                </w:p>
              </w:tc>
              <w:tc>
                <w:tcPr>
                  <w:tcW w:w="666" w:type="pct"/>
                  <w:gridSpan w:val="3"/>
                  <w:tcBorders>
                    <w:tl2br w:val="nil"/>
                    <w:tr2bl w:val="nil"/>
                  </w:tcBorders>
                  <w:noWrap w:val="0"/>
                  <w:vAlign w:val="center"/>
                </w:tcPr>
                <w:p w14:paraId="6E8320F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eastAsia="zh-CN"/>
                    </w:rPr>
                  </w:pPr>
                  <w:r>
                    <w:rPr>
                      <w:rFonts w:hint="default" w:ascii="Times New Roman" w:hAnsi="Times New Roman" w:eastAsia="宋体" w:cs="Times New Roman"/>
                      <w:color w:val="auto"/>
                      <w:spacing w:val="-11"/>
                      <w:sz w:val="21"/>
                      <w:szCs w:val="21"/>
                      <w:highlight w:val="none"/>
                      <w:lang w:val="en-US" w:eastAsia="zh-CN"/>
                    </w:rPr>
                    <w:t>空间相对位置</w:t>
                  </w:r>
                </w:p>
              </w:tc>
              <w:tc>
                <w:tcPr>
                  <w:tcW w:w="325" w:type="pct"/>
                  <w:vMerge w:val="restart"/>
                  <w:tcBorders>
                    <w:tl2br w:val="nil"/>
                    <w:tr2bl w:val="nil"/>
                  </w:tcBorders>
                  <w:noWrap w:val="0"/>
                  <w:vAlign w:val="center"/>
                </w:tcPr>
                <w:p w14:paraId="13D7BFF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距室内边界距离/m</w:t>
                  </w:r>
                </w:p>
              </w:tc>
              <w:tc>
                <w:tcPr>
                  <w:tcW w:w="434" w:type="pct"/>
                  <w:vMerge w:val="restart"/>
                  <w:tcBorders>
                    <w:tl2br w:val="nil"/>
                    <w:tr2bl w:val="nil"/>
                  </w:tcBorders>
                  <w:noWrap w:val="0"/>
                  <w:vAlign w:val="center"/>
                </w:tcPr>
                <w:p w14:paraId="4F9ECE4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室内边界声级/</w:t>
                  </w:r>
                  <w:r>
                    <w:rPr>
                      <w:rFonts w:hint="default" w:ascii="Times New Roman" w:hAnsi="Times New Roman" w:eastAsia="宋体" w:cs="Times New Roman"/>
                      <w:color w:val="auto"/>
                      <w:sz w:val="21"/>
                      <w:szCs w:val="21"/>
                      <w:highlight w:val="none"/>
                    </w:rPr>
                    <w:t>dB(A)</w:t>
                  </w:r>
                </w:p>
              </w:tc>
              <w:tc>
                <w:tcPr>
                  <w:tcW w:w="340" w:type="pct"/>
                  <w:vMerge w:val="restart"/>
                  <w:tcBorders>
                    <w:tl2br w:val="nil"/>
                    <w:tr2bl w:val="nil"/>
                  </w:tcBorders>
                  <w:noWrap w:val="0"/>
                  <w:vAlign w:val="center"/>
                </w:tcPr>
                <w:p w14:paraId="4A457D4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运行时段</w:t>
                  </w:r>
                </w:p>
              </w:tc>
              <w:tc>
                <w:tcPr>
                  <w:tcW w:w="410" w:type="pct"/>
                  <w:vMerge w:val="restart"/>
                  <w:tcBorders>
                    <w:tl2br w:val="nil"/>
                    <w:tr2bl w:val="nil"/>
                  </w:tcBorders>
                  <w:noWrap w:val="0"/>
                  <w:vAlign w:val="center"/>
                </w:tcPr>
                <w:p w14:paraId="23A4CC0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建筑物插入损失/</w:t>
                  </w:r>
                  <w:r>
                    <w:rPr>
                      <w:rFonts w:hint="default" w:ascii="Times New Roman" w:hAnsi="Times New Roman" w:eastAsia="宋体" w:cs="Times New Roman"/>
                      <w:color w:val="auto"/>
                      <w:sz w:val="21"/>
                      <w:szCs w:val="21"/>
                      <w:highlight w:val="none"/>
                    </w:rPr>
                    <w:t>dB(A)</w:t>
                  </w:r>
                </w:p>
              </w:tc>
              <w:tc>
                <w:tcPr>
                  <w:tcW w:w="771" w:type="pct"/>
                  <w:gridSpan w:val="2"/>
                  <w:tcBorders>
                    <w:tl2br w:val="nil"/>
                    <w:tr2bl w:val="nil"/>
                  </w:tcBorders>
                  <w:noWrap w:val="0"/>
                  <w:vAlign w:val="center"/>
                </w:tcPr>
                <w:p w14:paraId="2526249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建筑外噪声</w:t>
                  </w:r>
                </w:p>
              </w:tc>
            </w:tr>
            <w:tr w14:paraId="6465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continue"/>
                  <w:tcBorders>
                    <w:tl2br w:val="nil"/>
                    <w:tr2bl w:val="nil"/>
                  </w:tcBorders>
                  <w:noWrap w:val="0"/>
                  <w:vAlign w:val="center"/>
                </w:tcPr>
                <w:p w14:paraId="7CE137D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50" w:type="pct"/>
                  <w:vMerge w:val="continue"/>
                  <w:tcBorders>
                    <w:tl2br w:val="nil"/>
                    <w:tr2bl w:val="nil"/>
                  </w:tcBorders>
                  <w:noWrap w:val="0"/>
                  <w:vAlign w:val="center"/>
                </w:tcPr>
                <w:p w14:paraId="119F19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88" w:type="pct"/>
                  <w:vMerge w:val="continue"/>
                  <w:tcBorders>
                    <w:tl2br w:val="nil"/>
                    <w:tr2bl w:val="nil"/>
                  </w:tcBorders>
                  <w:noWrap w:val="0"/>
                  <w:vAlign w:val="center"/>
                </w:tcPr>
                <w:p w14:paraId="2E509B7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18" w:type="pct"/>
                  <w:vMerge w:val="continue"/>
                  <w:tcBorders>
                    <w:tl2br w:val="nil"/>
                    <w:tr2bl w:val="nil"/>
                  </w:tcBorders>
                  <w:noWrap w:val="0"/>
                  <w:vAlign w:val="center"/>
                </w:tcPr>
                <w:p w14:paraId="2EE3FC4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04" w:type="pct"/>
                  <w:vMerge w:val="continue"/>
                  <w:tcBorders>
                    <w:tl2br w:val="nil"/>
                    <w:tr2bl w:val="nil"/>
                  </w:tcBorders>
                  <w:noWrap w:val="0"/>
                  <w:vAlign w:val="center"/>
                </w:tcPr>
                <w:p w14:paraId="137520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40" w:type="pct"/>
                  <w:vMerge w:val="continue"/>
                  <w:tcBorders>
                    <w:tl2br w:val="nil"/>
                    <w:tr2bl w:val="nil"/>
                  </w:tcBorders>
                  <w:noWrap w:val="0"/>
                  <w:vAlign w:val="center"/>
                </w:tcPr>
                <w:p w14:paraId="63A6E9D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20A05C2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X</w:t>
                  </w:r>
                </w:p>
              </w:tc>
              <w:tc>
                <w:tcPr>
                  <w:tcW w:w="217" w:type="pct"/>
                  <w:tcBorders>
                    <w:tl2br w:val="nil"/>
                    <w:tr2bl w:val="nil"/>
                  </w:tcBorders>
                  <w:noWrap w:val="0"/>
                  <w:vAlign w:val="center"/>
                </w:tcPr>
                <w:p w14:paraId="0963784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Y</w:t>
                  </w:r>
                </w:p>
              </w:tc>
              <w:tc>
                <w:tcPr>
                  <w:tcW w:w="209" w:type="pct"/>
                  <w:tcBorders>
                    <w:tl2br w:val="nil"/>
                    <w:tr2bl w:val="nil"/>
                  </w:tcBorders>
                  <w:noWrap w:val="0"/>
                  <w:vAlign w:val="center"/>
                </w:tcPr>
                <w:p w14:paraId="6C50393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Z</w:t>
                  </w:r>
                </w:p>
              </w:tc>
              <w:tc>
                <w:tcPr>
                  <w:tcW w:w="325" w:type="pct"/>
                  <w:vMerge w:val="continue"/>
                  <w:tcBorders>
                    <w:tl2br w:val="nil"/>
                    <w:tr2bl w:val="nil"/>
                  </w:tcBorders>
                  <w:noWrap w:val="0"/>
                  <w:vAlign w:val="center"/>
                </w:tcPr>
                <w:p w14:paraId="3924E08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34" w:type="pct"/>
                  <w:vMerge w:val="continue"/>
                  <w:tcBorders>
                    <w:tl2br w:val="nil"/>
                    <w:tr2bl w:val="nil"/>
                  </w:tcBorders>
                  <w:noWrap w:val="0"/>
                  <w:vAlign w:val="center"/>
                </w:tcPr>
                <w:p w14:paraId="3CD392EE">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340" w:type="pct"/>
                  <w:vMerge w:val="continue"/>
                  <w:tcBorders>
                    <w:tl2br w:val="nil"/>
                    <w:tr2bl w:val="nil"/>
                  </w:tcBorders>
                  <w:noWrap w:val="0"/>
                  <w:vAlign w:val="center"/>
                </w:tcPr>
                <w:p w14:paraId="56A2782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10" w:type="pct"/>
                  <w:vMerge w:val="continue"/>
                  <w:tcBorders>
                    <w:tl2br w:val="nil"/>
                    <w:tr2bl w:val="nil"/>
                  </w:tcBorders>
                  <w:noWrap w:val="0"/>
                  <w:vAlign w:val="center"/>
                </w:tcPr>
                <w:p w14:paraId="47DEDAAF">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56" w:type="pct"/>
                  <w:tcBorders>
                    <w:tl2br w:val="nil"/>
                    <w:tr2bl w:val="nil"/>
                  </w:tcBorders>
                  <w:noWrap w:val="0"/>
                  <w:vAlign w:val="center"/>
                </w:tcPr>
                <w:p w14:paraId="33C64C7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r>
                    <w:rPr>
                      <w:rFonts w:hint="default" w:ascii="Times New Roman" w:hAnsi="Times New Roman" w:eastAsia="宋体" w:cs="Times New Roman"/>
                      <w:color w:val="auto"/>
                      <w:sz w:val="21"/>
                      <w:szCs w:val="21"/>
                      <w:highlight w:val="none"/>
                    </w:rPr>
                    <w:t>dB(A)</w:t>
                  </w:r>
                </w:p>
              </w:tc>
              <w:tc>
                <w:tcPr>
                  <w:tcW w:w="315" w:type="pct"/>
                  <w:tcBorders>
                    <w:tl2br w:val="nil"/>
                    <w:tr2bl w:val="nil"/>
                  </w:tcBorders>
                  <w:noWrap w:val="0"/>
                  <w:vAlign w:val="center"/>
                </w:tcPr>
                <w:p w14:paraId="6D3D0B28">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建筑外距离</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m</w:t>
                  </w:r>
                </w:p>
              </w:tc>
            </w:tr>
            <w:tr w14:paraId="595C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3195FC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250" w:type="pct"/>
                  <w:vMerge w:val="restart"/>
                  <w:tcBorders>
                    <w:tl2br w:val="nil"/>
                    <w:tr2bl w:val="nil"/>
                  </w:tcBorders>
                  <w:noWrap w:val="0"/>
                  <w:vAlign w:val="center"/>
                </w:tcPr>
                <w:p w14:paraId="5ED70DF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488" w:type="pct"/>
                  <w:tcBorders>
                    <w:tl2br w:val="nil"/>
                    <w:tr2bl w:val="nil"/>
                  </w:tcBorders>
                  <w:noWrap w:val="0"/>
                  <w:vAlign w:val="center"/>
                </w:tcPr>
                <w:p w14:paraId="4E2C5359">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318" w:type="pct"/>
                  <w:tcBorders>
                    <w:tl2br w:val="nil"/>
                    <w:tr2bl w:val="nil"/>
                  </w:tcBorders>
                  <w:noWrap w:val="0"/>
                  <w:vAlign w:val="center"/>
                </w:tcPr>
                <w:p w14:paraId="7AFCFE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4E65B218">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lang w:val="en-US" w:eastAsia="zh-CN"/>
                    </w:rPr>
                    <w:t>0</w:t>
                  </w:r>
                </w:p>
              </w:tc>
              <w:tc>
                <w:tcPr>
                  <w:tcW w:w="340" w:type="pct"/>
                  <w:vMerge w:val="restart"/>
                  <w:tcBorders>
                    <w:tl2br w:val="nil"/>
                    <w:tr2bl w:val="nil"/>
                  </w:tcBorders>
                  <w:noWrap w:val="0"/>
                  <w:vAlign w:val="center"/>
                </w:tcPr>
                <w:p w14:paraId="76A45A6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低噪声设备，厂房隔声，基础减振</w:t>
                  </w:r>
                </w:p>
              </w:tc>
              <w:tc>
                <w:tcPr>
                  <w:tcW w:w="239" w:type="pct"/>
                  <w:tcBorders>
                    <w:tl2br w:val="nil"/>
                    <w:tr2bl w:val="nil"/>
                  </w:tcBorders>
                  <w:noWrap w:val="0"/>
                  <w:vAlign w:val="center"/>
                </w:tcPr>
                <w:p w14:paraId="27EBE1E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217" w:type="pct"/>
                  <w:tcBorders>
                    <w:tl2br w:val="nil"/>
                    <w:tr2bl w:val="nil"/>
                  </w:tcBorders>
                  <w:noWrap w:val="0"/>
                  <w:vAlign w:val="center"/>
                </w:tcPr>
                <w:p w14:paraId="0BE1775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E05575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25A1096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434" w:type="pct"/>
                  <w:tcBorders>
                    <w:tl2br w:val="nil"/>
                    <w:tr2bl w:val="nil"/>
                  </w:tcBorders>
                  <w:noWrap w:val="0"/>
                  <w:vAlign w:val="center"/>
                </w:tcPr>
                <w:p w14:paraId="54BDDC5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49.51</w:t>
                  </w:r>
                </w:p>
              </w:tc>
              <w:tc>
                <w:tcPr>
                  <w:tcW w:w="340" w:type="pct"/>
                  <w:vMerge w:val="restart"/>
                  <w:tcBorders>
                    <w:tl2br w:val="nil"/>
                    <w:tr2bl w:val="nil"/>
                  </w:tcBorders>
                  <w:noWrap w:val="0"/>
                  <w:vAlign w:val="center"/>
                </w:tcPr>
                <w:p w14:paraId="28BB88B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410" w:type="pct"/>
                  <w:tcBorders>
                    <w:tl2br w:val="nil"/>
                    <w:tr2bl w:val="nil"/>
                  </w:tcBorders>
                  <w:noWrap w:val="0"/>
                  <w:vAlign w:val="center"/>
                </w:tcPr>
                <w:p w14:paraId="181200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E0B736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.51</w:t>
                  </w:r>
                </w:p>
              </w:tc>
              <w:tc>
                <w:tcPr>
                  <w:tcW w:w="315" w:type="pct"/>
                  <w:tcBorders>
                    <w:tl2br w:val="nil"/>
                    <w:tr2bl w:val="nil"/>
                  </w:tcBorders>
                  <w:noWrap w:val="0"/>
                  <w:vAlign w:val="center"/>
                </w:tcPr>
                <w:p w14:paraId="0DC22C2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584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6D6C56C">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250" w:type="pct"/>
                  <w:vMerge w:val="continue"/>
                  <w:tcBorders>
                    <w:tl2br w:val="nil"/>
                    <w:tr2bl w:val="nil"/>
                  </w:tcBorders>
                  <w:noWrap w:val="0"/>
                  <w:vAlign w:val="center"/>
                </w:tcPr>
                <w:p w14:paraId="05362D70">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A60E4D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318" w:type="pct"/>
                  <w:tcBorders>
                    <w:tl2br w:val="nil"/>
                    <w:tr2bl w:val="nil"/>
                  </w:tcBorders>
                  <w:noWrap w:val="0"/>
                  <w:vAlign w:val="center"/>
                </w:tcPr>
                <w:p w14:paraId="39127F73">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404" w:type="pct"/>
                  <w:tcBorders>
                    <w:tl2br w:val="nil"/>
                    <w:tr2bl w:val="nil"/>
                  </w:tcBorders>
                  <w:noWrap w:val="0"/>
                  <w:vAlign w:val="center"/>
                </w:tcPr>
                <w:p w14:paraId="0D0B34AE">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69FACB91">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114BEC0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217" w:type="pct"/>
                  <w:tcBorders>
                    <w:tl2br w:val="nil"/>
                    <w:tr2bl w:val="nil"/>
                  </w:tcBorders>
                  <w:noWrap w:val="0"/>
                  <w:vAlign w:val="center"/>
                </w:tcPr>
                <w:p w14:paraId="6E08D8C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74E19A6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9C89FE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20</w:t>
                  </w:r>
                </w:p>
              </w:tc>
              <w:tc>
                <w:tcPr>
                  <w:tcW w:w="434" w:type="pct"/>
                  <w:tcBorders>
                    <w:tl2br w:val="nil"/>
                    <w:tr2bl w:val="nil"/>
                  </w:tcBorders>
                  <w:noWrap w:val="0"/>
                  <w:vAlign w:val="center"/>
                </w:tcPr>
                <w:p w14:paraId="4B4E717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49.01</w:t>
                  </w:r>
                </w:p>
              </w:tc>
              <w:tc>
                <w:tcPr>
                  <w:tcW w:w="340" w:type="pct"/>
                  <w:vMerge w:val="continue"/>
                  <w:tcBorders>
                    <w:tl2br w:val="nil"/>
                    <w:tr2bl w:val="nil"/>
                  </w:tcBorders>
                  <w:noWrap w:val="0"/>
                  <w:vAlign w:val="center"/>
                </w:tcPr>
                <w:p w14:paraId="115B4C0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213E4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020158F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.01</w:t>
                  </w:r>
                </w:p>
              </w:tc>
              <w:tc>
                <w:tcPr>
                  <w:tcW w:w="315" w:type="pct"/>
                  <w:tcBorders>
                    <w:tl2br w:val="nil"/>
                    <w:tr2bl w:val="nil"/>
                  </w:tcBorders>
                  <w:noWrap w:val="0"/>
                  <w:vAlign w:val="center"/>
                </w:tcPr>
                <w:p w14:paraId="255A86E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60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48E043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250" w:type="pct"/>
                  <w:vMerge w:val="continue"/>
                  <w:tcBorders>
                    <w:tl2br w:val="nil"/>
                    <w:tr2bl w:val="nil"/>
                  </w:tcBorders>
                  <w:noWrap w:val="0"/>
                  <w:vAlign w:val="center"/>
                </w:tcPr>
                <w:p w14:paraId="574EA6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B80995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318" w:type="pct"/>
                  <w:tcBorders>
                    <w:tl2br w:val="nil"/>
                    <w:tr2bl w:val="nil"/>
                  </w:tcBorders>
                  <w:noWrap w:val="0"/>
                  <w:vAlign w:val="center"/>
                </w:tcPr>
                <w:p w14:paraId="710A933B">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4BE3B0D">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71B90A5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599606D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w:t>
                  </w:r>
                </w:p>
              </w:tc>
              <w:tc>
                <w:tcPr>
                  <w:tcW w:w="217" w:type="pct"/>
                  <w:tcBorders>
                    <w:tl2br w:val="nil"/>
                    <w:tr2bl w:val="nil"/>
                  </w:tcBorders>
                  <w:noWrap w:val="0"/>
                  <w:vAlign w:val="center"/>
                </w:tcPr>
                <w:p w14:paraId="5E44073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209" w:type="pct"/>
                  <w:tcBorders>
                    <w:tl2br w:val="nil"/>
                    <w:tr2bl w:val="nil"/>
                  </w:tcBorders>
                  <w:noWrap w:val="0"/>
                  <w:vAlign w:val="center"/>
                </w:tcPr>
                <w:p w14:paraId="07FDBF0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325" w:type="pct"/>
                  <w:tcBorders>
                    <w:tl2br w:val="nil"/>
                    <w:tr2bl w:val="nil"/>
                  </w:tcBorders>
                  <w:noWrap w:val="0"/>
                  <w:vAlign w:val="center"/>
                </w:tcPr>
                <w:p w14:paraId="693CE3D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8</w:t>
                  </w:r>
                </w:p>
              </w:tc>
              <w:tc>
                <w:tcPr>
                  <w:tcW w:w="434" w:type="pct"/>
                  <w:tcBorders>
                    <w:tl2br w:val="nil"/>
                    <w:tr2bl w:val="nil"/>
                  </w:tcBorders>
                  <w:noWrap w:val="0"/>
                  <w:vAlign w:val="center"/>
                </w:tcPr>
                <w:p w14:paraId="1F9674A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56.94</w:t>
                  </w:r>
                </w:p>
              </w:tc>
              <w:tc>
                <w:tcPr>
                  <w:tcW w:w="340" w:type="pct"/>
                  <w:vMerge w:val="continue"/>
                  <w:tcBorders>
                    <w:tl2br w:val="nil"/>
                    <w:tr2bl w:val="nil"/>
                  </w:tcBorders>
                  <w:noWrap w:val="0"/>
                  <w:vAlign w:val="center"/>
                </w:tcPr>
                <w:p w14:paraId="322923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1743428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56" w:type="pct"/>
                  <w:tcBorders>
                    <w:tl2br w:val="nil"/>
                    <w:tr2bl w:val="nil"/>
                  </w:tcBorders>
                  <w:noWrap w:val="0"/>
                  <w:vAlign w:val="center"/>
                </w:tcPr>
                <w:p w14:paraId="269496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35.94</w:t>
                  </w:r>
                </w:p>
              </w:tc>
              <w:tc>
                <w:tcPr>
                  <w:tcW w:w="315" w:type="pct"/>
                  <w:tcBorders>
                    <w:tl2br w:val="nil"/>
                    <w:tr2bl w:val="nil"/>
                  </w:tcBorders>
                  <w:noWrap w:val="0"/>
                  <w:vAlign w:val="center"/>
                </w:tcPr>
                <w:p w14:paraId="56BBCAC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r>
            <w:tr w14:paraId="5316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5EE28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250" w:type="pct"/>
                  <w:vMerge w:val="continue"/>
                  <w:tcBorders>
                    <w:tl2br w:val="nil"/>
                    <w:tr2bl w:val="nil"/>
                  </w:tcBorders>
                  <w:noWrap w:val="0"/>
                  <w:vAlign w:val="center"/>
                </w:tcPr>
                <w:p w14:paraId="4133AAA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92493C0">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318" w:type="pct"/>
                  <w:tcBorders>
                    <w:tl2br w:val="nil"/>
                    <w:tr2bl w:val="nil"/>
                  </w:tcBorders>
                  <w:noWrap w:val="0"/>
                  <w:vAlign w:val="center"/>
                </w:tcPr>
                <w:p w14:paraId="300EE81A">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C234034">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4E0FEFC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7FF5288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217" w:type="pct"/>
                  <w:tcBorders>
                    <w:tl2br w:val="nil"/>
                    <w:tr2bl w:val="nil"/>
                  </w:tcBorders>
                  <w:noWrap w:val="0"/>
                  <w:vAlign w:val="center"/>
                </w:tcPr>
                <w:p w14:paraId="56A92F2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53BC3F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F4504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0FB8937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67.38</w:t>
                  </w:r>
                </w:p>
              </w:tc>
              <w:tc>
                <w:tcPr>
                  <w:tcW w:w="340" w:type="pct"/>
                  <w:vMerge w:val="continue"/>
                  <w:tcBorders>
                    <w:tl2br w:val="nil"/>
                    <w:tr2bl w:val="nil"/>
                  </w:tcBorders>
                  <w:noWrap w:val="0"/>
                  <w:vAlign w:val="center"/>
                </w:tcPr>
                <w:p w14:paraId="2492862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AEF9FA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FD5B0E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.38</w:t>
                  </w:r>
                </w:p>
              </w:tc>
              <w:tc>
                <w:tcPr>
                  <w:tcW w:w="315" w:type="pct"/>
                  <w:tcBorders>
                    <w:tl2br w:val="nil"/>
                    <w:tr2bl w:val="nil"/>
                  </w:tcBorders>
                  <w:noWrap w:val="0"/>
                  <w:vAlign w:val="center"/>
                </w:tcPr>
                <w:p w14:paraId="47696EC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381B4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D066909">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250" w:type="pct"/>
                  <w:vMerge w:val="continue"/>
                  <w:tcBorders>
                    <w:tl2br w:val="nil"/>
                    <w:tr2bl w:val="nil"/>
                  </w:tcBorders>
                  <w:noWrap w:val="0"/>
                  <w:vAlign w:val="center"/>
                </w:tcPr>
                <w:p w14:paraId="1EC36F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12982F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焊接机</w:t>
                  </w:r>
                </w:p>
              </w:tc>
              <w:tc>
                <w:tcPr>
                  <w:tcW w:w="318" w:type="pct"/>
                  <w:tcBorders>
                    <w:tl2br w:val="nil"/>
                    <w:tr2bl w:val="nil"/>
                  </w:tcBorders>
                  <w:noWrap w:val="0"/>
                  <w:vAlign w:val="center"/>
                </w:tcPr>
                <w:p w14:paraId="5F9489C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w:t>
                  </w:r>
                </w:p>
              </w:tc>
              <w:tc>
                <w:tcPr>
                  <w:tcW w:w="404" w:type="pct"/>
                  <w:tcBorders>
                    <w:tl2br w:val="nil"/>
                    <w:tr2bl w:val="nil"/>
                  </w:tcBorders>
                  <w:noWrap w:val="0"/>
                  <w:vAlign w:val="center"/>
                </w:tcPr>
                <w:p w14:paraId="737F203A">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70</w:t>
                  </w:r>
                </w:p>
              </w:tc>
              <w:tc>
                <w:tcPr>
                  <w:tcW w:w="340" w:type="pct"/>
                  <w:vMerge w:val="continue"/>
                  <w:tcBorders>
                    <w:tl2br w:val="nil"/>
                    <w:tr2bl w:val="nil"/>
                  </w:tcBorders>
                  <w:noWrap w:val="0"/>
                  <w:vAlign w:val="center"/>
                </w:tcPr>
                <w:p w14:paraId="246B5EE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394B914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w:t>
                  </w:r>
                </w:p>
              </w:tc>
              <w:tc>
                <w:tcPr>
                  <w:tcW w:w="217" w:type="pct"/>
                  <w:tcBorders>
                    <w:tl2br w:val="nil"/>
                    <w:tr2bl w:val="nil"/>
                  </w:tcBorders>
                  <w:noWrap w:val="0"/>
                  <w:vAlign w:val="center"/>
                </w:tcPr>
                <w:p w14:paraId="0675446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3326312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7FAE44E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465F53E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3.97</w:t>
                  </w:r>
                </w:p>
              </w:tc>
              <w:tc>
                <w:tcPr>
                  <w:tcW w:w="340" w:type="pct"/>
                  <w:vMerge w:val="continue"/>
                  <w:tcBorders>
                    <w:tl2br w:val="nil"/>
                    <w:tr2bl w:val="nil"/>
                  </w:tcBorders>
                  <w:noWrap w:val="0"/>
                  <w:vAlign w:val="center"/>
                </w:tcPr>
                <w:p w14:paraId="175FAF9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8D35BF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35B0891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.97</w:t>
                  </w:r>
                </w:p>
              </w:tc>
              <w:tc>
                <w:tcPr>
                  <w:tcW w:w="315" w:type="pct"/>
                  <w:tcBorders>
                    <w:tl2br w:val="nil"/>
                    <w:tr2bl w:val="nil"/>
                  </w:tcBorders>
                  <w:noWrap w:val="0"/>
                  <w:vAlign w:val="center"/>
                </w:tcPr>
                <w:p w14:paraId="0B269AF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1C08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C39376">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w:t>
                  </w:r>
                </w:p>
              </w:tc>
              <w:tc>
                <w:tcPr>
                  <w:tcW w:w="250" w:type="pct"/>
                  <w:vMerge w:val="continue"/>
                  <w:tcBorders>
                    <w:tl2br w:val="nil"/>
                    <w:tr2bl w:val="nil"/>
                  </w:tcBorders>
                  <w:noWrap w:val="0"/>
                  <w:vAlign w:val="center"/>
                </w:tcPr>
                <w:p w14:paraId="7533C6A8">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DA3D456">
                  <w:pPr>
                    <w:spacing w:line="240" w:lineRule="auto"/>
                    <w:jc w:val="center"/>
                    <w:rPr>
                      <w:rFonts w:hint="default" w:ascii="Times New Roman" w:hAnsi="Times New Roman"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noWrap w:val="0"/>
                  <w:vAlign w:val="center"/>
                </w:tcPr>
                <w:p w14:paraId="59409814">
                  <w:pPr>
                    <w:spacing w:line="36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404" w:type="pct"/>
                  <w:tcBorders>
                    <w:tl2br w:val="nil"/>
                    <w:tr2bl w:val="nil"/>
                  </w:tcBorders>
                  <w:noWrap w:val="0"/>
                  <w:vAlign w:val="center"/>
                </w:tcPr>
                <w:p w14:paraId="7FA0690B">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608A620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060EE2C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217" w:type="pct"/>
                  <w:tcBorders>
                    <w:tl2br w:val="nil"/>
                    <w:tr2bl w:val="nil"/>
                  </w:tcBorders>
                  <w:noWrap w:val="0"/>
                  <w:vAlign w:val="center"/>
                </w:tcPr>
                <w:p w14:paraId="78F2C24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209" w:type="pct"/>
                  <w:tcBorders>
                    <w:tl2br w:val="nil"/>
                    <w:tr2bl w:val="nil"/>
                  </w:tcBorders>
                  <w:noWrap w:val="0"/>
                  <w:vAlign w:val="center"/>
                </w:tcPr>
                <w:p w14:paraId="3F64AE1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6DBAD1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34" w:type="pct"/>
                  <w:tcBorders>
                    <w:tl2br w:val="nil"/>
                    <w:tr2bl w:val="nil"/>
                  </w:tcBorders>
                  <w:noWrap w:val="0"/>
                  <w:vAlign w:val="center"/>
                </w:tcPr>
                <w:p w14:paraId="1798CF9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66.94</w:t>
                  </w:r>
                </w:p>
              </w:tc>
              <w:tc>
                <w:tcPr>
                  <w:tcW w:w="340" w:type="pct"/>
                  <w:vMerge w:val="continue"/>
                  <w:tcBorders>
                    <w:tl2br w:val="nil"/>
                    <w:tr2bl w:val="nil"/>
                  </w:tcBorders>
                  <w:noWrap w:val="0"/>
                  <w:vAlign w:val="center"/>
                </w:tcPr>
                <w:p w14:paraId="4577D5B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69052D2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1540C5A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46.94</w:t>
                  </w:r>
                </w:p>
              </w:tc>
              <w:tc>
                <w:tcPr>
                  <w:tcW w:w="315" w:type="pct"/>
                  <w:tcBorders>
                    <w:tl2br w:val="nil"/>
                    <w:tr2bl w:val="nil"/>
                  </w:tcBorders>
                  <w:noWrap w:val="0"/>
                  <w:vAlign w:val="center"/>
                </w:tcPr>
                <w:p w14:paraId="71BF504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35A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1617B6F">
                  <w:pPr>
                    <w:keepNext w:val="0"/>
                    <w:keepLines w:val="0"/>
                    <w:pageBreakBefore w:val="0"/>
                    <w:kinsoku/>
                    <w:wordWrap/>
                    <w:overflowPunct/>
                    <w:topLinePunct w:val="0"/>
                    <w:autoSpaceDE/>
                    <w:autoSpaceDN/>
                    <w:bidi w:val="0"/>
                    <w:adjustRightInd w:val="0"/>
                    <w:snapToGrid w:val="0"/>
                    <w:spacing w:line="240" w:lineRule="auto"/>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7</w:t>
                  </w:r>
                </w:p>
              </w:tc>
              <w:tc>
                <w:tcPr>
                  <w:tcW w:w="250" w:type="pct"/>
                  <w:vMerge w:val="continue"/>
                  <w:tcBorders>
                    <w:tl2br w:val="nil"/>
                    <w:tr2bl w:val="nil"/>
                  </w:tcBorders>
                  <w:noWrap w:val="0"/>
                  <w:vAlign w:val="center"/>
                </w:tcPr>
                <w:p w14:paraId="3265C29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shd w:val="clear" w:color="auto" w:fill="auto"/>
                  <w:noWrap w:val="0"/>
                  <w:vAlign w:val="center"/>
                </w:tcPr>
                <w:p w14:paraId="6CBDEA7B">
                  <w:pPr>
                    <w:spacing w:line="240" w:lineRule="auto"/>
                    <w:jc w:val="center"/>
                    <w:rPr>
                      <w:rFonts w:hint="eastAsia" w:ascii="Times New Roman" w:hAnsi="Times New Roman" w:eastAsia="宋体"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shd w:val="clear" w:color="auto" w:fill="auto"/>
                  <w:noWrap w:val="0"/>
                  <w:vAlign w:val="center"/>
                </w:tcPr>
                <w:p w14:paraId="1E46C7E8">
                  <w:pPr>
                    <w:spacing w:line="36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404" w:type="pct"/>
                  <w:tcBorders>
                    <w:tl2br w:val="nil"/>
                    <w:tr2bl w:val="nil"/>
                  </w:tcBorders>
                  <w:shd w:val="clear" w:color="auto" w:fill="auto"/>
                  <w:noWrap w:val="0"/>
                  <w:vAlign w:val="center"/>
                </w:tcPr>
                <w:p w14:paraId="1F31BA02">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23D35759">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41FDE042">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217" w:type="pct"/>
                  <w:tcBorders>
                    <w:tl2br w:val="nil"/>
                    <w:tr2bl w:val="nil"/>
                  </w:tcBorders>
                  <w:noWrap w:val="0"/>
                  <w:vAlign w:val="center"/>
                </w:tcPr>
                <w:p w14:paraId="17C5C367">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209" w:type="pct"/>
                  <w:tcBorders>
                    <w:tl2br w:val="nil"/>
                    <w:tr2bl w:val="nil"/>
                  </w:tcBorders>
                  <w:noWrap w:val="0"/>
                  <w:vAlign w:val="center"/>
                </w:tcPr>
                <w:p w14:paraId="7AF1FEB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4E7622E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434" w:type="pct"/>
                  <w:tcBorders>
                    <w:tl2br w:val="nil"/>
                    <w:tr2bl w:val="nil"/>
                  </w:tcBorders>
                  <w:noWrap w:val="0"/>
                  <w:vAlign w:val="center"/>
                </w:tcPr>
                <w:p w14:paraId="04EFAEF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61.47</w:t>
                  </w:r>
                </w:p>
              </w:tc>
              <w:tc>
                <w:tcPr>
                  <w:tcW w:w="340" w:type="pct"/>
                  <w:vMerge w:val="continue"/>
                  <w:tcBorders>
                    <w:tl2br w:val="nil"/>
                    <w:tr2bl w:val="nil"/>
                  </w:tcBorders>
                  <w:noWrap w:val="0"/>
                  <w:vAlign w:val="center"/>
                </w:tcPr>
                <w:p w14:paraId="14113D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032BCE0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05C953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41.47</w:t>
                  </w:r>
                </w:p>
              </w:tc>
              <w:tc>
                <w:tcPr>
                  <w:tcW w:w="315" w:type="pct"/>
                  <w:tcBorders>
                    <w:tl2br w:val="nil"/>
                    <w:tr2bl w:val="nil"/>
                  </w:tcBorders>
                  <w:noWrap w:val="0"/>
                  <w:vAlign w:val="center"/>
                </w:tcPr>
                <w:p w14:paraId="19576AA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2A7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0CF15FC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w:t>
                  </w:r>
                </w:p>
              </w:tc>
              <w:tc>
                <w:tcPr>
                  <w:tcW w:w="250" w:type="pct"/>
                  <w:vMerge w:val="continue"/>
                  <w:tcBorders>
                    <w:tl2br w:val="nil"/>
                    <w:tr2bl w:val="nil"/>
                  </w:tcBorders>
                  <w:noWrap w:val="0"/>
                  <w:vAlign w:val="center"/>
                </w:tcPr>
                <w:p w14:paraId="3E5CCB51">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rPr>
                  </w:pPr>
                </w:p>
              </w:tc>
              <w:tc>
                <w:tcPr>
                  <w:tcW w:w="488" w:type="pct"/>
                  <w:tcBorders>
                    <w:tl2br w:val="nil"/>
                    <w:tr2bl w:val="nil"/>
                  </w:tcBorders>
                  <w:noWrap w:val="0"/>
                  <w:vAlign w:val="center"/>
                </w:tcPr>
                <w:p w14:paraId="5C4C788A">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w:t>
                  </w:r>
                </w:p>
              </w:tc>
              <w:tc>
                <w:tcPr>
                  <w:tcW w:w="318" w:type="pct"/>
                  <w:tcBorders>
                    <w:tl2br w:val="nil"/>
                    <w:tr2bl w:val="nil"/>
                  </w:tcBorders>
                  <w:noWrap w:val="0"/>
                  <w:vAlign w:val="top"/>
                </w:tcPr>
                <w:p w14:paraId="74C296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5DD6D04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w:t>
                  </w:r>
                </w:p>
              </w:tc>
              <w:tc>
                <w:tcPr>
                  <w:tcW w:w="340" w:type="pct"/>
                  <w:vMerge w:val="continue"/>
                  <w:tcBorders>
                    <w:tl2br w:val="nil"/>
                    <w:tr2bl w:val="nil"/>
                  </w:tcBorders>
                  <w:noWrap w:val="0"/>
                  <w:vAlign w:val="center"/>
                </w:tcPr>
                <w:p w14:paraId="1DA7A59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6D6CA81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36</w:t>
                  </w:r>
                </w:p>
              </w:tc>
              <w:tc>
                <w:tcPr>
                  <w:tcW w:w="217" w:type="pct"/>
                  <w:tcBorders>
                    <w:tl2br w:val="nil"/>
                    <w:tr2bl w:val="nil"/>
                  </w:tcBorders>
                  <w:noWrap w:val="0"/>
                  <w:vAlign w:val="center"/>
                </w:tcPr>
                <w:p w14:paraId="6022AAB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35</w:t>
                  </w:r>
                </w:p>
              </w:tc>
              <w:tc>
                <w:tcPr>
                  <w:tcW w:w="209" w:type="pct"/>
                  <w:tcBorders>
                    <w:tl2br w:val="nil"/>
                    <w:tr2bl w:val="nil"/>
                  </w:tcBorders>
                  <w:noWrap w:val="0"/>
                  <w:vAlign w:val="center"/>
                </w:tcPr>
                <w:p w14:paraId="6224437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DAE498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434" w:type="pct"/>
                  <w:tcBorders>
                    <w:tl2br w:val="nil"/>
                    <w:tr2bl w:val="nil"/>
                  </w:tcBorders>
                  <w:noWrap w:val="0"/>
                  <w:vAlign w:val="center"/>
                </w:tcPr>
                <w:p w14:paraId="3C60F1C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82.82</w:t>
                  </w:r>
                </w:p>
              </w:tc>
              <w:tc>
                <w:tcPr>
                  <w:tcW w:w="340" w:type="pct"/>
                  <w:vMerge w:val="continue"/>
                  <w:tcBorders>
                    <w:tl2br w:val="nil"/>
                    <w:tr2bl w:val="nil"/>
                  </w:tcBorders>
                  <w:noWrap w:val="0"/>
                  <w:vAlign w:val="center"/>
                </w:tcPr>
                <w:p w14:paraId="13906A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1F55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F2645C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.82</w:t>
                  </w:r>
                </w:p>
              </w:tc>
              <w:tc>
                <w:tcPr>
                  <w:tcW w:w="315" w:type="pct"/>
                  <w:tcBorders>
                    <w:tl2br w:val="nil"/>
                    <w:tr2bl w:val="nil"/>
                  </w:tcBorders>
                  <w:noWrap w:val="0"/>
                  <w:vAlign w:val="center"/>
                </w:tcPr>
                <w:p w14:paraId="64F0348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55EE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5000" w:type="pct"/>
                  <w:gridSpan w:val="15"/>
                  <w:tcBorders>
                    <w:tl2br w:val="nil"/>
                    <w:tr2bl w:val="nil"/>
                  </w:tcBorders>
                  <w:noWrap w:val="0"/>
                  <w:vAlign w:val="center"/>
                </w:tcPr>
                <w:p w14:paraId="2169B62C">
                  <w:pPr>
                    <w:keepNext w:val="0"/>
                    <w:keepLines w:val="0"/>
                    <w:pageBreakBefore w:val="0"/>
                    <w:widowControl/>
                    <w:kinsoku/>
                    <w:wordWrap/>
                    <w:overflowPunct/>
                    <w:topLinePunct w:val="0"/>
                    <w:autoSpaceDE/>
                    <w:autoSpaceDN/>
                    <w:bidi w:val="0"/>
                    <w:spacing w:line="240" w:lineRule="auto"/>
                    <w:jc w:val="both"/>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2"/>
                      <w:szCs w:val="22"/>
                      <w:highlight w:val="none"/>
                    </w:rPr>
                    <w:t>注：空间相对位置以厂区西</w:t>
                  </w:r>
                  <w:r>
                    <w:rPr>
                      <w:rFonts w:hint="default" w:ascii="Times New Roman" w:hAnsi="Times New Roman" w:eastAsia="宋体" w:cs="Times New Roman"/>
                      <w:color w:val="auto"/>
                      <w:sz w:val="22"/>
                      <w:szCs w:val="22"/>
                      <w:highlight w:val="none"/>
                      <w:lang w:val="en-US" w:eastAsia="zh-CN"/>
                    </w:rPr>
                    <w:t>南</w:t>
                  </w:r>
                  <w:r>
                    <w:rPr>
                      <w:rFonts w:hint="default" w:ascii="Times New Roman" w:hAnsi="Times New Roman" w:eastAsia="宋体" w:cs="Times New Roman"/>
                      <w:color w:val="auto"/>
                      <w:sz w:val="22"/>
                      <w:szCs w:val="22"/>
                      <w:highlight w:val="none"/>
                    </w:rPr>
                    <w:t>角为原点（0,0,0）。</w:t>
                  </w:r>
                </w:p>
              </w:tc>
            </w:tr>
          </w:tbl>
          <w:p w14:paraId="734E69C4">
            <w:pPr>
              <w:spacing w:line="480" w:lineRule="exact"/>
              <w:ind w:firstLine="480"/>
              <w:jc w:val="center"/>
              <w:rPr>
                <w:rFonts w:hint="default" w:cs="Times New Roman"/>
                <w:b/>
                <w:bCs/>
                <w:color w:val="auto"/>
                <w:sz w:val="24"/>
                <w:highlight w:val="none"/>
                <w:lang w:val="en-US" w:eastAsia="zh-CN"/>
              </w:rPr>
            </w:pPr>
            <w:r>
              <w:rPr>
                <w:rFonts w:hint="default" w:cs="Times New Roman"/>
                <w:b/>
                <w:bCs/>
                <w:color w:val="auto"/>
                <w:sz w:val="24"/>
                <w:highlight w:val="none"/>
                <w:lang w:val="en-US" w:eastAsia="zh-CN"/>
              </w:rPr>
              <w:t>表 4-</w:t>
            </w:r>
            <w:r>
              <w:rPr>
                <w:rFonts w:hint="eastAsia" w:cs="Times New Roman"/>
                <w:b/>
                <w:bCs/>
                <w:color w:val="auto"/>
                <w:sz w:val="24"/>
                <w:highlight w:val="none"/>
                <w:lang w:val="en-US" w:eastAsia="zh-CN"/>
              </w:rPr>
              <w:t>8.2</w:t>
            </w:r>
            <w:r>
              <w:rPr>
                <w:rFonts w:hint="default" w:cs="Times New Roman"/>
                <w:b/>
                <w:bCs/>
                <w:color w:val="auto"/>
                <w:sz w:val="24"/>
                <w:highlight w:val="none"/>
                <w:lang w:val="en-US" w:eastAsia="zh-CN"/>
              </w:rPr>
              <w:t xml:space="preserve">   项目室外噪声污染源强核算结果及相关参数一览表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436"/>
              <w:gridCol w:w="1698"/>
              <w:gridCol w:w="1481"/>
              <w:gridCol w:w="1345"/>
              <w:gridCol w:w="664"/>
              <w:gridCol w:w="704"/>
              <w:gridCol w:w="734"/>
              <w:gridCol w:w="1300"/>
            </w:tblGrid>
            <w:tr w14:paraId="398AC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restart"/>
                  <w:shd w:val="clear" w:color="auto" w:fill="auto"/>
                  <w:noWrap/>
                  <w:vAlign w:val="center"/>
                </w:tcPr>
                <w:p w14:paraId="3297CF4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序号</w:t>
                  </w:r>
                </w:p>
              </w:tc>
              <w:tc>
                <w:tcPr>
                  <w:tcW w:w="1046" w:type="pct"/>
                  <w:vMerge w:val="restart"/>
                  <w:shd w:val="clear" w:color="auto" w:fill="auto"/>
                  <w:noWrap/>
                  <w:vAlign w:val="center"/>
                </w:tcPr>
                <w:p w14:paraId="314BCC15">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声源名称</w:t>
                  </w:r>
                </w:p>
              </w:tc>
              <w:tc>
                <w:tcPr>
                  <w:tcW w:w="742" w:type="pct"/>
                  <w:vMerge w:val="restart"/>
                  <w:shd w:val="clear" w:color="auto" w:fill="auto"/>
                  <w:noWrap/>
                  <w:vAlign w:val="center"/>
                </w:tcPr>
                <w:p w14:paraId="2B8FDF5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声功率级/dB(A</w:t>
                  </w:r>
                  <w:r>
                    <w:rPr>
                      <w:rFonts w:hint="default" w:ascii="Times New Roman" w:hAnsi="Times New Roman" w:cs="Times New Roman"/>
                      <w:color w:val="auto"/>
                      <w:spacing w:val="-10"/>
                      <w:sz w:val="21"/>
                      <w:szCs w:val="21"/>
                      <w:highlight w:val="none"/>
                      <w:lang w:val="en-US" w:eastAsia="zh-CN"/>
                    </w:rPr>
                    <w:t>）</w:t>
                  </w:r>
                </w:p>
              </w:tc>
              <w:tc>
                <w:tcPr>
                  <w:tcW w:w="834" w:type="pct"/>
                  <w:vMerge w:val="restart"/>
                  <w:shd w:val="clear" w:color="auto" w:fill="auto"/>
                  <w:noWrap/>
                  <w:vAlign w:val="center"/>
                </w:tcPr>
                <w:p w14:paraId="06D74AFE">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声源控制措施</w:t>
                  </w:r>
                </w:p>
              </w:tc>
              <w:tc>
                <w:tcPr>
                  <w:tcW w:w="1347" w:type="pct"/>
                  <w:gridSpan w:val="3"/>
                  <w:shd w:val="clear" w:color="auto" w:fill="auto"/>
                  <w:noWrap/>
                  <w:vAlign w:val="center"/>
                </w:tcPr>
                <w:p w14:paraId="2CAE79C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空间相对位置/m</w:t>
                  </w:r>
                </w:p>
              </w:tc>
              <w:tc>
                <w:tcPr>
                  <w:tcW w:w="804" w:type="pct"/>
                  <w:vMerge w:val="restart"/>
                  <w:shd w:val="clear" w:color="auto" w:fill="auto"/>
                  <w:noWrap/>
                  <w:vAlign w:val="center"/>
                </w:tcPr>
                <w:p w14:paraId="20AFF0F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运行时段</w:t>
                  </w:r>
                </w:p>
              </w:tc>
            </w:tr>
            <w:tr w14:paraId="3B6F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vMerge w:val="continue"/>
                  <w:shd w:val="clear" w:color="auto" w:fill="auto"/>
                  <w:noWrap/>
                  <w:vAlign w:val="center"/>
                </w:tcPr>
                <w:p w14:paraId="2CB770C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1046" w:type="pct"/>
                  <w:vMerge w:val="continue"/>
                  <w:shd w:val="clear" w:color="auto" w:fill="auto"/>
                  <w:noWrap/>
                  <w:vAlign w:val="center"/>
                </w:tcPr>
                <w:p w14:paraId="10D9BB3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742" w:type="pct"/>
                  <w:vMerge w:val="continue"/>
                  <w:shd w:val="clear" w:color="auto" w:fill="auto"/>
                  <w:vAlign w:val="center"/>
                </w:tcPr>
                <w:p w14:paraId="4F73E1E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834" w:type="pct"/>
                  <w:vMerge w:val="continue"/>
                  <w:shd w:val="clear" w:color="auto" w:fill="auto"/>
                  <w:noWrap/>
                  <w:vAlign w:val="center"/>
                </w:tcPr>
                <w:p w14:paraId="06A69B2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427" w:type="pct"/>
                  <w:shd w:val="clear" w:color="auto" w:fill="auto"/>
                  <w:noWrap/>
                  <w:vAlign w:val="center"/>
                </w:tcPr>
                <w:p w14:paraId="150C6F2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X</w:t>
                  </w:r>
                </w:p>
              </w:tc>
              <w:tc>
                <w:tcPr>
                  <w:tcW w:w="451" w:type="pct"/>
                  <w:shd w:val="clear" w:color="auto" w:fill="auto"/>
                  <w:noWrap/>
                  <w:vAlign w:val="center"/>
                </w:tcPr>
                <w:p w14:paraId="216DBF6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Y</w:t>
                  </w:r>
                </w:p>
              </w:tc>
              <w:tc>
                <w:tcPr>
                  <w:tcW w:w="468" w:type="pct"/>
                  <w:shd w:val="clear" w:color="auto" w:fill="auto"/>
                  <w:noWrap/>
                  <w:vAlign w:val="center"/>
                </w:tcPr>
                <w:p w14:paraId="6C3186E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Z</w:t>
                  </w:r>
                </w:p>
              </w:tc>
              <w:tc>
                <w:tcPr>
                  <w:tcW w:w="804" w:type="pct"/>
                  <w:vMerge w:val="continue"/>
                  <w:shd w:val="clear" w:color="auto" w:fill="auto"/>
                  <w:noWrap/>
                  <w:vAlign w:val="center"/>
                </w:tcPr>
                <w:p w14:paraId="5F30AB29">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r>
            <w:tr w14:paraId="7157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CE9339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1</w:t>
                  </w:r>
                </w:p>
              </w:tc>
              <w:tc>
                <w:tcPr>
                  <w:tcW w:w="1046" w:type="pct"/>
                  <w:shd w:val="clear" w:color="auto" w:fill="auto"/>
                  <w:noWrap/>
                  <w:vAlign w:val="center"/>
                </w:tcPr>
                <w:p w14:paraId="30B50D7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5525CEB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5E5158C7">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6DB6A89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35</w:t>
                  </w:r>
                </w:p>
              </w:tc>
              <w:tc>
                <w:tcPr>
                  <w:tcW w:w="451" w:type="pct"/>
                  <w:shd w:val="clear" w:color="auto" w:fill="auto"/>
                  <w:noWrap/>
                  <w:vAlign w:val="center"/>
                </w:tcPr>
                <w:p w14:paraId="4CCDB3F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114</w:t>
                  </w:r>
                </w:p>
              </w:tc>
              <w:tc>
                <w:tcPr>
                  <w:tcW w:w="468" w:type="pct"/>
                  <w:shd w:val="clear" w:color="auto" w:fill="FFFFFF"/>
                  <w:noWrap/>
                  <w:vAlign w:val="center"/>
                </w:tcPr>
                <w:p w14:paraId="0D6F667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0E73E63F">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0A8F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DFEDD9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eastAsia" w:cs="Times New Roman"/>
                      <w:color w:val="auto"/>
                      <w:spacing w:val="-10"/>
                      <w:sz w:val="21"/>
                      <w:szCs w:val="21"/>
                      <w:highlight w:val="none"/>
                      <w:lang w:val="en-US" w:eastAsia="zh-CN"/>
                    </w:rPr>
                    <w:t>2</w:t>
                  </w:r>
                </w:p>
              </w:tc>
              <w:tc>
                <w:tcPr>
                  <w:tcW w:w="1046" w:type="pct"/>
                  <w:shd w:val="clear" w:color="auto" w:fill="auto"/>
                  <w:noWrap/>
                  <w:vAlign w:val="center"/>
                </w:tcPr>
                <w:p w14:paraId="03D5EF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4AD1172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7440FC7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114B721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110</w:t>
                  </w:r>
                </w:p>
              </w:tc>
              <w:tc>
                <w:tcPr>
                  <w:tcW w:w="451" w:type="pct"/>
                  <w:shd w:val="clear" w:color="auto" w:fill="auto"/>
                  <w:noWrap/>
                  <w:vAlign w:val="center"/>
                </w:tcPr>
                <w:p w14:paraId="4EF748F5">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-8</w:t>
                  </w:r>
                </w:p>
              </w:tc>
              <w:tc>
                <w:tcPr>
                  <w:tcW w:w="468" w:type="pct"/>
                  <w:shd w:val="clear" w:color="auto" w:fill="FFFFFF"/>
                  <w:noWrap/>
                  <w:vAlign w:val="center"/>
                </w:tcPr>
                <w:p w14:paraId="72389152">
                  <w:pPr>
                    <w:keepNext w:val="0"/>
                    <w:keepLines w:val="0"/>
                    <w:widowControl/>
                    <w:suppressLineNumbers w:val="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11FC621A">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7408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000" w:type="pct"/>
                  <w:gridSpan w:val="8"/>
                  <w:shd w:val="clear" w:color="auto" w:fill="auto"/>
                  <w:noWrap/>
                  <w:vAlign w:val="center"/>
                </w:tcPr>
                <w:p w14:paraId="7DD43BA7">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eastAsia="宋体" w:cs="Times New Roman"/>
                      <w:color w:val="auto"/>
                      <w:sz w:val="21"/>
                      <w:szCs w:val="21"/>
                      <w:highlight w:val="none"/>
                    </w:rPr>
                    <w:t>注：空间相对位置以厂区西</w:t>
                  </w:r>
                  <w:r>
                    <w:rPr>
                      <w:rFonts w:hint="default" w:ascii="Times New Roman" w:hAnsi="Times New Roman" w:eastAsia="宋体" w:cs="Times New Roman"/>
                      <w:color w:val="auto"/>
                      <w:sz w:val="21"/>
                      <w:szCs w:val="21"/>
                      <w:highlight w:val="none"/>
                      <w:lang w:val="en-US" w:eastAsia="zh-CN"/>
                    </w:rPr>
                    <w:t>南</w:t>
                  </w:r>
                  <w:r>
                    <w:rPr>
                      <w:rFonts w:hint="default" w:ascii="Times New Roman" w:hAnsi="Times New Roman" w:eastAsia="宋体" w:cs="Times New Roman"/>
                      <w:color w:val="auto"/>
                      <w:sz w:val="21"/>
                      <w:szCs w:val="21"/>
                      <w:highlight w:val="none"/>
                    </w:rPr>
                    <w:t>角为原点（0,0,0）。</w:t>
                  </w:r>
                </w:p>
              </w:tc>
            </w:tr>
          </w:tbl>
          <w:p w14:paraId="3E553D2B">
            <w:pPr>
              <w:keepNext w:val="0"/>
              <w:keepLines w:val="0"/>
              <w:pageBreakBefore w:val="0"/>
              <w:widowControl w:val="0"/>
              <w:kinsoku/>
              <w:wordWrap/>
              <w:overflowPunct/>
              <w:topLinePunct w:val="0"/>
              <w:autoSpaceDE/>
              <w:autoSpaceDN/>
              <w:bidi w:val="0"/>
              <w:adjustRightInd w:val="0"/>
              <w:snapToGrid/>
              <w:spacing w:line="480" w:lineRule="exact"/>
              <w:ind w:left="0" w:leftChars="0" w:right="0" w:rightChars="0" w:firstLine="480" w:firstLineChars="200"/>
              <w:jc w:val="both"/>
              <w:textAlignment w:val="baseline"/>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（2）预测模式</w:t>
            </w:r>
          </w:p>
          <w:p w14:paraId="0C485CF8">
            <w:pPr>
              <w:spacing w:line="440" w:lineRule="exact"/>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噪声从声源传至受声点，因受传播距离、空气吸收、阻挡物的反射与屏障等因素影响，会使其产生衰减。</w:t>
            </w:r>
          </w:p>
          <w:p w14:paraId="4C056737">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snapToGrid w:val="0"/>
                <w:color w:val="auto"/>
                <w:kern w:val="0"/>
                <w:sz w:val="24"/>
                <w:szCs w:val="20"/>
                <w:highlight w:val="none"/>
              </w:rPr>
              <w:t>根据《环境影响评价技术导则声环境》（HJ2.4-2021），</w:t>
            </w:r>
            <w:r>
              <w:rPr>
                <w:rFonts w:hint="default" w:ascii="Times New Roman" w:hAnsi="Times New Roman" w:eastAsia="宋体" w:cs="Times New Roman"/>
                <w:color w:val="auto"/>
                <w:sz w:val="24"/>
                <w:szCs w:val="20"/>
                <w:highlight w:val="none"/>
              </w:rPr>
              <w:t>室外声源对厂界噪声预测点贡献值预测模式各声源对预测点的贡献值按A声级计算公示为：</w:t>
            </w:r>
          </w:p>
          <w:p w14:paraId="1C6CA636">
            <w:pPr>
              <w:spacing w:line="440" w:lineRule="exact"/>
              <w:ind w:firstLine="480"/>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p</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w:t>
            </w:r>
          </w:p>
          <w:p w14:paraId="71F833CE">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(r)──预测点处声压级，dB；</w:t>
            </w:r>
          </w:p>
          <w:p w14:paraId="71B94C07">
            <w:pPr>
              <w:spacing w:line="440" w:lineRule="exact"/>
              <w:ind w:firstLine="1200" w:firstLineChars="500"/>
              <w:rPr>
                <w:rFonts w:hint="default" w:ascii="Times New Roman" w:hAnsi="Times New Roman" w:eastAsia="宋体" w:cs="Times New Roman"/>
                <w:color w:val="auto"/>
                <w:sz w:val="24"/>
                <w:szCs w:val="20"/>
                <w:highlight w:val="none"/>
                <w:vertAlign w:val="subscript"/>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──由点声源产生的声功率级（A计权或倍频带），dB；</w:t>
            </w:r>
          </w:p>
          <w:p w14:paraId="159A7746">
            <w:pPr>
              <w:spacing w:line="440" w:lineRule="exact"/>
              <w:ind w:left="1410" w:leftChars="100" w:hanging="1200" w:hangingChars="5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—指向性校正，它描述点声源的等效连续声压级与产生声功率级L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的全向点声源在规定方向的偏差程度，dB；</w:t>
            </w:r>
          </w:p>
          <w:p w14:paraId="108D273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──几何发散引起的衰减，dB；</w:t>
            </w:r>
          </w:p>
          <w:p w14:paraId="1E7707D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──大气吸收引起的衰减，dB；</w:t>
            </w:r>
          </w:p>
          <w:p w14:paraId="36522FE9">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──障碍物屏蔽引起的衰减，dB；</w:t>
            </w:r>
          </w:p>
          <w:p w14:paraId="6174DF7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──地面效应引起的衰减，dB；</w:t>
            </w:r>
          </w:p>
          <w:p w14:paraId="2A873430">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──其他多方面效应引起的衰减，dB。</w:t>
            </w:r>
          </w:p>
          <w:p w14:paraId="51A7322F">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①几何发散</w:t>
            </w:r>
          </w:p>
          <w:p w14:paraId="253F2EFC">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对于室外点声源，不考虑其指向性，几何发散衰减计算公式为：</w:t>
            </w:r>
          </w:p>
          <w:p w14:paraId="499304EB">
            <w:pPr>
              <w:spacing w:line="440" w:lineRule="exact"/>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)－20Lg(r/r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w:t>
            </w:r>
          </w:p>
          <w:p w14:paraId="45581A5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②遮挡物引起的衰减</w:t>
            </w:r>
          </w:p>
          <w:p w14:paraId="663E1D2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遮挡物引起的衰减，只考虑各声源所在厂房围护结构的屏蔽效应，（1）中已计算，其他忽略不计。</w:t>
            </w:r>
          </w:p>
          <w:p w14:paraId="66B8A64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③空气吸收引起的衰减</w:t>
            </w:r>
          </w:p>
          <w:p w14:paraId="1BDCEA5C">
            <w:pPr>
              <w:spacing w:line="440" w:lineRule="exact"/>
              <w:ind w:firstLine="482"/>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空气吸收引起的衰减按下式计算：</w:t>
            </w:r>
          </w:p>
          <w:p w14:paraId="7C44BF72">
            <w:pPr>
              <w:ind w:firstLine="482"/>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000125" cy="409575"/>
                  <wp:effectExtent l="0" t="0" r="9525" b="8890"/>
                  <wp:docPr id="1" name="图片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000125" cy="409575"/>
                          </a:xfrm>
                          <a:prstGeom prst="rect">
                            <a:avLst/>
                          </a:prstGeom>
                          <a:noFill/>
                          <a:ln>
                            <a:noFill/>
                          </a:ln>
                        </pic:spPr>
                      </pic:pic>
                    </a:graphicData>
                  </a:graphic>
                </wp:inline>
              </w:drawing>
            </w:r>
          </w:p>
          <w:p w14:paraId="2400AD3D">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w:t>
            </w:r>
          </w:p>
          <w:p w14:paraId="0274CA68">
            <w:pPr>
              <w:spacing w:line="440" w:lineRule="exact"/>
              <w:ind w:firstLine="720" w:firstLineChars="3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r—预测点距声源的距离，m；</w:t>
            </w:r>
          </w:p>
          <w:p w14:paraId="0E576AC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—参考点距声源的距离，m；</w:t>
            </w:r>
          </w:p>
          <w:p w14:paraId="4D154D38">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α—每1000m空气吸收系数。</w:t>
            </w:r>
          </w:p>
          <w:p w14:paraId="52F51EF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④A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衰减</w:t>
            </w:r>
          </w:p>
          <w:p w14:paraId="06C4A481">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（其他衰减）包括声波传播过程中由于云、雾、温度梯度、风及引起的声能量衰减，本次评价中忽略不计。</w:t>
            </w:r>
          </w:p>
          <w:p w14:paraId="1C19AA7B">
            <w:pPr>
              <w:spacing w:line="440" w:lineRule="exact"/>
              <w:ind w:firstLine="48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（2）室内声源对厂界噪声预测点贡献值预测模式</w:t>
            </w:r>
          </w:p>
          <w:p w14:paraId="30C7C818">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室内声源首先换算为等效室外声源，再按各类声源模式计算。</w:t>
            </w:r>
          </w:p>
          <w:p w14:paraId="6DA6A77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①首先计算出某个室内声源靠近围护结构处的倍频带声压级：</w:t>
            </w:r>
          </w:p>
          <w:p w14:paraId="73925155">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2019300" cy="485775"/>
                  <wp:effectExtent l="0" t="0" r="0" b="8890"/>
                  <wp:docPr id="2" name="图片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019300" cy="485775"/>
                          </a:xfrm>
                          <a:prstGeom prst="rect">
                            <a:avLst/>
                          </a:prstGeom>
                          <a:noFill/>
                          <a:ln>
                            <a:noFill/>
                          </a:ln>
                        </pic:spPr>
                      </pic:pic>
                    </a:graphicData>
                  </a:graphic>
                </wp:inline>
              </w:drawing>
            </w:r>
          </w:p>
          <w:p w14:paraId="402F0B7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式中：L</w:t>
            </w:r>
            <w:r>
              <w:rPr>
                <w:rFonts w:hint="default" w:ascii="Times New Roman" w:hAnsi="Times New Roman" w:eastAsia="宋体" w:cs="Times New Roman"/>
                <w:color w:val="auto"/>
                <w:spacing w:val="5"/>
                <w:sz w:val="24"/>
                <w:szCs w:val="20"/>
                <w:highlight w:val="none"/>
                <w:vertAlign w:val="subscript"/>
              </w:rPr>
              <w:t>oct,1</w:t>
            </w:r>
            <w:r>
              <w:rPr>
                <w:rFonts w:hint="default" w:ascii="Times New Roman" w:hAnsi="Times New Roman" w:eastAsia="宋体" w:cs="Times New Roman"/>
                <w:color w:val="auto"/>
                <w:spacing w:val="5"/>
                <w:sz w:val="24"/>
                <w:szCs w:val="20"/>
                <w:highlight w:val="none"/>
              </w:rPr>
              <w:t>为某个室内声源在靠近围护结构处产生的倍频带声压级，Lw oct为某个声源的倍频带声功率级，r</w:t>
            </w:r>
            <w:r>
              <w:rPr>
                <w:rFonts w:hint="default" w:ascii="Times New Roman" w:hAnsi="Times New Roman" w:eastAsia="宋体" w:cs="Times New Roman"/>
                <w:color w:val="auto"/>
                <w:spacing w:val="5"/>
                <w:sz w:val="24"/>
                <w:szCs w:val="20"/>
                <w:highlight w:val="none"/>
                <w:vertAlign w:val="subscript"/>
              </w:rPr>
              <w:t>1</w:t>
            </w:r>
            <w:r>
              <w:rPr>
                <w:rFonts w:hint="default" w:ascii="Times New Roman" w:hAnsi="Times New Roman" w:eastAsia="宋体" w:cs="Times New Roman"/>
                <w:color w:val="auto"/>
                <w:spacing w:val="5"/>
                <w:sz w:val="24"/>
                <w:szCs w:val="20"/>
                <w:highlight w:val="none"/>
              </w:rPr>
              <w:t>为室内某个声源与靠近围护结构处的距离，R为房间常数，Q为方向性因子。</w:t>
            </w:r>
          </w:p>
          <w:p w14:paraId="53651B26">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②计算出所有室内声源的靠近围护结构处产生的总倍频带声压级：</w:t>
            </w:r>
          </w:p>
          <w:p w14:paraId="6E5791F3">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838325" cy="457200"/>
                  <wp:effectExtent l="0" t="0" r="9525" b="0"/>
                  <wp:docPr id="4" name="图片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6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838325" cy="457200"/>
                          </a:xfrm>
                          <a:prstGeom prst="rect">
                            <a:avLst/>
                          </a:prstGeom>
                          <a:noFill/>
                          <a:ln>
                            <a:noFill/>
                          </a:ln>
                        </pic:spPr>
                      </pic:pic>
                    </a:graphicData>
                  </a:graphic>
                </wp:inline>
              </w:drawing>
            </w:r>
          </w:p>
          <w:p w14:paraId="0DE8CBF4">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③计算出室外靠近围护结构处的声压级：</w:t>
            </w:r>
          </w:p>
          <w:p w14:paraId="311ECF48">
            <w:pPr>
              <w:spacing w:line="360" w:lineRule="auto"/>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952625" cy="238125"/>
                  <wp:effectExtent l="0" t="0" r="9525" b="8255"/>
                  <wp:docPr id="9" name="图片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952625" cy="238125"/>
                          </a:xfrm>
                          <a:prstGeom prst="rect">
                            <a:avLst/>
                          </a:prstGeom>
                          <a:noFill/>
                          <a:ln>
                            <a:noFill/>
                          </a:ln>
                        </pic:spPr>
                      </pic:pic>
                    </a:graphicData>
                  </a:graphic>
                </wp:inline>
              </w:drawing>
            </w:r>
          </w:p>
          <w:p w14:paraId="7C5E713E">
            <w:pPr>
              <w:spacing w:line="440" w:lineRule="exact"/>
              <w:ind w:firstLine="500" w:firstLineChars="200"/>
              <w:rPr>
                <w:rFonts w:hint="default" w:ascii="Times New Roman" w:hAnsi="Times New Roman" w:eastAsia="宋体" w:cs="Times New Roman"/>
                <w:color w:val="auto"/>
                <w:spacing w:val="8"/>
                <w:sz w:val="24"/>
                <w:szCs w:val="20"/>
                <w:highlight w:val="none"/>
              </w:rPr>
            </w:pPr>
            <w:r>
              <w:rPr>
                <w:rFonts w:hint="default" w:ascii="Times New Roman" w:hAnsi="Times New Roman" w:eastAsia="宋体" w:cs="Times New Roman"/>
                <w:color w:val="auto"/>
                <w:spacing w:val="5"/>
                <w:sz w:val="24"/>
                <w:szCs w:val="20"/>
                <w:highlight w:val="none"/>
              </w:rPr>
              <w:t>式中：TL</w:t>
            </w:r>
            <w:r>
              <w:rPr>
                <w:rFonts w:hint="default" w:ascii="Times New Roman" w:hAnsi="Times New Roman" w:eastAsia="宋体" w:cs="Times New Roman"/>
                <w:color w:val="auto"/>
                <w:spacing w:val="5"/>
                <w:sz w:val="24"/>
                <w:szCs w:val="20"/>
                <w:highlight w:val="none"/>
                <w:vertAlign w:val="subscript"/>
              </w:rPr>
              <w:t>oct</w:t>
            </w:r>
            <w:r>
              <w:rPr>
                <w:rFonts w:hint="default" w:ascii="Times New Roman" w:hAnsi="Times New Roman" w:eastAsia="宋体" w:cs="Times New Roman"/>
                <w:color w:val="auto"/>
                <w:spacing w:val="5"/>
                <w:sz w:val="24"/>
                <w:szCs w:val="20"/>
                <w:highlight w:val="none"/>
              </w:rPr>
              <w:t>为围护结构倍频带隔声损失，</w:t>
            </w:r>
            <w:r>
              <w:rPr>
                <w:rFonts w:hint="default" w:ascii="Times New Roman" w:hAnsi="Times New Roman" w:eastAsia="宋体" w:cs="Times New Roman"/>
                <w:color w:val="auto"/>
                <w:spacing w:val="8"/>
                <w:sz w:val="24"/>
                <w:szCs w:val="20"/>
                <w:highlight w:val="none"/>
              </w:rPr>
              <w:t>厂房内的噪声与围护结构距离较近，整个厂房实际起着一个大隔声罩的作用。</w:t>
            </w:r>
          </w:p>
          <w:p w14:paraId="37EEC63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④根据厂房结构（门、窗），分别按照面声源、线声源和点声源的衰减模式，计算预测点处的声级。</w:t>
            </w:r>
          </w:p>
          <w:p w14:paraId="12B3A76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假设窗户的高度为a，宽度为b，其中b</w:t>
            </w:r>
            <w:r>
              <w:rPr>
                <w:rFonts w:hint="default" w:ascii="Times New Roman" w:hAnsi="Times New Roman" w:eastAsia="宋体" w:cs="Times New Roman"/>
                <w:color w:val="auto"/>
                <w:spacing w:val="5"/>
                <w:szCs w:val="21"/>
                <w:highlight w:val="none"/>
              </w:rPr>
              <w:t>＞</w:t>
            </w:r>
            <w:r>
              <w:rPr>
                <w:rFonts w:hint="default" w:ascii="Times New Roman" w:hAnsi="Times New Roman" w:eastAsia="宋体" w:cs="Times New Roman"/>
                <w:color w:val="auto"/>
                <w:spacing w:val="5"/>
                <w:sz w:val="24"/>
                <w:szCs w:val="20"/>
                <w:highlight w:val="none"/>
              </w:rPr>
              <w:t>a；预测点距墙中心的距离为r。预测点的声级按照下述公式进行预测：</w:t>
            </w:r>
          </w:p>
          <w:p w14:paraId="6A903C2B">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14"/>
                <w:sz w:val="24"/>
                <w:szCs w:val="20"/>
                <w:highlight w:val="none"/>
              </w:rPr>
              <w:drawing>
                <wp:inline distT="0" distB="0" distL="0" distR="0">
                  <wp:extent cx="609600" cy="238125"/>
                  <wp:effectExtent l="0" t="0" r="0" b="7620"/>
                  <wp:docPr id="10"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6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9600" cy="2381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（几乎不衰减）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11"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6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1A8D97B">
            <w:pPr>
              <w:spacing w:after="156" w:afterLines="50"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247775" cy="390525"/>
                  <wp:effectExtent l="0" t="0" r="0" b="7620"/>
                  <wp:docPr id="12"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6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（类似线源）           (</w:t>
            </w:r>
            <w:r>
              <w:rPr>
                <w:rFonts w:hint="default" w:ascii="Times New Roman" w:hAnsi="Times New Roman" w:eastAsia="宋体" w:cs="Times New Roman"/>
                <w:color w:val="auto"/>
                <w:position w:val="-18"/>
                <w:sz w:val="24"/>
                <w:szCs w:val="20"/>
                <w:highlight w:val="none"/>
              </w:rPr>
              <w:drawing>
                <wp:inline distT="0" distB="0" distL="0" distR="0">
                  <wp:extent cx="838200" cy="304800"/>
                  <wp:effectExtent l="0" t="0" r="0" b="0"/>
                  <wp:docPr id="8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6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B8A4909">
            <w:pPr>
              <w:keepNext w:val="0"/>
              <w:keepLines w:val="0"/>
              <w:pageBreakBefore w:val="0"/>
              <w:widowControl w:val="0"/>
              <w:kinsoku/>
              <w:wordWrap/>
              <w:overflowPunct/>
              <w:topLinePunct w:val="0"/>
              <w:autoSpaceDE/>
              <w:autoSpaceDN/>
              <w:bidi w:val="0"/>
              <w:adjustRightInd w:val="0"/>
              <w:snapToGrid w:val="0"/>
              <w:spacing w:after="313" w:afterLines="100" w:line="500" w:lineRule="exact"/>
              <w:ind w:firstLine="448"/>
              <w:textAlignment w:val="auto"/>
              <w:rPr>
                <w:rFonts w:hint="default" w:ascii="Times New Roman" w:hAnsi="Times New Roman" w:eastAsia="宋体" w:cs="Times New Roman"/>
                <w:snapToGrid w:val="0"/>
                <w:color w:val="auto"/>
                <w:kern w:val="0"/>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819275" cy="390525"/>
                  <wp:effectExtent l="0" t="0" r="9525" b="8255"/>
                  <wp:docPr id="83" name="图片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96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192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（类似点源）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95" name="图片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6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66C4D757">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（3）声环境影响预测结果</w:t>
            </w:r>
          </w:p>
          <w:p w14:paraId="1BBDABF4">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根据预测模式及噪声源强参数，预测</w:t>
            </w:r>
            <w:r>
              <w:rPr>
                <w:rFonts w:hint="default" w:ascii="Times New Roman" w:hAnsi="Times New Roman" w:eastAsia="宋体" w:cs="Times New Roman"/>
                <w:color w:val="auto"/>
                <w:sz w:val="24"/>
                <w:szCs w:val="24"/>
                <w:highlight w:val="none"/>
                <w:lang w:val="en-US" w:eastAsia="zh-CN"/>
              </w:rPr>
              <w:t>昼间、夜间</w:t>
            </w:r>
            <w:r>
              <w:rPr>
                <w:rFonts w:hint="default" w:ascii="Times New Roman" w:hAnsi="Times New Roman" w:eastAsia="宋体" w:cs="Times New Roman"/>
                <w:color w:val="auto"/>
                <w:sz w:val="24"/>
                <w:szCs w:val="24"/>
                <w:highlight w:val="none"/>
              </w:rPr>
              <w:t>噪声源对厂界四周的影响，具体结果见表4-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w:t>
            </w:r>
          </w:p>
          <w:p w14:paraId="589AD6B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表4-</w:t>
            </w:r>
            <w:r>
              <w:rPr>
                <w:rFonts w:hint="default" w:ascii="Times New Roman" w:hAnsi="Times New Roman"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项目四周噪声预测结果     单位：dB</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A</w:t>
            </w:r>
            <w:r>
              <w:rPr>
                <w:rFonts w:hint="default" w:ascii="Times New Roman" w:hAnsi="Times New Roman" w:cs="Times New Roman"/>
                <w:b/>
                <w:bCs/>
                <w:color w:val="auto"/>
                <w:sz w:val="24"/>
                <w:szCs w:val="24"/>
                <w:highlight w:val="none"/>
                <w:lang w:eastAsia="zh-CN"/>
              </w:rPr>
              <w:t>）</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14"/>
              <w:gridCol w:w="1423"/>
              <w:gridCol w:w="1462"/>
              <w:gridCol w:w="1388"/>
              <w:gridCol w:w="2172"/>
            </w:tblGrid>
            <w:tr w14:paraId="4E54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restart"/>
                  <w:tcBorders>
                    <w:tl2br w:val="nil"/>
                    <w:tr2bl w:val="nil"/>
                  </w:tcBorders>
                  <w:noWrap w:val="0"/>
                  <w:vAlign w:val="center"/>
                </w:tcPr>
                <w:p w14:paraId="4C1B312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厂界名称</w:t>
                  </w:r>
                </w:p>
              </w:tc>
              <w:tc>
                <w:tcPr>
                  <w:tcW w:w="851" w:type="pct"/>
                  <w:vMerge w:val="restart"/>
                  <w:tcBorders>
                    <w:tl2br w:val="nil"/>
                    <w:tr2bl w:val="nil"/>
                  </w:tcBorders>
                  <w:noWrap w:val="0"/>
                  <w:vAlign w:val="center"/>
                </w:tcPr>
                <w:p w14:paraId="7061D7C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贡献值</w:t>
                  </w:r>
                </w:p>
              </w:tc>
              <w:tc>
                <w:tcPr>
                  <w:tcW w:w="1704" w:type="pct"/>
                  <w:gridSpan w:val="2"/>
                  <w:tcBorders>
                    <w:tl2br w:val="nil"/>
                    <w:tr2bl w:val="nil"/>
                  </w:tcBorders>
                  <w:noWrap w:val="0"/>
                  <w:vAlign w:val="center"/>
                </w:tcPr>
                <w:p w14:paraId="724AF1F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标准值</w:t>
                  </w:r>
                </w:p>
              </w:tc>
              <w:tc>
                <w:tcPr>
                  <w:tcW w:w="1299" w:type="pct"/>
                  <w:vMerge w:val="restart"/>
                  <w:tcBorders>
                    <w:tl2br w:val="nil"/>
                    <w:tr2bl w:val="nil"/>
                  </w:tcBorders>
                  <w:noWrap w:val="0"/>
                  <w:vAlign w:val="center"/>
                </w:tcPr>
                <w:p w14:paraId="21C6398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评价结果</w:t>
                  </w:r>
                </w:p>
              </w:tc>
            </w:tr>
            <w:tr w14:paraId="3C8D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continue"/>
                  <w:tcBorders>
                    <w:tl2br w:val="nil"/>
                    <w:tr2bl w:val="nil"/>
                  </w:tcBorders>
                  <w:noWrap w:val="0"/>
                  <w:vAlign w:val="center"/>
                </w:tcPr>
                <w:p w14:paraId="4DA2D3B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c>
                <w:tcPr>
                  <w:tcW w:w="851" w:type="pct"/>
                  <w:vMerge w:val="continue"/>
                  <w:tcBorders>
                    <w:tl2br w:val="nil"/>
                    <w:tr2bl w:val="nil"/>
                  </w:tcBorders>
                  <w:noWrap w:val="0"/>
                  <w:vAlign w:val="center"/>
                </w:tcPr>
                <w:p w14:paraId="10E7AAC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74" w:type="pct"/>
                  <w:tcBorders>
                    <w:tl2br w:val="nil"/>
                    <w:tr2bl w:val="nil"/>
                  </w:tcBorders>
                  <w:noWrap w:val="0"/>
                  <w:vAlign w:val="center"/>
                </w:tcPr>
                <w:p w14:paraId="5180D11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昼间</w:t>
                  </w:r>
                </w:p>
              </w:tc>
              <w:tc>
                <w:tcPr>
                  <w:tcW w:w="829" w:type="pct"/>
                  <w:tcBorders>
                    <w:tl2br w:val="nil"/>
                    <w:tr2bl w:val="nil"/>
                  </w:tcBorders>
                  <w:noWrap w:val="0"/>
                  <w:vAlign w:val="center"/>
                </w:tcPr>
                <w:p w14:paraId="40FB9C4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夜间</w:t>
                  </w:r>
                </w:p>
              </w:tc>
              <w:tc>
                <w:tcPr>
                  <w:tcW w:w="1299" w:type="pct"/>
                  <w:vMerge w:val="continue"/>
                  <w:tcBorders>
                    <w:tl2br w:val="nil"/>
                    <w:tr2bl w:val="nil"/>
                  </w:tcBorders>
                  <w:noWrap w:val="0"/>
                  <w:vAlign w:val="center"/>
                </w:tcPr>
                <w:p w14:paraId="6922571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r>
            <w:tr w14:paraId="31508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1B66A0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东</w:t>
                  </w:r>
                  <w:r>
                    <w:rPr>
                      <w:rFonts w:hint="default" w:ascii="Times New Roman" w:hAnsi="Times New Roman" w:eastAsia="宋体" w:cs="Times New Roman"/>
                      <w:b w:val="0"/>
                      <w:bCs w:val="0"/>
                      <w:color w:val="auto"/>
                      <w:sz w:val="21"/>
                      <w:szCs w:val="21"/>
                      <w:highlight w:val="none"/>
                      <w:lang w:val="en-US" w:eastAsia="zh-CN"/>
                    </w:rPr>
                    <w:t>厂界</w:t>
                  </w:r>
                </w:p>
              </w:tc>
              <w:tc>
                <w:tcPr>
                  <w:tcW w:w="851" w:type="pct"/>
                  <w:tcBorders>
                    <w:tl2br w:val="nil"/>
                    <w:tr2bl w:val="nil"/>
                  </w:tcBorders>
                  <w:noWrap w:val="0"/>
                  <w:vAlign w:val="center"/>
                </w:tcPr>
                <w:p w14:paraId="4EC06DE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.5</w:t>
                  </w:r>
                </w:p>
              </w:tc>
              <w:tc>
                <w:tcPr>
                  <w:tcW w:w="874" w:type="pct"/>
                  <w:tcBorders>
                    <w:tl2br w:val="nil"/>
                    <w:tr2bl w:val="nil"/>
                  </w:tcBorders>
                  <w:noWrap w:val="0"/>
                  <w:vAlign w:val="center"/>
                </w:tcPr>
                <w:p w14:paraId="4C7804EA">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34FB37E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77CDCE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0B30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65F025B1">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南</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72C7521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4</w:t>
                  </w:r>
                  <w:r>
                    <w:rPr>
                      <w:rFonts w:hint="default" w:ascii="Times New Roman" w:hAnsi="Times New Roman" w:cs="Times New Roman"/>
                      <w:b w:val="0"/>
                      <w:bCs w:val="0"/>
                      <w:color w:val="auto"/>
                      <w:sz w:val="21"/>
                      <w:szCs w:val="21"/>
                      <w:highlight w:val="none"/>
                      <w:lang w:val="en-US" w:eastAsia="zh-CN"/>
                    </w:rPr>
                    <w:t>.8</w:t>
                  </w:r>
                </w:p>
              </w:tc>
              <w:tc>
                <w:tcPr>
                  <w:tcW w:w="874" w:type="pct"/>
                  <w:tcBorders>
                    <w:tl2br w:val="nil"/>
                    <w:tr2bl w:val="nil"/>
                  </w:tcBorders>
                  <w:noWrap w:val="0"/>
                  <w:vAlign w:val="center"/>
                </w:tcPr>
                <w:p w14:paraId="6A807E3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F266C9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499E43F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6049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CFC677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西</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1C3833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.4</w:t>
                  </w:r>
                </w:p>
              </w:tc>
              <w:tc>
                <w:tcPr>
                  <w:tcW w:w="874" w:type="pct"/>
                  <w:tcBorders>
                    <w:tl2br w:val="nil"/>
                    <w:tr2bl w:val="nil"/>
                  </w:tcBorders>
                  <w:noWrap w:val="0"/>
                  <w:vAlign w:val="center"/>
                </w:tcPr>
                <w:p w14:paraId="55168AC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72F86E6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147A6C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r w14:paraId="5585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2C2FC5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51" w:type="pct"/>
                  <w:tcBorders>
                    <w:tl2br w:val="nil"/>
                    <w:tr2bl w:val="nil"/>
                  </w:tcBorders>
                  <w:noWrap w:val="0"/>
                  <w:vAlign w:val="center"/>
                </w:tcPr>
                <w:p w14:paraId="76C03E6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r>
                    <w:rPr>
                      <w:rFonts w:hint="default" w:ascii="Times New Roman" w:hAnsi="Times New Roman" w:cs="Times New Roman"/>
                      <w:b w:val="0"/>
                      <w:bCs w:val="0"/>
                      <w:color w:val="auto"/>
                      <w:sz w:val="21"/>
                      <w:szCs w:val="21"/>
                      <w:highlight w:val="none"/>
                      <w:lang w:val="en-US" w:eastAsia="zh-CN"/>
                    </w:rPr>
                    <w:t>.1</w:t>
                  </w:r>
                </w:p>
              </w:tc>
              <w:tc>
                <w:tcPr>
                  <w:tcW w:w="874" w:type="pct"/>
                  <w:tcBorders>
                    <w:tl2br w:val="nil"/>
                    <w:tr2bl w:val="nil"/>
                  </w:tcBorders>
                  <w:noWrap w:val="0"/>
                  <w:vAlign w:val="center"/>
                </w:tcPr>
                <w:p w14:paraId="6037DB8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E1818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091644F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bl>
          <w:p w14:paraId="780700BA">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由表4-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可知，</w:t>
            </w:r>
            <w:r>
              <w:rPr>
                <w:rFonts w:hint="default" w:ascii="Times New Roman" w:hAnsi="Times New Roman" w:eastAsia="宋体" w:cs="Times New Roman"/>
                <w:color w:val="auto"/>
                <w:sz w:val="24"/>
                <w:szCs w:val="24"/>
                <w:highlight w:val="none"/>
                <w:lang w:val="en-US" w:eastAsia="zh-CN"/>
              </w:rPr>
              <w:t>本项目产噪设备对四周厂界的预测值为</w:t>
            </w:r>
            <w:r>
              <w:rPr>
                <w:rFonts w:hint="default" w:ascii="Times New Roman" w:hAnsi="Times New Roman" w:cs="Times New Roman"/>
                <w:color w:val="auto"/>
                <w:sz w:val="24"/>
                <w:szCs w:val="24"/>
                <w:highlight w:val="none"/>
                <w:lang w:val="en-US" w:eastAsia="zh-CN"/>
              </w:rPr>
              <w:t>4</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5</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dB(A)，本项目厂界噪声贡献值满足《工业企业厂界环境噪声排放标准》(GB12348-2008)中3类标准要求</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项目噪声经距离衰减后对区域声环境影响较小。</w:t>
            </w:r>
          </w:p>
          <w:p w14:paraId="284AAEE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噪声监测计划</w:t>
            </w:r>
          </w:p>
          <w:p w14:paraId="4EC21514">
            <w:pPr>
              <w:pageBreakBefore w:val="0"/>
              <w:widowControl w:val="0"/>
              <w:kinsoku/>
              <w:wordWrap/>
              <w:overflowPunct/>
              <w:topLinePunct w:val="0"/>
              <w:bidi w:val="0"/>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bCs/>
                <w:color w:val="auto"/>
                <w:szCs w:val="24"/>
                <w:highlight w:val="none"/>
              </w:rPr>
              <w:t>，</w:t>
            </w:r>
            <w:r>
              <w:rPr>
                <w:rFonts w:hint="default" w:ascii="Times New Roman" w:hAnsi="Times New Roman" w:eastAsia="宋体" w:cs="Times New Roman"/>
                <w:color w:val="auto"/>
                <w:sz w:val="24"/>
                <w:highlight w:val="none"/>
              </w:rPr>
              <w:t>本项目噪声监测要求见</w:t>
            </w:r>
            <w:r>
              <w:rPr>
                <w:rFonts w:hint="default" w:ascii="Times New Roman" w:hAnsi="Times New Roman" w:eastAsia="宋体" w:cs="Times New Roman"/>
                <w:color w:val="auto"/>
                <w:sz w:val="24"/>
                <w:highlight w:val="none"/>
                <w:lang w:val="en-US" w:eastAsia="zh-CN"/>
              </w:rPr>
              <w:t>下</w:t>
            </w:r>
            <w:r>
              <w:rPr>
                <w:rFonts w:hint="default" w:ascii="Times New Roman" w:hAnsi="Times New Roman" w:eastAsia="宋体" w:cs="Times New Roman"/>
                <w:color w:val="auto"/>
                <w:sz w:val="24"/>
                <w:highlight w:val="none"/>
              </w:rPr>
              <w:t>表。</w:t>
            </w:r>
          </w:p>
          <w:p w14:paraId="6737744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表4</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 xml:space="preserve">10   </w:t>
            </w:r>
            <w:r>
              <w:rPr>
                <w:rFonts w:hint="default" w:ascii="Times New Roman" w:hAnsi="Times New Roman" w:eastAsia="宋体" w:cs="Times New Roman"/>
                <w:b/>
                <w:bCs/>
                <w:color w:val="auto"/>
                <w:sz w:val="24"/>
                <w:szCs w:val="24"/>
                <w:highlight w:val="none"/>
              </w:rPr>
              <w:t>项目噪声污染源监测计划一览表</w:t>
            </w:r>
          </w:p>
          <w:tbl>
            <w:tblPr>
              <w:tblStyle w:val="40"/>
              <w:tblpPr w:leftFromText="180" w:rightFromText="180" w:vertAnchor="text" w:horzAnchor="margin" w:tblpY="28"/>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911"/>
              <w:gridCol w:w="1018"/>
              <w:gridCol w:w="2870"/>
              <w:gridCol w:w="2582"/>
            </w:tblGrid>
            <w:tr w14:paraId="34A96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76571F8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监测项目</w:t>
                  </w:r>
                </w:p>
              </w:tc>
              <w:tc>
                <w:tcPr>
                  <w:tcW w:w="545" w:type="pct"/>
                  <w:tcBorders>
                    <w:tl2br w:val="nil"/>
                    <w:tr2bl w:val="nil"/>
                  </w:tcBorders>
                  <w:noWrap w:val="0"/>
                  <w:vAlign w:val="center"/>
                </w:tcPr>
                <w:p w14:paraId="78183D7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609" w:type="pct"/>
                  <w:tcBorders>
                    <w:tl2br w:val="nil"/>
                    <w:tr2bl w:val="nil"/>
                  </w:tcBorders>
                  <w:noWrap w:val="0"/>
                  <w:vAlign w:val="center"/>
                </w:tcPr>
                <w:p w14:paraId="7661E07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监测频率</w:t>
                  </w:r>
                </w:p>
              </w:tc>
              <w:tc>
                <w:tcPr>
                  <w:tcW w:w="1716" w:type="pct"/>
                  <w:tcBorders>
                    <w:tl2br w:val="nil"/>
                    <w:tr2bl w:val="nil"/>
                  </w:tcBorders>
                  <w:noWrap w:val="0"/>
                  <w:vAlign w:val="center"/>
                </w:tcPr>
                <w:p w14:paraId="4969081E">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执行标准</w:t>
                  </w:r>
                </w:p>
              </w:tc>
              <w:tc>
                <w:tcPr>
                  <w:tcW w:w="1543" w:type="pct"/>
                  <w:tcBorders>
                    <w:tl2br w:val="nil"/>
                    <w:tr2bl w:val="nil"/>
                  </w:tcBorders>
                  <w:noWrap w:val="0"/>
                  <w:vAlign w:val="center"/>
                </w:tcPr>
                <w:p w14:paraId="36E5EFAB">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标准限值</w:t>
                  </w:r>
                </w:p>
              </w:tc>
            </w:tr>
            <w:tr w14:paraId="1CBE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6A56ABD5">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厂界外1米</w:t>
                  </w:r>
                </w:p>
              </w:tc>
              <w:tc>
                <w:tcPr>
                  <w:tcW w:w="545" w:type="pct"/>
                  <w:tcBorders>
                    <w:tl2br w:val="nil"/>
                    <w:tr2bl w:val="nil"/>
                  </w:tcBorders>
                  <w:noWrap w:val="0"/>
                  <w:vAlign w:val="center"/>
                </w:tcPr>
                <w:p w14:paraId="19C4C7BB">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w:t>
                  </w:r>
                </w:p>
              </w:tc>
              <w:tc>
                <w:tcPr>
                  <w:tcW w:w="609" w:type="pct"/>
                  <w:tcBorders>
                    <w:tl2br w:val="nil"/>
                    <w:tr2bl w:val="nil"/>
                  </w:tcBorders>
                  <w:noWrap w:val="0"/>
                  <w:vAlign w:val="center"/>
                </w:tcPr>
                <w:p w14:paraId="79F3DFE9">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次/每季度</w:t>
                  </w:r>
                </w:p>
              </w:tc>
              <w:tc>
                <w:tcPr>
                  <w:tcW w:w="1716" w:type="pct"/>
                  <w:tcBorders>
                    <w:tl2br w:val="nil"/>
                    <w:tr2bl w:val="nil"/>
                  </w:tcBorders>
                  <w:noWrap w:val="0"/>
                  <w:vAlign w:val="center"/>
                </w:tcPr>
                <w:p w14:paraId="2DF0A0D7">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厂界执行《工业企业厂界环境噪声排放标准》（GB12348-2008）3类标准</w:t>
                  </w:r>
                </w:p>
              </w:tc>
              <w:tc>
                <w:tcPr>
                  <w:tcW w:w="1543" w:type="pct"/>
                  <w:tcBorders>
                    <w:tl2br w:val="nil"/>
                    <w:tr2bl w:val="nil"/>
                  </w:tcBorders>
                  <w:noWrap w:val="0"/>
                  <w:vAlign w:val="center"/>
                </w:tcPr>
                <w:p w14:paraId="752276CE">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昼间≤6</w:t>
                  </w:r>
                  <w:r>
                    <w:rPr>
                      <w:rFonts w:hint="default" w:ascii="Times New Roman" w:hAnsi="Times New Roman"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p w14:paraId="0C7DCBBC">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w:t>
                  </w:r>
                  <w:r>
                    <w:rPr>
                      <w:rFonts w:hint="default" w:ascii="Times New Roman" w:hAnsi="Times New Roman"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tc>
            </w:tr>
          </w:tbl>
          <w:p w14:paraId="0411B84A">
            <w:pPr>
              <w:keepNext w:val="0"/>
              <w:keepLines w:val="0"/>
              <w:pageBreakBefore w:val="0"/>
              <w:widowControl w:val="0"/>
              <w:numPr>
                <w:ilvl w:val="0"/>
                <w:numId w:val="8"/>
              </w:numPr>
              <w:kinsoku/>
              <w:wordWrap/>
              <w:overflowPunct/>
              <w:topLinePunct w:val="0"/>
              <w:autoSpaceDE/>
              <w:autoSpaceDN/>
              <w:bidi w:val="0"/>
              <w:adjustRightInd/>
              <w:snapToGrid/>
              <w:spacing w:line="360" w:lineRule="auto"/>
              <w:ind w:firstLine="482" w:firstLineChars="200"/>
              <w:contextualSpacing/>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固体废物</w:t>
            </w:r>
          </w:p>
          <w:p w14:paraId="4353BCB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本项目固体废物主要为废焊材、废包装袋、沉淀池底泥、除尘灰、废布袋及生活垃圾。</w:t>
            </w:r>
          </w:p>
          <w:p w14:paraId="0B14953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1、一般固废</w:t>
            </w:r>
          </w:p>
          <w:p w14:paraId="0D6E8AE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废焊材：</w:t>
            </w:r>
            <w:r>
              <w:rPr>
                <w:rFonts w:hint="default" w:ascii="Times New Roman" w:hAnsi="Times New Roman" w:eastAsia="宋体" w:cs="Times New Roman"/>
                <w:color w:val="auto"/>
                <w:kern w:val="2"/>
                <w:sz w:val="24"/>
                <w:szCs w:val="24"/>
                <w:highlight w:val="none"/>
                <w:lang w:val="en-US" w:eastAsia="zh-CN" w:bidi="ar-SA"/>
              </w:rPr>
              <w:t>根据建设单位提供的资料，</w:t>
            </w:r>
            <w:r>
              <w:rPr>
                <w:rFonts w:hint="default" w:ascii="Times New Roman" w:hAnsi="Times New Roman" w:cs="Times New Roman"/>
                <w:color w:val="auto"/>
                <w:sz w:val="24"/>
                <w:szCs w:val="24"/>
                <w:highlight w:val="none"/>
                <w:lang w:val="en-US" w:eastAsia="zh-CN"/>
              </w:rPr>
              <w:t>项目废焊材的产生量为0.1t/a，收集后外售。</w:t>
            </w:r>
          </w:p>
          <w:p w14:paraId="246DC69A">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废包装袋：根据建设单位提供的资料，项目废包装袋的产生量为 0.05t/a，收集后外售。</w:t>
            </w:r>
          </w:p>
          <w:p w14:paraId="1C3FF3D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 xml:space="preserve">沉淀池底泥：车辆冲洗水、模具冲洗水经沉淀池沉淀处理产生底泥，根据建设单位提供的资料，底泥年产生量为1.2t/a，为一般固体废物，收集后外售。 </w:t>
            </w:r>
          </w:p>
          <w:p w14:paraId="61227A8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除尘灰：根据废气源强核算，除尘器年收集除尘灰</w:t>
            </w:r>
            <w:r>
              <w:rPr>
                <w:rFonts w:hint="default" w:ascii="Times New Roman" w:hAnsi="Times New Roman" w:cs="Times New Roman"/>
                <w:color w:val="auto"/>
                <w:sz w:val="24"/>
                <w:szCs w:val="24"/>
                <w:highlight w:val="none"/>
                <w:lang w:val="en-US" w:eastAsia="zh-CN"/>
              </w:rPr>
              <w:t>55.</w:t>
            </w:r>
            <w:r>
              <w:rPr>
                <w:rFonts w:hint="eastAsia" w:cs="Times New Roman"/>
                <w:color w:val="auto"/>
                <w:sz w:val="24"/>
                <w:szCs w:val="24"/>
                <w:highlight w:val="none"/>
                <w:lang w:val="en-US" w:eastAsia="zh-CN"/>
              </w:rPr>
              <w:t>191</w:t>
            </w:r>
            <w:r>
              <w:rPr>
                <w:rFonts w:hint="default" w:ascii="Times New Roman" w:hAnsi="Times New Roman" w:eastAsia="宋体" w:cs="Times New Roman"/>
                <w:color w:val="auto"/>
                <w:sz w:val="24"/>
                <w:szCs w:val="24"/>
                <w:highlight w:val="none"/>
                <w:lang w:val="en-US" w:eastAsia="zh-CN"/>
              </w:rPr>
              <w:t>t/a，为一般固体废物，收集后回用于生产。</w:t>
            </w:r>
          </w:p>
          <w:p w14:paraId="303FD8F6">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废布袋：</w:t>
            </w:r>
            <w:r>
              <w:rPr>
                <w:rFonts w:hint="default" w:ascii="Times New Roman" w:hAnsi="Times New Roman" w:eastAsia="宋体" w:cs="Times New Roman"/>
                <w:color w:val="auto"/>
                <w:sz w:val="24"/>
                <w:szCs w:val="24"/>
                <w:highlight w:val="none"/>
                <w:lang w:val="en-US" w:eastAsia="zh-CN"/>
              </w:rPr>
              <w:t>根据建设单位提供的资料，</w:t>
            </w:r>
            <w:r>
              <w:rPr>
                <w:rFonts w:hint="default" w:ascii="Times New Roman" w:hAnsi="Times New Roman" w:cs="Times New Roman"/>
                <w:color w:val="auto"/>
                <w:sz w:val="24"/>
                <w:szCs w:val="24"/>
                <w:highlight w:val="none"/>
                <w:lang w:val="en-US" w:eastAsia="zh-CN"/>
              </w:rPr>
              <w:t>布袋除尘器产生的废布袋为0.2</w:t>
            </w:r>
            <w:r>
              <w:rPr>
                <w:rFonts w:hint="default" w:ascii="Times New Roman" w:hAnsi="Times New Roman" w:eastAsia="宋体" w:cs="Times New Roman"/>
                <w:color w:val="auto"/>
                <w:sz w:val="24"/>
                <w:szCs w:val="24"/>
                <w:highlight w:val="none"/>
                <w:lang w:val="en-US" w:eastAsia="zh-CN"/>
              </w:rPr>
              <w:t>t/a，为一般固体废物，收集后外售。</w:t>
            </w:r>
          </w:p>
          <w:p w14:paraId="59589D9E">
            <w:pPr>
              <w:keepNext w:val="0"/>
              <w:keepLines w:val="0"/>
              <w:pageBreakBefore w:val="0"/>
              <w:widowControl/>
              <w:numPr>
                <w:ilvl w:val="0"/>
                <w:numId w:val="9"/>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生活垃圾</w:t>
            </w:r>
          </w:p>
          <w:p w14:paraId="250825E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项目劳动定员为20人，以0.5kg/人·d计，年生产300天，则生活垃圾产生量为3t/a，交由环卫部门统一收集处理。</w:t>
            </w:r>
          </w:p>
          <w:p w14:paraId="3142A92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center"/>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表4-11   建设项目固体废物汇总表</w:t>
            </w:r>
          </w:p>
          <w:tbl>
            <w:tblPr>
              <w:tblStyle w:val="40"/>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06"/>
              <w:gridCol w:w="1442"/>
              <w:gridCol w:w="1081"/>
              <w:gridCol w:w="1442"/>
              <w:gridCol w:w="1271"/>
              <w:gridCol w:w="922"/>
              <w:gridCol w:w="1685"/>
            </w:tblGrid>
            <w:tr w14:paraId="486B6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3114657D">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序号</w:t>
                  </w:r>
                </w:p>
              </w:tc>
              <w:tc>
                <w:tcPr>
                  <w:tcW w:w="863" w:type="pct"/>
                  <w:noWrap w:val="0"/>
                  <w:vAlign w:val="center"/>
                </w:tcPr>
                <w:p w14:paraId="4412AB6C">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647" w:type="pct"/>
                  <w:noWrap w:val="0"/>
                  <w:vAlign w:val="center"/>
                </w:tcPr>
                <w:p w14:paraId="6268FF7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产生量(t/a)</w:t>
                  </w:r>
                </w:p>
              </w:tc>
              <w:tc>
                <w:tcPr>
                  <w:tcW w:w="863" w:type="pct"/>
                  <w:noWrap w:val="0"/>
                  <w:vAlign w:val="center"/>
                </w:tcPr>
                <w:p w14:paraId="30B96E77">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固废类别</w:t>
                  </w:r>
                </w:p>
              </w:tc>
              <w:tc>
                <w:tcPr>
                  <w:tcW w:w="761" w:type="pct"/>
                  <w:noWrap w:val="0"/>
                  <w:vAlign w:val="center"/>
                </w:tcPr>
                <w:p w14:paraId="57727F26">
                  <w:pPr>
                    <w:spacing w:line="240" w:lineRule="auto"/>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固废</w:t>
                  </w:r>
                  <w:r>
                    <w:rPr>
                      <w:rFonts w:hint="default" w:ascii="Times New Roman" w:hAnsi="Times New Roman" w:eastAsia="宋体" w:cs="Times New Roman"/>
                      <w:color w:val="auto"/>
                      <w:spacing w:val="0"/>
                      <w:sz w:val="21"/>
                      <w:szCs w:val="21"/>
                      <w:highlight w:val="none"/>
                      <w:lang w:val="en-US" w:eastAsia="zh-CN"/>
                    </w:rPr>
                    <w:t>代码</w:t>
                  </w:r>
                </w:p>
              </w:tc>
              <w:tc>
                <w:tcPr>
                  <w:tcW w:w="552" w:type="pct"/>
                  <w:noWrap w:val="0"/>
                  <w:vAlign w:val="center"/>
                </w:tcPr>
                <w:p w14:paraId="721853B2">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厂区暂存区</w:t>
                  </w:r>
                </w:p>
              </w:tc>
              <w:tc>
                <w:tcPr>
                  <w:tcW w:w="1008" w:type="pct"/>
                  <w:noWrap w:val="0"/>
                  <w:vAlign w:val="center"/>
                </w:tcPr>
                <w:p w14:paraId="11174CE5">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处置措施</w:t>
                  </w:r>
                </w:p>
              </w:tc>
            </w:tr>
            <w:tr w14:paraId="44D75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51A87EC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1</w:t>
                  </w:r>
                </w:p>
              </w:tc>
              <w:tc>
                <w:tcPr>
                  <w:tcW w:w="863" w:type="pct"/>
                  <w:noWrap w:val="0"/>
                  <w:vAlign w:val="center"/>
                </w:tcPr>
                <w:p w14:paraId="6B9F8E8F">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废焊材</w:t>
                  </w:r>
                </w:p>
              </w:tc>
              <w:tc>
                <w:tcPr>
                  <w:tcW w:w="647" w:type="pct"/>
                  <w:noWrap w:val="0"/>
                  <w:vAlign w:val="center"/>
                </w:tcPr>
                <w:p w14:paraId="3B39AB9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0.1</w:t>
                  </w:r>
                </w:p>
              </w:tc>
              <w:tc>
                <w:tcPr>
                  <w:tcW w:w="863" w:type="pct"/>
                  <w:shd w:val="clear" w:color="auto" w:fill="auto"/>
                  <w:noWrap w:val="0"/>
                  <w:vAlign w:val="center"/>
                </w:tcPr>
                <w:p w14:paraId="718647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4758D9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29D6D4E">
                  <w:pPr>
                    <w:topLinePunct/>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69704A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7714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4F791453">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2</w:t>
                  </w:r>
                </w:p>
              </w:tc>
              <w:tc>
                <w:tcPr>
                  <w:tcW w:w="863" w:type="pct"/>
                  <w:noWrap w:val="0"/>
                  <w:vAlign w:val="center"/>
                </w:tcPr>
                <w:p w14:paraId="17C0E877">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废包装袋</w:t>
                  </w:r>
                </w:p>
              </w:tc>
              <w:tc>
                <w:tcPr>
                  <w:tcW w:w="647" w:type="pct"/>
                  <w:noWrap w:val="0"/>
                  <w:vAlign w:val="center"/>
                </w:tcPr>
                <w:p w14:paraId="477A694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0.05</w:t>
                  </w:r>
                </w:p>
              </w:tc>
              <w:tc>
                <w:tcPr>
                  <w:tcW w:w="863" w:type="pct"/>
                  <w:shd w:val="clear" w:color="auto" w:fill="auto"/>
                  <w:noWrap w:val="0"/>
                  <w:vAlign w:val="center"/>
                </w:tcPr>
                <w:p w14:paraId="0C56152F">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9A562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159E07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458F7281">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3B5C50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3044BCD6">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3</w:t>
                  </w:r>
                </w:p>
              </w:tc>
              <w:tc>
                <w:tcPr>
                  <w:tcW w:w="863" w:type="pct"/>
                  <w:noWrap w:val="0"/>
                  <w:vAlign w:val="center"/>
                </w:tcPr>
                <w:p w14:paraId="32A60B8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沉淀池底泥</w:t>
                  </w:r>
                </w:p>
              </w:tc>
              <w:tc>
                <w:tcPr>
                  <w:tcW w:w="647" w:type="pct"/>
                  <w:noWrap w:val="0"/>
                  <w:vAlign w:val="center"/>
                </w:tcPr>
                <w:p w14:paraId="118F7A3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1.2</w:t>
                  </w:r>
                </w:p>
              </w:tc>
              <w:tc>
                <w:tcPr>
                  <w:tcW w:w="863" w:type="pct"/>
                  <w:noWrap w:val="0"/>
                  <w:vAlign w:val="center"/>
                </w:tcPr>
                <w:p w14:paraId="2B60359A">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noWrap w:val="0"/>
                  <w:vAlign w:val="center"/>
                </w:tcPr>
                <w:p w14:paraId="743907C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1509D03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39FF460">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24AB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9D6577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eastAsia="宋体" w:cs="Times New Roman"/>
                      <w:color w:val="auto"/>
                      <w:spacing w:val="0"/>
                      <w:kern w:val="0"/>
                      <w:sz w:val="21"/>
                      <w:szCs w:val="21"/>
                      <w:highlight w:val="none"/>
                      <w:u w:val="none" w:color="000000"/>
                      <w:lang w:val="en-US" w:eastAsia="zh-CN"/>
                    </w:rPr>
                    <w:t>4</w:t>
                  </w:r>
                </w:p>
              </w:tc>
              <w:tc>
                <w:tcPr>
                  <w:tcW w:w="863" w:type="pct"/>
                  <w:noWrap w:val="0"/>
                  <w:vAlign w:val="center"/>
                </w:tcPr>
                <w:p w14:paraId="0F26588D">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除尘灰</w:t>
                  </w:r>
                </w:p>
              </w:tc>
              <w:tc>
                <w:tcPr>
                  <w:tcW w:w="647" w:type="pct"/>
                  <w:noWrap w:val="0"/>
                  <w:vAlign w:val="center"/>
                </w:tcPr>
                <w:p w14:paraId="0CD3889E">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55.191</w:t>
                  </w:r>
                </w:p>
              </w:tc>
              <w:tc>
                <w:tcPr>
                  <w:tcW w:w="863" w:type="pct"/>
                  <w:shd w:val="clear" w:color="auto" w:fill="auto"/>
                  <w:noWrap w:val="0"/>
                  <w:vAlign w:val="center"/>
                </w:tcPr>
                <w:p w14:paraId="2CB355E0">
                  <w:pPr>
                    <w:widowControl/>
                    <w:adjustRightInd w:val="0"/>
                    <w:snapToGrid w:val="0"/>
                    <w:spacing w:line="240" w:lineRule="auto"/>
                    <w:jc w:val="center"/>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SW17 可再生类废物</w:t>
                  </w:r>
                </w:p>
              </w:tc>
              <w:tc>
                <w:tcPr>
                  <w:tcW w:w="761" w:type="pct"/>
                  <w:shd w:val="clear" w:color="auto" w:fill="auto"/>
                  <w:noWrap w:val="0"/>
                  <w:vAlign w:val="center"/>
                </w:tcPr>
                <w:p w14:paraId="51958B83">
                  <w:pPr>
                    <w:widowControl/>
                    <w:adjustRightInd w:val="0"/>
                    <w:snapToGrid w:val="0"/>
                    <w:spacing w:line="240" w:lineRule="auto"/>
                    <w:jc w:val="both"/>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 xml:space="preserve">900-001-S17 </w:t>
                  </w:r>
                </w:p>
              </w:tc>
              <w:tc>
                <w:tcPr>
                  <w:tcW w:w="552" w:type="pct"/>
                  <w:shd w:val="clear" w:color="auto" w:fill="auto"/>
                  <w:noWrap w:val="0"/>
                  <w:vAlign w:val="center"/>
                </w:tcPr>
                <w:p w14:paraId="619375AA">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3D3732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4"/>
                      <w:szCs w:val="24"/>
                      <w:highlight w:val="none"/>
                      <w:lang w:val="en-US" w:eastAsia="zh-CN"/>
                    </w:rPr>
                    <w:t>收集后回用于生产</w:t>
                  </w:r>
                </w:p>
              </w:tc>
            </w:tr>
            <w:tr w14:paraId="3B78BE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897D20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5</w:t>
                  </w:r>
                </w:p>
              </w:tc>
              <w:tc>
                <w:tcPr>
                  <w:tcW w:w="863" w:type="pct"/>
                  <w:noWrap w:val="0"/>
                  <w:vAlign w:val="center"/>
                </w:tcPr>
                <w:p w14:paraId="00AD2489">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废布袋</w:t>
                  </w:r>
                </w:p>
              </w:tc>
              <w:tc>
                <w:tcPr>
                  <w:tcW w:w="647" w:type="pct"/>
                  <w:noWrap w:val="0"/>
                  <w:vAlign w:val="center"/>
                </w:tcPr>
                <w:p w14:paraId="00633117">
                  <w:pPr>
                    <w:spacing w:line="240" w:lineRule="auto"/>
                    <w:jc w:val="center"/>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0.2</w:t>
                  </w:r>
                </w:p>
              </w:tc>
              <w:tc>
                <w:tcPr>
                  <w:tcW w:w="863" w:type="pct"/>
                  <w:shd w:val="clear" w:color="auto" w:fill="auto"/>
                  <w:noWrap w:val="0"/>
                  <w:vAlign w:val="center"/>
                </w:tcPr>
                <w:p w14:paraId="7EB43E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02BE1CD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shd w:val="clear" w:color="auto" w:fill="auto"/>
                  <w:noWrap w:val="0"/>
                  <w:vAlign w:val="center"/>
                </w:tcPr>
                <w:p w14:paraId="225E2B4F">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22F46703">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收集后外售</w:t>
                  </w:r>
                </w:p>
              </w:tc>
            </w:tr>
            <w:tr w14:paraId="7F2365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0D37703F">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6</w:t>
                  </w:r>
                </w:p>
              </w:tc>
              <w:tc>
                <w:tcPr>
                  <w:tcW w:w="863" w:type="pct"/>
                  <w:noWrap w:val="0"/>
                  <w:vAlign w:val="center"/>
                </w:tcPr>
                <w:p w14:paraId="07712477">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eastAsia="宋体" w:cs="Times New Roman"/>
                      <w:color w:val="auto"/>
                      <w:spacing w:val="0"/>
                      <w:sz w:val="21"/>
                      <w:szCs w:val="20"/>
                      <w:highlight w:val="none"/>
                      <w:lang w:val="en-US" w:eastAsia="zh-CN"/>
                    </w:rPr>
                    <w:t>生活垃圾</w:t>
                  </w:r>
                </w:p>
              </w:tc>
              <w:tc>
                <w:tcPr>
                  <w:tcW w:w="647" w:type="pct"/>
                  <w:noWrap w:val="0"/>
                  <w:vAlign w:val="center"/>
                </w:tcPr>
                <w:p w14:paraId="17601619">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cs="Times New Roman"/>
                      <w:color w:val="auto"/>
                      <w:spacing w:val="0"/>
                      <w:sz w:val="21"/>
                      <w:szCs w:val="20"/>
                      <w:highlight w:val="none"/>
                      <w:lang w:val="en-US" w:eastAsia="zh-CN"/>
                    </w:rPr>
                    <w:t>3.0</w:t>
                  </w:r>
                </w:p>
              </w:tc>
              <w:tc>
                <w:tcPr>
                  <w:tcW w:w="863" w:type="pct"/>
                  <w:noWrap w:val="0"/>
                  <w:vAlign w:val="center"/>
                </w:tcPr>
                <w:p w14:paraId="07E23BFF">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S64其他垃圾</w:t>
                  </w:r>
                </w:p>
              </w:tc>
              <w:tc>
                <w:tcPr>
                  <w:tcW w:w="761" w:type="pct"/>
                  <w:noWrap w:val="0"/>
                  <w:vAlign w:val="center"/>
                </w:tcPr>
                <w:p w14:paraId="5819885D">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 xml:space="preserve">900-099-S64 </w:t>
                  </w:r>
                </w:p>
              </w:tc>
              <w:tc>
                <w:tcPr>
                  <w:tcW w:w="552" w:type="pct"/>
                  <w:noWrap w:val="0"/>
                  <w:vAlign w:val="center"/>
                </w:tcPr>
                <w:p w14:paraId="01614CAC">
                  <w:pPr>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1"/>
                      <w:highlight w:val="none"/>
                      <w:lang w:val="en-US" w:eastAsia="zh-CN"/>
                    </w:rPr>
                    <w:t>垃圾桶</w:t>
                  </w:r>
                </w:p>
              </w:tc>
              <w:tc>
                <w:tcPr>
                  <w:tcW w:w="1008" w:type="pct"/>
                  <w:noWrap w:val="0"/>
                  <w:vAlign w:val="center"/>
                </w:tcPr>
                <w:p w14:paraId="1E7E297A">
                  <w:pPr>
                    <w:topLinePunct/>
                    <w:spacing w:line="240" w:lineRule="auto"/>
                    <w:jc w:val="center"/>
                    <w:rPr>
                      <w:rFonts w:hint="default" w:ascii="Times New Roman" w:hAnsi="Times New Roman" w:eastAsia="宋体" w:cs="Times New Roman"/>
                      <w:color w:val="auto"/>
                      <w:spacing w:val="0"/>
                      <w:sz w:val="21"/>
                      <w:szCs w:val="23"/>
                      <w:highlight w:val="none"/>
                    </w:rPr>
                  </w:pPr>
                  <w:r>
                    <w:rPr>
                      <w:rFonts w:hint="default" w:ascii="Times New Roman" w:hAnsi="Times New Roman" w:eastAsia="宋体" w:cs="Times New Roman"/>
                      <w:color w:val="auto"/>
                      <w:spacing w:val="0"/>
                      <w:sz w:val="21"/>
                      <w:szCs w:val="23"/>
                      <w:highlight w:val="none"/>
                    </w:rPr>
                    <w:t>交由环卫部门统一收集处理</w:t>
                  </w:r>
                </w:p>
              </w:tc>
            </w:tr>
          </w:tbl>
          <w:p w14:paraId="4BBBA87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本项目在库内设置一般固体废物处置间，位于生产车间内（5m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一般工业固体废物贮存或处置，应符合《一般工业固体废物贮存和处置场污染控制标准》（GB18599-2020）的要求。一般工业固体废物的贮存设施、场所必须采取防扬散、防流失、防渗漏或者其他防止污染环境的措施，必须符合国家环境保护标准，并对未处理的固体废物做出妥善处理，安全存放。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3DFCBA9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综上可知，本项目产生的固体废物均能够得到妥善处理，不会对周围环境产生明显影响。</w:t>
            </w:r>
          </w:p>
          <w:p w14:paraId="3900B0A6">
            <w:pPr>
              <w:pStyle w:val="124"/>
              <w:ind w:firstLine="482"/>
              <w:rPr>
                <w:rFonts w:hint="default" w:ascii="Times New Roman" w:hAnsi="Times New Roman" w:eastAsia="宋体" w:cs="Times New Roman"/>
                <w:b/>
                <w:color w:val="auto"/>
                <w:szCs w:val="24"/>
                <w:highlight w:val="none"/>
                <w:lang w:val="en-US" w:eastAsia="zh-CN"/>
              </w:rPr>
            </w:pPr>
            <w:r>
              <w:rPr>
                <w:rFonts w:hint="default" w:ascii="Times New Roman" w:hAnsi="Times New Roman" w:eastAsia="宋体" w:cs="Times New Roman"/>
                <w:b/>
                <w:color w:val="auto"/>
                <w:szCs w:val="24"/>
                <w:highlight w:val="none"/>
                <w:lang w:val="en-US" w:eastAsia="zh-CN"/>
              </w:rPr>
              <w:t>5、土壤、地下水环境影响分析</w:t>
            </w:r>
          </w:p>
          <w:p w14:paraId="1D48F5FE">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（1）污染源、污染物类型与污染途径分析 </w:t>
            </w:r>
          </w:p>
          <w:p w14:paraId="6E11224B">
            <w:pPr>
              <w:spacing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本项目废气污染物主要为颗粒物，不存在大气沉降对土壤环境的影响；</w:t>
            </w:r>
            <w:r>
              <w:rPr>
                <w:rFonts w:hint="default" w:ascii="Times New Roman" w:hAnsi="Times New Roman" w:eastAsia="宋体" w:cs="Times New Roman"/>
                <w:color w:val="auto"/>
                <w:sz w:val="24"/>
                <w:szCs w:val="24"/>
                <w:highlight w:val="none"/>
                <w:lang w:eastAsia="zh-CN"/>
              </w:rPr>
              <w:t>车辆清洗</w:t>
            </w:r>
            <w:r>
              <w:rPr>
                <w:rFonts w:hint="default" w:ascii="Times New Roman" w:hAnsi="Times New Roman" w:eastAsia="宋体" w:cs="Times New Roman"/>
                <w:color w:val="auto"/>
                <w:sz w:val="24"/>
                <w:szCs w:val="24"/>
                <w:highlight w:val="none"/>
              </w:rPr>
              <w:t>水</w:t>
            </w:r>
            <w:r>
              <w:rPr>
                <w:rFonts w:hint="default" w:ascii="Times New Roman" w:hAnsi="Times New Roman" w:cs="Times New Roman"/>
                <w:color w:val="auto"/>
                <w:sz w:val="24"/>
                <w:szCs w:val="24"/>
                <w:highlight w:val="none"/>
                <w:lang w:eastAsia="zh-CN"/>
              </w:rPr>
              <w:t>、模具清洗水均</w:t>
            </w:r>
            <w:r>
              <w:rPr>
                <w:rFonts w:hint="default" w:ascii="Times New Roman" w:hAnsi="Times New Roman" w:eastAsia="宋体" w:cs="Times New Roman"/>
                <w:color w:val="auto"/>
                <w:sz w:val="24"/>
                <w:szCs w:val="24"/>
                <w:highlight w:val="none"/>
              </w:rPr>
              <w:t>经</w:t>
            </w:r>
            <w:r>
              <w:rPr>
                <w:rFonts w:hint="default" w:ascii="Times New Roman" w:hAnsi="Times New Roman" w:eastAsia="宋体" w:cs="Times New Roman"/>
                <w:color w:val="auto"/>
                <w:sz w:val="24"/>
                <w:szCs w:val="24"/>
                <w:highlight w:val="none"/>
                <w:lang w:eastAsia="zh-CN"/>
              </w:rPr>
              <w:t>沉淀池</w:t>
            </w:r>
            <w:r>
              <w:rPr>
                <w:rFonts w:hint="default" w:ascii="Times New Roman" w:hAnsi="Times New Roman" w:eastAsia="宋体" w:cs="Times New Roman"/>
                <w:color w:val="auto"/>
                <w:sz w:val="24"/>
                <w:szCs w:val="24"/>
                <w:highlight w:val="none"/>
              </w:rPr>
              <w:t>沉淀后循环使用不外排，定期补充新鲜水；</w:t>
            </w:r>
            <w:r>
              <w:rPr>
                <w:rFonts w:hint="default" w:ascii="Times New Roman" w:hAnsi="Times New Roman" w:eastAsia="宋体" w:cs="Times New Roman"/>
                <w:color w:val="auto"/>
                <w:kern w:val="2"/>
                <w:sz w:val="24"/>
                <w:szCs w:val="24"/>
                <w:highlight w:val="none"/>
                <w:lang w:val="en-US" w:eastAsia="zh-CN" w:bidi="zh-CN"/>
              </w:rPr>
              <w:t>生活污水水量较小，水质简单，厂区设</w:t>
            </w:r>
            <w:r>
              <w:rPr>
                <w:rFonts w:hint="default" w:ascii="Times New Roman" w:hAnsi="Times New Roman" w:cs="Times New Roman"/>
                <w:color w:val="auto"/>
                <w:kern w:val="2"/>
                <w:sz w:val="24"/>
                <w:szCs w:val="24"/>
                <w:highlight w:val="none"/>
                <w:lang w:val="en-US" w:eastAsia="zh-CN" w:bidi="zh-CN"/>
              </w:rPr>
              <w:t>化粪池</w:t>
            </w:r>
            <w:r>
              <w:rPr>
                <w:rFonts w:hint="default" w:ascii="Times New Roman" w:hAnsi="Times New Roman" w:eastAsia="宋体" w:cs="Times New Roman"/>
                <w:color w:val="auto"/>
                <w:kern w:val="2"/>
                <w:sz w:val="24"/>
                <w:szCs w:val="24"/>
                <w:highlight w:val="none"/>
                <w:lang w:val="en-US" w:eastAsia="zh-CN" w:bidi="zh-CN"/>
              </w:rPr>
              <w:t>，定期清掏用作农肥。</w:t>
            </w:r>
            <w:r>
              <w:rPr>
                <w:rFonts w:hint="default" w:ascii="Times New Roman" w:hAnsi="Times New Roman" w:cs="Times New Roman"/>
                <w:color w:val="auto"/>
                <w:kern w:val="2"/>
                <w:sz w:val="24"/>
                <w:szCs w:val="24"/>
                <w:highlight w:val="none"/>
                <w:lang w:val="en-US" w:eastAsia="zh-CN" w:bidi="zh-CN"/>
              </w:rPr>
              <w:t>生产车间</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一般固废间、洗车区、</w:t>
            </w:r>
            <w:r>
              <w:rPr>
                <w:rFonts w:hint="default" w:ascii="Times New Roman" w:hAnsi="Times New Roman" w:eastAsia="宋体" w:cs="Times New Roman"/>
                <w:color w:val="auto"/>
                <w:sz w:val="24"/>
                <w:szCs w:val="24"/>
                <w:highlight w:val="none"/>
                <w:lang w:eastAsia="zh-CN"/>
              </w:rPr>
              <w:t>沉淀池、办公室、厂区道路均采取防渗措施</w:t>
            </w:r>
            <w:r>
              <w:rPr>
                <w:rFonts w:hint="default" w:ascii="Times New Roman" w:hAnsi="Times New Roman" w:eastAsia="宋体" w:cs="Times New Roman"/>
                <w:color w:val="auto"/>
                <w:kern w:val="0"/>
                <w:sz w:val="24"/>
                <w:szCs w:val="24"/>
                <w:highlight w:val="none"/>
              </w:rPr>
              <w:t>，不存在污染物垂直下渗至土壤环境。本项目不取用地下水，不会因区域地下水位下降造成土壤盐化，不会造成土壤酸化、碱化、盐化。</w:t>
            </w:r>
          </w:p>
          <w:p w14:paraId="11DF93F7">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（2）分区防渗 </w:t>
            </w:r>
          </w:p>
          <w:p w14:paraId="6CFE79F2">
            <w:pPr>
              <w:spacing w:line="360" w:lineRule="auto"/>
              <w:ind w:firstLine="480" w:firstLineChars="200"/>
              <w:rPr>
                <w:rFonts w:hint="default" w:ascii="Times New Roman" w:hAnsi="Times New Roman" w:eastAsia="宋体" w:cs="Times New Roman"/>
                <w:color w:val="auto"/>
                <w:kern w:val="0"/>
                <w:sz w:val="24"/>
                <w:szCs w:val="21"/>
                <w:highlight w:val="none"/>
              </w:rPr>
            </w:pPr>
            <w:r>
              <w:rPr>
                <w:rFonts w:hint="default" w:ascii="Times New Roman" w:hAnsi="Times New Roman" w:eastAsia="宋体" w:cs="Times New Roman"/>
                <w:color w:val="auto"/>
                <w:kern w:val="0"/>
                <w:sz w:val="24"/>
                <w:szCs w:val="21"/>
                <w:highlight w:val="none"/>
              </w:rPr>
              <w:t>为了避免污染地下水和土壤，本项目提出的分区防渗措施见下表。</w:t>
            </w:r>
          </w:p>
          <w:p w14:paraId="0B610DFF">
            <w:pPr>
              <w:spacing w:line="36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 xml:space="preserve">表 </w:t>
            </w:r>
            <w:r>
              <w:rPr>
                <w:rFonts w:hint="default" w:ascii="Times New Roman" w:hAnsi="Times New Roman" w:eastAsia="宋体"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分区防渗一览表</w:t>
            </w:r>
          </w:p>
          <w:tbl>
            <w:tblPr>
              <w:tblStyle w:val="41"/>
              <w:tblW w:w="8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555"/>
              <w:gridCol w:w="5210"/>
            </w:tblGrid>
            <w:tr w14:paraId="1FD0F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45B3BC7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防渗分区</w:t>
                  </w:r>
                </w:p>
              </w:tc>
              <w:tc>
                <w:tcPr>
                  <w:tcW w:w="961" w:type="pct"/>
                  <w:vAlign w:val="center"/>
                </w:tcPr>
                <w:p w14:paraId="30EDEA77">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场所</w:t>
                  </w:r>
                </w:p>
              </w:tc>
              <w:tc>
                <w:tcPr>
                  <w:tcW w:w="3219" w:type="pct"/>
                  <w:vAlign w:val="center"/>
                </w:tcPr>
                <w:p w14:paraId="23DB628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防渗</w:t>
                  </w:r>
                  <w:r>
                    <w:rPr>
                      <w:rFonts w:hint="default" w:ascii="Times New Roman" w:hAnsi="Times New Roman" w:eastAsia="宋体" w:cs="Times New Roman"/>
                      <w:bCs/>
                      <w:color w:val="auto"/>
                      <w:sz w:val="21"/>
                      <w:szCs w:val="21"/>
                      <w:highlight w:val="none"/>
                      <w:lang w:eastAsia="zh-CN"/>
                    </w:rPr>
                    <w:t>技术要求</w:t>
                  </w:r>
                </w:p>
              </w:tc>
            </w:tr>
            <w:tr w14:paraId="3239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pct"/>
                  <w:vMerge w:val="restart"/>
                  <w:vAlign w:val="center"/>
                </w:tcPr>
                <w:p w14:paraId="2597C8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一般防渗区</w:t>
                  </w:r>
                </w:p>
              </w:tc>
              <w:tc>
                <w:tcPr>
                  <w:tcW w:w="961" w:type="pct"/>
                  <w:vAlign w:val="center"/>
                </w:tcPr>
                <w:p w14:paraId="5FEAED20">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eastAsia="zh-CN"/>
                    </w:rPr>
                    <w:t>生产车间、一般固废间、洗车区</w:t>
                  </w:r>
                </w:p>
              </w:tc>
              <w:tc>
                <w:tcPr>
                  <w:tcW w:w="3219" w:type="pct"/>
                  <w:vAlign w:val="center"/>
                </w:tcPr>
                <w:p w14:paraId="21FBCF38">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rPr>
                    <w:t>地面底部采用三合土铺底，上层铺15</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bCs/>
                      <w:color w:val="auto"/>
                      <w:sz w:val="21"/>
                      <w:szCs w:val="21"/>
                      <w:highlight w:val="none"/>
                    </w:rPr>
                    <w:t>cm的水泥进行硬化，渗透系数≤10</w:t>
                  </w:r>
                  <w:r>
                    <w:rPr>
                      <w:rFonts w:hint="default" w:ascii="Times New Roman" w:hAnsi="Times New Roman" w:eastAsia="宋体" w:cs="Times New Roman"/>
                      <w:bCs/>
                      <w:color w:val="auto"/>
                      <w:sz w:val="21"/>
                      <w:szCs w:val="21"/>
                      <w:highlight w:val="none"/>
                      <w:vertAlign w:val="superscript"/>
                    </w:rPr>
                    <w:t xml:space="preserve">-7 </w:t>
                  </w:r>
                  <w:r>
                    <w:rPr>
                      <w:rFonts w:hint="default" w:ascii="Times New Roman" w:hAnsi="Times New Roman" w:eastAsia="宋体" w:cs="Times New Roman"/>
                      <w:bCs/>
                      <w:color w:val="auto"/>
                      <w:sz w:val="21"/>
                      <w:szCs w:val="21"/>
                      <w:highlight w:val="none"/>
                    </w:rPr>
                    <w:t>cm/s</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 w:val="0"/>
                      <w:bCs w:val="0"/>
                      <w:color w:val="auto"/>
                      <w:kern w:val="2"/>
                      <w:sz w:val="21"/>
                      <w:szCs w:val="21"/>
                      <w:highlight w:val="none"/>
                      <w:lang w:val="en-US" w:eastAsia="zh-CN" w:bidi="ar-SA"/>
                    </w:rPr>
                    <w:t>防渗性能应与1.5m厚粘土层等效。</w:t>
                  </w:r>
                </w:p>
              </w:tc>
            </w:tr>
            <w:tr w14:paraId="660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819" w:type="pct"/>
                  <w:vMerge w:val="continue"/>
                  <w:vAlign w:val="center"/>
                </w:tcPr>
                <w:p w14:paraId="736AEC3C">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p>
              </w:tc>
              <w:tc>
                <w:tcPr>
                  <w:tcW w:w="961" w:type="pct"/>
                  <w:vAlign w:val="center"/>
                </w:tcPr>
                <w:p w14:paraId="5BA564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沉淀池</w:t>
                  </w:r>
                </w:p>
              </w:tc>
              <w:tc>
                <w:tcPr>
                  <w:tcW w:w="3219" w:type="pct"/>
                  <w:vAlign w:val="center"/>
                </w:tcPr>
                <w:p w14:paraId="500E2C29">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bidi="ar-SA"/>
                    </w:rPr>
                    <w:t>底部用三合土铺底，上层用15~20cm的水泥混凝土浇底。四周壁用砖砌再用抗渗混凝土浇筑，混凝土的抗渗等级不应低于P8，防渗性能应与1.5m厚粘土层等效。</w:t>
                  </w:r>
                </w:p>
              </w:tc>
            </w:tr>
            <w:tr w14:paraId="36E5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53B58565">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简单防渗区</w:t>
                  </w:r>
                </w:p>
              </w:tc>
              <w:tc>
                <w:tcPr>
                  <w:tcW w:w="961" w:type="pct"/>
                  <w:vAlign w:val="center"/>
                </w:tcPr>
                <w:p w14:paraId="4684D7E9">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办公室、厂区道路</w:t>
                  </w:r>
                </w:p>
              </w:tc>
              <w:tc>
                <w:tcPr>
                  <w:tcW w:w="3219" w:type="pct"/>
                  <w:vAlign w:val="center"/>
                </w:tcPr>
                <w:p w14:paraId="5C3D04B6">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10-15cm水泥硬化处理</w:t>
                  </w:r>
                  <w:r>
                    <w:rPr>
                      <w:rFonts w:hint="default" w:ascii="Times New Roman" w:hAnsi="Times New Roman" w:eastAsia="宋体" w:cs="Times New Roman"/>
                      <w:color w:val="auto"/>
                      <w:sz w:val="21"/>
                      <w:szCs w:val="21"/>
                      <w:highlight w:val="none"/>
                    </w:rPr>
                    <w:t>。</w:t>
                  </w:r>
                </w:p>
              </w:tc>
            </w:tr>
          </w:tbl>
          <w:p w14:paraId="35915F48">
            <w:pPr>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zh-CN"/>
              </w:rPr>
              <w:t>综上，厂区内设施按要求进行防渗处理，因此在防渗层完好的状态下，企业在加强管理，强化防渗措施的前提下，污染物渗入地下的量极小，对区域地下水和土壤环境造成影响的可能性较小，污染物渗入地下的量极其轻微，不会对评价区地下水和土壤产生明显影响。</w:t>
            </w:r>
          </w:p>
          <w:p w14:paraId="5AF22490">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 xml:space="preserve">6、生态环境 </w:t>
            </w:r>
          </w:p>
          <w:p w14:paraId="056DB928">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位于河北省石家庄市井陉矿区丰达产业园东区7号，属于河北石家庄矿区工业园区东区范围，项目占地为规划的工业用地，所在地无珍稀物种以及自然保护区等环境敏感区，不会影响生物多样性。综上可知，本项目不会对区域的生态环境造成明显影响。</w:t>
            </w:r>
          </w:p>
          <w:p w14:paraId="15DAB1A4">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7、环境风险</w:t>
            </w:r>
          </w:p>
          <w:p w14:paraId="30A8D115">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本项目不涉及《建设项目环境风险评价技术导则》（HJ/T169-2018）附录B中表B.1和表B.2中的环境风险物质，无需开展环境风险影响评价。</w:t>
            </w:r>
          </w:p>
          <w:p w14:paraId="4A57827F">
            <w:pPr>
              <w:numPr>
                <w:ilvl w:val="0"/>
                <w:numId w:val="10"/>
              </w:numPr>
              <w:spacing w:line="360" w:lineRule="auto"/>
              <w:ind w:firstLine="482" w:firstLineChars="200"/>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电磁辐射</w:t>
            </w:r>
          </w:p>
          <w:p w14:paraId="641D73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无。</w:t>
            </w:r>
          </w:p>
          <w:p w14:paraId="0E53369F">
            <w:pPr>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b/>
                <w:bCs/>
                <w:color w:val="auto"/>
                <w:sz w:val="24"/>
                <w:highlight w:val="none"/>
                <w:lang w:val="en-US" w:eastAsia="zh-CN"/>
              </w:rPr>
              <w:t>9</w:t>
            </w:r>
            <w:r>
              <w:rPr>
                <w:rFonts w:hint="default" w:ascii="Times New Roman" w:hAnsi="Times New Roman" w:cs="Times New Roman"/>
                <w:b/>
                <w:bCs/>
                <w:color w:val="auto"/>
                <w:sz w:val="24"/>
                <w:highlight w:val="none"/>
              </w:rPr>
              <w:t>、环境管理</w:t>
            </w:r>
          </w:p>
          <w:p w14:paraId="365BC5B8">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为了贯彻执行有关环境保护法规，及时了解项目及其周围环境质量变化情况，掌握环境保护措施实施的效果，保证该区域良好的环境质量，建设单位进行相应的环境管理。</w:t>
            </w:r>
          </w:p>
          <w:p w14:paraId="6CF4CE34">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（1）环境管理要求</w:t>
            </w:r>
          </w:p>
          <w:p w14:paraId="7598BE43">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①贯彻落实国家相关法律法规及政策，以国家相关法律法规为依据，落实防治环境污染和生态破坏的措施以及环境保护设施投资概算，及时当地环境保护部门汇报各阶段的情况。</w:t>
            </w:r>
          </w:p>
          <w:p w14:paraId="2EA800E1">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②项目的建设遵循</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三同时</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制度，即项目环保措施与主体工程同时设计、同时施工、同时投产使用。</w:t>
            </w:r>
          </w:p>
          <w:p w14:paraId="42329AE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③排污许可制度衔接。根据《固定污染源排污许可分类管理名录（2019年版）》。建设单位应按照</w:t>
            </w:r>
            <w:r>
              <w:rPr>
                <w:rFonts w:hint="eastAsia" w:cs="Times New Roman"/>
                <w:color w:val="auto"/>
                <w:sz w:val="24"/>
                <w:highlight w:val="none"/>
                <w:lang w:eastAsia="zh-CN"/>
              </w:rPr>
              <w:t>《排污许可管理条例》</w:t>
            </w:r>
            <w:r>
              <w:rPr>
                <w:rFonts w:hint="default" w:ascii="Times New Roman" w:hAnsi="Times New Roman" w:cs="Times New Roman"/>
                <w:color w:val="auto"/>
                <w:sz w:val="24"/>
                <w:highlight w:val="none"/>
              </w:rPr>
              <w:t>、《固定污染源排污许可分类管理名录（2019年版）》等排污许可证相关管理要求，在规定时限内申请排污许可证</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本项目为二十五、非金属矿物制品业-轻质建筑材料制造3024、</w:t>
            </w:r>
            <w:r>
              <w:rPr>
                <w:rFonts w:hint="default" w:ascii="Times New Roman" w:hAnsi="Times New Roman" w:eastAsia="宋体" w:cs="Times New Roman"/>
                <w:color w:val="auto"/>
                <w:sz w:val="24"/>
                <w:highlight w:val="none"/>
                <w:lang w:val="en-US" w:eastAsia="zh-CN"/>
              </w:rPr>
              <w:t>隔热和隔音材料制造 3034</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其他建筑材料制造3039</w:t>
            </w:r>
            <w:r>
              <w:rPr>
                <w:rFonts w:hint="default" w:ascii="Times New Roman" w:hAnsi="Times New Roman" w:cs="Times New Roman"/>
                <w:color w:val="auto"/>
                <w:sz w:val="24"/>
                <w:highlight w:val="none"/>
                <w:lang w:val="en-US" w:eastAsia="zh-CN"/>
              </w:rPr>
              <w:t>，属于简化管理。</w:t>
            </w:r>
          </w:p>
          <w:p w14:paraId="0C6587B3">
            <w:pPr>
              <w:pStyle w:val="2"/>
              <w:keepNext w:val="0"/>
              <w:keepLines w:val="0"/>
              <w:pageBreakBefore w:val="0"/>
              <w:widowControl w:val="0"/>
              <w:kinsoku/>
              <w:wordWrap/>
              <w:overflowPunct/>
              <w:topLinePunct w:val="0"/>
              <w:autoSpaceDE/>
              <w:autoSpaceDN/>
              <w:bidi w:val="0"/>
              <w:adjustRightInd/>
              <w:spacing w:line="360" w:lineRule="auto"/>
              <w:jc w:val="left"/>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color w:val="auto"/>
                <w:sz w:val="24"/>
                <w:highlight w:val="none"/>
              </w:rPr>
              <w:t>④建设项目竣工后，建设单位或者其委托的技术机构应当依照国家有关法律法规。建设项竣工环境保护验收技术规范。建设项目环境影响报告表和审批决定等要求，如实查验、监测、记载建设项目环境保护设施的建设和调试情况，同时还应如实记载其他环境保护对策措施</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三同时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落实情况，编制竣工环境保护验收报告。</w:t>
            </w:r>
          </w:p>
          <w:p w14:paraId="38F614A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fldChar w:fldCharType="begin"/>
            </w:r>
            <w:r>
              <w:rPr>
                <w:rFonts w:hint="default" w:ascii="Times New Roman" w:hAnsi="Times New Roman" w:eastAsia="宋体" w:cs="Times New Roman"/>
                <w:color w:val="auto"/>
                <w:sz w:val="24"/>
                <w:highlight w:val="none"/>
              </w:rPr>
              <w:instrText xml:space="preserve"> = 5 \* GB3 \* MERGEFORMAT </w:instrText>
            </w:r>
            <w:r>
              <w:rPr>
                <w:rFonts w:hint="default" w:ascii="Times New Roman" w:hAnsi="Times New Roman" w:eastAsia="宋体" w:cs="Times New Roman"/>
                <w:color w:val="auto"/>
                <w:sz w:val="24"/>
                <w:highlight w:val="none"/>
              </w:rPr>
              <w:fldChar w:fldCharType="separate"/>
            </w:r>
            <w:r>
              <w:rPr>
                <w:rFonts w:hint="default" w:ascii="Times New Roman" w:hAnsi="Times New Roman" w:eastAsia="宋体" w:cs="Times New Roman"/>
                <w:color w:val="auto"/>
                <w:sz w:val="24"/>
                <w:highlight w:val="none"/>
              </w:rPr>
              <w:t>⑤</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验收报告编制完成后，建设单位</w:t>
            </w:r>
            <w:r>
              <w:rPr>
                <w:rFonts w:hint="default" w:ascii="Times New Roman" w:hAnsi="Times New Roman" w:cs="Times New Roman"/>
                <w:color w:val="auto"/>
                <w:sz w:val="24"/>
                <w:highlight w:val="none"/>
              </w:rPr>
              <w:t>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AC06F9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建设单位按照《环境保护信息公开办法》进行相关信息的公开。</w:t>
            </w:r>
          </w:p>
          <w:p w14:paraId="2006D2C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（2）排污口规范化管理</w:t>
            </w:r>
          </w:p>
          <w:p w14:paraId="7AC99AA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2007），对现场监测条件按规范要求搭设采样监测平台，废气治理措施治理前、后预留监测孔，便于环境管理及监测部门的日常监督、检查及监测。</w:t>
            </w:r>
          </w:p>
          <w:p w14:paraId="1DC498F7">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a、建设规范化排污口</w:t>
            </w:r>
          </w:p>
          <w:p w14:paraId="1D20B632">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建设完善规范化排污口，同时建设的规范化排污口要充分考虑便于采集样品、便于监测计量、便于日常环境监督管理的要求。</w:t>
            </w:r>
          </w:p>
          <w:p w14:paraId="23F794C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b、设立标志牌</w:t>
            </w:r>
          </w:p>
          <w:p w14:paraId="5951EC20">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r>
              <w:rPr>
                <w:rFonts w:hint="default" w:ascii="Times New Roman" w:hAnsi="Times New Roman" w:cs="Times New Roman"/>
                <w:color w:val="auto"/>
                <w:sz w:val="24"/>
                <w:highlight w:val="none"/>
              </w:rPr>
              <w:drawing>
                <wp:anchor distT="0" distB="0" distL="114300" distR="114300" simplePos="0" relativeHeight="251662336" behindDoc="0" locked="0" layoutInCell="1" allowOverlap="1">
                  <wp:simplePos x="0" y="0"/>
                  <wp:positionH relativeFrom="column">
                    <wp:posOffset>168275</wp:posOffset>
                  </wp:positionH>
                  <wp:positionV relativeFrom="paragraph">
                    <wp:posOffset>31115</wp:posOffset>
                  </wp:positionV>
                  <wp:extent cx="1462405" cy="864235"/>
                  <wp:effectExtent l="9525" t="9525" r="13970" b="21590"/>
                  <wp:wrapNone/>
                  <wp:docPr id="1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3360" behindDoc="0" locked="0" layoutInCell="1" allowOverlap="1">
                  <wp:simplePos x="0" y="0"/>
                  <wp:positionH relativeFrom="column">
                    <wp:posOffset>1779905</wp:posOffset>
                  </wp:positionH>
                  <wp:positionV relativeFrom="paragraph">
                    <wp:posOffset>26670</wp:posOffset>
                  </wp:positionV>
                  <wp:extent cx="1620520" cy="869950"/>
                  <wp:effectExtent l="9525" t="9525" r="27305" b="15875"/>
                  <wp:wrapNone/>
                  <wp:docPr id="1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4384" behindDoc="0" locked="0" layoutInCell="1" allowOverlap="1">
                  <wp:simplePos x="0" y="0"/>
                  <wp:positionH relativeFrom="column">
                    <wp:posOffset>3507105</wp:posOffset>
                  </wp:positionH>
                  <wp:positionV relativeFrom="paragraph">
                    <wp:posOffset>37465</wp:posOffset>
                  </wp:positionV>
                  <wp:extent cx="1588135" cy="866140"/>
                  <wp:effectExtent l="9525" t="9525" r="21590" b="19685"/>
                  <wp:wrapNone/>
                  <wp:docPr id="1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78715D36">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p>
          <w:p w14:paraId="70DCF643">
            <w:pPr>
              <w:spacing w:line="440" w:lineRule="exact"/>
              <w:rPr>
                <w:rFonts w:hint="default" w:ascii="Times New Roman" w:hAnsi="Times New Roman" w:eastAsia="等线" w:cs="Times New Roman"/>
                <w:color w:val="auto"/>
                <w:sz w:val="24"/>
                <w:szCs w:val="22"/>
                <w:highlight w:val="none"/>
              </w:rPr>
            </w:pPr>
          </w:p>
          <w:p w14:paraId="78CFDC11">
            <w:pPr>
              <w:keepNext/>
              <w:keepLines/>
              <w:widowControl/>
              <w:spacing w:line="440" w:lineRule="exact"/>
              <w:ind w:firstLine="479" w:firstLineChars="199"/>
              <w:jc w:val="center"/>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图</w:t>
            </w:r>
            <w:r>
              <w:rPr>
                <w:rFonts w:hint="default" w:ascii="Times New Roman" w:hAnsi="Times New Roman" w:cs="Times New Roman"/>
                <w:b/>
                <w:color w:val="auto"/>
                <w:sz w:val="24"/>
                <w:highlight w:val="none"/>
                <w:lang w:val="en-US" w:eastAsia="zh-CN"/>
              </w:rPr>
              <w:t>4-1</w:t>
            </w:r>
            <w:r>
              <w:rPr>
                <w:rFonts w:hint="default" w:ascii="Times New Roman" w:hAnsi="Times New Roman" w:cs="Times New Roman"/>
                <w:b/>
                <w:color w:val="auto"/>
                <w:sz w:val="24"/>
                <w:highlight w:val="none"/>
              </w:rPr>
              <w:t xml:space="preserve">  环境保护图形标志牌</w:t>
            </w:r>
          </w:p>
          <w:p w14:paraId="0C89F87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c、建立规范化排污口档案</w:t>
            </w:r>
          </w:p>
          <w:p w14:paraId="1EA6FE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建立各排污口相应的监督管理档案，内容包括排污单位名称，排污口性质及编号，排污口的地理位置（GPS定位经纬度），排污口所排放的主要污染物种类、数量、浓度及排放去向、</w:t>
            </w:r>
            <w:r>
              <w:rPr>
                <w:rFonts w:hint="default" w:ascii="Times New Roman" w:hAnsi="Times New Roman" w:cs="Times New Roman"/>
                <w:color w:val="auto"/>
                <w:sz w:val="24"/>
                <w:highlight w:val="none"/>
                <w:lang w:eastAsia="zh-CN"/>
              </w:rPr>
              <w:t>达</w:t>
            </w:r>
            <w:r>
              <w:rPr>
                <w:rFonts w:hint="default" w:ascii="Times New Roman" w:hAnsi="Times New Roman" w:eastAsia="宋体" w:cs="Times New Roman"/>
                <w:color w:val="auto"/>
                <w:sz w:val="24"/>
                <w:highlight w:val="none"/>
              </w:rPr>
              <w:t>标情况，设施运行及日常现场监督检查记录等有关资料和记录</w:t>
            </w:r>
            <w:r>
              <w:rPr>
                <w:rFonts w:hint="default" w:ascii="Times New Roman" w:hAnsi="Times New Roman" w:cs="Times New Roman"/>
                <w:color w:val="auto"/>
                <w:sz w:val="24"/>
                <w:highlight w:val="none"/>
                <w:lang w:eastAsia="zh-CN"/>
              </w:rPr>
              <w:t>。</w:t>
            </w:r>
          </w:p>
          <w:p w14:paraId="115F2F6A">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3033094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43EE03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0933B7DB">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4CB55626">
            <w:pPr>
              <w:pStyle w:val="2"/>
              <w:rPr>
                <w:rFonts w:hint="default" w:ascii="Times New Roman" w:hAnsi="Times New Roman" w:eastAsia="宋体" w:cs="Times New Roman"/>
                <w:color w:val="auto"/>
                <w:sz w:val="24"/>
                <w:highlight w:val="none"/>
              </w:rPr>
            </w:pPr>
          </w:p>
          <w:p w14:paraId="449006C1">
            <w:pPr>
              <w:pStyle w:val="3"/>
              <w:rPr>
                <w:rFonts w:hint="default" w:ascii="Times New Roman" w:hAnsi="Times New Roman" w:eastAsia="宋体" w:cs="Times New Roman"/>
                <w:color w:val="auto"/>
                <w:sz w:val="24"/>
                <w:highlight w:val="none"/>
              </w:rPr>
            </w:pPr>
          </w:p>
          <w:p w14:paraId="604AF3C9">
            <w:pPr>
              <w:rPr>
                <w:rFonts w:hint="default" w:ascii="Times New Roman" w:hAnsi="Times New Roman" w:eastAsia="宋体" w:cs="Times New Roman"/>
                <w:color w:val="auto"/>
                <w:sz w:val="24"/>
                <w:highlight w:val="none"/>
              </w:rPr>
            </w:pPr>
          </w:p>
          <w:p w14:paraId="4453241E">
            <w:pPr>
              <w:pStyle w:val="2"/>
              <w:rPr>
                <w:rFonts w:hint="default" w:ascii="Times New Roman" w:hAnsi="Times New Roman" w:eastAsia="宋体" w:cs="Times New Roman"/>
                <w:color w:val="auto"/>
                <w:sz w:val="24"/>
                <w:highlight w:val="none"/>
              </w:rPr>
            </w:pPr>
          </w:p>
          <w:p w14:paraId="5ABC9184">
            <w:pPr>
              <w:pStyle w:val="3"/>
              <w:rPr>
                <w:rFonts w:hint="default" w:ascii="Times New Roman" w:hAnsi="Times New Roman" w:eastAsia="宋体" w:cs="Times New Roman"/>
                <w:color w:val="auto"/>
                <w:sz w:val="24"/>
                <w:highlight w:val="none"/>
              </w:rPr>
            </w:pPr>
          </w:p>
          <w:p w14:paraId="122AC145">
            <w:pPr>
              <w:rPr>
                <w:rFonts w:hint="default" w:ascii="Times New Roman" w:hAnsi="Times New Roman" w:eastAsia="宋体" w:cs="Times New Roman"/>
                <w:color w:val="auto"/>
                <w:sz w:val="24"/>
                <w:highlight w:val="none"/>
              </w:rPr>
            </w:pPr>
          </w:p>
          <w:p w14:paraId="6821F23B">
            <w:pPr>
              <w:pStyle w:val="2"/>
              <w:rPr>
                <w:rFonts w:hint="default" w:ascii="Times New Roman" w:hAnsi="Times New Roman" w:eastAsia="宋体" w:cs="Times New Roman"/>
                <w:color w:val="auto"/>
                <w:sz w:val="24"/>
                <w:highlight w:val="none"/>
              </w:rPr>
            </w:pPr>
          </w:p>
          <w:p w14:paraId="47604F96">
            <w:pPr>
              <w:pStyle w:val="3"/>
              <w:rPr>
                <w:rFonts w:hint="default" w:ascii="Times New Roman" w:hAnsi="Times New Roman" w:eastAsia="宋体" w:cs="Times New Roman"/>
                <w:color w:val="auto"/>
                <w:sz w:val="24"/>
                <w:highlight w:val="none"/>
              </w:rPr>
            </w:pPr>
          </w:p>
          <w:p w14:paraId="29E367D8">
            <w:pPr>
              <w:rPr>
                <w:rFonts w:hint="default" w:ascii="Times New Roman" w:hAnsi="Times New Roman" w:eastAsia="宋体" w:cs="Times New Roman"/>
                <w:color w:val="auto"/>
                <w:sz w:val="24"/>
                <w:highlight w:val="none"/>
              </w:rPr>
            </w:pPr>
          </w:p>
          <w:p w14:paraId="783E287A">
            <w:pPr>
              <w:pStyle w:val="2"/>
              <w:rPr>
                <w:rFonts w:hint="default" w:ascii="Times New Roman" w:hAnsi="Times New Roman" w:eastAsia="宋体" w:cs="Times New Roman"/>
                <w:color w:val="auto"/>
                <w:sz w:val="24"/>
                <w:highlight w:val="none"/>
              </w:rPr>
            </w:pPr>
          </w:p>
          <w:p w14:paraId="37671964">
            <w:pPr>
              <w:pStyle w:val="3"/>
              <w:rPr>
                <w:rFonts w:hint="default" w:ascii="Times New Roman" w:hAnsi="Times New Roman" w:eastAsia="宋体" w:cs="Times New Roman"/>
                <w:color w:val="auto"/>
                <w:sz w:val="24"/>
                <w:highlight w:val="none"/>
              </w:rPr>
            </w:pPr>
          </w:p>
          <w:p w14:paraId="25D91884">
            <w:pPr>
              <w:rPr>
                <w:rFonts w:hint="default" w:ascii="Times New Roman" w:hAnsi="Times New Roman" w:eastAsia="宋体" w:cs="Times New Roman"/>
                <w:color w:val="auto"/>
                <w:sz w:val="24"/>
                <w:highlight w:val="none"/>
              </w:rPr>
            </w:pPr>
          </w:p>
          <w:p w14:paraId="00BC63BE">
            <w:pPr>
              <w:pStyle w:val="2"/>
              <w:rPr>
                <w:rFonts w:hint="default" w:ascii="Times New Roman" w:hAnsi="Times New Roman" w:eastAsia="宋体" w:cs="Times New Roman"/>
                <w:color w:val="auto"/>
                <w:sz w:val="24"/>
                <w:highlight w:val="none"/>
              </w:rPr>
            </w:pPr>
          </w:p>
          <w:p w14:paraId="4BF3CA2D">
            <w:pPr>
              <w:pStyle w:val="3"/>
              <w:rPr>
                <w:rFonts w:hint="default" w:ascii="Times New Roman" w:hAnsi="Times New Roman" w:eastAsia="宋体" w:cs="Times New Roman"/>
                <w:color w:val="auto"/>
                <w:sz w:val="24"/>
                <w:highlight w:val="none"/>
              </w:rPr>
            </w:pPr>
          </w:p>
          <w:p w14:paraId="1AC99D4A">
            <w:pPr>
              <w:rPr>
                <w:rFonts w:hint="default"/>
              </w:rPr>
            </w:pPr>
          </w:p>
          <w:p w14:paraId="465FB47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EE257D9">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28FEBDBE">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6FE02F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0E05D7A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304CB37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1793A94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052974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C0595CA">
            <w:pPr>
              <w:pStyle w:val="2"/>
              <w:rPr>
                <w:rFonts w:hint="default" w:ascii="Times New Roman" w:hAnsi="Times New Roman" w:eastAsia="宋体" w:cs="Times New Roman"/>
                <w:color w:val="auto"/>
                <w:sz w:val="24"/>
                <w:highlight w:val="none"/>
                <w:lang w:val="en-US" w:eastAsia="zh-CN"/>
              </w:rPr>
            </w:pPr>
          </w:p>
          <w:p w14:paraId="179F2477">
            <w:pPr>
              <w:pStyle w:val="3"/>
              <w:rPr>
                <w:rFonts w:hint="default" w:ascii="Times New Roman" w:hAnsi="Times New Roman" w:eastAsia="宋体" w:cs="Times New Roman"/>
                <w:color w:val="auto"/>
                <w:sz w:val="24"/>
                <w:highlight w:val="none"/>
                <w:lang w:val="en-US" w:eastAsia="zh-CN"/>
              </w:rPr>
            </w:pPr>
          </w:p>
          <w:p w14:paraId="7E107E39">
            <w:pPr>
              <w:rPr>
                <w:rFonts w:hint="default"/>
                <w:lang w:val="en-US" w:eastAsia="zh-CN"/>
              </w:rPr>
            </w:pPr>
          </w:p>
          <w:p w14:paraId="6265E8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5A96AA53">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tc>
      </w:tr>
    </w:tbl>
    <w:p w14:paraId="0FFFF6A0">
      <w:pP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FED04EF">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2" w:name="_Hlk54167917"/>
      <w:r>
        <w:rPr>
          <w:rFonts w:hint="default" w:ascii="Times New Roman" w:hAnsi="Times New Roman" w:eastAsia="黑体" w:cs="Times New Roman"/>
          <w:snapToGrid w:val="0"/>
          <w:color w:val="auto"/>
          <w:sz w:val="30"/>
          <w:szCs w:val="30"/>
          <w:highlight w:val="none"/>
          <w:lang w:val="en-US" w:eastAsia="zh-CN"/>
        </w:rPr>
        <w:t>项目</w:t>
      </w:r>
      <w:r>
        <w:rPr>
          <w:rFonts w:hint="default" w:ascii="Times New Roman" w:hAnsi="Times New Roman" w:eastAsia="黑体" w:cs="Times New Roman"/>
          <w:snapToGrid w:val="0"/>
          <w:color w:val="auto"/>
          <w:sz w:val="30"/>
          <w:szCs w:val="30"/>
          <w:highlight w:val="none"/>
        </w:rPr>
        <w:t>环境保护措施监督检查清单</w:t>
      </w:r>
      <w:bookmarkEnd w:id="2"/>
    </w:p>
    <w:tbl>
      <w:tblPr>
        <w:tblStyle w:val="40"/>
        <w:tblW w:w="511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3" w:type="dxa"/>
          <w:bottom w:w="0" w:type="dxa"/>
          <w:right w:w="23" w:type="dxa"/>
        </w:tblCellMar>
      </w:tblPr>
      <w:tblGrid>
        <w:gridCol w:w="1324"/>
        <w:gridCol w:w="600"/>
        <w:gridCol w:w="758"/>
        <w:gridCol w:w="1154"/>
        <w:gridCol w:w="1385"/>
        <w:gridCol w:w="945"/>
        <w:gridCol w:w="2925"/>
      </w:tblGrid>
      <w:tr w14:paraId="7F2A6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794" w:hRule="atLeast"/>
          <w:jc w:val="center"/>
        </w:trPr>
        <w:tc>
          <w:tcPr>
            <w:tcW w:w="728" w:type="pct"/>
            <w:tcBorders>
              <w:tl2br w:val="nil"/>
              <w:tr2bl w:val="nil"/>
            </w:tcBorders>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14:paraId="5811F628">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70FC86E6">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03DD567">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要素</w:t>
            </w:r>
          </w:p>
          <w:p w14:paraId="5865B921">
            <w:pPr>
              <w:adjustRightInd w:val="0"/>
              <w:snapToGrid w:val="0"/>
              <w:spacing w:line="310" w:lineRule="exact"/>
              <mc:AlternateContent>
                <mc:Choice Requires="wpsCustomData">
                  <wpsCustomData:diagonalParaType/>
                </mc:Choice>
              </mc:AlternateContent>
              <w:rPr>
                <w:rFonts w:hint="default" w:ascii="Times New Roman" w:hAnsi="Times New Roman" w:eastAsia="宋体" w:cs="Times New Roman"/>
                <w:color w:val="auto"/>
                <w:sz w:val="21"/>
                <w:szCs w:val="21"/>
                <w:highlight w:val="none"/>
              </w:rPr>
            </w:pPr>
          </w:p>
          <w:p w14:paraId="223C645E">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内容</w:t>
            </w:r>
          </w:p>
          <w:p w14:paraId="538768E2">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75154FB">
            <w:pPr>
              <w:adjustRightInd w:val="0"/>
              <w:snapToGrid w:val="0"/>
              <w:spacing w:line="310" w:lineRule="exact"/>
              <w:rPr>
                <w:rFonts w:hint="default" w:ascii="Times New Roman" w:hAnsi="Times New Roman" w:eastAsia="宋体" w:cs="Times New Roman"/>
                <w:color w:val="auto"/>
                <w:sz w:val="21"/>
                <w:szCs w:val="21"/>
                <w:highlight w:val="none"/>
                <w:lang w:eastAsia="zh-CN"/>
              </w:rPr>
            </w:pPr>
          </w:p>
        </w:tc>
        <w:tc>
          <w:tcPr>
            <w:tcW w:w="746" w:type="pct"/>
            <w:gridSpan w:val="2"/>
            <w:tcBorders>
              <w:tl2br w:val="nil"/>
              <w:tr2bl w:val="nil"/>
            </w:tcBorders>
            <w:noWrap w:val="0"/>
            <w:vAlign w:val="center"/>
          </w:tcPr>
          <w:p w14:paraId="29A575C1">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编号、名称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/污染源</w:t>
            </w:r>
          </w:p>
        </w:tc>
        <w:tc>
          <w:tcPr>
            <w:tcW w:w="634" w:type="pct"/>
            <w:tcBorders>
              <w:tl2br w:val="nil"/>
              <w:tr2bl w:val="nil"/>
            </w:tcBorders>
            <w:noWrap w:val="0"/>
            <w:vAlign w:val="center"/>
          </w:tcPr>
          <w:p w14:paraId="5F8B37F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1654FB9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1281" w:type="pct"/>
            <w:gridSpan w:val="2"/>
            <w:tcBorders>
              <w:tl2br w:val="nil"/>
              <w:tr2bl w:val="nil"/>
            </w:tcBorders>
            <w:noWrap w:val="0"/>
            <w:vAlign w:val="center"/>
          </w:tcPr>
          <w:p w14:paraId="1268B0A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环境保护措施</w:t>
            </w:r>
          </w:p>
        </w:tc>
        <w:tc>
          <w:tcPr>
            <w:tcW w:w="1608" w:type="pct"/>
            <w:tcBorders>
              <w:tl2br w:val="nil"/>
              <w:tr2bl w:val="nil"/>
            </w:tcBorders>
            <w:noWrap w:val="0"/>
            <w:vAlign w:val="center"/>
          </w:tcPr>
          <w:p w14:paraId="53E4C21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4B706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restart"/>
            <w:tcBorders>
              <w:tl2br w:val="nil"/>
              <w:tr2bl w:val="nil"/>
            </w:tcBorders>
            <w:noWrap w:val="0"/>
            <w:vAlign w:val="center"/>
          </w:tcPr>
          <w:p w14:paraId="54B49E8A">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大气环境</w:t>
            </w:r>
          </w:p>
        </w:tc>
        <w:tc>
          <w:tcPr>
            <w:tcW w:w="329" w:type="pct"/>
            <w:vMerge w:val="restart"/>
            <w:tcBorders>
              <w:tl2br w:val="nil"/>
              <w:tr2bl w:val="nil"/>
            </w:tcBorders>
            <w:noWrap w:val="0"/>
            <w:vAlign w:val="center"/>
          </w:tcPr>
          <w:p w14:paraId="7892E53B">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排气筒</w:t>
            </w:r>
            <w:r>
              <w:rPr>
                <w:rFonts w:hint="default" w:ascii="Times New Roman" w:hAnsi="Times New Roman" w:eastAsia="宋体" w:cs="Times New Roman"/>
                <w:color w:val="auto"/>
                <w:sz w:val="21"/>
                <w:szCs w:val="21"/>
                <w:highlight w:val="none"/>
                <w:lang w:val="en-US" w:eastAsia="zh-CN"/>
              </w:rPr>
              <w:t>DA001</w:t>
            </w:r>
          </w:p>
        </w:tc>
        <w:tc>
          <w:tcPr>
            <w:tcW w:w="416" w:type="pct"/>
            <w:tcBorders>
              <w:tl2br w:val="nil"/>
              <w:tr2bl w:val="nil"/>
            </w:tcBorders>
            <w:shd w:val="clear" w:color="auto" w:fill="auto"/>
            <w:noWrap w:val="0"/>
            <w:vAlign w:val="center"/>
          </w:tcPr>
          <w:p w14:paraId="683B5FB8">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储罐呼吸废气</w:t>
            </w:r>
          </w:p>
        </w:tc>
        <w:tc>
          <w:tcPr>
            <w:tcW w:w="634" w:type="pct"/>
            <w:tcBorders>
              <w:tl2br w:val="nil"/>
              <w:tr2bl w:val="nil"/>
            </w:tcBorders>
            <w:noWrap w:val="0"/>
            <w:vAlign w:val="center"/>
          </w:tcPr>
          <w:p w14:paraId="08B752C1">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5E087CE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集气管道+罐顶除尘器</w:t>
            </w:r>
          </w:p>
        </w:tc>
        <w:tc>
          <w:tcPr>
            <w:tcW w:w="519" w:type="pct"/>
            <w:vMerge w:val="restart"/>
            <w:tcBorders>
              <w:tl2br w:val="nil"/>
              <w:tr2bl w:val="nil"/>
            </w:tcBorders>
            <w:noWrap w:val="0"/>
            <w:vAlign w:val="center"/>
          </w:tcPr>
          <w:p w14:paraId="4F318828">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布袋除尘器</w:t>
            </w:r>
            <w:r>
              <w:rPr>
                <w:rFonts w:hint="default" w:ascii="Times New Roman" w:hAnsi="Times New Roman" w:eastAsia="宋体" w:cs="Times New Roman"/>
                <w:color w:val="auto"/>
                <w:kern w:val="0"/>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15m 高排气筒 DA001</w:t>
            </w:r>
          </w:p>
        </w:tc>
        <w:tc>
          <w:tcPr>
            <w:tcW w:w="1608" w:type="pct"/>
            <w:vMerge w:val="restart"/>
            <w:tcBorders>
              <w:tl2br w:val="nil"/>
              <w:tr2bl w:val="nil"/>
            </w:tcBorders>
            <w:noWrap w:val="0"/>
            <w:vAlign w:val="center"/>
          </w:tcPr>
          <w:p w14:paraId="40E9C84B">
            <w:pPr>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3CC28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56" w:hRule="atLeast"/>
          <w:jc w:val="center"/>
        </w:trPr>
        <w:tc>
          <w:tcPr>
            <w:tcW w:w="728" w:type="pct"/>
            <w:vMerge w:val="continue"/>
            <w:tcBorders>
              <w:tl2br w:val="nil"/>
              <w:tr2bl w:val="nil"/>
            </w:tcBorders>
            <w:noWrap w:val="0"/>
            <w:vAlign w:val="center"/>
          </w:tcPr>
          <w:p w14:paraId="78ED074B">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1B810918">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1742B9BA">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上料、搅拌废气</w:t>
            </w:r>
          </w:p>
        </w:tc>
        <w:tc>
          <w:tcPr>
            <w:tcW w:w="634" w:type="pct"/>
            <w:tcBorders>
              <w:tl2br w:val="nil"/>
              <w:tr2bl w:val="nil"/>
            </w:tcBorders>
            <w:noWrap w:val="0"/>
            <w:vAlign w:val="center"/>
          </w:tcPr>
          <w:p w14:paraId="3603E333">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26509306">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w:t>
            </w:r>
          </w:p>
        </w:tc>
        <w:tc>
          <w:tcPr>
            <w:tcW w:w="519" w:type="pct"/>
            <w:vMerge w:val="continue"/>
            <w:tcBorders>
              <w:tl2br w:val="nil"/>
              <w:tr2bl w:val="nil"/>
            </w:tcBorders>
            <w:noWrap w:val="0"/>
            <w:vAlign w:val="center"/>
          </w:tcPr>
          <w:p w14:paraId="6440DBE0">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7B91E6E1">
            <w:pPr>
              <w:jc w:val="center"/>
              <w:rPr>
                <w:rFonts w:hint="default" w:ascii="Times New Roman" w:hAnsi="Times New Roman" w:eastAsia="宋体" w:cs="Times New Roman"/>
                <w:color w:val="auto"/>
                <w:sz w:val="21"/>
                <w:szCs w:val="21"/>
                <w:highlight w:val="none"/>
              </w:rPr>
            </w:pPr>
          </w:p>
        </w:tc>
      </w:tr>
      <w:tr w14:paraId="32EE2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90" w:hRule="atLeast"/>
          <w:jc w:val="center"/>
        </w:trPr>
        <w:tc>
          <w:tcPr>
            <w:tcW w:w="728" w:type="pct"/>
            <w:vMerge w:val="continue"/>
            <w:tcBorders>
              <w:tl2br w:val="nil"/>
              <w:tr2bl w:val="nil"/>
            </w:tcBorders>
            <w:noWrap w:val="0"/>
            <w:vAlign w:val="center"/>
          </w:tcPr>
          <w:p w14:paraId="2F145B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4C29B5E9">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53B0E76F">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分装废气</w:t>
            </w:r>
          </w:p>
        </w:tc>
        <w:tc>
          <w:tcPr>
            <w:tcW w:w="634" w:type="pct"/>
            <w:tcBorders>
              <w:tl2br w:val="nil"/>
              <w:tr2bl w:val="nil"/>
            </w:tcBorders>
            <w:noWrap w:val="0"/>
            <w:vAlign w:val="center"/>
          </w:tcPr>
          <w:p w14:paraId="12E7C746">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15EC8D4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w:t>
            </w:r>
          </w:p>
        </w:tc>
        <w:tc>
          <w:tcPr>
            <w:tcW w:w="519" w:type="pct"/>
            <w:vMerge w:val="continue"/>
            <w:tcBorders>
              <w:tl2br w:val="nil"/>
              <w:tr2bl w:val="nil"/>
            </w:tcBorders>
            <w:noWrap w:val="0"/>
            <w:vAlign w:val="center"/>
          </w:tcPr>
          <w:p w14:paraId="61A0D8C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020A5C9B">
            <w:pPr>
              <w:jc w:val="center"/>
              <w:rPr>
                <w:rFonts w:hint="default" w:ascii="Times New Roman" w:hAnsi="Times New Roman" w:eastAsia="宋体" w:cs="Times New Roman"/>
                <w:color w:val="auto"/>
                <w:sz w:val="21"/>
                <w:szCs w:val="21"/>
                <w:highlight w:val="none"/>
              </w:rPr>
            </w:pPr>
          </w:p>
        </w:tc>
      </w:tr>
      <w:tr w14:paraId="65D9C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7A199213">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restart"/>
            <w:tcBorders>
              <w:tl2br w:val="nil"/>
              <w:tr2bl w:val="nil"/>
            </w:tcBorders>
            <w:noWrap w:val="0"/>
            <w:vAlign w:val="center"/>
          </w:tcPr>
          <w:p w14:paraId="1B6DF89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无组织废气</w:t>
            </w:r>
          </w:p>
        </w:tc>
        <w:tc>
          <w:tcPr>
            <w:tcW w:w="416" w:type="pct"/>
            <w:tcBorders>
              <w:tl2br w:val="nil"/>
              <w:tr2bl w:val="nil"/>
            </w:tcBorders>
            <w:noWrap w:val="0"/>
            <w:vAlign w:val="center"/>
          </w:tcPr>
          <w:p w14:paraId="78FFB4BD">
            <w:pPr>
              <w:adjustRightInd w:val="0"/>
              <w:snapToGrid w:val="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集气罩未收集废气</w:t>
            </w:r>
          </w:p>
        </w:tc>
        <w:tc>
          <w:tcPr>
            <w:tcW w:w="634" w:type="pct"/>
            <w:tcBorders>
              <w:tl2br w:val="nil"/>
              <w:tr2bl w:val="nil"/>
            </w:tcBorders>
            <w:noWrap w:val="0"/>
            <w:vAlign w:val="center"/>
          </w:tcPr>
          <w:p w14:paraId="1363B735">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4B17AB52">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1608" w:type="pct"/>
            <w:vMerge w:val="restart"/>
            <w:tcBorders>
              <w:tl2br w:val="nil"/>
              <w:tr2bl w:val="nil"/>
            </w:tcBorders>
            <w:noWrap w:val="0"/>
            <w:vAlign w:val="center"/>
          </w:tcPr>
          <w:p w14:paraId="25A1255D">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《水泥工业大气污染物超低排放标准》（DB13/2167-2020）表2大气污染物无组织排放限值</w:t>
            </w:r>
          </w:p>
        </w:tc>
      </w:tr>
      <w:tr w14:paraId="75DB5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07" w:hRule="atLeast"/>
          <w:jc w:val="center"/>
        </w:trPr>
        <w:tc>
          <w:tcPr>
            <w:tcW w:w="728" w:type="pct"/>
            <w:vMerge w:val="continue"/>
            <w:tcBorders>
              <w:tl2br w:val="nil"/>
              <w:tr2bl w:val="nil"/>
            </w:tcBorders>
            <w:noWrap w:val="0"/>
            <w:vAlign w:val="center"/>
          </w:tcPr>
          <w:p w14:paraId="0AB34604">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73B5DA77">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noWrap w:val="0"/>
            <w:vAlign w:val="center"/>
          </w:tcPr>
          <w:p w14:paraId="6DDC8E9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焊接烟尘</w:t>
            </w:r>
          </w:p>
        </w:tc>
        <w:tc>
          <w:tcPr>
            <w:tcW w:w="634" w:type="pct"/>
            <w:tcBorders>
              <w:tl2br w:val="nil"/>
              <w:tr2bl w:val="nil"/>
            </w:tcBorders>
            <w:noWrap w:val="0"/>
            <w:vAlign w:val="center"/>
          </w:tcPr>
          <w:p w14:paraId="7DC107FE">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55F0BECC">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1608" w:type="pct"/>
            <w:vMerge w:val="continue"/>
            <w:tcBorders>
              <w:tl2br w:val="nil"/>
              <w:tr2bl w:val="nil"/>
            </w:tcBorders>
            <w:noWrap w:val="0"/>
            <w:vAlign w:val="center"/>
          </w:tcPr>
          <w:p w14:paraId="0E730740">
            <w:pPr>
              <w:jc w:val="center"/>
              <w:rPr>
                <w:rFonts w:hint="default" w:ascii="Times New Roman" w:hAnsi="Times New Roman" w:eastAsia="宋体" w:cs="Times New Roman"/>
                <w:color w:val="auto"/>
                <w:sz w:val="21"/>
                <w:szCs w:val="21"/>
                <w:highlight w:val="none"/>
                <w:lang w:val="en-US" w:eastAsia="zh-CN"/>
              </w:rPr>
            </w:pPr>
          </w:p>
        </w:tc>
      </w:tr>
      <w:tr w14:paraId="3481C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28" w:hRule="atLeast"/>
          <w:jc w:val="center"/>
        </w:trPr>
        <w:tc>
          <w:tcPr>
            <w:tcW w:w="728" w:type="pct"/>
            <w:vMerge w:val="continue"/>
            <w:tcBorders>
              <w:tl2br w:val="nil"/>
              <w:tr2bl w:val="nil"/>
            </w:tcBorders>
            <w:noWrap w:val="0"/>
            <w:vAlign w:val="center"/>
          </w:tcPr>
          <w:p w14:paraId="54DAE660">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shd w:val="clear" w:color="auto" w:fill="auto"/>
            <w:noWrap w:val="0"/>
            <w:vAlign w:val="center"/>
          </w:tcPr>
          <w:p w14:paraId="5FC10EEA">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p>
        </w:tc>
        <w:tc>
          <w:tcPr>
            <w:tcW w:w="416" w:type="pct"/>
            <w:tcBorders>
              <w:tl2br w:val="nil"/>
              <w:tr2bl w:val="nil"/>
            </w:tcBorders>
            <w:shd w:val="clear" w:color="auto" w:fill="auto"/>
            <w:noWrap w:val="0"/>
            <w:vAlign w:val="center"/>
          </w:tcPr>
          <w:p w14:paraId="678B367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车辆运输</w:t>
            </w:r>
          </w:p>
          <w:p w14:paraId="2155E20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扬尘</w:t>
            </w:r>
          </w:p>
        </w:tc>
        <w:tc>
          <w:tcPr>
            <w:tcW w:w="634" w:type="pct"/>
            <w:tcBorders>
              <w:tl2br w:val="nil"/>
              <w:tr2bl w:val="nil"/>
            </w:tcBorders>
            <w:shd w:val="clear" w:color="auto" w:fill="auto"/>
            <w:noWrap w:val="0"/>
            <w:vAlign w:val="center"/>
          </w:tcPr>
          <w:p w14:paraId="4B401C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eastAsia="zh-CN"/>
              </w:rPr>
              <w:t>颗粒物</w:t>
            </w:r>
          </w:p>
        </w:tc>
        <w:tc>
          <w:tcPr>
            <w:tcW w:w="1281" w:type="pct"/>
            <w:gridSpan w:val="2"/>
            <w:tcBorders>
              <w:tl2br w:val="nil"/>
              <w:tr2bl w:val="nil"/>
            </w:tcBorders>
            <w:shd w:val="clear" w:color="auto" w:fill="auto"/>
            <w:noWrap w:val="0"/>
            <w:vAlign w:val="center"/>
          </w:tcPr>
          <w:p w14:paraId="5C8D87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采取车辆加盖苫布、道路硬化、定期清扫、进出厂车辆冲洗等控制措施。</w:t>
            </w:r>
          </w:p>
        </w:tc>
        <w:tc>
          <w:tcPr>
            <w:tcW w:w="1608" w:type="pct"/>
            <w:vMerge w:val="continue"/>
            <w:tcBorders>
              <w:tl2br w:val="nil"/>
              <w:tr2bl w:val="nil"/>
            </w:tcBorders>
            <w:noWrap w:val="0"/>
            <w:vAlign w:val="center"/>
          </w:tcPr>
          <w:p w14:paraId="57023B98">
            <w:pPr>
              <w:jc w:val="center"/>
              <w:rPr>
                <w:rFonts w:hint="default" w:ascii="Times New Roman" w:hAnsi="Times New Roman" w:eastAsia="宋体" w:cs="Times New Roman"/>
                <w:color w:val="auto"/>
                <w:sz w:val="21"/>
                <w:szCs w:val="21"/>
                <w:highlight w:val="none"/>
                <w:lang w:val="en-US" w:eastAsia="zh-CN"/>
              </w:rPr>
            </w:pPr>
          </w:p>
        </w:tc>
      </w:tr>
      <w:tr w14:paraId="1C88F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97" w:hRule="atLeast"/>
          <w:jc w:val="center"/>
        </w:trPr>
        <w:tc>
          <w:tcPr>
            <w:tcW w:w="728" w:type="pct"/>
            <w:vMerge w:val="restart"/>
            <w:tcBorders>
              <w:tl2br w:val="nil"/>
              <w:tr2bl w:val="nil"/>
            </w:tcBorders>
            <w:noWrap w:val="0"/>
            <w:vAlign w:val="center"/>
          </w:tcPr>
          <w:p w14:paraId="68F420C6">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地表水环境</w:t>
            </w:r>
          </w:p>
        </w:tc>
        <w:tc>
          <w:tcPr>
            <w:tcW w:w="746" w:type="pct"/>
            <w:gridSpan w:val="2"/>
            <w:tcBorders>
              <w:tl2br w:val="nil"/>
              <w:tr2bl w:val="nil"/>
            </w:tcBorders>
            <w:noWrap w:val="0"/>
            <w:vAlign w:val="center"/>
          </w:tcPr>
          <w:p w14:paraId="15D61C4F">
            <w:pPr>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车辆冲洗水、模具冲洗水</w:t>
            </w:r>
          </w:p>
        </w:tc>
        <w:tc>
          <w:tcPr>
            <w:tcW w:w="634" w:type="pct"/>
            <w:tcBorders>
              <w:tl2br w:val="nil"/>
              <w:tr2bl w:val="nil"/>
            </w:tcBorders>
            <w:noWrap w:val="0"/>
            <w:vAlign w:val="center"/>
          </w:tcPr>
          <w:p w14:paraId="73D90638">
            <w:pPr>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281" w:type="pct"/>
            <w:gridSpan w:val="2"/>
            <w:tcBorders>
              <w:tl2br w:val="nil"/>
              <w:tr2bl w:val="nil"/>
            </w:tcBorders>
            <w:noWrap w:val="0"/>
            <w:vAlign w:val="center"/>
          </w:tcPr>
          <w:p w14:paraId="7BB6D4D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经各自沉淀池沉淀后循环利用，不外排</w:t>
            </w:r>
          </w:p>
        </w:tc>
        <w:tc>
          <w:tcPr>
            <w:tcW w:w="1608" w:type="pct"/>
            <w:vMerge w:val="restart"/>
            <w:tcBorders>
              <w:tl2br w:val="nil"/>
              <w:tr2bl w:val="nil"/>
            </w:tcBorders>
            <w:noWrap w:val="0"/>
            <w:vAlign w:val="center"/>
          </w:tcPr>
          <w:p w14:paraId="6B6E9F6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kern w:val="2"/>
                <w:sz w:val="21"/>
                <w:szCs w:val="21"/>
                <w:highlight w:val="none"/>
                <w:lang w:val="en-US" w:eastAsia="zh-CN" w:bidi="ar-SA"/>
              </w:rPr>
              <w:t>---</w:t>
            </w:r>
          </w:p>
        </w:tc>
      </w:tr>
      <w:tr w14:paraId="7BAF7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43D6F3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746" w:type="pct"/>
            <w:gridSpan w:val="2"/>
            <w:tcBorders>
              <w:tl2br w:val="nil"/>
              <w:tr2bl w:val="nil"/>
            </w:tcBorders>
            <w:noWrap w:val="0"/>
            <w:vAlign w:val="center"/>
          </w:tcPr>
          <w:p w14:paraId="1338C523">
            <w:pPr>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职工生活废水</w:t>
            </w:r>
          </w:p>
        </w:tc>
        <w:tc>
          <w:tcPr>
            <w:tcW w:w="634" w:type="pct"/>
            <w:tcBorders>
              <w:tl2br w:val="nil"/>
              <w:tr2bl w:val="nil"/>
            </w:tcBorders>
            <w:noWrap w:val="0"/>
            <w:vAlign w:val="center"/>
          </w:tcPr>
          <w:p w14:paraId="65059879">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p w14:paraId="6B0EAD67">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p w14:paraId="63307E91">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p w14:paraId="47857DE1">
            <w:pPr>
              <w:snapToGrid w:val="0"/>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氨氮</w:t>
            </w:r>
          </w:p>
        </w:tc>
        <w:tc>
          <w:tcPr>
            <w:tcW w:w="1281" w:type="pct"/>
            <w:gridSpan w:val="2"/>
            <w:tcBorders>
              <w:tl2br w:val="nil"/>
              <w:tr2bl w:val="nil"/>
            </w:tcBorders>
            <w:noWrap w:val="0"/>
            <w:vAlign w:val="center"/>
          </w:tcPr>
          <w:p w14:paraId="0204220F">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生活污水排入化粪池，定期清掏用于农肥</w:t>
            </w:r>
          </w:p>
        </w:tc>
        <w:tc>
          <w:tcPr>
            <w:tcW w:w="1608" w:type="pct"/>
            <w:vMerge w:val="continue"/>
            <w:tcBorders>
              <w:tl2br w:val="nil"/>
              <w:tr2bl w:val="nil"/>
            </w:tcBorders>
            <w:noWrap w:val="0"/>
            <w:vAlign w:val="center"/>
          </w:tcPr>
          <w:p w14:paraId="6B9E527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p>
        </w:tc>
      </w:tr>
      <w:tr w14:paraId="7D0C2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tcBorders>
              <w:tl2br w:val="nil"/>
              <w:tr2bl w:val="nil"/>
            </w:tcBorders>
            <w:noWrap w:val="0"/>
            <w:vAlign w:val="center"/>
          </w:tcPr>
          <w:p w14:paraId="28786904">
            <w:pPr>
              <w:adjustRightInd w:val="0"/>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w:t>
            </w:r>
          </w:p>
        </w:tc>
        <w:tc>
          <w:tcPr>
            <w:tcW w:w="746" w:type="pct"/>
            <w:gridSpan w:val="2"/>
            <w:tcBorders>
              <w:tl2br w:val="nil"/>
              <w:tr2bl w:val="nil"/>
            </w:tcBorders>
            <w:shd w:val="clear" w:color="auto" w:fill="auto"/>
            <w:noWrap w:val="0"/>
            <w:vAlign w:val="center"/>
          </w:tcPr>
          <w:p w14:paraId="3F23E1F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634" w:type="pct"/>
            <w:tcBorders>
              <w:tl2br w:val="nil"/>
              <w:tr2bl w:val="nil"/>
            </w:tcBorders>
            <w:shd w:val="clear" w:color="auto" w:fill="auto"/>
            <w:noWrap w:val="0"/>
            <w:vAlign w:val="center"/>
          </w:tcPr>
          <w:p w14:paraId="2A11C87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Leq（A）</w:t>
            </w:r>
          </w:p>
        </w:tc>
        <w:tc>
          <w:tcPr>
            <w:tcW w:w="1281" w:type="pct"/>
            <w:gridSpan w:val="2"/>
            <w:tcBorders>
              <w:tl2br w:val="nil"/>
              <w:tr2bl w:val="nil"/>
            </w:tcBorders>
            <w:shd w:val="clear" w:color="auto" w:fill="auto"/>
            <w:noWrap w:val="0"/>
            <w:vAlign w:val="center"/>
          </w:tcPr>
          <w:p w14:paraId="65EBD277">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采取选用低噪声设备、</w:t>
            </w:r>
            <w:r>
              <w:rPr>
                <w:rFonts w:hint="default" w:ascii="Times New Roman" w:hAnsi="Times New Roman" w:eastAsia="宋体" w:cs="Times New Roman"/>
                <w:color w:val="auto"/>
                <w:sz w:val="21"/>
                <w:szCs w:val="21"/>
                <w:highlight w:val="none"/>
              </w:rPr>
              <w:t>基础减振、厂房隔声</w:t>
            </w:r>
            <w:r>
              <w:rPr>
                <w:rFonts w:hint="default" w:ascii="Times New Roman" w:hAnsi="Times New Roman" w:eastAsia="宋体" w:cs="Times New Roman"/>
                <w:color w:val="auto"/>
                <w:sz w:val="21"/>
                <w:szCs w:val="21"/>
                <w:highlight w:val="none"/>
                <w:lang w:val="en-US" w:eastAsia="zh-CN"/>
              </w:rPr>
              <w:t>等降噪措施</w:t>
            </w:r>
          </w:p>
        </w:tc>
        <w:tc>
          <w:tcPr>
            <w:tcW w:w="1608" w:type="pct"/>
            <w:tcBorders>
              <w:tl2br w:val="nil"/>
              <w:tr2bl w:val="nil"/>
            </w:tcBorders>
            <w:shd w:val="clear" w:color="auto" w:fill="auto"/>
            <w:noWrap w:val="0"/>
            <w:vAlign w:val="center"/>
          </w:tcPr>
          <w:p w14:paraId="4D84C885">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《工业企业厂界环境噪声排放标准》（GB12348-2008）中</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类标准</w:t>
            </w:r>
          </w:p>
        </w:tc>
      </w:tr>
      <w:tr w14:paraId="6F4F33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28" w:type="pct"/>
            <w:tcBorders>
              <w:tl2br w:val="nil"/>
              <w:tr2bl w:val="nil"/>
            </w:tcBorders>
            <w:noWrap w:val="0"/>
            <w:vAlign w:val="center"/>
          </w:tcPr>
          <w:p w14:paraId="7D87A22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4271" w:type="pct"/>
            <w:gridSpan w:val="6"/>
            <w:tcBorders>
              <w:tl2br w:val="nil"/>
              <w:tr2bl w:val="nil"/>
            </w:tcBorders>
            <w:noWrap w:val="0"/>
            <w:vAlign w:val="center"/>
          </w:tcPr>
          <w:p w14:paraId="1F8320FE">
            <w:pPr>
              <w:keepNext w:val="0"/>
              <w:keepLines w:val="0"/>
              <w:pageBreakBefore w:val="0"/>
              <w:widowControl w:val="0"/>
              <w:tabs>
                <w:tab w:val="left" w:pos="-423"/>
              </w:tabs>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项目废焊材、废包装袋、沉淀池底泥</w:t>
            </w:r>
            <w:r>
              <w:rPr>
                <w:rFonts w:hint="default" w:ascii="Times New Roman" w:hAnsi="Times New Roman" w:cs="Times New Roman"/>
                <w:color w:val="auto"/>
                <w:sz w:val="21"/>
                <w:szCs w:val="21"/>
                <w:highlight w:val="none"/>
                <w:lang w:val="en-US" w:eastAsia="zh-CN"/>
              </w:rPr>
              <w:t>、废布袋</w:t>
            </w:r>
            <w:r>
              <w:rPr>
                <w:rFonts w:hint="default" w:ascii="Times New Roman" w:hAnsi="Times New Roman" w:eastAsia="宋体" w:cs="Times New Roman"/>
                <w:color w:val="auto"/>
                <w:sz w:val="21"/>
                <w:szCs w:val="21"/>
                <w:highlight w:val="none"/>
                <w:lang w:val="en-US" w:eastAsia="zh-CN"/>
              </w:rPr>
              <w:t>，分类收集后外售；除尘灰收集后回用于生产；生活垃圾交由环卫部门统一收集处理。</w:t>
            </w:r>
          </w:p>
        </w:tc>
      </w:tr>
      <w:tr w14:paraId="11E51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06" w:hRule="atLeast"/>
          <w:jc w:val="center"/>
        </w:trPr>
        <w:tc>
          <w:tcPr>
            <w:tcW w:w="728" w:type="pct"/>
            <w:tcBorders>
              <w:tl2br w:val="nil"/>
              <w:tr2bl w:val="nil"/>
            </w:tcBorders>
            <w:noWrap w:val="0"/>
            <w:vAlign w:val="center"/>
          </w:tcPr>
          <w:p w14:paraId="4D7E14B5">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土壤及地下水污染防治措施</w:t>
            </w:r>
          </w:p>
        </w:tc>
        <w:tc>
          <w:tcPr>
            <w:tcW w:w="4271" w:type="pct"/>
            <w:gridSpan w:val="6"/>
            <w:tcBorders>
              <w:tl2br w:val="nil"/>
              <w:tr2bl w:val="nil"/>
            </w:tcBorders>
            <w:noWrap w:val="0"/>
            <w:vAlign w:val="center"/>
          </w:tcPr>
          <w:p w14:paraId="42FB84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一般防渗区（生产车间）：生产车间</w:t>
            </w:r>
            <w:r>
              <w:rPr>
                <w:rFonts w:hint="default" w:ascii="Times New Roman" w:hAnsi="Times New Roman" w:eastAsia="宋体" w:cs="Times New Roman"/>
                <w:color w:val="auto"/>
                <w:sz w:val="21"/>
                <w:szCs w:val="21"/>
                <w:highlight w:val="none"/>
              </w:rPr>
              <w:t>地面采取三合土铺底，再在上层铺15～20cm的</w:t>
            </w:r>
            <w:r>
              <w:rPr>
                <w:rFonts w:hint="default" w:ascii="Times New Roman" w:hAnsi="Times New Roman" w:eastAsia="宋体" w:cs="Times New Roman"/>
                <w:color w:val="auto"/>
                <w:sz w:val="21"/>
                <w:szCs w:val="21"/>
                <w:highlight w:val="none"/>
                <w:lang w:eastAsia="zh-CN"/>
              </w:rPr>
              <w:t>混凝土</w:t>
            </w:r>
            <w:r>
              <w:rPr>
                <w:rFonts w:hint="default" w:ascii="Times New Roman" w:hAnsi="Times New Roman" w:eastAsia="宋体" w:cs="Times New Roman"/>
                <w:color w:val="auto"/>
                <w:sz w:val="21"/>
                <w:szCs w:val="21"/>
                <w:highlight w:val="none"/>
              </w:rPr>
              <w:t>进行硬化。</w:t>
            </w:r>
            <w:r>
              <w:rPr>
                <w:rFonts w:hint="default" w:ascii="Times New Roman" w:hAnsi="Times New Roman" w:eastAsia="宋体" w:cs="Times New Roman"/>
                <w:color w:val="auto"/>
                <w:sz w:val="21"/>
                <w:szCs w:val="21"/>
                <w:highlight w:val="none"/>
                <w:lang w:eastAsia="zh-CN"/>
              </w:rPr>
              <w:t>沉淀池</w:t>
            </w:r>
            <w:r>
              <w:rPr>
                <w:rFonts w:hint="default" w:ascii="Times New Roman" w:hAnsi="Times New Roman" w:eastAsia="宋体" w:cs="Times New Roman"/>
                <w:color w:val="auto"/>
                <w:sz w:val="21"/>
                <w:szCs w:val="21"/>
                <w:highlight w:val="none"/>
                <w:lang w:val="en-US" w:eastAsia="zh-CN"/>
              </w:rPr>
              <w:t>底部用三合土铺底，上层用15~20cm的水泥混凝土浇底。四周壁用砖砌再用抗渗混凝土浇筑，混凝土的抗渗等级不应低于P8，使渗透系数低于1×10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cm/s。防渗性能应与1.5m厚粘土层等效。</w:t>
            </w:r>
          </w:p>
          <w:p w14:paraId="3FCF41BF">
            <w:pPr>
              <w:keepNext w:val="0"/>
              <w:keepLines w:val="0"/>
              <w:pageBreakBefore w:val="0"/>
              <w:widowControl w:val="0"/>
              <w:tabs>
                <w:tab w:val="left" w:pos="-423"/>
              </w:tabs>
              <w:kinsoku/>
              <w:wordWrap/>
              <w:overflowPunct/>
              <w:topLinePunct w:val="0"/>
              <w:autoSpaceDE/>
              <w:autoSpaceDN/>
              <w:bidi w:val="0"/>
              <w:spacing w:line="360" w:lineRule="exac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简单防渗区：办公室、厂区道路采用</w:t>
            </w:r>
            <w:r>
              <w:rPr>
                <w:rFonts w:hint="default" w:ascii="Times New Roman" w:hAnsi="Times New Roman" w:eastAsia="宋体" w:cs="Times New Roman"/>
                <w:color w:val="auto"/>
                <w:sz w:val="21"/>
                <w:szCs w:val="21"/>
                <w:highlight w:val="none"/>
                <w:lang w:val="en-US" w:eastAsia="zh-CN"/>
              </w:rPr>
              <w:t>10-15cm水泥硬化处理。</w:t>
            </w:r>
          </w:p>
        </w:tc>
      </w:tr>
      <w:tr w14:paraId="16037F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86" w:hRule="atLeast"/>
          <w:jc w:val="center"/>
        </w:trPr>
        <w:tc>
          <w:tcPr>
            <w:tcW w:w="728" w:type="pct"/>
            <w:tcBorders>
              <w:tl2br w:val="nil"/>
              <w:tr2bl w:val="nil"/>
            </w:tcBorders>
            <w:noWrap w:val="0"/>
            <w:vAlign w:val="center"/>
          </w:tcPr>
          <w:p w14:paraId="3EFFC976">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生态保护措施</w:t>
            </w:r>
          </w:p>
        </w:tc>
        <w:tc>
          <w:tcPr>
            <w:tcW w:w="4271" w:type="pct"/>
            <w:gridSpan w:val="6"/>
            <w:tcBorders>
              <w:tl2br w:val="nil"/>
              <w:tr2bl w:val="nil"/>
            </w:tcBorders>
            <w:noWrap w:val="0"/>
            <w:vAlign w:val="center"/>
          </w:tcPr>
          <w:p w14:paraId="12D69459">
            <w:pPr>
              <w:keepNext w:val="0"/>
              <w:keepLines w:val="0"/>
              <w:pageBreakBefore w:val="0"/>
              <w:widowControl w:val="0"/>
              <w:tabs>
                <w:tab w:val="left" w:pos="-423"/>
              </w:tabs>
              <w:kinsoku/>
              <w:wordWrap/>
              <w:overflowPunct/>
              <w:topLinePunct w:val="0"/>
              <w:autoSpaceDE/>
              <w:autoSpaceDN/>
              <w:bidi w:val="0"/>
              <w:spacing w:line="360" w:lineRule="exact"/>
              <w:ind w:firstLine="3570" w:firstLineChars="17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无</w:t>
            </w:r>
          </w:p>
        </w:tc>
      </w:tr>
      <w:tr w14:paraId="7D8E4C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74" w:hRule="atLeast"/>
          <w:jc w:val="center"/>
        </w:trPr>
        <w:tc>
          <w:tcPr>
            <w:tcW w:w="728" w:type="pct"/>
            <w:tcBorders>
              <w:tl2br w:val="nil"/>
              <w:tr2bl w:val="nil"/>
            </w:tcBorders>
            <w:noWrap w:val="0"/>
            <w:vAlign w:val="center"/>
          </w:tcPr>
          <w:p w14:paraId="6F8B1EC0">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环境风险防范措施</w:t>
            </w:r>
          </w:p>
        </w:tc>
        <w:tc>
          <w:tcPr>
            <w:tcW w:w="4271" w:type="pct"/>
            <w:gridSpan w:val="6"/>
            <w:tcBorders>
              <w:tl2br w:val="nil"/>
              <w:tr2bl w:val="nil"/>
            </w:tcBorders>
            <w:noWrap w:val="0"/>
            <w:vAlign w:val="center"/>
          </w:tcPr>
          <w:p w14:paraId="580638AB">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2F8C0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17" w:hRule="atLeast"/>
          <w:jc w:val="center"/>
        </w:trPr>
        <w:tc>
          <w:tcPr>
            <w:tcW w:w="728" w:type="pct"/>
            <w:tcBorders>
              <w:tl2br w:val="nil"/>
              <w:tr2bl w:val="nil"/>
            </w:tcBorders>
            <w:noWrap w:val="0"/>
            <w:vAlign w:val="center"/>
          </w:tcPr>
          <w:p w14:paraId="56762F6D">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其他环境</w:t>
            </w:r>
          </w:p>
          <w:p w14:paraId="4C0D6853">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管理要求</w:t>
            </w:r>
          </w:p>
        </w:tc>
        <w:tc>
          <w:tcPr>
            <w:tcW w:w="4271" w:type="pct"/>
            <w:gridSpan w:val="6"/>
            <w:tcBorders>
              <w:tl2br w:val="nil"/>
              <w:tr2bl w:val="nil"/>
            </w:tcBorders>
            <w:noWrap w:val="0"/>
            <w:vAlign w:val="center"/>
          </w:tcPr>
          <w:p w14:paraId="48F0BFF0">
            <w:pPr>
              <w:pStyle w:val="14"/>
              <w:rPr>
                <w:rFonts w:hint="default" w:ascii="Times New Roman" w:hAnsi="Times New Roman" w:eastAsia="宋体" w:cs="Times New Roman"/>
                <w:color w:val="auto"/>
                <w:sz w:val="21"/>
                <w:szCs w:val="21"/>
                <w:highlight w:val="none"/>
                <w:lang w:eastAsia="zh-CN"/>
              </w:rPr>
            </w:pPr>
          </w:p>
          <w:p w14:paraId="023B7F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①项目的建设遵循“三同时”制度，即项目环保措施与主体工程同时设计、同时施工、同时投产使用。</w:t>
            </w:r>
          </w:p>
          <w:p w14:paraId="3949B15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②排污许可制度衔接。根据《固定污染源排污许可分类管理名录（2019年版）》。建设单位应按照</w:t>
            </w:r>
            <w:bookmarkStart w:id="3" w:name="_GoBack"/>
            <w:bookmarkEnd w:id="3"/>
            <w:r>
              <w:rPr>
                <w:rFonts w:hint="eastAsia" w:cs="Times New Roman"/>
                <w:color w:val="auto"/>
                <w:sz w:val="21"/>
                <w:szCs w:val="21"/>
                <w:highlight w:val="none"/>
                <w:lang w:eastAsia="zh-CN"/>
              </w:rPr>
              <w:t>《排污许可管理条例》</w:t>
            </w:r>
            <w:r>
              <w:rPr>
                <w:rFonts w:hint="default" w:ascii="Times New Roman" w:hAnsi="Times New Roman" w:eastAsia="宋体" w:cs="Times New Roman"/>
                <w:color w:val="auto"/>
                <w:sz w:val="21"/>
                <w:szCs w:val="21"/>
                <w:highlight w:val="none"/>
                <w:lang w:eastAsia="zh-CN"/>
              </w:rPr>
              <w:t>、《固定污染源排污许可分类管理名录（2019年版）》等排污许可证相关管理要求，在规定时限内申请排污许可证，</w:t>
            </w:r>
            <w:r>
              <w:rPr>
                <w:rFonts w:hint="default" w:ascii="Times New Roman" w:hAnsi="Times New Roman" w:eastAsia="宋体" w:cs="Times New Roman"/>
                <w:color w:val="auto"/>
                <w:sz w:val="21"/>
                <w:szCs w:val="21"/>
                <w:highlight w:val="none"/>
                <w:lang w:val="en-US" w:eastAsia="zh-CN"/>
              </w:rPr>
              <w:t>本项目为二十五、非金属矿物制品业-轻质建筑材料制造3024、隔热和隔音材料制造 3034、其他建筑材料制造3039，属于简化管理。</w:t>
            </w:r>
          </w:p>
          <w:p w14:paraId="4531E6A5">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③排污口规范化管理</w:t>
            </w:r>
          </w:p>
          <w:p w14:paraId="6D2C712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2007），对现场监测条件按规范要求搭设采样监测平台，废气治理措施治理前、后预留监测孔，便于环境管理及监测部门的日常监督、检查及监测。</w:t>
            </w:r>
          </w:p>
          <w:p w14:paraId="2BC9280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a、建设规范化排污口</w:t>
            </w:r>
          </w:p>
          <w:p w14:paraId="1E25731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建设完善规范化排污口，同时建设的规范化排污口要充分考虑便于采集样品、便于监测计量、便于日常环境监督管理的要求。</w:t>
            </w:r>
          </w:p>
          <w:p w14:paraId="763A081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b、设立标志牌</w:t>
            </w:r>
          </w:p>
          <w:p w14:paraId="00B58F56">
            <w:pPr>
              <w:pStyle w:val="13"/>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70528" behindDoc="0" locked="0" layoutInCell="1" allowOverlap="1">
                  <wp:simplePos x="0" y="0"/>
                  <wp:positionH relativeFrom="column">
                    <wp:posOffset>3314700</wp:posOffset>
                  </wp:positionH>
                  <wp:positionV relativeFrom="paragraph">
                    <wp:posOffset>123190</wp:posOffset>
                  </wp:positionV>
                  <wp:extent cx="1588135" cy="866140"/>
                  <wp:effectExtent l="9525" t="9525" r="21590" b="19685"/>
                  <wp:wrapNone/>
                  <wp:docPr id="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9504" behindDoc="0" locked="0" layoutInCell="1" allowOverlap="1">
                  <wp:simplePos x="0" y="0"/>
                  <wp:positionH relativeFrom="column">
                    <wp:posOffset>1635760</wp:posOffset>
                  </wp:positionH>
                  <wp:positionV relativeFrom="paragraph">
                    <wp:posOffset>112395</wp:posOffset>
                  </wp:positionV>
                  <wp:extent cx="1620520" cy="869950"/>
                  <wp:effectExtent l="9525" t="9525" r="27305" b="15875"/>
                  <wp:wrapNone/>
                  <wp:docPr id="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8480" behindDoc="0" locked="0" layoutInCell="1" allowOverlap="1">
                  <wp:simplePos x="0" y="0"/>
                  <wp:positionH relativeFrom="column">
                    <wp:posOffset>80010</wp:posOffset>
                  </wp:positionH>
                  <wp:positionV relativeFrom="paragraph">
                    <wp:posOffset>112395</wp:posOffset>
                  </wp:positionV>
                  <wp:extent cx="1462405" cy="864235"/>
                  <wp:effectExtent l="9525" t="9525" r="13970" b="21590"/>
                  <wp:wrapNone/>
                  <wp:docPr id="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0D1AA98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38912F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07486CC">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3F4A1C71">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23ADA46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5E9567E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center"/>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图</w:t>
            </w:r>
            <w:r>
              <w:rPr>
                <w:rFonts w:hint="default" w:ascii="Times New Roman" w:hAnsi="Times New Roman" w:eastAsia="宋体" w:cs="Times New Roman"/>
                <w:color w:val="auto"/>
                <w:sz w:val="21"/>
                <w:szCs w:val="21"/>
                <w:highlight w:val="none"/>
                <w:lang w:val="en-US" w:eastAsia="zh-CN"/>
              </w:rPr>
              <w:t>5-1</w:t>
            </w:r>
            <w:r>
              <w:rPr>
                <w:rFonts w:hint="default" w:ascii="Times New Roman" w:hAnsi="Times New Roman" w:eastAsia="宋体" w:cs="Times New Roman"/>
                <w:color w:val="auto"/>
                <w:sz w:val="21"/>
                <w:szCs w:val="21"/>
                <w:highlight w:val="none"/>
                <w:lang w:eastAsia="zh-CN"/>
              </w:rPr>
              <w:t xml:space="preserve">  环境保护图形标志牌</w:t>
            </w:r>
          </w:p>
          <w:p w14:paraId="1D7E1199">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c、建立规范化排污口档案</w:t>
            </w:r>
          </w:p>
          <w:p w14:paraId="69CC1B6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立各排污口相应的监督管理档案，内容包括排污单位名称，排污口性质及编号，排污口的地理位置（GPS定位经纬度），排污口所排放的主要污染物种类、数量、浓度及排放去向、达标情况，设施运行及日常现场监督检查记录等有关资料和记录。</w:t>
            </w:r>
          </w:p>
          <w:p w14:paraId="147FB666">
            <w:pPr>
              <w:pStyle w:val="13"/>
              <w:rPr>
                <w:rFonts w:hint="default" w:ascii="Times New Roman" w:hAnsi="Times New Roman" w:eastAsia="宋体" w:cs="Times New Roman"/>
                <w:color w:val="auto"/>
                <w:sz w:val="21"/>
                <w:szCs w:val="21"/>
                <w:highlight w:val="none"/>
                <w:lang w:eastAsia="zh-CN"/>
              </w:rPr>
            </w:pPr>
          </w:p>
          <w:p w14:paraId="4385E9DE">
            <w:pPr>
              <w:pStyle w:val="14"/>
              <w:rPr>
                <w:rFonts w:hint="default" w:ascii="Times New Roman" w:hAnsi="Times New Roman" w:eastAsia="宋体" w:cs="Times New Roman"/>
                <w:color w:val="auto"/>
                <w:sz w:val="21"/>
                <w:szCs w:val="21"/>
                <w:highlight w:val="none"/>
                <w:lang w:eastAsia="zh-CN"/>
              </w:rPr>
            </w:pPr>
          </w:p>
          <w:p w14:paraId="0594ABAA">
            <w:pPr>
              <w:rPr>
                <w:rFonts w:hint="default" w:ascii="Times New Roman" w:hAnsi="Times New Roman" w:eastAsia="宋体" w:cs="Times New Roman"/>
                <w:color w:val="auto"/>
                <w:sz w:val="21"/>
                <w:szCs w:val="21"/>
                <w:highlight w:val="none"/>
                <w:lang w:eastAsia="zh-CN"/>
              </w:rPr>
            </w:pPr>
          </w:p>
          <w:p w14:paraId="2E2C89B6">
            <w:pPr>
              <w:rPr>
                <w:rFonts w:hint="default" w:ascii="Times New Roman" w:hAnsi="Times New Roman" w:eastAsia="宋体" w:cs="Times New Roman"/>
                <w:color w:val="auto"/>
                <w:sz w:val="21"/>
                <w:szCs w:val="21"/>
                <w:highlight w:val="none"/>
                <w:lang w:eastAsia="zh-CN"/>
              </w:rPr>
            </w:pPr>
          </w:p>
          <w:p w14:paraId="4DD535E4">
            <w:pPr>
              <w:rPr>
                <w:rFonts w:hint="default" w:ascii="Times New Roman" w:hAnsi="Times New Roman" w:eastAsia="宋体" w:cs="Times New Roman"/>
                <w:color w:val="auto"/>
                <w:sz w:val="21"/>
                <w:szCs w:val="21"/>
                <w:highlight w:val="none"/>
                <w:lang w:eastAsia="zh-CN"/>
              </w:rPr>
            </w:pPr>
          </w:p>
          <w:p w14:paraId="55DD84F1">
            <w:pPr>
              <w:rPr>
                <w:rFonts w:hint="default" w:ascii="Times New Roman" w:hAnsi="Times New Roman" w:eastAsia="宋体" w:cs="Times New Roman"/>
                <w:color w:val="auto"/>
                <w:sz w:val="21"/>
                <w:szCs w:val="21"/>
                <w:highlight w:val="none"/>
                <w:lang w:eastAsia="zh-CN"/>
              </w:rPr>
            </w:pPr>
          </w:p>
          <w:p w14:paraId="1E3AC08E">
            <w:pPr>
              <w:rPr>
                <w:rFonts w:hint="default" w:ascii="Times New Roman" w:hAnsi="Times New Roman" w:eastAsia="宋体" w:cs="Times New Roman"/>
                <w:color w:val="auto"/>
                <w:sz w:val="21"/>
                <w:szCs w:val="21"/>
                <w:highlight w:val="none"/>
                <w:lang w:eastAsia="zh-CN"/>
              </w:rPr>
            </w:pPr>
          </w:p>
          <w:p w14:paraId="733C4AE4">
            <w:pPr>
              <w:rPr>
                <w:rFonts w:hint="default" w:ascii="Times New Roman" w:hAnsi="Times New Roman" w:eastAsia="宋体" w:cs="Times New Roman"/>
                <w:color w:val="auto"/>
                <w:sz w:val="21"/>
                <w:szCs w:val="21"/>
                <w:highlight w:val="none"/>
                <w:lang w:eastAsia="zh-CN"/>
              </w:rPr>
            </w:pPr>
          </w:p>
          <w:p w14:paraId="64A827F8">
            <w:pPr>
              <w:rPr>
                <w:rFonts w:hint="default" w:ascii="Times New Roman" w:hAnsi="Times New Roman" w:eastAsia="宋体" w:cs="Times New Roman"/>
                <w:color w:val="auto"/>
                <w:sz w:val="21"/>
                <w:szCs w:val="21"/>
                <w:highlight w:val="none"/>
                <w:lang w:eastAsia="zh-CN"/>
              </w:rPr>
            </w:pPr>
          </w:p>
          <w:p w14:paraId="384FAF94">
            <w:pPr>
              <w:rPr>
                <w:rFonts w:hint="default" w:ascii="Times New Roman" w:hAnsi="Times New Roman" w:eastAsia="宋体" w:cs="Times New Roman"/>
                <w:color w:val="auto"/>
                <w:sz w:val="21"/>
                <w:szCs w:val="21"/>
                <w:highlight w:val="none"/>
                <w:lang w:eastAsia="zh-CN"/>
              </w:rPr>
            </w:pPr>
          </w:p>
          <w:p w14:paraId="17E4B837">
            <w:pPr>
              <w:rPr>
                <w:rFonts w:hint="default" w:ascii="Times New Roman" w:hAnsi="Times New Roman" w:eastAsia="宋体" w:cs="Times New Roman"/>
                <w:color w:val="auto"/>
                <w:sz w:val="21"/>
                <w:szCs w:val="21"/>
                <w:highlight w:val="none"/>
                <w:lang w:eastAsia="zh-CN"/>
              </w:rPr>
            </w:pPr>
          </w:p>
          <w:p w14:paraId="23251651">
            <w:pPr>
              <w:rPr>
                <w:rFonts w:hint="default" w:ascii="Times New Roman" w:hAnsi="Times New Roman" w:eastAsia="宋体" w:cs="Times New Roman"/>
                <w:color w:val="auto"/>
                <w:sz w:val="21"/>
                <w:szCs w:val="21"/>
                <w:highlight w:val="none"/>
                <w:lang w:eastAsia="zh-CN"/>
              </w:rPr>
            </w:pPr>
          </w:p>
          <w:p w14:paraId="0B1C4976">
            <w:pPr>
              <w:rPr>
                <w:rFonts w:hint="default" w:ascii="Times New Roman" w:hAnsi="Times New Roman" w:eastAsia="宋体" w:cs="Times New Roman"/>
                <w:color w:val="auto"/>
                <w:sz w:val="21"/>
                <w:szCs w:val="21"/>
                <w:highlight w:val="none"/>
                <w:lang w:eastAsia="zh-CN"/>
              </w:rPr>
            </w:pPr>
          </w:p>
          <w:p w14:paraId="3295E2B2">
            <w:pPr>
              <w:rPr>
                <w:rFonts w:hint="default" w:ascii="Times New Roman" w:hAnsi="Times New Roman" w:eastAsia="宋体" w:cs="Times New Roman"/>
                <w:color w:val="auto"/>
                <w:sz w:val="21"/>
                <w:szCs w:val="21"/>
                <w:highlight w:val="none"/>
                <w:lang w:eastAsia="zh-CN"/>
              </w:rPr>
            </w:pPr>
          </w:p>
          <w:p w14:paraId="035CA64F">
            <w:pPr>
              <w:rPr>
                <w:rFonts w:hint="default" w:ascii="Times New Roman" w:hAnsi="Times New Roman" w:eastAsia="宋体" w:cs="Times New Roman"/>
                <w:color w:val="auto"/>
                <w:sz w:val="21"/>
                <w:szCs w:val="21"/>
                <w:highlight w:val="none"/>
                <w:lang w:eastAsia="zh-CN"/>
              </w:rPr>
            </w:pPr>
          </w:p>
          <w:p w14:paraId="46D56D2F">
            <w:pPr>
              <w:rPr>
                <w:rFonts w:hint="default" w:ascii="Times New Roman" w:hAnsi="Times New Roman" w:eastAsia="宋体" w:cs="Times New Roman"/>
                <w:color w:val="auto"/>
                <w:sz w:val="21"/>
                <w:szCs w:val="21"/>
                <w:highlight w:val="none"/>
                <w:lang w:eastAsia="zh-CN"/>
              </w:rPr>
            </w:pPr>
          </w:p>
          <w:p w14:paraId="47D33598">
            <w:pPr>
              <w:rPr>
                <w:rFonts w:hint="default" w:ascii="Times New Roman" w:hAnsi="Times New Roman" w:eastAsia="宋体" w:cs="Times New Roman"/>
                <w:color w:val="auto"/>
                <w:sz w:val="21"/>
                <w:szCs w:val="21"/>
                <w:highlight w:val="none"/>
                <w:lang w:eastAsia="zh-CN"/>
              </w:rPr>
            </w:pPr>
          </w:p>
          <w:p w14:paraId="47BBFFD2">
            <w:pPr>
              <w:rPr>
                <w:rFonts w:hint="default" w:ascii="Times New Roman" w:hAnsi="Times New Roman" w:eastAsia="宋体" w:cs="Times New Roman"/>
                <w:color w:val="auto"/>
                <w:sz w:val="21"/>
                <w:szCs w:val="21"/>
                <w:highlight w:val="none"/>
                <w:lang w:eastAsia="zh-CN"/>
              </w:rPr>
            </w:pPr>
          </w:p>
          <w:p w14:paraId="632E7875">
            <w:pPr>
              <w:rPr>
                <w:rFonts w:hint="default" w:ascii="Times New Roman" w:hAnsi="Times New Roman" w:cs="Times New Roman"/>
                <w:color w:val="auto"/>
                <w:sz w:val="24"/>
                <w:highlight w:val="none"/>
                <w:lang w:val="en-US" w:eastAsia="zh-CN"/>
              </w:rPr>
            </w:pPr>
          </w:p>
        </w:tc>
      </w:tr>
    </w:tbl>
    <w:p w14:paraId="589216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sz w:val="21"/>
          <w:szCs w:val="21"/>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3962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57149B6">
            <w:pPr>
              <w:spacing w:line="360" w:lineRule="auto"/>
              <w:ind w:firstLine="480" w:firstLineChars="200"/>
              <w:rPr>
                <w:rFonts w:hint="default" w:ascii="Times New Roman" w:hAnsi="Times New Roman" w:eastAsia="宋体" w:cs="Times New Roman"/>
                <w:color w:val="auto"/>
                <w:kern w:val="0"/>
                <w:sz w:val="24"/>
                <w:highlight w:val="none"/>
              </w:rPr>
            </w:pPr>
          </w:p>
          <w:p w14:paraId="2539EDF8">
            <w:pPr>
              <w:spacing w:line="360" w:lineRule="auto"/>
              <w:ind w:firstLine="480" w:firstLineChars="200"/>
              <w:rPr>
                <w:rFonts w:hint="default" w:ascii="Times New Roman" w:hAnsi="Times New Roman" w:eastAsia="宋体" w:cs="Times New Roman"/>
                <w:color w:val="auto"/>
                <w:kern w:val="0"/>
                <w:sz w:val="24"/>
                <w:highlight w:val="none"/>
              </w:rPr>
            </w:pPr>
          </w:p>
          <w:p w14:paraId="6C2B7015">
            <w:pPr>
              <w:spacing w:line="360" w:lineRule="auto"/>
              <w:ind w:firstLine="480" w:firstLineChars="200"/>
              <w:rPr>
                <w:rFonts w:hint="default" w:ascii="Times New Roman" w:hAnsi="Times New Roman" w:eastAsia="宋体" w:cs="Times New Roman"/>
                <w:color w:val="auto"/>
                <w:kern w:val="0"/>
                <w:sz w:val="24"/>
                <w:highlight w:val="none"/>
              </w:rPr>
            </w:pPr>
          </w:p>
          <w:p w14:paraId="503ABA53">
            <w:pPr>
              <w:spacing w:line="360" w:lineRule="auto"/>
              <w:ind w:firstLine="480" w:firstLineChars="200"/>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本项目符合国家产业政策要求，在认真贯彻执行国家环保法律、法规，严格落实环评规定的各项环保措施，加强环境管理情况下，污染物的排放可以实现达标排放</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eastAsia="宋体" w:cs="Times New Roman"/>
                <w:color w:val="auto"/>
                <w:sz w:val="24"/>
                <w:highlight w:val="none"/>
                <w:lang w:val="en-US" w:eastAsia="zh-CN"/>
              </w:rPr>
              <w:t>可满足主要污染物总量控制要求，</w:t>
            </w:r>
            <w:r>
              <w:rPr>
                <w:rFonts w:hint="default" w:ascii="Times New Roman" w:hAnsi="Times New Roman" w:eastAsia="宋体" w:cs="Times New Roman"/>
                <w:color w:val="auto"/>
                <w:sz w:val="24"/>
                <w:highlight w:val="none"/>
              </w:rPr>
              <w:t>不会对区域环境产生明显不利影响</w:t>
            </w:r>
            <w:r>
              <w:rPr>
                <w:rFonts w:hint="default" w:ascii="Times New Roman" w:hAnsi="Times New Roman" w:eastAsia="宋体" w:cs="Times New Roman"/>
                <w:color w:val="auto"/>
                <w:kern w:val="0"/>
                <w:sz w:val="24"/>
                <w:highlight w:val="none"/>
              </w:rPr>
              <w:t>。</w:t>
            </w:r>
          </w:p>
          <w:p w14:paraId="5F794FCC">
            <w:pPr>
              <w:spacing w:line="360" w:lineRule="auto"/>
              <w:ind w:firstLine="480" w:firstLineChars="200"/>
              <w:rPr>
                <w:rFonts w:hint="default" w:ascii="Times New Roman" w:hAnsi="Times New Roman" w:eastAsia="黑体" w:cs="Times New Roman"/>
                <w:snapToGrid w:val="0"/>
                <w:color w:val="auto"/>
                <w:sz w:val="30"/>
                <w:szCs w:val="30"/>
                <w:highlight w:val="none"/>
              </w:rPr>
            </w:pPr>
            <w:r>
              <w:rPr>
                <w:rFonts w:hint="default" w:ascii="Times New Roman" w:hAnsi="Times New Roman" w:eastAsia="宋体" w:cs="Times New Roman"/>
                <w:color w:val="auto"/>
                <w:kern w:val="0"/>
                <w:sz w:val="24"/>
                <w:highlight w:val="none"/>
              </w:rPr>
              <w:t>因此，从环境保护角度分析，该项目环境影响可行。</w:t>
            </w:r>
          </w:p>
          <w:p w14:paraId="2E8EE507">
            <w:pPr>
              <w:pStyle w:val="36"/>
              <w:jc w:val="center"/>
              <w:outlineLvl w:val="0"/>
              <w:rPr>
                <w:rFonts w:hint="default" w:ascii="Times New Roman" w:hAnsi="Times New Roman" w:eastAsia="黑体" w:cs="Times New Roman"/>
                <w:snapToGrid w:val="0"/>
                <w:color w:val="auto"/>
                <w:sz w:val="30"/>
                <w:szCs w:val="30"/>
                <w:highlight w:val="none"/>
              </w:rPr>
            </w:pPr>
          </w:p>
          <w:p w14:paraId="3AD1BA6D">
            <w:pPr>
              <w:pStyle w:val="36"/>
              <w:jc w:val="center"/>
              <w:outlineLvl w:val="0"/>
              <w:rPr>
                <w:rFonts w:hint="default" w:ascii="Times New Roman" w:hAnsi="Times New Roman" w:eastAsia="黑体" w:cs="Times New Roman"/>
                <w:snapToGrid w:val="0"/>
                <w:color w:val="auto"/>
                <w:sz w:val="30"/>
                <w:szCs w:val="30"/>
                <w:highlight w:val="none"/>
              </w:rPr>
            </w:pPr>
          </w:p>
          <w:p w14:paraId="30BB8C2F">
            <w:pPr>
              <w:pStyle w:val="36"/>
              <w:jc w:val="center"/>
              <w:outlineLvl w:val="0"/>
              <w:rPr>
                <w:rFonts w:hint="default" w:ascii="Times New Roman" w:hAnsi="Times New Roman" w:eastAsia="黑体" w:cs="Times New Roman"/>
                <w:snapToGrid w:val="0"/>
                <w:color w:val="auto"/>
                <w:sz w:val="30"/>
                <w:szCs w:val="30"/>
                <w:highlight w:val="none"/>
              </w:rPr>
            </w:pPr>
          </w:p>
          <w:p w14:paraId="50B32937">
            <w:pPr>
              <w:pStyle w:val="36"/>
              <w:jc w:val="center"/>
              <w:outlineLvl w:val="0"/>
              <w:rPr>
                <w:rFonts w:hint="default" w:ascii="Times New Roman" w:hAnsi="Times New Roman" w:eastAsia="黑体" w:cs="Times New Roman"/>
                <w:snapToGrid w:val="0"/>
                <w:color w:val="auto"/>
                <w:sz w:val="30"/>
                <w:szCs w:val="30"/>
                <w:highlight w:val="none"/>
              </w:rPr>
            </w:pPr>
          </w:p>
          <w:p w14:paraId="6367808E">
            <w:pPr>
              <w:pStyle w:val="36"/>
              <w:jc w:val="center"/>
              <w:outlineLvl w:val="0"/>
              <w:rPr>
                <w:rFonts w:hint="default" w:ascii="Times New Roman" w:hAnsi="Times New Roman" w:eastAsia="黑体" w:cs="Times New Roman"/>
                <w:snapToGrid w:val="0"/>
                <w:color w:val="auto"/>
                <w:sz w:val="30"/>
                <w:szCs w:val="30"/>
                <w:highlight w:val="none"/>
              </w:rPr>
            </w:pPr>
          </w:p>
          <w:p w14:paraId="2BFF9D30">
            <w:pPr>
              <w:pStyle w:val="36"/>
              <w:jc w:val="center"/>
              <w:outlineLvl w:val="0"/>
              <w:rPr>
                <w:rFonts w:hint="default" w:ascii="Times New Roman" w:hAnsi="Times New Roman" w:eastAsia="黑体" w:cs="Times New Roman"/>
                <w:snapToGrid w:val="0"/>
                <w:color w:val="auto"/>
                <w:sz w:val="30"/>
                <w:szCs w:val="30"/>
                <w:highlight w:val="none"/>
              </w:rPr>
            </w:pPr>
          </w:p>
          <w:p w14:paraId="23801374">
            <w:pPr>
              <w:pStyle w:val="36"/>
              <w:jc w:val="center"/>
              <w:outlineLvl w:val="0"/>
              <w:rPr>
                <w:rFonts w:hint="default" w:ascii="Times New Roman" w:hAnsi="Times New Roman" w:eastAsia="黑体" w:cs="Times New Roman"/>
                <w:snapToGrid w:val="0"/>
                <w:color w:val="auto"/>
                <w:sz w:val="30"/>
                <w:szCs w:val="30"/>
                <w:highlight w:val="none"/>
              </w:rPr>
            </w:pPr>
          </w:p>
          <w:p w14:paraId="7515071D">
            <w:pPr>
              <w:pStyle w:val="36"/>
              <w:jc w:val="center"/>
              <w:outlineLvl w:val="0"/>
              <w:rPr>
                <w:rFonts w:hint="default" w:ascii="Times New Roman" w:hAnsi="Times New Roman" w:eastAsia="黑体" w:cs="Times New Roman"/>
                <w:snapToGrid w:val="0"/>
                <w:color w:val="auto"/>
                <w:sz w:val="30"/>
                <w:szCs w:val="30"/>
                <w:highlight w:val="none"/>
              </w:rPr>
            </w:pPr>
          </w:p>
          <w:p w14:paraId="4BAA5780">
            <w:pPr>
              <w:pStyle w:val="36"/>
              <w:jc w:val="center"/>
              <w:outlineLvl w:val="0"/>
              <w:rPr>
                <w:rFonts w:hint="default" w:ascii="Times New Roman" w:hAnsi="Times New Roman" w:eastAsia="黑体" w:cs="Times New Roman"/>
                <w:snapToGrid w:val="0"/>
                <w:color w:val="auto"/>
                <w:sz w:val="30"/>
                <w:szCs w:val="30"/>
                <w:highlight w:val="none"/>
              </w:rPr>
            </w:pPr>
          </w:p>
          <w:p w14:paraId="32B02FDC">
            <w:pPr>
              <w:pStyle w:val="36"/>
              <w:jc w:val="center"/>
              <w:outlineLvl w:val="0"/>
              <w:rPr>
                <w:rFonts w:hint="default" w:ascii="Times New Roman" w:hAnsi="Times New Roman" w:eastAsia="黑体" w:cs="Times New Roman"/>
                <w:snapToGrid w:val="0"/>
                <w:color w:val="auto"/>
                <w:sz w:val="30"/>
                <w:szCs w:val="30"/>
                <w:highlight w:val="none"/>
              </w:rPr>
            </w:pPr>
          </w:p>
          <w:p w14:paraId="59851920">
            <w:pPr>
              <w:pStyle w:val="36"/>
              <w:jc w:val="center"/>
              <w:outlineLvl w:val="0"/>
              <w:rPr>
                <w:rFonts w:hint="default" w:ascii="Times New Roman" w:hAnsi="Times New Roman" w:eastAsia="黑体" w:cs="Times New Roman"/>
                <w:snapToGrid w:val="0"/>
                <w:color w:val="auto"/>
                <w:sz w:val="30"/>
                <w:szCs w:val="30"/>
                <w:highlight w:val="none"/>
                <w:lang w:val="en-US" w:eastAsia="zh-CN"/>
              </w:rPr>
            </w:pPr>
          </w:p>
          <w:p w14:paraId="581BF675">
            <w:pPr>
              <w:pStyle w:val="36"/>
              <w:jc w:val="center"/>
              <w:outlineLvl w:val="0"/>
              <w:rPr>
                <w:rFonts w:hint="default" w:ascii="Times New Roman" w:hAnsi="Times New Roman" w:eastAsia="黑体" w:cs="Times New Roman"/>
                <w:snapToGrid w:val="0"/>
                <w:color w:val="auto"/>
                <w:sz w:val="30"/>
                <w:szCs w:val="30"/>
                <w:highlight w:val="none"/>
              </w:rPr>
            </w:pPr>
          </w:p>
          <w:p w14:paraId="77A6A919">
            <w:pPr>
              <w:pStyle w:val="36"/>
              <w:jc w:val="both"/>
              <w:outlineLvl w:val="0"/>
              <w:rPr>
                <w:rFonts w:hint="default" w:ascii="Times New Roman" w:hAnsi="Times New Roman" w:eastAsia="黑体" w:cs="Times New Roman"/>
                <w:snapToGrid w:val="0"/>
                <w:color w:val="auto"/>
                <w:sz w:val="30"/>
                <w:szCs w:val="30"/>
                <w:highlight w:val="none"/>
              </w:rPr>
            </w:pPr>
          </w:p>
        </w:tc>
      </w:tr>
    </w:tbl>
    <w:p w14:paraId="0C762320">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4497A3F8">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40"/>
          <w:szCs w:val="40"/>
          <w:highlight w:val="none"/>
        </w:rPr>
      </w:pPr>
      <w:r>
        <w:rPr>
          <w:rFonts w:hint="default" w:ascii="Times New Roman" w:hAnsi="Times New Roman" w:eastAsia="黑体" w:cs="Times New Roman"/>
          <w:snapToGrid w:val="0"/>
          <w:color w:val="auto"/>
          <w:sz w:val="32"/>
          <w:szCs w:val="32"/>
          <w:highlight w:val="none"/>
        </w:rPr>
        <w:t>附表</w:t>
      </w:r>
    </w:p>
    <w:p w14:paraId="52E39442">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2"/>
          <w:szCs w:val="32"/>
          <w:highlight w:val="none"/>
        </w:rPr>
      </w:pPr>
      <w:r>
        <w:rPr>
          <w:rFonts w:hint="default" w:ascii="Times New Roman" w:hAnsi="Times New Roman" w:cs="Times New Roman"/>
          <w:b/>
          <w:bCs/>
          <w:color w:val="auto"/>
          <w:sz w:val="32"/>
          <w:szCs w:val="32"/>
          <w:highlight w:val="none"/>
        </w:rPr>
        <w:t>建设项目污染物排放量汇总表</w:t>
      </w:r>
    </w:p>
    <w:tbl>
      <w:tblPr>
        <w:tblStyle w:val="40"/>
        <w:tblW w:w="138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04"/>
        <w:gridCol w:w="1712"/>
        <w:gridCol w:w="1137"/>
        <w:gridCol w:w="1859"/>
        <w:gridCol w:w="1569"/>
        <w:gridCol w:w="1297"/>
        <w:gridCol w:w="2053"/>
        <w:gridCol w:w="1225"/>
      </w:tblGrid>
      <w:tr w14:paraId="2A29F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tcBorders>
              <w:tl2br w:val="single" w:color="auto" w:sz="4" w:space="0"/>
            </w:tcBorders>
            <w:tcMar>
              <w:left w:w="28" w:type="dxa"/>
              <w:right w:w="28" w:type="dxa"/>
            </w:tcMar>
            <w:vAlign w:val="center"/>
          </w:tcPr>
          <w:p w14:paraId="6731227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项目</w:t>
            </w:r>
          </w:p>
          <w:p w14:paraId="61B0730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分类</w:t>
            </w:r>
          </w:p>
        </w:tc>
        <w:tc>
          <w:tcPr>
            <w:tcW w:w="1604" w:type="dxa"/>
            <w:tcMar>
              <w:left w:w="28" w:type="dxa"/>
              <w:right w:w="28" w:type="dxa"/>
            </w:tcMar>
            <w:vAlign w:val="center"/>
          </w:tcPr>
          <w:p w14:paraId="4A20183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污染物名称</w:t>
            </w:r>
          </w:p>
        </w:tc>
        <w:tc>
          <w:tcPr>
            <w:tcW w:w="1712" w:type="dxa"/>
            <w:tcMar>
              <w:left w:w="28" w:type="dxa"/>
              <w:right w:w="28" w:type="dxa"/>
            </w:tcMar>
            <w:vAlign w:val="center"/>
          </w:tcPr>
          <w:p w14:paraId="6AF0F64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6028F90A">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1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①</w:t>
            </w:r>
            <w:r>
              <w:rPr>
                <w:rFonts w:hint="default" w:ascii="Times New Roman" w:hAnsi="Times New Roman" w:eastAsia="黑体" w:cs="Times New Roman"/>
                <w:snapToGrid w:val="0"/>
                <w:color w:val="auto"/>
                <w:spacing w:val="-16"/>
                <w:kern w:val="21"/>
                <w:szCs w:val="21"/>
                <w:highlight w:val="none"/>
              </w:rPr>
              <w:fldChar w:fldCharType="end"/>
            </w:r>
          </w:p>
        </w:tc>
        <w:tc>
          <w:tcPr>
            <w:tcW w:w="1137" w:type="dxa"/>
            <w:tcMar>
              <w:left w:w="28" w:type="dxa"/>
              <w:right w:w="28" w:type="dxa"/>
            </w:tcMar>
            <w:vAlign w:val="center"/>
          </w:tcPr>
          <w:p w14:paraId="2F0150A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54D3F49B">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许可排放量</w:t>
            </w:r>
          </w:p>
          <w:p w14:paraId="501B97E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2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②</w:t>
            </w:r>
            <w:r>
              <w:rPr>
                <w:rFonts w:hint="default" w:ascii="Times New Roman" w:hAnsi="Times New Roman" w:eastAsia="黑体" w:cs="Times New Roman"/>
                <w:snapToGrid w:val="0"/>
                <w:color w:val="auto"/>
                <w:spacing w:val="-16"/>
                <w:kern w:val="21"/>
                <w:szCs w:val="21"/>
                <w:highlight w:val="none"/>
              </w:rPr>
              <w:fldChar w:fldCharType="end"/>
            </w:r>
          </w:p>
        </w:tc>
        <w:tc>
          <w:tcPr>
            <w:tcW w:w="1859" w:type="dxa"/>
            <w:tcMar>
              <w:left w:w="28" w:type="dxa"/>
              <w:right w:w="28" w:type="dxa"/>
            </w:tcMar>
            <w:vAlign w:val="center"/>
          </w:tcPr>
          <w:p w14:paraId="3A12001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在建工程</w:t>
            </w:r>
          </w:p>
          <w:p w14:paraId="78CEFE0F">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3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③</w:t>
            </w:r>
            <w:r>
              <w:rPr>
                <w:rFonts w:hint="default" w:ascii="Times New Roman" w:hAnsi="Times New Roman" w:eastAsia="黑体" w:cs="Times New Roman"/>
                <w:snapToGrid w:val="0"/>
                <w:color w:val="auto"/>
                <w:spacing w:val="-16"/>
                <w:kern w:val="21"/>
                <w:szCs w:val="21"/>
                <w:highlight w:val="none"/>
              </w:rPr>
              <w:fldChar w:fldCharType="end"/>
            </w:r>
          </w:p>
        </w:tc>
        <w:tc>
          <w:tcPr>
            <w:tcW w:w="1569" w:type="dxa"/>
            <w:tcMar>
              <w:left w:w="28" w:type="dxa"/>
              <w:right w:w="28" w:type="dxa"/>
            </w:tcMar>
            <w:vAlign w:val="center"/>
          </w:tcPr>
          <w:p w14:paraId="440C92D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w:t>
            </w:r>
          </w:p>
          <w:p w14:paraId="1263C31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4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④</w:t>
            </w:r>
            <w:r>
              <w:rPr>
                <w:rFonts w:hint="default" w:ascii="Times New Roman" w:hAnsi="Times New Roman" w:eastAsia="黑体" w:cs="Times New Roman"/>
                <w:snapToGrid w:val="0"/>
                <w:color w:val="auto"/>
                <w:spacing w:val="-16"/>
                <w:kern w:val="21"/>
                <w:szCs w:val="21"/>
                <w:highlight w:val="none"/>
              </w:rPr>
              <w:fldChar w:fldCharType="end"/>
            </w:r>
          </w:p>
        </w:tc>
        <w:tc>
          <w:tcPr>
            <w:tcW w:w="1297" w:type="dxa"/>
            <w:tcMar>
              <w:left w:w="28" w:type="dxa"/>
              <w:right w:w="28" w:type="dxa"/>
            </w:tcMar>
            <w:vAlign w:val="center"/>
          </w:tcPr>
          <w:p w14:paraId="5846CF51">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053" w:type="dxa"/>
            <w:tcMar>
              <w:left w:w="28" w:type="dxa"/>
              <w:right w:w="28" w:type="dxa"/>
            </w:tcMar>
            <w:vAlign w:val="center"/>
          </w:tcPr>
          <w:p w14:paraId="37C48AB7">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25" w:type="dxa"/>
            <w:tcMar>
              <w:left w:w="28" w:type="dxa"/>
              <w:right w:w="28" w:type="dxa"/>
            </w:tcMar>
            <w:vAlign w:val="center"/>
          </w:tcPr>
          <w:p w14:paraId="30BEE57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7CA2F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2F3858C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废气</w:t>
            </w:r>
          </w:p>
        </w:tc>
        <w:tc>
          <w:tcPr>
            <w:tcW w:w="1604" w:type="dxa"/>
            <w:vAlign w:val="center"/>
          </w:tcPr>
          <w:p w14:paraId="368345B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712" w:type="dxa"/>
            <w:vAlign w:val="center"/>
          </w:tcPr>
          <w:p w14:paraId="555A8AE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0A2D5F09">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75FF3C70">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3062B43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0</w:t>
            </w:r>
          </w:p>
        </w:tc>
        <w:tc>
          <w:tcPr>
            <w:tcW w:w="1297" w:type="dxa"/>
            <w:vAlign w:val="center"/>
          </w:tcPr>
          <w:p w14:paraId="5246901C">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E7C424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c>
          <w:tcPr>
            <w:tcW w:w="1225" w:type="dxa"/>
            <w:shd w:val="clear" w:color="auto" w:fill="auto"/>
            <w:vAlign w:val="center"/>
          </w:tcPr>
          <w:p w14:paraId="4C39BE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r>
      <w:tr w14:paraId="5C9A9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E39400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A36330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x</w:t>
            </w:r>
          </w:p>
        </w:tc>
        <w:tc>
          <w:tcPr>
            <w:tcW w:w="1712" w:type="dxa"/>
            <w:vAlign w:val="center"/>
          </w:tcPr>
          <w:p w14:paraId="0C28E9A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3B9C5EC8">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1E9C79C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1499F2B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4E99149F">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40B9EF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3D5910A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38A697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FD92FC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19E8F9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颗粒物</w:t>
            </w:r>
          </w:p>
        </w:tc>
        <w:tc>
          <w:tcPr>
            <w:tcW w:w="1712" w:type="dxa"/>
            <w:vAlign w:val="center"/>
          </w:tcPr>
          <w:p w14:paraId="2617897B">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1E145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C6AEBBD">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w:t>
            </w:r>
          </w:p>
        </w:tc>
        <w:tc>
          <w:tcPr>
            <w:tcW w:w="1569" w:type="dxa"/>
            <w:vAlign w:val="center"/>
          </w:tcPr>
          <w:p w14:paraId="594A710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97" w:type="dxa"/>
            <w:vAlign w:val="center"/>
          </w:tcPr>
          <w:p w14:paraId="336E1E3D">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254EC78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25" w:type="dxa"/>
            <w:shd w:val="clear" w:color="auto" w:fill="auto"/>
            <w:vAlign w:val="center"/>
          </w:tcPr>
          <w:p w14:paraId="7ADF7A7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r>
      <w:tr w14:paraId="2A3B6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3E72DA1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废水</w:t>
            </w:r>
          </w:p>
        </w:tc>
        <w:tc>
          <w:tcPr>
            <w:tcW w:w="1604" w:type="dxa"/>
            <w:vAlign w:val="center"/>
          </w:tcPr>
          <w:p w14:paraId="7B64EB4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COD</w:t>
            </w:r>
          </w:p>
        </w:tc>
        <w:tc>
          <w:tcPr>
            <w:tcW w:w="1712" w:type="dxa"/>
            <w:vAlign w:val="center"/>
          </w:tcPr>
          <w:p w14:paraId="34DCBCE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54CDC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3A306D6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7C6BDD6">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29FCB004">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6C9F987C">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705FCCF0">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4B292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38B225E5">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3A9ACF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氨氮</w:t>
            </w:r>
          </w:p>
        </w:tc>
        <w:tc>
          <w:tcPr>
            <w:tcW w:w="1712" w:type="dxa"/>
            <w:vAlign w:val="center"/>
          </w:tcPr>
          <w:p w14:paraId="1364F529">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40BBB0DA">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EBE7F2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6ADA8679">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0F018C81">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161AE5C9">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5739A133">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5CA23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6950FBA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一般工业</w:t>
            </w:r>
          </w:p>
          <w:p w14:paraId="2EF2A7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固体废物</w:t>
            </w:r>
          </w:p>
        </w:tc>
        <w:tc>
          <w:tcPr>
            <w:tcW w:w="1604" w:type="dxa"/>
            <w:vAlign w:val="center"/>
          </w:tcPr>
          <w:p w14:paraId="39B53E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废焊材</w:t>
            </w:r>
          </w:p>
        </w:tc>
        <w:tc>
          <w:tcPr>
            <w:tcW w:w="1712" w:type="dxa"/>
            <w:vAlign w:val="center"/>
          </w:tcPr>
          <w:p w14:paraId="0563A2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497E5E4F">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7A48D49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D030789">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0.1</w:t>
            </w:r>
          </w:p>
        </w:tc>
        <w:tc>
          <w:tcPr>
            <w:tcW w:w="1297" w:type="dxa"/>
            <w:vAlign w:val="center"/>
          </w:tcPr>
          <w:p w14:paraId="1FCE5F15">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33799A0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c>
          <w:tcPr>
            <w:tcW w:w="1225" w:type="dxa"/>
            <w:shd w:val="clear" w:color="auto" w:fill="auto"/>
            <w:vAlign w:val="center"/>
          </w:tcPr>
          <w:p w14:paraId="1DE1255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r>
      <w:tr w14:paraId="40B59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958BF6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2858F1E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废包装袋</w:t>
            </w:r>
          </w:p>
        </w:tc>
        <w:tc>
          <w:tcPr>
            <w:tcW w:w="1712" w:type="dxa"/>
            <w:vAlign w:val="center"/>
          </w:tcPr>
          <w:p w14:paraId="2CA1B1DC">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48B553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593CB0D3">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0BE9C6C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1297" w:type="dxa"/>
            <w:vAlign w:val="center"/>
          </w:tcPr>
          <w:p w14:paraId="41353AB6">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BF7241B">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c>
          <w:tcPr>
            <w:tcW w:w="1225" w:type="dxa"/>
            <w:shd w:val="clear" w:color="auto" w:fill="auto"/>
            <w:vAlign w:val="center"/>
          </w:tcPr>
          <w:p w14:paraId="4379289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r>
      <w:tr w14:paraId="73EB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3B50B4E">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670CE61A">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沉淀池底泥</w:t>
            </w:r>
          </w:p>
        </w:tc>
        <w:tc>
          <w:tcPr>
            <w:tcW w:w="1712" w:type="dxa"/>
            <w:vAlign w:val="center"/>
          </w:tcPr>
          <w:p w14:paraId="3A47483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3856FE7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3347BD99">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54B5C74F">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1297" w:type="dxa"/>
            <w:vAlign w:val="center"/>
          </w:tcPr>
          <w:p w14:paraId="52F38040">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2BE468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1225" w:type="dxa"/>
            <w:shd w:val="clear" w:color="auto" w:fill="auto"/>
            <w:vAlign w:val="center"/>
          </w:tcPr>
          <w:p w14:paraId="57F6DC1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r>
      <w:tr w14:paraId="1A066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20C1671B">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shd w:val="clear" w:color="auto" w:fill="auto"/>
            <w:vAlign w:val="center"/>
          </w:tcPr>
          <w:p w14:paraId="7E2A5661">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除尘灰</w:t>
            </w:r>
          </w:p>
        </w:tc>
        <w:tc>
          <w:tcPr>
            <w:tcW w:w="1712" w:type="dxa"/>
            <w:shd w:val="clear" w:color="auto" w:fill="auto"/>
            <w:vAlign w:val="center"/>
          </w:tcPr>
          <w:p w14:paraId="63D54E7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166FFF8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shd w:val="clear" w:color="auto" w:fill="auto"/>
            <w:vAlign w:val="center"/>
          </w:tcPr>
          <w:p w14:paraId="7BEDC0CF">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w:t>
            </w:r>
          </w:p>
        </w:tc>
        <w:tc>
          <w:tcPr>
            <w:tcW w:w="1569" w:type="dxa"/>
            <w:shd w:val="clear" w:color="auto" w:fill="auto"/>
            <w:vAlign w:val="center"/>
          </w:tcPr>
          <w:p w14:paraId="4D1C258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97" w:type="dxa"/>
            <w:shd w:val="clear" w:color="auto" w:fill="auto"/>
            <w:vAlign w:val="center"/>
          </w:tcPr>
          <w:p w14:paraId="1CC85F1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7F6A9A7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25" w:type="dxa"/>
            <w:shd w:val="clear" w:color="auto" w:fill="auto"/>
            <w:vAlign w:val="center"/>
          </w:tcPr>
          <w:p w14:paraId="5BA899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r>
              <w:rPr>
                <w:rFonts w:hint="eastAsia" w:cs="Times New Roman"/>
                <w:snapToGrid w:val="0"/>
                <w:color w:val="auto"/>
                <w:kern w:val="21"/>
                <w:sz w:val="21"/>
                <w:szCs w:val="21"/>
                <w:highlight w:val="cyan"/>
                <w:lang w:val="en-US" w:eastAsia="zh-CN" w:bidi="ar-SA"/>
              </w:rPr>
              <w:t>55.191</w:t>
            </w:r>
          </w:p>
        </w:tc>
      </w:tr>
      <w:tr w14:paraId="7996E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082273C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32490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废布袋</w:t>
            </w:r>
          </w:p>
        </w:tc>
        <w:tc>
          <w:tcPr>
            <w:tcW w:w="1712" w:type="dxa"/>
            <w:shd w:val="clear" w:color="auto" w:fill="auto"/>
            <w:vAlign w:val="center"/>
          </w:tcPr>
          <w:p w14:paraId="703B222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239785C3">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406AF2E3">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69" w:type="dxa"/>
            <w:vAlign w:val="center"/>
          </w:tcPr>
          <w:p w14:paraId="5A51704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97" w:type="dxa"/>
            <w:vAlign w:val="center"/>
          </w:tcPr>
          <w:p w14:paraId="0F6277D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57FC9F15">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25" w:type="dxa"/>
            <w:shd w:val="clear" w:color="auto" w:fill="auto"/>
            <w:vAlign w:val="center"/>
          </w:tcPr>
          <w:p w14:paraId="158E3E5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r>
      <w:tr w14:paraId="3302B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Align w:val="center"/>
          </w:tcPr>
          <w:p w14:paraId="1D8A700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20"/>
                <w:szCs w:val="21"/>
                <w:highlight w:val="none"/>
                <w:lang w:val="en-US" w:eastAsia="zh-CN"/>
              </w:rPr>
            </w:pPr>
            <w:r>
              <w:rPr>
                <w:rFonts w:hint="default" w:ascii="Times New Roman" w:hAnsi="Times New Roman" w:cs="Times New Roman"/>
                <w:color w:val="auto"/>
                <w:spacing w:val="-20"/>
                <w:szCs w:val="21"/>
                <w:highlight w:val="none"/>
                <w:lang w:val="en-US" w:eastAsia="zh-CN"/>
              </w:rPr>
              <w:t>职工生活垃圾</w:t>
            </w:r>
          </w:p>
        </w:tc>
        <w:tc>
          <w:tcPr>
            <w:tcW w:w="1604" w:type="dxa"/>
            <w:vAlign w:val="center"/>
          </w:tcPr>
          <w:p w14:paraId="5223E6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生活垃圾</w:t>
            </w:r>
          </w:p>
        </w:tc>
        <w:tc>
          <w:tcPr>
            <w:tcW w:w="1712" w:type="dxa"/>
            <w:vAlign w:val="center"/>
          </w:tcPr>
          <w:p w14:paraId="2DC02A8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F22CBE2">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6B851ED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59D6AD2">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97" w:type="dxa"/>
            <w:vAlign w:val="center"/>
          </w:tcPr>
          <w:p w14:paraId="2C734CF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0961E2A3">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25" w:type="dxa"/>
            <w:shd w:val="clear" w:color="auto" w:fill="auto"/>
            <w:vAlign w:val="center"/>
          </w:tcPr>
          <w:p w14:paraId="793B7C3B">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r>
    </w:tbl>
    <w:p w14:paraId="7E218419">
      <w:pPr>
        <w:pStyle w:val="59"/>
        <w:keepNext w:val="0"/>
        <w:keepLines w:val="0"/>
        <w:pageBreakBefore w:val="0"/>
        <w:widowControl/>
        <w:kinsoku/>
        <w:wordWrap/>
        <w:overflowPunct/>
        <w:topLinePunct w:val="0"/>
        <w:autoSpaceDE/>
        <w:autoSpaceDN/>
        <w:bidi w:val="0"/>
        <w:adjustRightInd w:val="0"/>
        <w:snapToGrid w:val="0"/>
        <w:spacing w:beforeLines="0" w:afterLines="0" w:line="240" w:lineRule="auto"/>
        <w:jc w:val="left"/>
        <w:textAlignment w:val="auto"/>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36F22FD6">
      <w:pPr>
        <w:pStyle w:val="2"/>
        <w:rPr>
          <w:rFonts w:hint="default" w:ascii="Times New Roman" w:hAnsi="Times New Roman" w:cs="Times New Roman"/>
          <w:snapToGrid w:val="0"/>
          <w:color w:val="auto"/>
          <w:spacing w:val="-6"/>
          <w:kern w:val="21"/>
          <w:szCs w:val="21"/>
          <w:highlight w:val="none"/>
        </w:rPr>
      </w:pPr>
    </w:p>
    <w:p w14:paraId="454A5DBC">
      <w:pPr>
        <w:rPr>
          <w:rFonts w:hint="default" w:ascii="Times New Roman" w:hAnsi="Times New Roman" w:cs="Times New Roman"/>
          <w:snapToGrid w:val="0"/>
          <w:color w:val="auto"/>
          <w:spacing w:val="-6"/>
          <w:kern w:val="21"/>
          <w:szCs w:val="21"/>
          <w:highlight w:val="none"/>
        </w:rPr>
      </w:pPr>
    </w:p>
    <w:p w14:paraId="65C0B9BF">
      <w:pPr>
        <w:rPr>
          <w:rFonts w:hint="default" w:ascii="Times New Roman" w:hAnsi="Times New Roman" w:cs="Times New Roman"/>
          <w:snapToGrid w:val="0"/>
          <w:color w:val="auto"/>
          <w:spacing w:val="-6"/>
          <w:kern w:val="21"/>
          <w:szCs w:val="21"/>
          <w:highlight w:val="none"/>
        </w:rPr>
      </w:pPr>
    </w:p>
    <w:p w14:paraId="774C48A9">
      <w:pPr>
        <w:rPr>
          <w:rFonts w:hint="default" w:ascii="Times New Roman" w:hAnsi="Times New Roman" w:cs="Times New Roman"/>
          <w:snapToGrid w:val="0"/>
          <w:color w:val="auto"/>
          <w:spacing w:val="-6"/>
          <w:kern w:val="21"/>
          <w:szCs w:val="21"/>
          <w:highlight w:val="none"/>
          <w:lang w:val="en-US" w:eastAsia="zh-CN"/>
        </w:rPr>
      </w:pP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MingLiU">
    <w:panose1 w:val="02020509000000000000"/>
    <w:charset w:val="88"/>
    <w:family w:val="modern"/>
    <w:pitch w:val="default"/>
    <w:sig w:usb0="A00002FF" w:usb1="28CFFCFA" w:usb2="00000016" w:usb3="00000000" w:csb0="0010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0A17">
    <w:pPr>
      <w:pStyle w:val="2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05372">
    <w:pPr>
      <w:pStyle w:val="26"/>
      <w:framePr w:wrap="around" w:vAnchor="text" w:hAnchor="margin" w:xAlign="center" w:y="1"/>
      <w:rPr>
        <w:rStyle w:val="44"/>
      </w:rPr>
    </w:pPr>
    <w:r>
      <w:fldChar w:fldCharType="begin"/>
    </w:r>
    <w:r>
      <w:rPr>
        <w:rStyle w:val="44"/>
      </w:rPr>
      <w:instrText xml:space="preserve">PAGE  </w:instrText>
    </w:r>
    <w:r>
      <w:fldChar w:fldCharType="end"/>
    </w:r>
  </w:p>
  <w:p w14:paraId="77FC72B2">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A3C9">
    <w:pPr>
      <w:pStyle w:val="26"/>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F3775B">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DF3775B">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CAF6A">
    <w:pPr>
      <w:pStyle w:val="26"/>
      <w:ind w:right="360" w:firstLine="360"/>
      <w:jc w:val="both"/>
    </w:pPr>
    <w:r>
      <w:rPr>
        <w:sz w:val="18"/>
      </w:rPr>
      <mc:AlternateContent>
        <mc:Choice Requires="wps">
          <w:drawing>
            <wp:anchor distT="0" distB="0" distL="114300" distR="114300" simplePos="0" relativeHeight="251660288" behindDoc="0" locked="0" layoutInCell="1" allowOverlap="1">
              <wp:simplePos x="0" y="0"/>
              <wp:positionH relativeFrom="margin">
                <wp:posOffset>4213225</wp:posOffset>
              </wp:positionH>
              <wp:positionV relativeFrom="paragraph">
                <wp:posOffset>-56515</wp:posOffset>
              </wp:positionV>
              <wp:extent cx="437515" cy="2362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37515"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17EAD">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1.75pt;margin-top:-4.45pt;height:18.6pt;width:34.45pt;mso-position-horizontal-relative:margin;z-index:251660288;mso-width-relative:page;mso-height-relative:page;" filled="f" stroked="f" coordsize="21600,21600" o:gfxdata="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ZJMoCdkAAAAJAQAADwAAAAAAAAABACAAAAAiAAAAZHJzL2Rvd25y&#10;ZXYueG1sUEsBAhQAFAAAAAgAh07iQCvtmWY2AgAAYQQAAA4AAAAAAAAAAQAgAAAAKAEAAGRycy9l&#10;Mm9Eb2MueG1sUEsFBgAAAAAGAAYAWQEAANAFAAAAAA==&#10;">
              <v:fill on="f" focussize="0,0"/>
              <v:stroke on="f" weight="0.5pt"/>
              <v:imagedata o:title=""/>
              <o:lock v:ext="edit" aspectratio="f"/>
              <v:textbox inset="0mm,0mm,0mm,0mm">
                <w:txbxContent>
                  <w:p w14:paraId="10E17EAD">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EFE6"/>
    <w:multiLevelType w:val="singleLevel"/>
    <w:tmpl w:val="88F3EFE6"/>
    <w:lvl w:ilvl="0" w:tentative="0">
      <w:start w:val="1"/>
      <w:numFmt w:val="chineseCounting"/>
      <w:lvlText w:val="(%1)"/>
      <w:lvlJc w:val="left"/>
      <w:pPr>
        <w:tabs>
          <w:tab w:val="left" w:pos="312"/>
        </w:tabs>
      </w:pPr>
      <w:rPr>
        <w:rFonts w:hint="eastAsia"/>
      </w:rPr>
    </w:lvl>
  </w:abstractNum>
  <w:abstractNum w:abstractNumId="1">
    <w:nsid w:val="B3C39FCB"/>
    <w:multiLevelType w:val="singleLevel"/>
    <w:tmpl w:val="B3C39FCB"/>
    <w:lvl w:ilvl="0" w:tentative="0">
      <w:start w:val="2"/>
      <w:numFmt w:val="decimal"/>
      <w:suff w:val="nothing"/>
      <w:lvlText w:val="%1、"/>
      <w:lvlJc w:val="left"/>
    </w:lvl>
  </w:abstractNum>
  <w:abstractNum w:abstractNumId="2">
    <w:nsid w:val="BA506A1B"/>
    <w:multiLevelType w:val="singleLevel"/>
    <w:tmpl w:val="BA506A1B"/>
    <w:lvl w:ilvl="0" w:tentative="0">
      <w:start w:val="4"/>
      <w:numFmt w:val="decimal"/>
      <w:suff w:val="nothing"/>
      <w:lvlText w:val="%1、"/>
      <w:lvlJc w:val="left"/>
    </w:lvl>
  </w:abstractNum>
  <w:abstractNum w:abstractNumId="3">
    <w:nsid w:val="C0CFCEFB"/>
    <w:multiLevelType w:val="singleLevel"/>
    <w:tmpl w:val="C0CFCEFB"/>
    <w:lvl w:ilvl="0" w:tentative="0">
      <w:start w:val="8"/>
      <w:numFmt w:val="decimal"/>
      <w:suff w:val="nothing"/>
      <w:lvlText w:val="%1、"/>
      <w:lvlJc w:val="left"/>
    </w:lvl>
  </w:abstractNum>
  <w:abstractNum w:abstractNumId="4">
    <w:nsid w:val="EA2B07E4"/>
    <w:multiLevelType w:val="singleLevel"/>
    <w:tmpl w:val="EA2B07E4"/>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5">
    <w:nsid w:val="04B284F3"/>
    <w:multiLevelType w:val="singleLevel"/>
    <w:tmpl w:val="04B284F3"/>
    <w:lvl w:ilvl="0" w:tentative="0">
      <w:start w:val="9"/>
      <w:numFmt w:val="decimal"/>
      <w:suff w:val="nothing"/>
      <w:lvlText w:val="%1、"/>
      <w:lvlJc w:val="left"/>
    </w:lvl>
  </w:abstractNum>
  <w:abstractNum w:abstractNumId="6">
    <w:nsid w:val="5D35E48E"/>
    <w:multiLevelType w:val="singleLevel"/>
    <w:tmpl w:val="5D35E48E"/>
    <w:lvl w:ilvl="0" w:tentative="0">
      <w:start w:val="1"/>
      <w:numFmt w:val="bullet"/>
      <w:pStyle w:val="22"/>
      <w:lvlText w:val=""/>
      <w:lvlJc w:val="left"/>
      <w:pPr>
        <w:tabs>
          <w:tab w:val="left" w:pos="2040"/>
        </w:tabs>
        <w:ind w:left="2040" w:hanging="360"/>
      </w:pPr>
      <w:rPr>
        <w:rFonts w:hint="default" w:ascii="Wingdings" w:hAnsi="Wingdings"/>
      </w:rPr>
    </w:lvl>
  </w:abstractNum>
  <w:abstractNum w:abstractNumId="7">
    <w:nsid w:val="60822EE5"/>
    <w:multiLevelType w:val="multilevel"/>
    <w:tmpl w:val="60822EE5"/>
    <w:lvl w:ilvl="0" w:tentative="0">
      <w:start w:val="1"/>
      <w:numFmt w:val="decimal"/>
      <w:pStyle w:val="35"/>
      <w:lvlText w:val="表%1 "/>
      <w:lvlJc w:val="left"/>
      <w:pPr>
        <w:tabs>
          <w:tab w:val="left" w:pos="1365"/>
        </w:tabs>
        <w:ind w:left="285" w:firstLine="0"/>
      </w:pPr>
      <w:rPr>
        <w:rFonts w:hint="eastAsia"/>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8">
    <w:nsid w:val="79AFEA13"/>
    <w:multiLevelType w:val="singleLevel"/>
    <w:tmpl w:val="79AFEA13"/>
    <w:lvl w:ilvl="0" w:tentative="0">
      <w:start w:val="7"/>
      <w:numFmt w:val="decimal"/>
      <w:suff w:val="nothing"/>
      <w:lvlText w:val="%1、"/>
      <w:lvlJc w:val="left"/>
    </w:lvl>
  </w:abstractNum>
  <w:abstractNum w:abstractNumId="9">
    <w:nsid w:val="7B73E116"/>
    <w:multiLevelType w:val="singleLevel"/>
    <w:tmpl w:val="7B73E116"/>
    <w:lvl w:ilvl="0" w:tentative="0">
      <w:start w:val="1"/>
      <w:numFmt w:val="decimal"/>
      <w:suff w:val="nothing"/>
      <w:lvlText w:val="%1、"/>
      <w:lvlJc w:val="left"/>
    </w:lvl>
  </w:abstractNum>
  <w:num w:numId="1">
    <w:abstractNumId w:val="4"/>
  </w:num>
  <w:num w:numId="2">
    <w:abstractNumId w:val="6"/>
  </w:num>
  <w:num w:numId="3">
    <w:abstractNumId w:val="7"/>
  </w:num>
  <w:num w:numId="4">
    <w:abstractNumId w:val="9"/>
  </w:num>
  <w:num w:numId="5">
    <w:abstractNumId w:val="8"/>
  </w:num>
  <w:num w:numId="6">
    <w:abstractNumId w:val="0"/>
  </w:num>
  <w:num w:numId="7">
    <w:abstractNumId w:val="5"/>
  </w:num>
  <w:num w:numId="8">
    <w:abstractNumId w:val="2"/>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zdhMDdmMTIwZjFiYTRiNjY3ODU3MTk3ZWMwNjMifQ=="/>
  </w:docVars>
  <w:rsids>
    <w:rsidRoot w:val="00172A27"/>
    <w:rsid w:val="001859A2"/>
    <w:rsid w:val="001E511F"/>
    <w:rsid w:val="00200D10"/>
    <w:rsid w:val="002A7341"/>
    <w:rsid w:val="002B06A5"/>
    <w:rsid w:val="002F07ED"/>
    <w:rsid w:val="00486BF0"/>
    <w:rsid w:val="0056460B"/>
    <w:rsid w:val="00627875"/>
    <w:rsid w:val="007007DA"/>
    <w:rsid w:val="009E70F5"/>
    <w:rsid w:val="00A72960"/>
    <w:rsid w:val="00AB55F5"/>
    <w:rsid w:val="00B2683C"/>
    <w:rsid w:val="00C86C7C"/>
    <w:rsid w:val="00CB1EB4"/>
    <w:rsid w:val="00DD185C"/>
    <w:rsid w:val="00EC1BEC"/>
    <w:rsid w:val="00ED7F54"/>
    <w:rsid w:val="00F66F31"/>
    <w:rsid w:val="00F849DA"/>
    <w:rsid w:val="01193612"/>
    <w:rsid w:val="01423F24"/>
    <w:rsid w:val="014829A9"/>
    <w:rsid w:val="01625F54"/>
    <w:rsid w:val="017716F4"/>
    <w:rsid w:val="018856AF"/>
    <w:rsid w:val="01A40574"/>
    <w:rsid w:val="01AA0E00"/>
    <w:rsid w:val="01CE45E8"/>
    <w:rsid w:val="01DD3C4D"/>
    <w:rsid w:val="01E40A39"/>
    <w:rsid w:val="01ED4B11"/>
    <w:rsid w:val="01F30330"/>
    <w:rsid w:val="01F80BD4"/>
    <w:rsid w:val="01FB40D3"/>
    <w:rsid w:val="021900C6"/>
    <w:rsid w:val="022842E3"/>
    <w:rsid w:val="022B2AA8"/>
    <w:rsid w:val="023837C2"/>
    <w:rsid w:val="024504DC"/>
    <w:rsid w:val="02661E94"/>
    <w:rsid w:val="02820350"/>
    <w:rsid w:val="02952973"/>
    <w:rsid w:val="029C7664"/>
    <w:rsid w:val="02C1531D"/>
    <w:rsid w:val="02E60849"/>
    <w:rsid w:val="02EE5EC8"/>
    <w:rsid w:val="0328245F"/>
    <w:rsid w:val="03547F3F"/>
    <w:rsid w:val="036F39FE"/>
    <w:rsid w:val="03727399"/>
    <w:rsid w:val="03747731"/>
    <w:rsid w:val="0381176B"/>
    <w:rsid w:val="039859AF"/>
    <w:rsid w:val="03B32210"/>
    <w:rsid w:val="03D552B6"/>
    <w:rsid w:val="03E2226C"/>
    <w:rsid w:val="03FF6B3C"/>
    <w:rsid w:val="041E5BEC"/>
    <w:rsid w:val="041F054D"/>
    <w:rsid w:val="043A3831"/>
    <w:rsid w:val="04407652"/>
    <w:rsid w:val="044D71EC"/>
    <w:rsid w:val="047B14FB"/>
    <w:rsid w:val="04A46CA4"/>
    <w:rsid w:val="04AD13E6"/>
    <w:rsid w:val="04B21229"/>
    <w:rsid w:val="04BA572C"/>
    <w:rsid w:val="04C904B8"/>
    <w:rsid w:val="05290F57"/>
    <w:rsid w:val="053C4E5B"/>
    <w:rsid w:val="054A0676"/>
    <w:rsid w:val="05790131"/>
    <w:rsid w:val="059E1945"/>
    <w:rsid w:val="05E355AA"/>
    <w:rsid w:val="05E57574"/>
    <w:rsid w:val="05EC4399"/>
    <w:rsid w:val="05F72E03"/>
    <w:rsid w:val="05FB4360"/>
    <w:rsid w:val="06011FDA"/>
    <w:rsid w:val="060C343B"/>
    <w:rsid w:val="06105359"/>
    <w:rsid w:val="061B2716"/>
    <w:rsid w:val="06293905"/>
    <w:rsid w:val="06345E06"/>
    <w:rsid w:val="06383B48"/>
    <w:rsid w:val="063E557E"/>
    <w:rsid w:val="064D0468"/>
    <w:rsid w:val="06565D7C"/>
    <w:rsid w:val="065E7767"/>
    <w:rsid w:val="06624DC0"/>
    <w:rsid w:val="066C6FCD"/>
    <w:rsid w:val="066E57BB"/>
    <w:rsid w:val="067F3525"/>
    <w:rsid w:val="06840E03"/>
    <w:rsid w:val="069C2342"/>
    <w:rsid w:val="06AD3D5A"/>
    <w:rsid w:val="06BD217D"/>
    <w:rsid w:val="06D66EBD"/>
    <w:rsid w:val="06F4202F"/>
    <w:rsid w:val="06FB7EA8"/>
    <w:rsid w:val="070E032F"/>
    <w:rsid w:val="071661B3"/>
    <w:rsid w:val="072145DC"/>
    <w:rsid w:val="07222102"/>
    <w:rsid w:val="072E0AA7"/>
    <w:rsid w:val="072E6CF9"/>
    <w:rsid w:val="07707311"/>
    <w:rsid w:val="07724E37"/>
    <w:rsid w:val="077706A0"/>
    <w:rsid w:val="077A3CEC"/>
    <w:rsid w:val="078D65CE"/>
    <w:rsid w:val="07A7140F"/>
    <w:rsid w:val="07B11C80"/>
    <w:rsid w:val="07D57174"/>
    <w:rsid w:val="07DE24CD"/>
    <w:rsid w:val="07F020C4"/>
    <w:rsid w:val="08176839"/>
    <w:rsid w:val="082937FE"/>
    <w:rsid w:val="0850116D"/>
    <w:rsid w:val="085A7C6F"/>
    <w:rsid w:val="08BE5414"/>
    <w:rsid w:val="08BF5E5A"/>
    <w:rsid w:val="08C01BD2"/>
    <w:rsid w:val="08C2594B"/>
    <w:rsid w:val="08CA47FF"/>
    <w:rsid w:val="08D7003B"/>
    <w:rsid w:val="08E1634A"/>
    <w:rsid w:val="08E53B03"/>
    <w:rsid w:val="08FB7096"/>
    <w:rsid w:val="09065CF8"/>
    <w:rsid w:val="092C7405"/>
    <w:rsid w:val="093700E7"/>
    <w:rsid w:val="0954735E"/>
    <w:rsid w:val="0956304F"/>
    <w:rsid w:val="09615163"/>
    <w:rsid w:val="09655B93"/>
    <w:rsid w:val="096F46DC"/>
    <w:rsid w:val="0983123C"/>
    <w:rsid w:val="098F079E"/>
    <w:rsid w:val="09B56A42"/>
    <w:rsid w:val="09E57B43"/>
    <w:rsid w:val="09F44EF5"/>
    <w:rsid w:val="09F834B5"/>
    <w:rsid w:val="09F971AC"/>
    <w:rsid w:val="0A1466EC"/>
    <w:rsid w:val="0A2255B5"/>
    <w:rsid w:val="0A232419"/>
    <w:rsid w:val="0A382368"/>
    <w:rsid w:val="0A3D2B7D"/>
    <w:rsid w:val="0A434869"/>
    <w:rsid w:val="0A4535DA"/>
    <w:rsid w:val="0A455A91"/>
    <w:rsid w:val="0A5A222E"/>
    <w:rsid w:val="0A5E16A3"/>
    <w:rsid w:val="0A5F093B"/>
    <w:rsid w:val="0A693D18"/>
    <w:rsid w:val="0A8F08D3"/>
    <w:rsid w:val="0A9A4573"/>
    <w:rsid w:val="0AA9445D"/>
    <w:rsid w:val="0AA95618"/>
    <w:rsid w:val="0AAE242B"/>
    <w:rsid w:val="0AD6707D"/>
    <w:rsid w:val="0ADF0A36"/>
    <w:rsid w:val="0AEF553C"/>
    <w:rsid w:val="0AF0679F"/>
    <w:rsid w:val="0B332B30"/>
    <w:rsid w:val="0B350656"/>
    <w:rsid w:val="0B4D18EA"/>
    <w:rsid w:val="0B6346B2"/>
    <w:rsid w:val="0B884C29"/>
    <w:rsid w:val="0BAA5E29"/>
    <w:rsid w:val="0BC35C62"/>
    <w:rsid w:val="0C070B8D"/>
    <w:rsid w:val="0C105A94"/>
    <w:rsid w:val="0C1110C3"/>
    <w:rsid w:val="0C1A690B"/>
    <w:rsid w:val="0C1B3CF0"/>
    <w:rsid w:val="0C1C7A68"/>
    <w:rsid w:val="0C293328"/>
    <w:rsid w:val="0C331D6A"/>
    <w:rsid w:val="0C362140"/>
    <w:rsid w:val="0C49689F"/>
    <w:rsid w:val="0C4A6E11"/>
    <w:rsid w:val="0C4F7110"/>
    <w:rsid w:val="0C53598C"/>
    <w:rsid w:val="0C6B191F"/>
    <w:rsid w:val="0C6B7B04"/>
    <w:rsid w:val="0C764185"/>
    <w:rsid w:val="0C8D68F1"/>
    <w:rsid w:val="0C8E44C1"/>
    <w:rsid w:val="0C9C1937"/>
    <w:rsid w:val="0CA65542"/>
    <w:rsid w:val="0CAD06C0"/>
    <w:rsid w:val="0CB84BC0"/>
    <w:rsid w:val="0CC954FA"/>
    <w:rsid w:val="0CE7345E"/>
    <w:rsid w:val="0CF307C8"/>
    <w:rsid w:val="0CFA2A16"/>
    <w:rsid w:val="0D1C0C45"/>
    <w:rsid w:val="0D336E17"/>
    <w:rsid w:val="0D483080"/>
    <w:rsid w:val="0D892CEA"/>
    <w:rsid w:val="0DA90E87"/>
    <w:rsid w:val="0DB23C69"/>
    <w:rsid w:val="0DB37F58"/>
    <w:rsid w:val="0DB41C2A"/>
    <w:rsid w:val="0DD848A5"/>
    <w:rsid w:val="0DDE4FD5"/>
    <w:rsid w:val="0DEE3ED5"/>
    <w:rsid w:val="0DFD5FDB"/>
    <w:rsid w:val="0E0132C0"/>
    <w:rsid w:val="0E0E083C"/>
    <w:rsid w:val="0E1924B1"/>
    <w:rsid w:val="0E1C7E73"/>
    <w:rsid w:val="0E2A3F84"/>
    <w:rsid w:val="0E372937"/>
    <w:rsid w:val="0E39220B"/>
    <w:rsid w:val="0E492F5D"/>
    <w:rsid w:val="0E5F4D01"/>
    <w:rsid w:val="0E6613CC"/>
    <w:rsid w:val="0E6B25E0"/>
    <w:rsid w:val="0E884F40"/>
    <w:rsid w:val="0E913D81"/>
    <w:rsid w:val="0E975183"/>
    <w:rsid w:val="0E9900D5"/>
    <w:rsid w:val="0EA0672E"/>
    <w:rsid w:val="0EA13C25"/>
    <w:rsid w:val="0ED74CBC"/>
    <w:rsid w:val="0EF44384"/>
    <w:rsid w:val="0EFB6149"/>
    <w:rsid w:val="0F0740B7"/>
    <w:rsid w:val="0F225395"/>
    <w:rsid w:val="0F420E54"/>
    <w:rsid w:val="0F5B0213"/>
    <w:rsid w:val="0F931DEF"/>
    <w:rsid w:val="0FA167F1"/>
    <w:rsid w:val="0FAB538A"/>
    <w:rsid w:val="0FAD4BEC"/>
    <w:rsid w:val="0FAE7D89"/>
    <w:rsid w:val="0FBE05E8"/>
    <w:rsid w:val="0FE4286D"/>
    <w:rsid w:val="0FF46D31"/>
    <w:rsid w:val="100D1BA1"/>
    <w:rsid w:val="100D7DF3"/>
    <w:rsid w:val="103A670E"/>
    <w:rsid w:val="10466E02"/>
    <w:rsid w:val="10606175"/>
    <w:rsid w:val="107402E3"/>
    <w:rsid w:val="1075579C"/>
    <w:rsid w:val="107602D1"/>
    <w:rsid w:val="107B798B"/>
    <w:rsid w:val="10B77D5F"/>
    <w:rsid w:val="10FE14EA"/>
    <w:rsid w:val="11052878"/>
    <w:rsid w:val="111F7DDE"/>
    <w:rsid w:val="114A2981"/>
    <w:rsid w:val="116E041E"/>
    <w:rsid w:val="11736708"/>
    <w:rsid w:val="118714DF"/>
    <w:rsid w:val="11AC122D"/>
    <w:rsid w:val="11B85B3D"/>
    <w:rsid w:val="11BD13A5"/>
    <w:rsid w:val="11BD734F"/>
    <w:rsid w:val="11C12C43"/>
    <w:rsid w:val="12061659"/>
    <w:rsid w:val="12107F7D"/>
    <w:rsid w:val="122639D3"/>
    <w:rsid w:val="1226519C"/>
    <w:rsid w:val="12331667"/>
    <w:rsid w:val="123E24E6"/>
    <w:rsid w:val="123F000C"/>
    <w:rsid w:val="12541D09"/>
    <w:rsid w:val="12661A3D"/>
    <w:rsid w:val="12751C80"/>
    <w:rsid w:val="12805118"/>
    <w:rsid w:val="12912466"/>
    <w:rsid w:val="129E12BF"/>
    <w:rsid w:val="12A02C05"/>
    <w:rsid w:val="12BE7E65"/>
    <w:rsid w:val="12CA1FCB"/>
    <w:rsid w:val="12CD768E"/>
    <w:rsid w:val="12E52C53"/>
    <w:rsid w:val="12EA61CA"/>
    <w:rsid w:val="12F108FF"/>
    <w:rsid w:val="130D3D18"/>
    <w:rsid w:val="131D659F"/>
    <w:rsid w:val="13405D5B"/>
    <w:rsid w:val="13414AC1"/>
    <w:rsid w:val="1344018C"/>
    <w:rsid w:val="13511D2B"/>
    <w:rsid w:val="13737F6D"/>
    <w:rsid w:val="137D703E"/>
    <w:rsid w:val="139B55D1"/>
    <w:rsid w:val="13AA084E"/>
    <w:rsid w:val="13D74FD7"/>
    <w:rsid w:val="14021322"/>
    <w:rsid w:val="14060DE1"/>
    <w:rsid w:val="140E7C96"/>
    <w:rsid w:val="141771D4"/>
    <w:rsid w:val="141D25CF"/>
    <w:rsid w:val="1431615E"/>
    <w:rsid w:val="143811B7"/>
    <w:rsid w:val="143F0797"/>
    <w:rsid w:val="1441006B"/>
    <w:rsid w:val="144C6A8C"/>
    <w:rsid w:val="1470709B"/>
    <w:rsid w:val="147A17CF"/>
    <w:rsid w:val="147E306D"/>
    <w:rsid w:val="14AB3CAB"/>
    <w:rsid w:val="14B22D17"/>
    <w:rsid w:val="14BF5434"/>
    <w:rsid w:val="14CE709B"/>
    <w:rsid w:val="14D27753"/>
    <w:rsid w:val="14DA35C2"/>
    <w:rsid w:val="14E94384"/>
    <w:rsid w:val="14ED1FA1"/>
    <w:rsid w:val="14F670A8"/>
    <w:rsid w:val="15164747"/>
    <w:rsid w:val="152320D3"/>
    <w:rsid w:val="1525173B"/>
    <w:rsid w:val="152A6D51"/>
    <w:rsid w:val="153C6A85"/>
    <w:rsid w:val="155142DE"/>
    <w:rsid w:val="155344FA"/>
    <w:rsid w:val="155C5937"/>
    <w:rsid w:val="155D0ED5"/>
    <w:rsid w:val="15602773"/>
    <w:rsid w:val="156F04D3"/>
    <w:rsid w:val="15842E59"/>
    <w:rsid w:val="15860009"/>
    <w:rsid w:val="158A30CB"/>
    <w:rsid w:val="15A35D00"/>
    <w:rsid w:val="15BD1C48"/>
    <w:rsid w:val="15FD7FC2"/>
    <w:rsid w:val="161433C1"/>
    <w:rsid w:val="161F43DC"/>
    <w:rsid w:val="16287735"/>
    <w:rsid w:val="16522B9A"/>
    <w:rsid w:val="16536716"/>
    <w:rsid w:val="16565924"/>
    <w:rsid w:val="16765F7F"/>
    <w:rsid w:val="16DA0094"/>
    <w:rsid w:val="17186491"/>
    <w:rsid w:val="17287018"/>
    <w:rsid w:val="173152B0"/>
    <w:rsid w:val="17352987"/>
    <w:rsid w:val="17354305"/>
    <w:rsid w:val="173C4B1A"/>
    <w:rsid w:val="17442587"/>
    <w:rsid w:val="17514A69"/>
    <w:rsid w:val="175D1DEA"/>
    <w:rsid w:val="175E7186"/>
    <w:rsid w:val="176F6C9D"/>
    <w:rsid w:val="17931083"/>
    <w:rsid w:val="17A821AF"/>
    <w:rsid w:val="17C23271"/>
    <w:rsid w:val="17D47448"/>
    <w:rsid w:val="1809651A"/>
    <w:rsid w:val="180D3921"/>
    <w:rsid w:val="182C1032"/>
    <w:rsid w:val="18506ACF"/>
    <w:rsid w:val="18636CAE"/>
    <w:rsid w:val="1864257A"/>
    <w:rsid w:val="187622AE"/>
    <w:rsid w:val="188E15F2"/>
    <w:rsid w:val="18AE4EC6"/>
    <w:rsid w:val="18B14413"/>
    <w:rsid w:val="18C4126B"/>
    <w:rsid w:val="18C81F31"/>
    <w:rsid w:val="18D01ED3"/>
    <w:rsid w:val="18D547D1"/>
    <w:rsid w:val="18D73BAB"/>
    <w:rsid w:val="18F02060"/>
    <w:rsid w:val="18FE29CF"/>
    <w:rsid w:val="19044755"/>
    <w:rsid w:val="190F5F83"/>
    <w:rsid w:val="19153806"/>
    <w:rsid w:val="192835A8"/>
    <w:rsid w:val="193E726F"/>
    <w:rsid w:val="195352F3"/>
    <w:rsid w:val="19662886"/>
    <w:rsid w:val="199155F1"/>
    <w:rsid w:val="19987A91"/>
    <w:rsid w:val="19A03A86"/>
    <w:rsid w:val="19F908B3"/>
    <w:rsid w:val="1A1146FA"/>
    <w:rsid w:val="1A123628"/>
    <w:rsid w:val="1A26479D"/>
    <w:rsid w:val="1A3D35ED"/>
    <w:rsid w:val="1A46462D"/>
    <w:rsid w:val="1A756CC1"/>
    <w:rsid w:val="1A8413AE"/>
    <w:rsid w:val="1A8B64E4"/>
    <w:rsid w:val="1A8E05FE"/>
    <w:rsid w:val="1A9058A9"/>
    <w:rsid w:val="1A9B49B0"/>
    <w:rsid w:val="1A9D6CCC"/>
    <w:rsid w:val="1AA07C78"/>
    <w:rsid w:val="1AA80E44"/>
    <w:rsid w:val="1AC75042"/>
    <w:rsid w:val="1AD734D7"/>
    <w:rsid w:val="1AEE7DE9"/>
    <w:rsid w:val="1AF8344E"/>
    <w:rsid w:val="1B040787"/>
    <w:rsid w:val="1B043BA1"/>
    <w:rsid w:val="1B061813"/>
    <w:rsid w:val="1B130357"/>
    <w:rsid w:val="1B185171"/>
    <w:rsid w:val="1B395F40"/>
    <w:rsid w:val="1B4B5C73"/>
    <w:rsid w:val="1B6A434C"/>
    <w:rsid w:val="1B7675E1"/>
    <w:rsid w:val="1B776A68"/>
    <w:rsid w:val="1B8F453C"/>
    <w:rsid w:val="1B99078D"/>
    <w:rsid w:val="1B992B6C"/>
    <w:rsid w:val="1BB750B7"/>
    <w:rsid w:val="1BBE4697"/>
    <w:rsid w:val="1BDB2B53"/>
    <w:rsid w:val="1BE161A1"/>
    <w:rsid w:val="1BE837DE"/>
    <w:rsid w:val="1C0365C2"/>
    <w:rsid w:val="1C0C7820"/>
    <w:rsid w:val="1C1E6EE4"/>
    <w:rsid w:val="1C2E71DA"/>
    <w:rsid w:val="1C322CD6"/>
    <w:rsid w:val="1C392313"/>
    <w:rsid w:val="1C3C2680"/>
    <w:rsid w:val="1C5A4155"/>
    <w:rsid w:val="1C705EEB"/>
    <w:rsid w:val="1C71170A"/>
    <w:rsid w:val="1C832EF3"/>
    <w:rsid w:val="1C853F25"/>
    <w:rsid w:val="1C9B22E3"/>
    <w:rsid w:val="1CA5716B"/>
    <w:rsid w:val="1CCC07A5"/>
    <w:rsid w:val="1CD04682"/>
    <w:rsid w:val="1CDC4DD5"/>
    <w:rsid w:val="1CE1063D"/>
    <w:rsid w:val="1CE11B43"/>
    <w:rsid w:val="1D1C31C6"/>
    <w:rsid w:val="1D2F6359"/>
    <w:rsid w:val="1D5A229C"/>
    <w:rsid w:val="1D677755"/>
    <w:rsid w:val="1D6B6159"/>
    <w:rsid w:val="1D7E7C3A"/>
    <w:rsid w:val="1D890952"/>
    <w:rsid w:val="1D9751A0"/>
    <w:rsid w:val="1D9E6D33"/>
    <w:rsid w:val="1DA11B7B"/>
    <w:rsid w:val="1DB83649"/>
    <w:rsid w:val="1DBD698E"/>
    <w:rsid w:val="1DEC54EC"/>
    <w:rsid w:val="1DF3687A"/>
    <w:rsid w:val="1E114F52"/>
    <w:rsid w:val="1E1F1D09"/>
    <w:rsid w:val="1E3626DA"/>
    <w:rsid w:val="1E3A109E"/>
    <w:rsid w:val="1E6257AE"/>
    <w:rsid w:val="1E696B3C"/>
    <w:rsid w:val="1E72018F"/>
    <w:rsid w:val="1E910AAB"/>
    <w:rsid w:val="1EC74F46"/>
    <w:rsid w:val="1ED61AE4"/>
    <w:rsid w:val="1EE91639"/>
    <w:rsid w:val="1EE937D9"/>
    <w:rsid w:val="1EF108E0"/>
    <w:rsid w:val="1F0F03C8"/>
    <w:rsid w:val="1F161CFA"/>
    <w:rsid w:val="1F330EF8"/>
    <w:rsid w:val="1F427627"/>
    <w:rsid w:val="1F4849A4"/>
    <w:rsid w:val="1F780DC2"/>
    <w:rsid w:val="1F7E51EF"/>
    <w:rsid w:val="1F932648"/>
    <w:rsid w:val="1FA63478"/>
    <w:rsid w:val="1FB77434"/>
    <w:rsid w:val="1FB931AC"/>
    <w:rsid w:val="1FBA1D7F"/>
    <w:rsid w:val="1FD11463"/>
    <w:rsid w:val="1FD1619B"/>
    <w:rsid w:val="200B48BA"/>
    <w:rsid w:val="202028F3"/>
    <w:rsid w:val="202820DF"/>
    <w:rsid w:val="202C0BB7"/>
    <w:rsid w:val="204131A1"/>
    <w:rsid w:val="206155F1"/>
    <w:rsid w:val="206669E0"/>
    <w:rsid w:val="20711CD8"/>
    <w:rsid w:val="20812B54"/>
    <w:rsid w:val="20891716"/>
    <w:rsid w:val="20A86FBE"/>
    <w:rsid w:val="20D109C9"/>
    <w:rsid w:val="20D373A8"/>
    <w:rsid w:val="20D64231"/>
    <w:rsid w:val="20D83B05"/>
    <w:rsid w:val="20F0075B"/>
    <w:rsid w:val="20FA5D35"/>
    <w:rsid w:val="21110B54"/>
    <w:rsid w:val="211A2370"/>
    <w:rsid w:val="211B1C44"/>
    <w:rsid w:val="212B146E"/>
    <w:rsid w:val="213D7E0C"/>
    <w:rsid w:val="214007BA"/>
    <w:rsid w:val="21425423"/>
    <w:rsid w:val="214817EA"/>
    <w:rsid w:val="21501789"/>
    <w:rsid w:val="21582E98"/>
    <w:rsid w:val="215C74FD"/>
    <w:rsid w:val="217F05AB"/>
    <w:rsid w:val="218F2908"/>
    <w:rsid w:val="21AD2B8D"/>
    <w:rsid w:val="21C1459A"/>
    <w:rsid w:val="21D51EED"/>
    <w:rsid w:val="21E37019"/>
    <w:rsid w:val="21E87AF7"/>
    <w:rsid w:val="21F030D1"/>
    <w:rsid w:val="22080D83"/>
    <w:rsid w:val="221C2118"/>
    <w:rsid w:val="224534CB"/>
    <w:rsid w:val="224551CB"/>
    <w:rsid w:val="22460F43"/>
    <w:rsid w:val="226C2429"/>
    <w:rsid w:val="22704963"/>
    <w:rsid w:val="2295370E"/>
    <w:rsid w:val="22A243CB"/>
    <w:rsid w:val="22B50792"/>
    <w:rsid w:val="22BD7793"/>
    <w:rsid w:val="22C049F4"/>
    <w:rsid w:val="22C1192F"/>
    <w:rsid w:val="22D12F52"/>
    <w:rsid w:val="22E04EF3"/>
    <w:rsid w:val="22F455A3"/>
    <w:rsid w:val="23005595"/>
    <w:rsid w:val="23194618"/>
    <w:rsid w:val="232A22F4"/>
    <w:rsid w:val="23325C2E"/>
    <w:rsid w:val="234046F8"/>
    <w:rsid w:val="234A5E6F"/>
    <w:rsid w:val="23536C52"/>
    <w:rsid w:val="23675615"/>
    <w:rsid w:val="237473A2"/>
    <w:rsid w:val="23897339"/>
    <w:rsid w:val="23A6613D"/>
    <w:rsid w:val="23AE0B4E"/>
    <w:rsid w:val="23B76AA0"/>
    <w:rsid w:val="23CE7442"/>
    <w:rsid w:val="23D039AD"/>
    <w:rsid w:val="23DD1433"/>
    <w:rsid w:val="23E66539"/>
    <w:rsid w:val="23EB4896"/>
    <w:rsid w:val="23ED24C7"/>
    <w:rsid w:val="23ED3D6C"/>
    <w:rsid w:val="240A094B"/>
    <w:rsid w:val="24373239"/>
    <w:rsid w:val="244D3E7B"/>
    <w:rsid w:val="2492046F"/>
    <w:rsid w:val="249E0BC2"/>
    <w:rsid w:val="24A8003A"/>
    <w:rsid w:val="24C55EF5"/>
    <w:rsid w:val="24D533AB"/>
    <w:rsid w:val="24E0567E"/>
    <w:rsid w:val="24E43F8D"/>
    <w:rsid w:val="24FF39DA"/>
    <w:rsid w:val="25021151"/>
    <w:rsid w:val="251635AE"/>
    <w:rsid w:val="25166994"/>
    <w:rsid w:val="25290DD3"/>
    <w:rsid w:val="25355210"/>
    <w:rsid w:val="25565511"/>
    <w:rsid w:val="2584425C"/>
    <w:rsid w:val="259205FB"/>
    <w:rsid w:val="259E4DFF"/>
    <w:rsid w:val="25C64874"/>
    <w:rsid w:val="261667EB"/>
    <w:rsid w:val="261E62D9"/>
    <w:rsid w:val="26211AAB"/>
    <w:rsid w:val="263F26B6"/>
    <w:rsid w:val="26551754"/>
    <w:rsid w:val="267A0A9A"/>
    <w:rsid w:val="26984DDB"/>
    <w:rsid w:val="26A95C00"/>
    <w:rsid w:val="26B02FEB"/>
    <w:rsid w:val="26DF3043"/>
    <w:rsid w:val="26DF7DC9"/>
    <w:rsid w:val="26E1123A"/>
    <w:rsid w:val="26E46B23"/>
    <w:rsid w:val="271138CD"/>
    <w:rsid w:val="271702FC"/>
    <w:rsid w:val="27606B25"/>
    <w:rsid w:val="276C31F9"/>
    <w:rsid w:val="276D0AA4"/>
    <w:rsid w:val="27941333"/>
    <w:rsid w:val="27973840"/>
    <w:rsid w:val="27A6495D"/>
    <w:rsid w:val="27A7243F"/>
    <w:rsid w:val="27BA21B7"/>
    <w:rsid w:val="27BA2BE8"/>
    <w:rsid w:val="27BB437C"/>
    <w:rsid w:val="27CF7F46"/>
    <w:rsid w:val="27E40FE2"/>
    <w:rsid w:val="27E70AD2"/>
    <w:rsid w:val="27F24AAA"/>
    <w:rsid w:val="27F4387E"/>
    <w:rsid w:val="28140DD6"/>
    <w:rsid w:val="281A6515"/>
    <w:rsid w:val="281C7B42"/>
    <w:rsid w:val="28324A94"/>
    <w:rsid w:val="284149E4"/>
    <w:rsid w:val="28557BBE"/>
    <w:rsid w:val="28777A3E"/>
    <w:rsid w:val="28852C5D"/>
    <w:rsid w:val="28A61B63"/>
    <w:rsid w:val="28C130D1"/>
    <w:rsid w:val="28CD0E1E"/>
    <w:rsid w:val="28D52BFD"/>
    <w:rsid w:val="28DD687E"/>
    <w:rsid w:val="28E62B38"/>
    <w:rsid w:val="28FE3ECA"/>
    <w:rsid w:val="29142FE5"/>
    <w:rsid w:val="29262DDF"/>
    <w:rsid w:val="2928313A"/>
    <w:rsid w:val="29307225"/>
    <w:rsid w:val="294E5694"/>
    <w:rsid w:val="295F3950"/>
    <w:rsid w:val="295F3E24"/>
    <w:rsid w:val="296E125F"/>
    <w:rsid w:val="297C578D"/>
    <w:rsid w:val="297C5EB8"/>
    <w:rsid w:val="297D349C"/>
    <w:rsid w:val="29902EF6"/>
    <w:rsid w:val="29994FCF"/>
    <w:rsid w:val="29CD6601"/>
    <w:rsid w:val="29D23945"/>
    <w:rsid w:val="29D303B0"/>
    <w:rsid w:val="29D651AE"/>
    <w:rsid w:val="29DA08EE"/>
    <w:rsid w:val="29F23F07"/>
    <w:rsid w:val="29F568F4"/>
    <w:rsid w:val="29FF2103"/>
    <w:rsid w:val="2A1536D4"/>
    <w:rsid w:val="2A17641D"/>
    <w:rsid w:val="2A187669"/>
    <w:rsid w:val="2A2C0695"/>
    <w:rsid w:val="2A5306A1"/>
    <w:rsid w:val="2A73664D"/>
    <w:rsid w:val="2A752544"/>
    <w:rsid w:val="2A8B71DD"/>
    <w:rsid w:val="2AA1011F"/>
    <w:rsid w:val="2AB81A25"/>
    <w:rsid w:val="2AD67DAC"/>
    <w:rsid w:val="2AE435F6"/>
    <w:rsid w:val="2B1159A3"/>
    <w:rsid w:val="2B205CF7"/>
    <w:rsid w:val="2B481888"/>
    <w:rsid w:val="2B4845BB"/>
    <w:rsid w:val="2B616B27"/>
    <w:rsid w:val="2B6577D7"/>
    <w:rsid w:val="2B6D576B"/>
    <w:rsid w:val="2B807273"/>
    <w:rsid w:val="2B964CE9"/>
    <w:rsid w:val="2BAC1E16"/>
    <w:rsid w:val="2BBE5766"/>
    <w:rsid w:val="2BCE4483"/>
    <w:rsid w:val="2BD55811"/>
    <w:rsid w:val="2BD5753D"/>
    <w:rsid w:val="2BEF6D77"/>
    <w:rsid w:val="2BFB2F70"/>
    <w:rsid w:val="2C120226"/>
    <w:rsid w:val="2C163734"/>
    <w:rsid w:val="2C1778A4"/>
    <w:rsid w:val="2C2748E2"/>
    <w:rsid w:val="2C493B09"/>
    <w:rsid w:val="2C73502A"/>
    <w:rsid w:val="2C7E5774"/>
    <w:rsid w:val="2C9338FE"/>
    <w:rsid w:val="2C9F5E1F"/>
    <w:rsid w:val="2CBB67AC"/>
    <w:rsid w:val="2CBC077F"/>
    <w:rsid w:val="2CC43190"/>
    <w:rsid w:val="2CC75DF3"/>
    <w:rsid w:val="2CCF6239"/>
    <w:rsid w:val="2CF5279B"/>
    <w:rsid w:val="2D070AF3"/>
    <w:rsid w:val="2D2D342B"/>
    <w:rsid w:val="2D2E0C20"/>
    <w:rsid w:val="2D4A18E7"/>
    <w:rsid w:val="2D684463"/>
    <w:rsid w:val="2D69155B"/>
    <w:rsid w:val="2D727370"/>
    <w:rsid w:val="2D7A6EC3"/>
    <w:rsid w:val="2D83304B"/>
    <w:rsid w:val="2DC316F0"/>
    <w:rsid w:val="2DCC67A0"/>
    <w:rsid w:val="2DDD6BFF"/>
    <w:rsid w:val="2DDE40A7"/>
    <w:rsid w:val="2DE51610"/>
    <w:rsid w:val="2DEC6E42"/>
    <w:rsid w:val="2E01712F"/>
    <w:rsid w:val="2E075A2A"/>
    <w:rsid w:val="2E13617D"/>
    <w:rsid w:val="2E2501F1"/>
    <w:rsid w:val="2E2F28DC"/>
    <w:rsid w:val="2E361327"/>
    <w:rsid w:val="2E4A4884"/>
    <w:rsid w:val="2E516CA5"/>
    <w:rsid w:val="2E6115DE"/>
    <w:rsid w:val="2E635445"/>
    <w:rsid w:val="2E894691"/>
    <w:rsid w:val="2EA63495"/>
    <w:rsid w:val="2EA65243"/>
    <w:rsid w:val="2EC56214"/>
    <w:rsid w:val="2EE53948"/>
    <w:rsid w:val="2EE87609"/>
    <w:rsid w:val="2EED10C4"/>
    <w:rsid w:val="2EEE0998"/>
    <w:rsid w:val="2F2D326E"/>
    <w:rsid w:val="2F3A1296"/>
    <w:rsid w:val="2F4036AC"/>
    <w:rsid w:val="2F566798"/>
    <w:rsid w:val="2F5E657A"/>
    <w:rsid w:val="2F715D49"/>
    <w:rsid w:val="2F7470EF"/>
    <w:rsid w:val="2F7702D9"/>
    <w:rsid w:val="2F77273B"/>
    <w:rsid w:val="2F7C7158"/>
    <w:rsid w:val="2F8428F5"/>
    <w:rsid w:val="2F884949"/>
    <w:rsid w:val="2FAA307F"/>
    <w:rsid w:val="2FB67708"/>
    <w:rsid w:val="2FBE036A"/>
    <w:rsid w:val="2FD07CB9"/>
    <w:rsid w:val="2FD37947"/>
    <w:rsid w:val="2FDB1904"/>
    <w:rsid w:val="2FE27FF6"/>
    <w:rsid w:val="2FF858A2"/>
    <w:rsid w:val="300940D8"/>
    <w:rsid w:val="301B57BD"/>
    <w:rsid w:val="301D1535"/>
    <w:rsid w:val="30212C9E"/>
    <w:rsid w:val="30270434"/>
    <w:rsid w:val="303A20E7"/>
    <w:rsid w:val="303C60D6"/>
    <w:rsid w:val="3048206E"/>
    <w:rsid w:val="305667F5"/>
    <w:rsid w:val="306308E6"/>
    <w:rsid w:val="30713E8F"/>
    <w:rsid w:val="307B44AD"/>
    <w:rsid w:val="309D23E8"/>
    <w:rsid w:val="30A62ED2"/>
    <w:rsid w:val="30B4066F"/>
    <w:rsid w:val="30C9474B"/>
    <w:rsid w:val="30CD0532"/>
    <w:rsid w:val="30D53205"/>
    <w:rsid w:val="30DA5678"/>
    <w:rsid w:val="30E327D8"/>
    <w:rsid w:val="30E738F1"/>
    <w:rsid w:val="30ED33C0"/>
    <w:rsid w:val="31077AEF"/>
    <w:rsid w:val="311E6901"/>
    <w:rsid w:val="31275445"/>
    <w:rsid w:val="312B4C3D"/>
    <w:rsid w:val="31572824"/>
    <w:rsid w:val="31654DA4"/>
    <w:rsid w:val="3166515D"/>
    <w:rsid w:val="3179279B"/>
    <w:rsid w:val="318003A1"/>
    <w:rsid w:val="318D460E"/>
    <w:rsid w:val="31926A3D"/>
    <w:rsid w:val="31937418"/>
    <w:rsid w:val="31B44F02"/>
    <w:rsid w:val="31C205E6"/>
    <w:rsid w:val="31C679AA"/>
    <w:rsid w:val="31C95503"/>
    <w:rsid w:val="31FC5E7B"/>
    <w:rsid w:val="31FD7641"/>
    <w:rsid w:val="31FF379E"/>
    <w:rsid w:val="32081D71"/>
    <w:rsid w:val="325E256C"/>
    <w:rsid w:val="325F0664"/>
    <w:rsid w:val="32650F71"/>
    <w:rsid w:val="32655415"/>
    <w:rsid w:val="32657585"/>
    <w:rsid w:val="327877A7"/>
    <w:rsid w:val="328C3849"/>
    <w:rsid w:val="32943604"/>
    <w:rsid w:val="329F26D5"/>
    <w:rsid w:val="32A36BD3"/>
    <w:rsid w:val="32AE4058"/>
    <w:rsid w:val="32B92375"/>
    <w:rsid w:val="32D0288E"/>
    <w:rsid w:val="32DA195F"/>
    <w:rsid w:val="32DF2AD1"/>
    <w:rsid w:val="32EB3B6C"/>
    <w:rsid w:val="32F3657D"/>
    <w:rsid w:val="330B5E98"/>
    <w:rsid w:val="330F2DD1"/>
    <w:rsid w:val="33153715"/>
    <w:rsid w:val="331A615D"/>
    <w:rsid w:val="3342381F"/>
    <w:rsid w:val="33582884"/>
    <w:rsid w:val="33945FB2"/>
    <w:rsid w:val="33B02C3E"/>
    <w:rsid w:val="33BA52ED"/>
    <w:rsid w:val="33BE6B8B"/>
    <w:rsid w:val="33C27B28"/>
    <w:rsid w:val="33C60603"/>
    <w:rsid w:val="33CD330B"/>
    <w:rsid w:val="33D72473"/>
    <w:rsid w:val="33E10ACB"/>
    <w:rsid w:val="33F12522"/>
    <w:rsid w:val="33F64577"/>
    <w:rsid w:val="33F808FE"/>
    <w:rsid w:val="341E3ACD"/>
    <w:rsid w:val="341E6330"/>
    <w:rsid w:val="34311A53"/>
    <w:rsid w:val="3452665F"/>
    <w:rsid w:val="34802092"/>
    <w:rsid w:val="349316FF"/>
    <w:rsid w:val="349A75F8"/>
    <w:rsid w:val="349C6095"/>
    <w:rsid w:val="34B00D56"/>
    <w:rsid w:val="34B42434"/>
    <w:rsid w:val="34D67F04"/>
    <w:rsid w:val="34DC3DD3"/>
    <w:rsid w:val="34F14D3E"/>
    <w:rsid w:val="34F211E2"/>
    <w:rsid w:val="34FD1135"/>
    <w:rsid w:val="35076310"/>
    <w:rsid w:val="352275ED"/>
    <w:rsid w:val="35366A4B"/>
    <w:rsid w:val="353E40D6"/>
    <w:rsid w:val="35501CDF"/>
    <w:rsid w:val="356B689E"/>
    <w:rsid w:val="357131C3"/>
    <w:rsid w:val="35737566"/>
    <w:rsid w:val="35A35F28"/>
    <w:rsid w:val="35AF70D3"/>
    <w:rsid w:val="35B80D7F"/>
    <w:rsid w:val="35DC0EB4"/>
    <w:rsid w:val="35EB3E83"/>
    <w:rsid w:val="364C66D0"/>
    <w:rsid w:val="36525CB0"/>
    <w:rsid w:val="365407B3"/>
    <w:rsid w:val="36550A62"/>
    <w:rsid w:val="3678078F"/>
    <w:rsid w:val="36802E61"/>
    <w:rsid w:val="369E0EF6"/>
    <w:rsid w:val="36A03767"/>
    <w:rsid w:val="36C4095C"/>
    <w:rsid w:val="36D668E1"/>
    <w:rsid w:val="37182A56"/>
    <w:rsid w:val="374F6108"/>
    <w:rsid w:val="37563849"/>
    <w:rsid w:val="377E7262"/>
    <w:rsid w:val="37850AE5"/>
    <w:rsid w:val="37B60631"/>
    <w:rsid w:val="37C64260"/>
    <w:rsid w:val="37CB7AC8"/>
    <w:rsid w:val="37EF4766"/>
    <w:rsid w:val="37F4701F"/>
    <w:rsid w:val="37F92887"/>
    <w:rsid w:val="37FE1410"/>
    <w:rsid w:val="380272DD"/>
    <w:rsid w:val="383A69FC"/>
    <w:rsid w:val="384A6C3F"/>
    <w:rsid w:val="384E3015"/>
    <w:rsid w:val="384F06F9"/>
    <w:rsid w:val="38710670"/>
    <w:rsid w:val="38A20CA3"/>
    <w:rsid w:val="38B90269"/>
    <w:rsid w:val="38CB3534"/>
    <w:rsid w:val="38CD5B52"/>
    <w:rsid w:val="38D1110E"/>
    <w:rsid w:val="39134109"/>
    <w:rsid w:val="391B121D"/>
    <w:rsid w:val="3925145A"/>
    <w:rsid w:val="39291720"/>
    <w:rsid w:val="393618B9"/>
    <w:rsid w:val="393E5699"/>
    <w:rsid w:val="39535FC7"/>
    <w:rsid w:val="397C415A"/>
    <w:rsid w:val="39A86313"/>
    <w:rsid w:val="39CF4D7E"/>
    <w:rsid w:val="39EB4452"/>
    <w:rsid w:val="39EC3D26"/>
    <w:rsid w:val="39FC4F8E"/>
    <w:rsid w:val="3A0A12D0"/>
    <w:rsid w:val="3A211C22"/>
    <w:rsid w:val="3A21426F"/>
    <w:rsid w:val="3A257350"/>
    <w:rsid w:val="3A4174C2"/>
    <w:rsid w:val="3A443B62"/>
    <w:rsid w:val="3A5A1E64"/>
    <w:rsid w:val="3A6A35C8"/>
    <w:rsid w:val="3A6C5593"/>
    <w:rsid w:val="3A833317"/>
    <w:rsid w:val="3A914B86"/>
    <w:rsid w:val="3A9248CD"/>
    <w:rsid w:val="3AA27206"/>
    <w:rsid w:val="3ABB0921"/>
    <w:rsid w:val="3ABE56C2"/>
    <w:rsid w:val="3AC214F7"/>
    <w:rsid w:val="3AC72C7F"/>
    <w:rsid w:val="3AD62A0C"/>
    <w:rsid w:val="3ADC3D9A"/>
    <w:rsid w:val="3AED0254"/>
    <w:rsid w:val="3AF9494C"/>
    <w:rsid w:val="3B052EBF"/>
    <w:rsid w:val="3B0F54F5"/>
    <w:rsid w:val="3B1B5D74"/>
    <w:rsid w:val="3B2933F5"/>
    <w:rsid w:val="3B3610A3"/>
    <w:rsid w:val="3B4D2D14"/>
    <w:rsid w:val="3B6748CC"/>
    <w:rsid w:val="3B69515A"/>
    <w:rsid w:val="3B6E59E1"/>
    <w:rsid w:val="3B86038F"/>
    <w:rsid w:val="3B96663F"/>
    <w:rsid w:val="3B980847"/>
    <w:rsid w:val="3BAB20EB"/>
    <w:rsid w:val="3BAE7642"/>
    <w:rsid w:val="3BB80364"/>
    <w:rsid w:val="3BCB0097"/>
    <w:rsid w:val="3BCB2F17"/>
    <w:rsid w:val="3BD3519D"/>
    <w:rsid w:val="3BDA29D0"/>
    <w:rsid w:val="3BE64B49"/>
    <w:rsid w:val="3BF70E8C"/>
    <w:rsid w:val="3C061C3A"/>
    <w:rsid w:val="3C0C16D2"/>
    <w:rsid w:val="3C215F09"/>
    <w:rsid w:val="3C2644B3"/>
    <w:rsid w:val="3C2C1139"/>
    <w:rsid w:val="3C3C57D7"/>
    <w:rsid w:val="3C591B47"/>
    <w:rsid w:val="3C7D4BCA"/>
    <w:rsid w:val="3C932872"/>
    <w:rsid w:val="3C957E0A"/>
    <w:rsid w:val="3CAA4150"/>
    <w:rsid w:val="3CB041C8"/>
    <w:rsid w:val="3CB3037C"/>
    <w:rsid w:val="3CE50D56"/>
    <w:rsid w:val="3CEF38BE"/>
    <w:rsid w:val="3CF06E58"/>
    <w:rsid w:val="3D02607E"/>
    <w:rsid w:val="3D0B619B"/>
    <w:rsid w:val="3D1B0EB9"/>
    <w:rsid w:val="3D2A34E3"/>
    <w:rsid w:val="3D2F7E4F"/>
    <w:rsid w:val="3D344362"/>
    <w:rsid w:val="3D3561A5"/>
    <w:rsid w:val="3D3A332A"/>
    <w:rsid w:val="3D4F3A0A"/>
    <w:rsid w:val="3D6D7E54"/>
    <w:rsid w:val="3D6F7148"/>
    <w:rsid w:val="3D806AA1"/>
    <w:rsid w:val="3D8E75CE"/>
    <w:rsid w:val="3D9A3A01"/>
    <w:rsid w:val="3DA46DF1"/>
    <w:rsid w:val="3DAB313C"/>
    <w:rsid w:val="3DB01C3A"/>
    <w:rsid w:val="3DD36F8D"/>
    <w:rsid w:val="3DD650C3"/>
    <w:rsid w:val="3DD77969"/>
    <w:rsid w:val="3DD935D9"/>
    <w:rsid w:val="3DDA38B1"/>
    <w:rsid w:val="3DE23DBE"/>
    <w:rsid w:val="3E040708"/>
    <w:rsid w:val="3E2664E7"/>
    <w:rsid w:val="3E4B3711"/>
    <w:rsid w:val="3E5439B5"/>
    <w:rsid w:val="3E692AB3"/>
    <w:rsid w:val="3E976956"/>
    <w:rsid w:val="3E9D6017"/>
    <w:rsid w:val="3EAA6689"/>
    <w:rsid w:val="3EC62D97"/>
    <w:rsid w:val="3EDC080D"/>
    <w:rsid w:val="3EEA117C"/>
    <w:rsid w:val="3EF73792"/>
    <w:rsid w:val="3EFB6EE5"/>
    <w:rsid w:val="3EFE35F1"/>
    <w:rsid w:val="3F591E5E"/>
    <w:rsid w:val="3F763CF5"/>
    <w:rsid w:val="3F7722E4"/>
    <w:rsid w:val="3F793AA4"/>
    <w:rsid w:val="3F7B2750"/>
    <w:rsid w:val="3F924981"/>
    <w:rsid w:val="3FA97081"/>
    <w:rsid w:val="3FBD253E"/>
    <w:rsid w:val="3FD84D1B"/>
    <w:rsid w:val="3FD85478"/>
    <w:rsid w:val="3FE26475"/>
    <w:rsid w:val="3FEB6997"/>
    <w:rsid w:val="3FEF16C7"/>
    <w:rsid w:val="401F30A7"/>
    <w:rsid w:val="4024246B"/>
    <w:rsid w:val="402C30CE"/>
    <w:rsid w:val="40320264"/>
    <w:rsid w:val="403A60A9"/>
    <w:rsid w:val="40583113"/>
    <w:rsid w:val="40611E66"/>
    <w:rsid w:val="406528C8"/>
    <w:rsid w:val="40703AA6"/>
    <w:rsid w:val="408847A8"/>
    <w:rsid w:val="4098711A"/>
    <w:rsid w:val="40AB0497"/>
    <w:rsid w:val="40B03CFF"/>
    <w:rsid w:val="40B76E3C"/>
    <w:rsid w:val="40E5060C"/>
    <w:rsid w:val="40E8193A"/>
    <w:rsid w:val="40EC2740"/>
    <w:rsid w:val="40F53929"/>
    <w:rsid w:val="40F9018D"/>
    <w:rsid w:val="40FC7AE7"/>
    <w:rsid w:val="41140732"/>
    <w:rsid w:val="41265D6F"/>
    <w:rsid w:val="412F2E76"/>
    <w:rsid w:val="41317676"/>
    <w:rsid w:val="41452699"/>
    <w:rsid w:val="414E4604"/>
    <w:rsid w:val="4151103E"/>
    <w:rsid w:val="41647B3C"/>
    <w:rsid w:val="41670862"/>
    <w:rsid w:val="41707804"/>
    <w:rsid w:val="41764F49"/>
    <w:rsid w:val="41792343"/>
    <w:rsid w:val="417B41BA"/>
    <w:rsid w:val="417E6D7A"/>
    <w:rsid w:val="418F600A"/>
    <w:rsid w:val="41907AE0"/>
    <w:rsid w:val="41B6751F"/>
    <w:rsid w:val="41C24C34"/>
    <w:rsid w:val="41C96E7B"/>
    <w:rsid w:val="41E77BF5"/>
    <w:rsid w:val="42176C30"/>
    <w:rsid w:val="42245DA7"/>
    <w:rsid w:val="422B73A6"/>
    <w:rsid w:val="425C413F"/>
    <w:rsid w:val="42686225"/>
    <w:rsid w:val="426F49B7"/>
    <w:rsid w:val="42802924"/>
    <w:rsid w:val="428764C9"/>
    <w:rsid w:val="42966A2F"/>
    <w:rsid w:val="429E0EC5"/>
    <w:rsid w:val="42BE6797"/>
    <w:rsid w:val="42D24401"/>
    <w:rsid w:val="42EA250D"/>
    <w:rsid w:val="430B3992"/>
    <w:rsid w:val="431617BC"/>
    <w:rsid w:val="43313E52"/>
    <w:rsid w:val="433A53C5"/>
    <w:rsid w:val="43446753"/>
    <w:rsid w:val="4363194B"/>
    <w:rsid w:val="437D1F7B"/>
    <w:rsid w:val="43972F54"/>
    <w:rsid w:val="43996CCD"/>
    <w:rsid w:val="43A90197"/>
    <w:rsid w:val="43C52FFD"/>
    <w:rsid w:val="43C91A95"/>
    <w:rsid w:val="44153252"/>
    <w:rsid w:val="44223166"/>
    <w:rsid w:val="442C012E"/>
    <w:rsid w:val="44330EDC"/>
    <w:rsid w:val="443C1CE9"/>
    <w:rsid w:val="44430277"/>
    <w:rsid w:val="447A13F2"/>
    <w:rsid w:val="449C0EE5"/>
    <w:rsid w:val="44A26055"/>
    <w:rsid w:val="44BC521D"/>
    <w:rsid w:val="44BE60C7"/>
    <w:rsid w:val="44CA5DAE"/>
    <w:rsid w:val="44F22059"/>
    <w:rsid w:val="44F3240C"/>
    <w:rsid w:val="44FE0749"/>
    <w:rsid w:val="450E5498"/>
    <w:rsid w:val="45144DBC"/>
    <w:rsid w:val="451707F1"/>
    <w:rsid w:val="45252F0E"/>
    <w:rsid w:val="45260A34"/>
    <w:rsid w:val="452F41CA"/>
    <w:rsid w:val="453330AC"/>
    <w:rsid w:val="453B2FDB"/>
    <w:rsid w:val="45476FB4"/>
    <w:rsid w:val="456C13EA"/>
    <w:rsid w:val="456D3B5A"/>
    <w:rsid w:val="4574179F"/>
    <w:rsid w:val="458B50A4"/>
    <w:rsid w:val="45913242"/>
    <w:rsid w:val="45941E41"/>
    <w:rsid w:val="45962F9C"/>
    <w:rsid w:val="45BF387F"/>
    <w:rsid w:val="45C0778F"/>
    <w:rsid w:val="45F412BC"/>
    <w:rsid w:val="4605689B"/>
    <w:rsid w:val="463347D5"/>
    <w:rsid w:val="4644109C"/>
    <w:rsid w:val="465046DC"/>
    <w:rsid w:val="466C2476"/>
    <w:rsid w:val="466F1207"/>
    <w:rsid w:val="468E1055"/>
    <w:rsid w:val="46BC6448"/>
    <w:rsid w:val="46CF05BF"/>
    <w:rsid w:val="46D34892"/>
    <w:rsid w:val="46DD15C6"/>
    <w:rsid w:val="46FD5B8B"/>
    <w:rsid w:val="4707219F"/>
    <w:rsid w:val="470B1E18"/>
    <w:rsid w:val="470F489F"/>
    <w:rsid w:val="47246F9A"/>
    <w:rsid w:val="4740402F"/>
    <w:rsid w:val="474156B1"/>
    <w:rsid w:val="47555600"/>
    <w:rsid w:val="477737C9"/>
    <w:rsid w:val="47A619B8"/>
    <w:rsid w:val="47BE1056"/>
    <w:rsid w:val="47C00CCC"/>
    <w:rsid w:val="47C63E08"/>
    <w:rsid w:val="47CD5197"/>
    <w:rsid w:val="47DC702C"/>
    <w:rsid w:val="47DD1369"/>
    <w:rsid w:val="47E60EC0"/>
    <w:rsid w:val="48067DB7"/>
    <w:rsid w:val="480908C5"/>
    <w:rsid w:val="480B3F64"/>
    <w:rsid w:val="483530F7"/>
    <w:rsid w:val="48355072"/>
    <w:rsid w:val="48497EBD"/>
    <w:rsid w:val="484E1A14"/>
    <w:rsid w:val="48623B31"/>
    <w:rsid w:val="48CD05CF"/>
    <w:rsid w:val="48F86243"/>
    <w:rsid w:val="48FC0433"/>
    <w:rsid w:val="48FD7CFE"/>
    <w:rsid w:val="4904108C"/>
    <w:rsid w:val="490E1F0B"/>
    <w:rsid w:val="492E42BB"/>
    <w:rsid w:val="4933167E"/>
    <w:rsid w:val="4935521C"/>
    <w:rsid w:val="493C6A78"/>
    <w:rsid w:val="49507A41"/>
    <w:rsid w:val="497004D0"/>
    <w:rsid w:val="4970626B"/>
    <w:rsid w:val="498B70B7"/>
    <w:rsid w:val="49912428"/>
    <w:rsid w:val="49983FEA"/>
    <w:rsid w:val="49B106A6"/>
    <w:rsid w:val="49B12AC2"/>
    <w:rsid w:val="49B22896"/>
    <w:rsid w:val="49C04B09"/>
    <w:rsid w:val="49C56A6D"/>
    <w:rsid w:val="49D64E06"/>
    <w:rsid w:val="49E044F4"/>
    <w:rsid w:val="49E61FDE"/>
    <w:rsid w:val="49E974A5"/>
    <w:rsid w:val="49EF5898"/>
    <w:rsid w:val="4A083C34"/>
    <w:rsid w:val="4A0E0D42"/>
    <w:rsid w:val="4A106B02"/>
    <w:rsid w:val="4A186FB0"/>
    <w:rsid w:val="4A3E5E39"/>
    <w:rsid w:val="4A4B0EC0"/>
    <w:rsid w:val="4A5C2802"/>
    <w:rsid w:val="4A835FE1"/>
    <w:rsid w:val="4A9E2E1A"/>
    <w:rsid w:val="4AA2290B"/>
    <w:rsid w:val="4ABB51F8"/>
    <w:rsid w:val="4AD52225"/>
    <w:rsid w:val="4B0041CC"/>
    <w:rsid w:val="4B3519D1"/>
    <w:rsid w:val="4B462A8B"/>
    <w:rsid w:val="4B4E53A1"/>
    <w:rsid w:val="4B50680B"/>
    <w:rsid w:val="4B5A31E5"/>
    <w:rsid w:val="4B6407A8"/>
    <w:rsid w:val="4B7668BA"/>
    <w:rsid w:val="4B7746F1"/>
    <w:rsid w:val="4B981532"/>
    <w:rsid w:val="4BEB587B"/>
    <w:rsid w:val="4C143DBE"/>
    <w:rsid w:val="4C365D83"/>
    <w:rsid w:val="4C507FC8"/>
    <w:rsid w:val="4C547C35"/>
    <w:rsid w:val="4C7D362F"/>
    <w:rsid w:val="4C823E34"/>
    <w:rsid w:val="4C891FD4"/>
    <w:rsid w:val="4C9A7D60"/>
    <w:rsid w:val="4CA706AC"/>
    <w:rsid w:val="4CB3384D"/>
    <w:rsid w:val="4CBC0C52"/>
    <w:rsid w:val="4CBE503D"/>
    <w:rsid w:val="4CC565F2"/>
    <w:rsid w:val="4CDF363B"/>
    <w:rsid w:val="4CEC2563"/>
    <w:rsid w:val="4CEC4311"/>
    <w:rsid w:val="4D01744E"/>
    <w:rsid w:val="4D094EC3"/>
    <w:rsid w:val="4D0B466A"/>
    <w:rsid w:val="4D204730"/>
    <w:rsid w:val="4D205D81"/>
    <w:rsid w:val="4D292E6F"/>
    <w:rsid w:val="4D3E26E3"/>
    <w:rsid w:val="4D422183"/>
    <w:rsid w:val="4D63201E"/>
    <w:rsid w:val="4D77777D"/>
    <w:rsid w:val="4D782049"/>
    <w:rsid w:val="4D924EB8"/>
    <w:rsid w:val="4D9C2615"/>
    <w:rsid w:val="4DCB2178"/>
    <w:rsid w:val="4DF73F1B"/>
    <w:rsid w:val="4E0120CB"/>
    <w:rsid w:val="4E3A10AC"/>
    <w:rsid w:val="4E593C28"/>
    <w:rsid w:val="4E5D32BC"/>
    <w:rsid w:val="4E620DD0"/>
    <w:rsid w:val="4E7844AA"/>
    <w:rsid w:val="4E7F5118"/>
    <w:rsid w:val="4E854A1D"/>
    <w:rsid w:val="4EB250E6"/>
    <w:rsid w:val="4EB64BD7"/>
    <w:rsid w:val="4EBF1F17"/>
    <w:rsid w:val="4EC54E1A"/>
    <w:rsid w:val="4EC63995"/>
    <w:rsid w:val="4ECA586D"/>
    <w:rsid w:val="4ED53717"/>
    <w:rsid w:val="4EDD6607"/>
    <w:rsid w:val="4EED611E"/>
    <w:rsid w:val="4F161F9E"/>
    <w:rsid w:val="4F1D07B2"/>
    <w:rsid w:val="4F29184C"/>
    <w:rsid w:val="4F4F2935"/>
    <w:rsid w:val="4F636E86"/>
    <w:rsid w:val="4FA17635"/>
    <w:rsid w:val="4FA9473B"/>
    <w:rsid w:val="4FAC15D6"/>
    <w:rsid w:val="4FAE3B00"/>
    <w:rsid w:val="4FAE58AE"/>
    <w:rsid w:val="4FAE737E"/>
    <w:rsid w:val="4FC41575"/>
    <w:rsid w:val="4FCB46B2"/>
    <w:rsid w:val="4FEF6085"/>
    <w:rsid w:val="50106568"/>
    <w:rsid w:val="501C315F"/>
    <w:rsid w:val="5029129B"/>
    <w:rsid w:val="503009B9"/>
    <w:rsid w:val="5035135F"/>
    <w:rsid w:val="504D50C7"/>
    <w:rsid w:val="505F385E"/>
    <w:rsid w:val="508A1E77"/>
    <w:rsid w:val="50A13664"/>
    <w:rsid w:val="50A53155"/>
    <w:rsid w:val="50C555A5"/>
    <w:rsid w:val="50C64592"/>
    <w:rsid w:val="50CD4459"/>
    <w:rsid w:val="50EB383B"/>
    <w:rsid w:val="510A2FB8"/>
    <w:rsid w:val="512978E2"/>
    <w:rsid w:val="5138600D"/>
    <w:rsid w:val="513B5867"/>
    <w:rsid w:val="51467590"/>
    <w:rsid w:val="515E0E2C"/>
    <w:rsid w:val="51782617"/>
    <w:rsid w:val="517B624D"/>
    <w:rsid w:val="5191705C"/>
    <w:rsid w:val="51A228F5"/>
    <w:rsid w:val="51A45531"/>
    <w:rsid w:val="51B80C66"/>
    <w:rsid w:val="51C45B07"/>
    <w:rsid w:val="51CF512B"/>
    <w:rsid w:val="51D81054"/>
    <w:rsid w:val="51E82964"/>
    <w:rsid w:val="520B7E44"/>
    <w:rsid w:val="52154215"/>
    <w:rsid w:val="522E5B2E"/>
    <w:rsid w:val="5237602E"/>
    <w:rsid w:val="5253098E"/>
    <w:rsid w:val="525F10E1"/>
    <w:rsid w:val="526607F5"/>
    <w:rsid w:val="52666914"/>
    <w:rsid w:val="52756B57"/>
    <w:rsid w:val="52833A1E"/>
    <w:rsid w:val="528812FD"/>
    <w:rsid w:val="52886F26"/>
    <w:rsid w:val="529010A5"/>
    <w:rsid w:val="52A336C4"/>
    <w:rsid w:val="52AD009F"/>
    <w:rsid w:val="52B07B8F"/>
    <w:rsid w:val="52B24E1B"/>
    <w:rsid w:val="52C22471"/>
    <w:rsid w:val="52C84ED8"/>
    <w:rsid w:val="52D50053"/>
    <w:rsid w:val="52E84E13"/>
    <w:rsid w:val="52EB6BD2"/>
    <w:rsid w:val="52F537F4"/>
    <w:rsid w:val="5322283B"/>
    <w:rsid w:val="533372E9"/>
    <w:rsid w:val="533D01A8"/>
    <w:rsid w:val="533F7726"/>
    <w:rsid w:val="534239E1"/>
    <w:rsid w:val="53777580"/>
    <w:rsid w:val="53852DC9"/>
    <w:rsid w:val="53A64B92"/>
    <w:rsid w:val="53A7022E"/>
    <w:rsid w:val="53AE0572"/>
    <w:rsid w:val="53B00B8A"/>
    <w:rsid w:val="53BF452D"/>
    <w:rsid w:val="53C31CC7"/>
    <w:rsid w:val="53EE4E13"/>
    <w:rsid w:val="53FE1CC8"/>
    <w:rsid w:val="543F11CA"/>
    <w:rsid w:val="543F4752"/>
    <w:rsid w:val="54574766"/>
    <w:rsid w:val="54593C6E"/>
    <w:rsid w:val="545C3B2A"/>
    <w:rsid w:val="545E246E"/>
    <w:rsid w:val="5466533F"/>
    <w:rsid w:val="5470756A"/>
    <w:rsid w:val="54912DDC"/>
    <w:rsid w:val="549F7EBB"/>
    <w:rsid w:val="54A37489"/>
    <w:rsid w:val="54A86D6F"/>
    <w:rsid w:val="54AA6B53"/>
    <w:rsid w:val="54B73456"/>
    <w:rsid w:val="54BB5779"/>
    <w:rsid w:val="54E0475B"/>
    <w:rsid w:val="55054CF5"/>
    <w:rsid w:val="550E6DA4"/>
    <w:rsid w:val="5516017D"/>
    <w:rsid w:val="551B4F2A"/>
    <w:rsid w:val="552704DE"/>
    <w:rsid w:val="55425C16"/>
    <w:rsid w:val="55451C44"/>
    <w:rsid w:val="55541606"/>
    <w:rsid w:val="55546EF7"/>
    <w:rsid w:val="55652EB2"/>
    <w:rsid w:val="55732A10"/>
    <w:rsid w:val="55855303"/>
    <w:rsid w:val="559D2A51"/>
    <w:rsid w:val="55AA6B17"/>
    <w:rsid w:val="55C01586"/>
    <w:rsid w:val="55C052CF"/>
    <w:rsid w:val="55D42759"/>
    <w:rsid w:val="55EE4C56"/>
    <w:rsid w:val="56130CE1"/>
    <w:rsid w:val="56145486"/>
    <w:rsid w:val="562F0520"/>
    <w:rsid w:val="56336E29"/>
    <w:rsid w:val="564317C0"/>
    <w:rsid w:val="564735D2"/>
    <w:rsid w:val="565105AC"/>
    <w:rsid w:val="56551179"/>
    <w:rsid w:val="565C42B5"/>
    <w:rsid w:val="5680587D"/>
    <w:rsid w:val="569C40BF"/>
    <w:rsid w:val="569E1568"/>
    <w:rsid w:val="56A04C49"/>
    <w:rsid w:val="56CE6835"/>
    <w:rsid w:val="56D93B58"/>
    <w:rsid w:val="56E66275"/>
    <w:rsid w:val="56F226E1"/>
    <w:rsid w:val="56F42740"/>
    <w:rsid w:val="56F664B8"/>
    <w:rsid w:val="57233722"/>
    <w:rsid w:val="57565F36"/>
    <w:rsid w:val="57605D52"/>
    <w:rsid w:val="57642DCB"/>
    <w:rsid w:val="57743881"/>
    <w:rsid w:val="57961A49"/>
    <w:rsid w:val="57A56669"/>
    <w:rsid w:val="57D24673"/>
    <w:rsid w:val="57D745C4"/>
    <w:rsid w:val="57D87BE6"/>
    <w:rsid w:val="57F657DD"/>
    <w:rsid w:val="57F96F45"/>
    <w:rsid w:val="58226E39"/>
    <w:rsid w:val="583F6A66"/>
    <w:rsid w:val="583F7EB4"/>
    <w:rsid w:val="587C3E2F"/>
    <w:rsid w:val="58883A0E"/>
    <w:rsid w:val="588A3951"/>
    <w:rsid w:val="58975A79"/>
    <w:rsid w:val="589F449B"/>
    <w:rsid w:val="58B73A25"/>
    <w:rsid w:val="58C425E6"/>
    <w:rsid w:val="58DA7713"/>
    <w:rsid w:val="58FA6008"/>
    <w:rsid w:val="58FA7DB6"/>
    <w:rsid w:val="590F0BCB"/>
    <w:rsid w:val="59117084"/>
    <w:rsid w:val="591E1CF6"/>
    <w:rsid w:val="592C4D06"/>
    <w:rsid w:val="593C3F2A"/>
    <w:rsid w:val="594A0E4B"/>
    <w:rsid w:val="59542516"/>
    <w:rsid w:val="596A6CE9"/>
    <w:rsid w:val="597D4D3F"/>
    <w:rsid w:val="598A2EE8"/>
    <w:rsid w:val="59967ADE"/>
    <w:rsid w:val="599F5D2C"/>
    <w:rsid w:val="599F6E74"/>
    <w:rsid w:val="59D86349"/>
    <w:rsid w:val="59DB2C1E"/>
    <w:rsid w:val="59E4185E"/>
    <w:rsid w:val="59F57C32"/>
    <w:rsid w:val="5A0A04CC"/>
    <w:rsid w:val="5A27795C"/>
    <w:rsid w:val="5A290952"/>
    <w:rsid w:val="5A2D4959"/>
    <w:rsid w:val="5A517EA9"/>
    <w:rsid w:val="5A544645"/>
    <w:rsid w:val="5A5A4FB0"/>
    <w:rsid w:val="5A6000EC"/>
    <w:rsid w:val="5A664029"/>
    <w:rsid w:val="5A8A0640"/>
    <w:rsid w:val="5AA721C9"/>
    <w:rsid w:val="5AB3646E"/>
    <w:rsid w:val="5AD52888"/>
    <w:rsid w:val="5AE81188"/>
    <w:rsid w:val="5AF87969"/>
    <w:rsid w:val="5AFD7202"/>
    <w:rsid w:val="5B1C5E7E"/>
    <w:rsid w:val="5B5D4AC3"/>
    <w:rsid w:val="5B667984"/>
    <w:rsid w:val="5BA0468F"/>
    <w:rsid w:val="5BB57FC4"/>
    <w:rsid w:val="5BC621D1"/>
    <w:rsid w:val="5BE81608"/>
    <w:rsid w:val="5BF07EDE"/>
    <w:rsid w:val="5BF94355"/>
    <w:rsid w:val="5C002691"/>
    <w:rsid w:val="5C1178F0"/>
    <w:rsid w:val="5C156FF2"/>
    <w:rsid w:val="5C17799A"/>
    <w:rsid w:val="5C1D2204"/>
    <w:rsid w:val="5C213749"/>
    <w:rsid w:val="5C335AB8"/>
    <w:rsid w:val="5C3929A3"/>
    <w:rsid w:val="5C44702F"/>
    <w:rsid w:val="5C5978FD"/>
    <w:rsid w:val="5C614E96"/>
    <w:rsid w:val="5C82434A"/>
    <w:rsid w:val="5C94136B"/>
    <w:rsid w:val="5CA97B29"/>
    <w:rsid w:val="5CAC7619"/>
    <w:rsid w:val="5CC2748F"/>
    <w:rsid w:val="5CC91F79"/>
    <w:rsid w:val="5CCC5C7F"/>
    <w:rsid w:val="5CD66444"/>
    <w:rsid w:val="5CF30860"/>
    <w:rsid w:val="5D14082E"/>
    <w:rsid w:val="5D1E1622"/>
    <w:rsid w:val="5D3F223B"/>
    <w:rsid w:val="5D573A29"/>
    <w:rsid w:val="5D5757D7"/>
    <w:rsid w:val="5D651EA0"/>
    <w:rsid w:val="5D6D40C4"/>
    <w:rsid w:val="5D753EAF"/>
    <w:rsid w:val="5D781545"/>
    <w:rsid w:val="5D7874FB"/>
    <w:rsid w:val="5D816391"/>
    <w:rsid w:val="5D9D1833"/>
    <w:rsid w:val="5DC05AF8"/>
    <w:rsid w:val="5DCA5FA9"/>
    <w:rsid w:val="5DEA37ED"/>
    <w:rsid w:val="5DFF73FE"/>
    <w:rsid w:val="5E062D59"/>
    <w:rsid w:val="5E0C65C1"/>
    <w:rsid w:val="5E1751CC"/>
    <w:rsid w:val="5E4E5B59"/>
    <w:rsid w:val="5E5A4E7F"/>
    <w:rsid w:val="5E623D7B"/>
    <w:rsid w:val="5E6737F7"/>
    <w:rsid w:val="5E68756F"/>
    <w:rsid w:val="5E7423B8"/>
    <w:rsid w:val="5E773DBF"/>
    <w:rsid w:val="5E7A298D"/>
    <w:rsid w:val="5E7F6EA9"/>
    <w:rsid w:val="5E9371FE"/>
    <w:rsid w:val="5E954808"/>
    <w:rsid w:val="5E9C20DB"/>
    <w:rsid w:val="5EA83F26"/>
    <w:rsid w:val="5EAE7678"/>
    <w:rsid w:val="5EB94D0D"/>
    <w:rsid w:val="5EBB07EC"/>
    <w:rsid w:val="5EC549C2"/>
    <w:rsid w:val="5EFE2324"/>
    <w:rsid w:val="5F1A355E"/>
    <w:rsid w:val="5F1D035A"/>
    <w:rsid w:val="5F2B2A77"/>
    <w:rsid w:val="5F3A0E5B"/>
    <w:rsid w:val="5F3E282E"/>
    <w:rsid w:val="5F405520"/>
    <w:rsid w:val="5F4709B1"/>
    <w:rsid w:val="5F5024DD"/>
    <w:rsid w:val="5F546472"/>
    <w:rsid w:val="5F5F2ED4"/>
    <w:rsid w:val="5F5F4E16"/>
    <w:rsid w:val="5F710660"/>
    <w:rsid w:val="5F9C1BC7"/>
    <w:rsid w:val="5FA12C4E"/>
    <w:rsid w:val="5FFA18F8"/>
    <w:rsid w:val="60003F04"/>
    <w:rsid w:val="60013D09"/>
    <w:rsid w:val="60107EBF"/>
    <w:rsid w:val="60153438"/>
    <w:rsid w:val="601D2D07"/>
    <w:rsid w:val="6025396A"/>
    <w:rsid w:val="603558A2"/>
    <w:rsid w:val="603D6F06"/>
    <w:rsid w:val="603D7236"/>
    <w:rsid w:val="606A16CD"/>
    <w:rsid w:val="606A3A73"/>
    <w:rsid w:val="6071156F"/>
    <w:rsid w:val="607C44DA"/>
    <w:rsid w:val="60830691"/>
    <w:rsid w:val="60932FCA"/>
    <w:rsid w:val="60B349C5"/>
    <w:rsid w:val="60C54C6A"/>
    <w:rsid w:val="60D86C2E"/>
    <w:rsid w:val="60FB0B6F"/>
    <w:rsid w:val="610434FA"/>
    <w:rsid w:val="611F03B9"/>
    <w:rsid w:val="612E2CF2"/>
    <w:rsid w:val="613C540F"/>
    <w:rsid w:val="61405B16"/>
    <w:rsid w:val="614B11AE"/>
    <w:rsid w:val="614B6DC0"/>
    <w:rsid w:val="61591058"/>
    <w:rsid w:val="61655CFF"/>
    <w:rsid w:val="617436E2"/>
    <w:rsid w:val="61A45010"/>
    <w:rsid w:val="61AD1E69"/>
    <w:rsid w:val="61B10332"/>
    <w:rsid w:val="61CA4558"/>
    <w:rsid w:val="61E75A7E"/>
    <w:rsid w:val="61EF3C1A"/>
    <w:rsid w:val="61F3030C"/>
    <w:rsid w:val="6200643D"/>
    <w:rsid w:val="62141EE8"/>
    <w:rsid w:val="62223BC5"/>
    <w:rsid w:val="62451B9E"/>
    <w:rsid w:val="62473124"/>
    <w:rsid w:val="627806C9"/>
    <w:rsid w:val="62873F19"/>
    <w:rsid w:val="6297662A"/>
    <w:rsid w:val="629D6FE8"/>
    <w:rsid w:val="62B31701"/>
    <w:rsid w:val="62B51D06"/>
    <w:rsid w:val="62B72874"/>
    <w:rsid w:val="62C236F2"/>
    <w:rsid w:val="62D033F2"/>
    <w:rsid w:val="62EA2C49"/>
    <w:rsid w:val="62EC69C1"/>
    <w:rsid w:val="630520B9"/>
    <w:rsid w:val="63126166"/>
    <w:rsid w:val="6332277A"/>
    <w:rsid w:val="634B635B"/>
    <w:rsid w:val="638D7D9C"/>
    <w:rsid w:val="638E5CCA"/>
    <w:rsid w:val="639C7B1B"/>
    <w:rsid w:val="63C90AB0"/>
    <w:rsid w:val="63CD05A1"/>
    <w:rsid w:val="63DE27AE"/>
    <w:rsid w:val="63EC7641"/>
    <w:rsid w:val="63F52C25"/>
    <w:rsid w:val="63F83144"/>
    <w:rsid w:val="6414022D"/>
    <w:rsid w:val="641764C1"/>
    <w:rsid w:val="64177A6E"/>
    <w:rsid w:val="64246E37"/>
    <w:rsid w:val="643B3768"/>
    <w:rsid w:val="6449001F"/>
    <w:rsid w:val="644D7568"/>
    <w:rsid w:val="647C4AA2"/>
    <w:rsid w:val="64807AAB"/>
    <w:rsid w:val="6489421A"/>
    <w:rsid w:val="64A4523A"/>
    <w:rsid w:val="64B67287"/>
    <w:rsid w:val="64D43BB1"/>
    <w:rsid w:val="64E91312"/>
    <w:rsid w:val="65106F49"/>
    <w:rsid w:val="6517130F"/>
    <w:rsid w:val="651E5130"/>
    <w:rsid w:val="653E20AC"/>
    <w:rsid w:val="653E5DE3"/>
    <w:rsid w:val="65402FF4"/>
    <w:rsid w:val="65586590"/>
    <w:rsid w:val="656211BC"/>
    <w:rsid w:val="65C218F1"/>
    <w:rsid w:val="65DF5AD0"/>
    <w:rsid w:val="65E14B73"/>
    <w:rsid w:val="660318B3"/>
    <w:rsid w:val="66044022"/>
    <w:rsid w:val="660837F5"/>
    <w:rsid w:val="66263892"/>
    <w:rsid w:val="66417365"/>
    <w:rsid w:val="664F2169"/>
    <w:rsid w:val="6654046B"/>
    <w:rsid w:val="66561EF5"/>
    <w:rsid w:val="665B66EF"/>
    <w:rsid w:val="66723681"/>
    <w:rsid w:val="667473F9"/>
    <w:rsid w:val="669C06FE"/>
    <w:rsid w:val="66B7342C"/>
    <w:rsid w:val="66BC4C81"/>
    <w:rsid w:val="66BE41E9"/>
    <w:rsid w:val="66C53820"/>
    <w:rsid w:val="66CF4630"/>
    <w:rsid w:val="66D25ECE"/>
    <w:rsid w:val="66DE2AC5"/>
    <w:rsid w:val="66E31E89"/>
    <w:rsid w:val="66FE4031"/>
    <w:rsid w:val="66FF0566"/>
    <w:rsid w:val="6712276E"/>
    <w:rsid w:val="674548F2"/>
    <w:rsid w:val="674A1F08"/>
    <w:rsid w:val="6751723B"/>
    <w:rsid w:val="67662E07"/>
    <w:rsid w:val="67693F7C"/>
    <w:rsid w:val="677B35B2"/>
    <w:rsid w:val="677D278D"/>
    <w:rsid w:val="678A1795"/>
    <w:rsid w:val="678E7EE6"/>
    <w:rsid w:val="67991E0D"/>
    <w:rsid w:val="67AE693B"/>
    <w:rsid w:val="67C34AF6"/>
    <w:rsid w:val="67C54FA5"/>
    <w:rsid w:val="68185C71"/>
    <w:rsid w:val="682928C3"/>
    <w:rsid w:val="682A2E9C"/>
    <w:rsid w:val="685C6FC5"/>
    <w:rsid w:val="68647EAA"/>
    <w:rsid w:val="686D5EAE"/>
    <w:rsid w:val="68725BBA"/>
    <w:rsid w:val="6877151D"/>
    <w:rsid w:val="687C2595"/>
    <w:rsid w:val="6882347F"/>
    <w:rsid w:val="688431F8"/>
    <w:rsid w:val="689E0D42"/>
    <w:rsid w:val="68AD63C2"/>
    <w:rsid w:val="68C375EA"/>
    <w:rsid w:val="68CA3301"/>
    <w:rsid w:val="68D17B10"/>
    <w:rsid w:val="68F93BE6"/>
    <w:rsid w:val="69217410"/>
    <w:rsid w:val="69320EA6"/>
    <w:rsid w:val="693243EA"/>
    <w:rsid w:val="694D5CE0"/>
    <w:rsid w:val="694E2184"/>
    <w:rsid w:val="695F6A02"/>
    <w:rsid w:val="696C085C"/>
    <w:rsid w:val="69765236"/>
    <w:rsid w:val="698C2CAC"/>
    <w:rsid w:val="69A333D3"/>
    <w:rsid w:val="69AF27B9"/>
    <w:rsid w:val="69B53592"/>
    <w:rsid w:val="69BE110A"/>
    <w:rsid w:val="69DA3A17"/>
    <w:rsid w:val="69E01537"/>
    <w:rsid w:val="69E74C2E"/>
    <w:rsid w:val="69EB1780"/>
    <w:rsid w:val="6A101373"/>
    <w:rsid w:val="6A1231B1"/>
    <w:rsid w:val="6A1359CC"/>
    <w:rsid w:val="6A167914"/>
    <w:rsid w:val="6A1F142A"/>
    <w:rsid w:val="6A2F04E7"/>
    <w:rsid w:val="6A366FE5"/>
    <w:rsid w:val="6A38073E"/>
    <w:rsid w:val="6A4638EC"/>
    <w:rsid w:val="6A4E1D0F"/>
    <w:rsid w:val="6A5E1AEC"/>
    <w:rsid w:val="6A73256B"/>
    <w:rsid w:val="6A755107"/>
    <w:rsid w:val="6AA3205B"/>
    <w:rsid w:val="6AAA2FD2"/>
    <w:rsid w:val="6AD761A9"/>
    <w:rsid w:val="6AD8558E"/>
    <w:rsid w:val="6AFC79BD"/>
    <w:rsid w:val="6B162E0E"/>
    <w:rsid w:val="6B1C1E0E"/>
    <w:rsid w:val="6B290378"/>
    <w:rsid w:val="6B464619"/>
    <w:rsid w:val="6B67752D"/>
    <w:rsid w:val="6B9C33A1"/>
    <w:rsid w:val="6BA33A9B"/>
    <w:rsid w:val="6BA41CBA"/>
    <w:rsid w:val="6BAA7419"/>
    <w:rsid w:val="6BAD2A66"/>
    <w:rsid w:val="6BD90EEB"/>
    <w:rsid w:val="6BDA5D56"/>
    <w:rsid w:val="6BEB1F0C"/>
    <w:rsid w:val="6BFB5EC7"/>
    <w:rsid w:val="6C042FCD"/>
    <w:rsid w:val="6C07661A"/>
    <w:rsid w:val="6C1B20C5"/>
    <w:rsid w:val="6C231BEC"/>
    <w:rsid w:val="6C2D5C41"/>
    <w:rsid w:val="6C30791F"/>
    <w:rsid w:val="6C547201"/>
    <w:rsid w:val="6C694EB6"/>
    <w:rsid w:val="6C72466F"/>
    <w:rsid w:val="6C8B0FF9"/>
    <w:rsid w:val="6C9B1160"/>
    <w:rsid w:val="6CA839FA"/>
    <w:rsid w:val="6CA8643D"/>
    <w:rsid w:val="6CBE1374"/>
    <w:rsid w:val="6CC664D5"/>
    <w:rsid w:val="6CF7043C"/>
    <w:rsid w:val="6D111C1F"/>
    <w:rsid w:val="6D176D30"/>
    <w:rsid w:val="6D2531FB"/>
    <w:rsid w:val="6D2B458A"/>
    <w:rsid w:val="6D376864"/>
    <w:rsid w:val="6D4A4A10"/>
    <w:rsid w:val="6D4B10C2"/>
    <w:rsid w:val="6D5C4743"/>
    <w:rsid w:val="6D702803"/>
    <w:rsid w:val="6D8B1355"/>
    <w:rsid w:val="6D97577B"/>
    <w:rsid w:val="6DA2593E"/>
    <w:rsid w:val="6DAB5CF5"/>
    <w:rsid w:val="6DC91645"/>
    <w:rsid w:val="6DCE0124"/>
    <w:rsid w:val="6DCE72FC"/>
    <w:rsid w:val="6DDF784E"/>
    <w:rsid w:val="6DF17581"/>
    <w:rsid w:val="6DFD1A82"/>
    <w:rsid w:val="6E0C43BB"/>
    <w:rsid w:val="6E1F7C4B"/>
    <w:rsid w:val="6E2214E9"/>
    <w:rsid w:val="6E7855AD"/>
    <w:rsid w:val="6E7F4573"/>
    <w:rsid w:val="6E800B9A"/>
    <w:rsid w:val="6E860609"/>
    <w:rsid w:val="6E9028F6"/>
    <w:rsid w:val="6E9A3775"/>
    <w:rsid w:val="6EAF0DFA"/>
    <w:rsid w:val="6EC66318"/>
    <w:rsid w:val="6EDE7B06"/>
    <w:rsid w:val="6EEA25D7"/>
    <w:rsid w:val="6EEB2223"/>
    <w:rsid w:val="6EFF4997"/>
    <w:rsid w:val="6F03131A"/>
    <w:rsid w:val="6F1028E5"/>
    <w:rsid w:val="6F23376B"/>
    <w:rsid w:val="6F390B64"/>
    <w:rsid w:val="6F4B07C4"/>
    <w:rsid w:val="6F4D248D"/>
    <w:rsid w:val="6F550DF4"/>
    <w:rsid w:val="6F5C0A2B"/>
    <w:rsid w:val="6F6F075E"/>
    <w:rsid w:val="6F8D32DA"/>
    <w:rsid w:val="6F96218E"/>
    <w:rsid w:val="6F997ED1"/>
    <w:rsid w:val="6F9D3B23"/>
    <w:rsid w:val="6FAF3250"/>
    <w:rsid w:val="6FD9207B"/>
    <w:rsid w:val="6FDE1382"/>
    <w:rsid w:val="6FFB6495"/>
    <w:rsid w:val="700417EE"/>
    <w:rsid w:val="70092E84"/>
    <w:rsid w:val="7012558D"/>
    <w:rsid w:val="70142579"/>
    <w:rsid w:val="70195397"/>
    <w:rsid w:val="702C2AF3"/>
    <w:rsid w:val="70333E81"/>
    <w:rsid w:val="7034480E"/>
    <w:rsid w:val="705362D1"/>
    <w:rsid w:val="70710506"/>
    <w:rsid w:val="707204FE"/>
    <w:rsid w:val="707F5128"/>
    <w:rsid w:val="707F70C6"/>
    <w:rsid w:val="708741CD"/>
    <w:rsid w:val="70911F17"/>
    <w:rsid w:val="70A703CB"/>
    <w:rsid w:val="70B52AE8"/>
    <w:rsid w:val="70C41F88"/>
    <w:rsid w:val="70C42D2B"/>
    <w:rsid w:val="70C66AA3"/>
    <w:rsid w:val="70DC6C58"/>
    <w:rsid w:val="70DE7C09"/>
    <w:rsid w:val="70E1568B"/>
    <w:rsid w:val="710B2708"/>
    <w:rsid w:val="711C4915"/>
    <w:rsid w:val="713734FD"/>
    <w:rsid w:val="713F6856"/>
    <w:rsid w:val="7158161A"/>
    <w:rsid w:val="7170032A"/>
    <w:rsid w:val="7174385B"/>
    <w:rsid w:val="71B903B6"/>
    <w:rsid w:val="71E847F7"/>
    <w:rsid w:val="71F6235D"/>
    <w:rsid w:val="722D66AE"/>
    <w:rsid w:val="7231588F"/>
    <w:rsid w:val="724539F8"/>
    <w:rsid w:val="72501360"/>
    <w:rsid w:val="725A42CF"/>
    <w:rsid w:val="72603AD5"/>
    <w:rsid w:val="726D6E28"/>
    <w:rsid w:val="72734BFB"/>
    <w:rsid w:val="727D6E59"/>
    <w:rsid w:val="728361F1"/>
    <w:rsid w:val="72884885"/>
    <w:rsid w:val="7292178F"/>
    <w:rsid w:val="729D1A86"/>
    <w:rsid w:val="72A042BA"/>
    <w:rsid w:val="72A608B6"/>
    <w:rsid w:val="72AE3C93"/>
    <w:rsid w:val="72BD7A32"/>
    <w:rsid w:val="72DD6345"/>
    <w:rsid w:val="72EF6313"/>
    <w:rsid w:val="7306587D"/>
    <w:rsid w:val="7318110C"/>
    <w:rsid w:val="733A1083"/>
    <w:rsid w:val="73504D4A"/>
    <w:rsid w:val="7350525D"/>
    <w:rsid w:val="735F13CC"/>
    <w:rsid w:val="7366631C"/>
    <w:rsid w:val="7371350F"/>
    <w:rsid w:val="737E5413"/>
    <w:rsid w:val="738710C9"/>
    <w:rsid w:val="73952CB2"/>
    <w:rsid w:val="73A74ACF"/>
    <w:rsid w:val="73AA26AC"/>
    <w:rsid w:val="73C11D4A"/>
    <w:rsid w:val="740576D2"/>
    <w:rsid w:val="741823F9"/>
    <w:rsid w:val="74235FBB"/>
    <w:rsid w:val="744B757C"/>
    <w:rsid w:val="74512B28"/>
    <w:rsid w:val="7463285B"/>
    <w:rsid w:val="74686904"/>
    <w:rsid w:val="746B4828"/>
    <w:rsid w:val="748146B0"/>
    <w:rsid w:val="748F65BF"/>
    <w:rsid w:val="74911176"/>
    <w:rsid w:val="74963081"/>
    <w:rsid w:val="749F1DDA"/>
    <w:rsid w:val="749F7D37"/>
    <w:rsid w:val="74B17A6A"/>
    <w:rsid w:val="74B3733F"/>
    <w:rsid w:val="74C07CAE"/>
    <w:rsid w:val="74CB41FC"/>
    <w:rsid w:val="74D62632"/>
    <w:rsid w:val="74F82288"/>
    <w:rsid w:val="74FF07D6"/>
    <w:rsid w:val="7509537E"/>
    <w:rsid w:val="750C1A9B"/>
    <w:rsid w:val="751002F7"/>
    <w:rsid w:val="75241137"/>
    <w:rsid w:val="752B3379"/>
    <w:rsid w:val="75504D57"/>
    <w:rsid w:val="75583B26"/>
    <w:rsid w:val="757167ED"/>
    <w:rsid w:val="7575192F"/>
    <w:rsid w:val="75893F3B"/>
    <w:rsid w:val="758C3786"/>
    <w:rsid w:val="75AA6994"/>
    <w:rsid w:val="75C24112"/>
    <w:rsid w:val="75D532E5"/>
    <w:rsid w:val="75D62373"/>
    <w:rsid w:val="75E20B13"/>
    <w:rsid w:val="760A2D26"/>
    <w:rsid w:val="761F0029"/>
    <w:rsid w:val="76215762"/>
    <w:rsid w:val="7625426C"/>
    <w:rsid w:val="764C17F9"/>
    <w:rsid w:val="76685F07"/>
    <w:rsid w:val="766A1C7F"/>
    <w:rsid w:val="76705210"/>
    <w:rsid w:val="76724FD8"/>
    <w:rsid w:val="76742AFE"/>
    <w:rsid w:val="767E397C"/>
    <w:rsid w:val="768C6099"/>
    <w:rsid w:val="768F4C90"/>
    <w:rsid w:val="76BE44B0"/>
    <w:rsid w:val="76BF021D"/>
    <w:rsid w:val="76C525D5"/>
    <w:rsid w:val="76D161A2"/>
    <w:rsid w:val="77014FC9"/>
    <w:rsid w:val="770F151A"/>
    <w:rsid w:val="771F2069"/>
    <w:rsid w:val="77277E88"/>
    <w:rsid w:val="772C5186"/>
    <w:rsid w:val="772E0EFE"/>
    <w:rsid w:val="77366005"/>
    <w:rsid w:val="77386B89"/>
    <w:rsid w:val="774C6DA9"/>
    <w:rsid w:val="77600662"/>
    <w:rsid w:val="77647B8E"/>
    <w:rsid w:val="776D390E"/>
    <w:rsid w:val="776D70E7"/>
    <w:rsid w:val="777059BB"/>
    <w:rsid w:val="777234E1"/>
    <w:rsid w:val="77737E6E"/>
    <w:rsid w:val="77780F8F"/>
    <w:rsid w:val="77811976"/>
    <w:rsid w:val="779A3023"/>
    <w:rsid w:val="77B05DB7"/>
    <w:rsid w:val="77B70517"/>
    <w:rsid w:val="77CF26E1"/>
    <w:rsid w:val="77D43216"/>
    <w:rsid w:val="77D918EA"/>
    <w:rsid w:val="77DF78A8"/>
    <w:rsid w:val="77E43CB3"/>
    <w:rsid w:val="77E51F05"/>
    <w:rsid w:val="78090CD5"/>
    <w:rsid w:val="780D6D66"/>
    <w:rsid w:val="781323F0"/>
    <w:rsid w:val="78142F74"/>
    <w:rsid w:val="783F0EE9"/>
    <w:rsid w:val="785C7CED"/>
    <w:rsid w:val="785E6F7A"/>
    <w:rsid w:val="78760DAF"/>
    <w:rsid w:val="7877237B"/>
    <w:rsid w:val="788A03B6"/>
    <w:rsid w:val="78A21BA4"/>
    <w:rsid w:val="78AC657F"/>
    <w:rsid w:val="78C31B1A"/>
    <w:rsid w:val="78DD0C76"/>
    <w:rsid w:val="78DD2BDC"/>
    <w:rsid w:val="78E026CC"/>
    <w:rsid w:val="79052133"/>
    <w:rsid w:val="791475A0"/>
    <w:rsid w:val="792532AC"/>
    <w:rsid w:val="796F1BBD"/>
    <w:rsid w:val="797057FE"/>
    <w:rsid w:val="797D5C14"/>
    <w:rsid w:val="79893CEC"/>
    <w:rsid w:val="79894B12"/>
    <w:rsid w:val="79927E6B"/>
    <w:rsid w:val="799C5397"/>
    <w:rsid w:val="79A436FA"/>
    <w:rsid w:val="79A47B9E"/>
    <w:rsid w:val="79C124FE"/>
    <w:rsid w:val="79D313F3"/>
    <w:rsid w:val="79E93803"/>
    <w:rsid w:val="79F31A57"/>
    <w:rsid w:val="7A0348C4"/>
    <w:rsid w:val="7A0B7A1A"/>
    <w:rsid w:val="7A101646"/>
    <w:rsid w:val="7A120192"/>
    <w:rsid w:val="7A1B04E8"/>
    <w:rsid w:val="7A1E16FE"/>
    <w:rsid w:val="7A432C88"/>
    <w:rsid w:val="7A5B2F65"/>
    <w:rsid w:val="7A5D697F"/>
    <w:rsid w:val="7A6367FF"/>
    <w:rsid w:val="7A9171D7"/>
    <w:rsid w:val="7A9D399F"/>
    <w:rsid w:val="7A9D535E"/>
    <w:rsid w:val="7AB00934"/>
    <w:rsid w:val="7ABE2599"/>
    <w:rsid w:val="7AC60FE6"/>
    <w:rsid w:val="7AD922EE"/>
    <w:rsid w:val="7AE24CA4"/>
    <w:rsid w:val="7B112F8D"/>
    <w:rsid w:val="7B153B30"/>
    <w:rsid w:val="7B197943"/>
    <w:rsid w:val="7B326164"/>
    <w:rsid w:val="7B4F7FD1"/>
    <w:rsid w:val="7B666BC6"/>
    <w:rsid w:val="7B7535A0"/>
    <w:rsid w:val="7B7610C6"/>
    <w:rsid w:val="7BA525E1"/>
    <w:rsid w:val="7BA7127F"/>
    <w:rsid w:val="7BB771F3"/>
    <w:rsid w:val="7BBD6CF5"/>
    <w:rsid w:val="7BC84319"/>
    <w:rsid w:val="7BCD7C4D"/>
    <w:rsid w:val="7BCE4A5E"/>
    <w:rsid w:val="7BEB2FA3"/>
    <w:rsid w:val="7C0200BE"/>
    <w:rsid w:val="7C116823"/>
    <w:rsid w:val="7C2526AC"/>
    <w:rsid w:val="7C442F72"/>
    <w:rsid w:val="7C666B6C"/>
    <w:rsid w:val="7C6A0C2B"/>
    <w:rsid w:val="7C6F583F"/>
    <w:rsid w:val="7C7E1AF1"/>
    <w:rsid w:val="7C8415C1"/>
    <w:rsid w:val="7C9B7036"/>
    <w:rsid w:val="7C9E6B26"/>
    <w:rsid w:val="7CA51C63"/>
    <w:rsid w:val="7CAB7044"/>
    <w:rsid w:val="7CB66027"/>
    <w:rsid w:val="7CD24A22"/>
    <w:rsid w:val="7CE02C9B"/>
    <w:rsid w:val="7CEC7892"/>
    <w:rsid w:val="7D3A09DC"/>
    <w:rsid w:val="7D4C2098"/>
    <w:rsid w:val="7D697134"/>
    <w:rsid w:val="7D737BE9"/>
    <w:rsid w:val="7D8F69A2"/>
    <w:rsid w:val="7D916843"/>
    <w:rsid w:val="7D9F1414"/>
    <w:rsid w:val="7DAA1EE2"/>
    <w:rsid w:val="7DB93B7B"/>
    <w:rsid w:val="7DBF541D"/>
    <w:rsid w:val="7DE82A78"/>
    <w:rsid w:val="7DF61893"/>
    <w:rsid w:val="7DF83116"/>
    <w:rsid w:val="7DFF386A"/>
    <w:rsid w:val="7E075A35"/>
    <w:rsid w:val="7E205A3E"/>
    <w:rsid w:val="7E2748F9"/>
    <w:rsid w:val="7E374B3D"/>
    <w:rsid w:val="7E435D95"/>
    <w:rsid w:val="7E4F3982"/>
    <w:rsid w:val="7E5E47BF"/>
    <w:rsid w:val="7E613C35"/>
    <w:rsid w:val="7E742552"/>
    <w:rsid w:val="7E892AE3"/>
    <w:rsid w:val="7E8B30DA"/>
    <w:rsid w:val="7EA85A3A"/>
    <w:rsid w:val="7EC363D0"/>
    <w:rsid w:val="7EC6449D"/>
    <w:rsid w:val="7EF24F07"/>
    <w:rsid w:val="7EFE38AC"/>
    <w:rsid w:val="7F101A12"/>
    <w:rsid w:val="7F3379FA"/>
    <w:rsid w:val="7F4A728E"/>
    <w:rsid w:val="7F6C2F0C"/>
    <w:rsid w:val="7F921F85"/>
    <w:rsid w:val="7F9A395A"/>
    <w:rsid w:val="7FAE0E2E"/>
    <w:rsid w:val="7FB00A22"/>
    <w:rsid w:val="7FB7116D"/>
    <w:rsid w:val="7FBB079E"/>
    <w:rsid w:val="7FC51AE7"/>
    <w:rsid w:val="7FC713F5"/>
    <w:rsid w:val="7FCD497B"/>
    <w:rsid w:val="7FDC4FE0"/>
    <w:rsid w:val="7FE82679"/>
    <w:rsid w:val="7FF91C2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4"/>
    <w:basedOn w:val="1"/>
    <w:next w:val="1"/>
    <w:autoRedefine/>
    <w:qFormat/>
    <w:uiPriority w:val="1"/>
    <w:pPr>
      <w:spacing w:line="480" w:lineRule="exact"/>
      <w:outlineLvl w:val="3"/>
    </w:pPr>
    <w:rPr>
      <w:b/>
      <w:bCs/>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uiPriority w:val="99"/>
    <w:pPr>
      <w:ind w:firstLine="420"/>
    </w:pPr>
    <w:rPr>
      <w:szCs w:val="20"/>
    </w:rPr>
  </w:style>
  <w:style w:type="paragraph" w:styleId="3">
    <w:name w:val="Note Heading"/>
    <w:basedOn w:val="1"/>
    <w:next w:val="1"/>
    <w:autoRedefine/>
    <w:qFormat/>
    <w:uiPriority w:val="0"/>
    <w:pPr>
      <w:jc w:val="center"/>
    </w:pPr>
    <w:rPr>
      <w:rFonts w:ascii="宋体"/>
      <w:szCs w:val="20"/>
    </w:rPr>
  </w:style>
  <w:style w:type="paragraph" w:styleId="6">
    <w:name w:val="caption"/>
    <w:basedOn w:val="1"/>
    <w:next w:val="1"/>
    <w:autoRedefine/>
    <w:qFormat/>
    <w:uiPriority w:val="0"/>
    <w:pPr>
      <w:snapToGrid w:val="0"/>
      <w:spacing w:before="160" w:after="160" w:line="288" w:lineRule="auto"/>
      <w:ind w:firstLine="510" w:firstLineChars="200"/>
    </w:pPr>
    <w:rPr>
      <w:rFonts w:ascii="Arial" w:hAnsi="Arial" w:eastAsia="黑体"/>
    </w:rPr>
  </w:style>
  <w:style w:type="paragraph" w:styleId="7">
    <w:name w:val="Document Map"/>
    <w:basedOn w:val="1"/>
    <w:next w:val="8"/>
    <w:autoRedefine/>
    <w:qFormat/>
    <w:uiPriority w:val="0"/>
    <w:pPr>
      <w:shd w:val="clear" w:color="auto" w:fill="000080"/>
    </w:pPr>
  </w:style>
  <w:style w:type="paragraph" w:customStyle="1" w:styleId="8">
    <w:name w:val="Char Char"/>
    <w:basedOn w:val="1"/>
    <w:next w:val="9"/>
    <w:autoRedefine/>
    <w:qFormat/>
    <w:uiPriority w:val="0"/>
    <w:pPr>
      <w:widowControl/>
      <w:spacing w:after="160" w:afterLines="0" w:line="240" w:lineRule="exact"/>
      <w:jc w:val="left"/>
    </w:pPr>
  </w:style>
  <w:style w:type="paragraph" w:customStyle="1" w:styleId="9">
    <w:name w:val="Body Text 2"/>
    <w:basedOn w:val="1"/>
    <w:next w:val="10"/>
    <w:autoRedefine/>
    <w:qFormat/>
    <w:uiPriority w:val="0"/>
    <w:pPr>
      <w:adjustRightInd w:val="0"/>
      <w:spacing w:line="432" w:lineRule="auto"/>
      <w:ind w:firstLine="480"/>
      <w:textAlignment w:val="baseline"/>
    </w:pPr>
    <w:rPr>
      <w:sz w:val="24"/>
      <w:szCs w:val="20"/>
    </w:rPr>
  </w:style>
  <w:style w:type="paragraph" w:customStyle="1" w:styleId="10">
    <w:name w:val="2级"/>
    <w:basedOn w:val="1"/>
    <w:next w:val="1"/>
    <w:autoRedefine/>
    <w:qFormat/>
    <w:uiPriority w:val="0"/>
    <w:rPr>
      <w:rFonts w:eastAsia="黑体"/>
      <w:b/>
      <w:sz w:val="28"/>
      <w:szCs w:val="20"/>
    </w:rPr>
  </w:style>
  <w:style w:type="paragraph" w:styleId="11">
    <w:name w:val="toa heading"/>
    <w:basedOn w:val="1"/>
    <w:next w:val="1"/>
    <w:autoRedefine/>
    <w:qFormat/>
    <w:uiPriority w:val="0"/>
    <w:pPr>
      <w:spacing w:before="120" w:beforeLines="0" w:beforeAutospacing="0"/>
    </w:pPr>
    <w:rPr>
      <w:rFonts w:ascii="Arial" w:hAnsi="Arial"/>
      <w:sz w:val="24"/>
    </w:rPr>
  </w:style>
  <w:style w:type="paragraph" w:styleId="12">
    <w:name w:val="annotation text"/>
    <w:basedOn w:val="1"/>
    <w:link w:val="72"/>
    <w:autoRedefine/>
    <w:semiHidden/>
    <w:qFormat/>
    <w:uiPriority w:val="0"/>
    <w:pPr>
      <w:jc w:val="left"/>
    </w:pPr>
    <w:rPr>
      <w:kern w:val="0"/>
      <w:sz w:val="24"/>
      <w:szCs w:val="20"/>
    </w:rPr>
  </w:style>
  <w:style w:type="paragraph" w:styleId="13">
    <w:name w:val="Body Text"/>
    <w:basedOn w:val="1"/>
    <w:next w:val="14"/>
    <w:autoRedefine/>
    <w:qFormat/>
    <w:uiPriority w:val="0"/>
    <w:pPr>
      <w:widowControl/>
      <w:snapToGrid w:val="0"/>
      <w:spacing w:before="60" w:after="160" w:line="259" w:lineRule="auto"/>
      <w:ind w:right="113"/>
    </w:pPr>
    <w:rPr>
      <w:kern w:val="0"/>
      <w:sz w:val="18"/>
      <w:szCs w:val="20"/>
    </w:rPr>
  </w:style>
  <w:style w:type="paragraph" w:styleId="14">
    <w:name w:val="toc 2"/>
    <w:basedOn w:val="1"/>
    <w:next w:val="1"/>
    <w:autoRedefine/>
    <w:qFormat/>
    <w:uiPriority w:val="0"/>
    <w:pPr>
      <w:ind w:left="420" w:leftChars="200"/>
    </w:pPr>
  </w:style>
  <w:style w:type="paragraph" w:styleId="15">
    <w:name w:val="Body Text Indent"/>
    <w:basedOn w:val="1"/>
    <w:next w:val="6"/>
    <w:autoRedefine/>
    <w:qFormat/>
    <w:uiPriority w:val="0"/>
    <w:pPr>
      <w:spacing w:after="120"/>
      <w:ind w:left="420" w:leftChars="200"/>
    </w:pPr>
    <w:rPr>
      <w:kern w:val="0"/>
      <w:sz w:val="24"/>
      <w:szCs w:val="20"/>
    </w:rPr>
  </w:style>
  <w:style w:type="paragraph" w:styleId="16">
    <w:name w:val="Block Text"/>
    <w:basedOn w:val="1"/>
    <w:next w:val="1"/>
    <w:qFormat/>
    <w:uiPriority w:val="0"/>
    <w:pPr>
      <w:ind w:left="113" w:right="113" w:firstLine="555"/>
      <w:jc w:val="left"/>
    </w:pPr>
    <w:rPr>
      <w:sz w:val="28"/>
    </w:rPr>
  </w:style>
  <w:style w:type="paragraph" w:styleId="17">
    <w:name w:val="List Bullet 2"/>
    <w:basedOn w:val="1"/>
    <w:next w:val="18"/>
    <w:autoRedefine/>
    <w:qFormat/>
    <w:uiPriority w:val="0"/>
    <w:pPr>
      <w:numPr>
        <w:ilvl w:val="0"/>
        <w:numId w:val="1"/>
      </w:numPr>
    </w:pPr>
  </w:style>
  <w:style w:type="paragraph" w:customStyle="1" w:styleId="18">
    <w:name w:val="xl70"/>
    <w:basedOn w:val="1"/>
    <w:next w:val="19"/>
    <w:autoRedefine/>
    <w:qFormat/>
    <w:uiPriority w:val="0"/>
    <w:pPr>
      <w:widowControl/>
      <w:spacing w:before="280" w:after="280" w:line="240" w:lineRule="auto"/>
    </w:pPr>
    <w:rPr>
      <w:rFonts w:ascii="宋体"/>
    </w:rPr>
  </w:style>
  <w:style w:type="paragraph" w:customStyle="1" w:styleId="19">
    <w:name w:val="正文缩进1"/>
    <w:basedOn w:val="1"/>
    <w:next w:val="20"/>
    <w:autoRedefine/>
    <w:qFormat/>
    <w:uiPriority w:val="0"/>
    <w:pPr>
      <w:spacing w:line="240" w:lineRule="auto"/>
      <w:ind w:firstLine="420" w:firstLineChars="0"/>
    </w:pPr>
    <w:rPr>
      <w:sz w:val="21"/>
      <w:szCs w:val="20"/>
    </w:rPr>
  </w:style>
  <w:style w:type="paragraph" w:customStyle="1" w:styleId="20">
    <w:name w:val="td1"/>
    <w:basedOn w:val="1"/>
    <w:next w:val="1"/>
    <w:autoRedefine/>
    <w:qFormat/>
    <w:uiPriority w:val="0"/>
    <w:pPr>
      <w:widowControl/>
      <w:spacing w:before="280" w:after="280" w:line="300" w:lineRule="atLeast"/>
      <w:ind w:firstLine="200"/>
    </w:pPr>
    <w:rPr>
      <w:color w:val="000000"/>
      <w:sz w:val="18"/>
    </w:rPr>
  </w:style>
  <w:style w:type="paragraph" w:styleId="21">
    <w:name w:val="Plain Text"/>
    <w:basedOn w:val="1"/>
    <w:autoRedefine/>
    <w:qFormat/>
    <w:uiPriority w:val="99"/>
    <w:rPr>
      <w:rFonts w:ascii="宋体" w:hAnsi="Courier New"/>
      <w:szCs w:val="20"/>
    </w:rPr>
  </w:style>
  <w:style w:type="paragraph" w:styleId="22">
    <w:name w:val="List Bullet 5"/>
    <w:basedOn w:val="1"/>
    <w:autoRedefine/>
    <w:qFormat/>
    <w:uiPriority w:val="0"/>
    <w:pPr>
      <w:numPr>
        <w:ilvl w:val="0"/>
        <w:numId w:val="2"/>
      </w:numPr>
    </w:pPr>
  </w:style>
  <w:style w:type="paragraph" w:styleId="23">
    <w:name w:val="Body Text Indent 2"/>
    <w:basedOn w:val="1"/>
    <w:autoRedefine/>
    <w:qFormat/>
    <w:uiPriority w:val="0"/>
    <w:pPr>
      <w:spacing w:line="360" w:lineRule="exact"/>
      <w:ind w:firstLine="522" w:firstLineChars="200"/>
      <w:jc w:val="left"/>
    </w:pPr>
    <w:rPr>
      <w:rFonts w:ascii="宋体" w:hAnsi="宋体"/>
      <w:sz w:val="28"/>
    </w:rPr>
  </w:style>
  <w:style w:type="paragraph" w:styleId="24">
    <w:name w:val="endnote text"/>
    <w:basedOn w:val="1"/>
    <w:autoRedefine/>
    <w:qFormat/>
    <w:uiPriority w:val="0"/>
    <w:pPr>
      <w:snapToGrid w:val="0"/>
      <w:jc w:val="left"/>
    </w:pPr>
    <w:rPr>
      <w:rFonts w:ascii="Cambria" w:hAnsi="Cambria"/>
      <w:b/>
      <w:bCs/>
      <w:kern w:val="0"/>
      <w:sz w:val="32"/>
      <w:szCs w:val="32"/>
    </w:rPr>
  </w:style>
  <w:style w:type="paragraph" w:styleId="25">
    <w:name w:val="Balloon Text"/>
    <w:basedOn w:val="1"/>
    <w:link w:val="74"/>
    <w:autoRedefine/>
    <w:qFormat/>
    <w:uiPriority w:val="0"/>
    <w:rPr>
      <w:sz w:val="18"/>
      <w:szCs w:val="18"/>
    </w:rPr>
  </w:style>
  <w:style w:type="paragraph" w:styleId="26">
    <w:name w:val="footer"/>
    <w:basedOn w:val="1"/>
    <w:autoRedefine/>
    <w:qFormat/>
    <w:uiPriority w:val="99"/>
    <w:pPr>
      <w:tabs>
        <w:tab w:val="center" w:pos="4153"/>
        <w:tab w:val="right" w:pos="8306"/>
      </w:tabs>
      <w:snapToGrid w:val="0"/>
      <w:jc w:val="left"/>
    </w:pPr>
    <w:rPr>
      <w:kern w:val="0"/>
      <w:sz w:val="18"/>
      <w:szCs w:val="20"/>
    </w:rPr>
  </w:style>
  <w:style w:type="paragraph" w:styleId="27">
    <w:name w:val="header"/>
    <w:basedOn w:val="1"/>
    <w:next w:val="28"/>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8">
    <w:name w:val="样式5"/>
    <w:basedOn w:val="29"/>
    <w:next w:val="24"/>
    <w:autoRedefine/>
    <w:qFormat/>
    <w:uiPriority w:val="0"/>
    <w:pPr>
      <w:snapToGrid w:val="0"/>
      <w:spacing w:beforeLines="20" w:afterLines="20" w:line="480" w:lineRule="exact"/>
      <w:ind w:firstLine="523" w:firstLineChars="218"/>
      <w:jc w:val="both"/>
    </w:pPr>
    <w:rPr>
      <w:i/>
      <w:iCs/>
      <w:kern w:val="2"/>
      <w:sz w:val="24"/>
      <w:szCs w:val="20"/>
    </w:rPr>
  </w:style>
  <w:style w:type="paragraph" w:customStyle="1" w:styleId="29">
    <w:name w:val="正文1"/>
    <w:basedOn w:val="1"/>
    <w:next w:val="1"/>
    <w:autoRedefine/>
    <w:qFormat/>
    <w:uiPriority w:val="0"/>
    <w:pPr>
      <w:jc w:val="center"/>
    </w:pPr>
    <w:rPr>
      <w:rFonts w:ascii="宋体" w:hAnsi="宋体"/>
      <w:kern w:val="36"/>
    </w:rPr>
  </w:style>
  <w:style w:type="paragraph" w:styleId="30">
    <w:name w:val="toc 1"/>
    <w:basedOn w:val="1"/>
    <w:next w:val="1"/>
    <w:autoRedefine/>
    <w:qFormat/>
    <w:uiPriority w:val="0"/>
    <w:rPr>
      <w:rFonts w:ascii="仿宋_GB2312" w:hAnsi="宋体" w:eastAsia="仿宋_GB2312"/>
      <w:spacing w:val="-14"/>
      <w:sz w:val="24"/>
      <w:szCs w:val="24"/>
    </w:rPr>
  </w:style>
  <w:style w:type="paragraph" w:styleId="31">
    <w:name w:val="index heading"/>
    <w:basedOn w:val="1"/>
    <w:next w:val="32"/>
    <w:autoRedefine/>
    <w:qFormat/>
    <w:uiPriority w:val="0"/>
  </w:style>
  <w:style w:type="paragraph" w:styleId="32">
    <w:name w:val="index 1"/>
    <w:basedOn w:val="1"/>
    <w:next w:val="1"/>
    <w:autoRedefine/>
    <w:unhideWhenUsed/>
    <w:qFormat/>
    <w:uiPriority w:val="0"/>
    <w:rPr>
      <w:rFonts w:ascii="Calibri" w:hAnsi="Calibri"/>
      <w:szCs w:val="22"/>
    </w:rPr>
  </w:style>
  <w:style w:type="paragraph" w:styleId="33">
    <w:name w:val="List"/>
    <w:basedOn w:val="1"/>
    <w:autoRedefine/>
    <w:qFormat/>
    <w:uiPriority w:val="99"/>
    <w:pPr>
      <w:widowControl/>
      <w:spacing w:line="240" w:lineRule="auto"/>
      <w:ind w:left="0" w:firstLine="0" w:firstLineChars="0"/>
      <w:jc w:val="center"/>
    </w:pPr>
    <w:rPr>
      <w:rFonts w:ascii="Times New Roman" w:hAnsi="Times New Roman"/>
      <w:kern w:val="0"/>
      <w:sz w:val="21"/>
      <w:szCs w:val="21"/>
    </w:rPr>
  </w:style>
  <w:style w:type="paragraph" w:styleId="34">
    <w:name w:val="Body Text Indent 3"/>
    <w:basedOn w:val="1"/>
    <w:autoRedefine/>
    <w:qFormat/>
    <w:uiPriority w:val="0"/>
    <w:pPr>
      <w:spacing w:after="120"/>
      <w:ind w:left="420"/>
    </w:pPr>
    <w:rPr>
      <w:kern w:val="0"/>
      <w:sz w:val="16"/>
      <w:szCs w:val="20"/>
    </w:rPr>
  </w:style>
  <w:style w:type="paragraph" w:styleId="35">
    <w:name w:val="table of figures"/>
    <w:basedOn w:val="1"/>
    <w:next w:val="1"/>
    <w:qFormat/>
    <w:uiPriority w:val="0"/>
    <w:pPr>
      <w:widowControl w:val="0"/>
      <w:numPr>
        <w:ilvl w:val="0"/>
        <w:numId w:val="3"/>
      </w:numPr>
      <w:adjustRightInd w:val="0"/>
      <w:snapToGrid w:val="0"/>
      <w:spacing w:line="240" w:lineRule="auto"/>
      <w:jc w:val="center"/>
    </w:pPr>
    <w:rPr>
      <w:rFonts w:ascii="宋体"/>
      <w:spacing w:val="5"/>
      <w:kern w:val="2"/>
      <w:sz w:val="28"/>
      <w:szCs w:val="20"/>
    </w:rPr>
  </w:style>
  <w:style w:type="paragraph" w:styleId="36">
    <w:name w:val="Normal (Web)"/>
    <w:basedOn w:val="1"/>
    <w:autoRedefine/>
    <w:qFormat/>
    <w:uiPriority w:val="0"/>
    <w:pPr>
      <w:widowControl/>
      <w:spacing w:before="100" w:beforeAutospacing="1" w:after="100" w:afterAutospacing="1"/>
      <w:jc w:val="left"/>
    </w:pPr>
    <w:rPr>
      <w:rFonts w:ascii="宋体" w:hAnsi="宋体"/>
      <w:kern w:val="0"/>
      <w:sz w:val="24"/>
      <w:szCs w:val="20"/>
    </w:rPr>
  </w:style>
  <w:style w:type="paragraph" w:styleId="37">
    <w:name w:val="annotation subject"/>
    <w:basedOn w:val="12"/>
    <w:next w:val="12"/>
    <w:link w:val="73"/>
    <w:autoRedefine/>
    <w:qFormat/>
    <w:uiPriority w:val="0"/>
    <w:rPr>
      <w:b/>
      <w:bCs/>
      <w:kern w:val="2"/>
      <w:sz w:val="21"/>
      <w:szCs w:val="24"/>
    </w:rPr>
  </w:style>
  <w:style w:type="paragraph" w:styleId="38">
    <w:name w:val="Body Text First Indent"/>
    <w:basedOn w:val="13"/>
    <w:autoRedefine/>
    <w:qFormat/>
    <w:uiPriority w:val="0"/>
    <w:pPr>
      <w:spacing w:after="120"/>
      <w:ind w:firstLine="420" w:firstLineChars="100"/>
    </w:pPr>
    <w:rPr>
      <w:sz w:val="21"/>
      <w:szCs w:val="24"/>
    </w:rPr>
  </w:style>
  <w:style w:type="paragraph" w:styleId="39">
    <w:name w:val="Body Text First Indent 2"/>
    <w:basedOn w:val="15"/>
    <w:next w:val="1"/>
    <w:autoRedefine/>
    <w:qFormat/>
    <w:uiPriority w:val="0"/>
    <w:pPr>
      <w:ind w:firstLine="420" w:firstLineChars="200"/>
    </w:pPr>
  </w:style>
  <w:style w:type="table" w:styleId="41">
    <w:name w:val="Table Grid"/>
    <w:basedOn w:val="40"/>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0"/>
    <w:rPr>
      <w:b/>
    </w:rPr>
  </w:style>
  <w:style w:type="character" w:styleId="44">
    <w:name w:val="page number"/>
    <w:basedOn w:val="42"/>
    <w:autoRedefine/>
    <w:qFormat/>
    <w:uiPriority w:val="0"/>
  </w:style>
  <w:style w:type="character" w:styleId="45">
    <w:name w:val="Emphasis"/>
    <w:basedOn w:val="42"/>
    <w:autoRedefine/>
    <w:qFormat/>
    <w:uiPriority w:val="0"/>
    <w:rPr>
      <w:i/>
    </w:rPr>
  </w:style>
  <w:style w:type="character" w:styleId="46">
    <w:name w:val="Hyperlink"/>
    <w:basedOn w:val="42"/>
    <w:autoRedefine/>
    <w:qFormat/>
    <w:uiPriority w:val="0"/>
    <w:rPr>
      <w:color w:val="0000FF"/>
      <w:u w:val="single"/>
    </w:rPr>
  </w:style>
  <w:style w:type="character" w:styleId="47">
    <w:name w:val="annotation reference"/>
    <w:basedOn w:val="42"/>
    <w:autoRedefine/>
    <w:qFormat/>
    <w:uiPriority w:val="0"/>
    <w:rPr>
      <w:sz w:val="21"/>
      <w:szCs w:val="21"/>
    </w:rPr>
  </w:style>
  <w:style w:type="paragraph" w:customStyle="1" w:styleId="48">
    <w:name w:val="style4"/>
    <w:basedOn w:val="1"/>
    <w:next w:val="49"/>
    <w:qFormat/>
    <w:uiPriority w:val="0"/>
    <w:pPr>
      <w:spacing w:before="100" w:beforeAutospacing="1" w:after="100" w:afterAutospacing="1" w:line="450" w:lineRule="atLeast"/>
    </w:pPr>
    <w:rPr>
      <w:rFonts w:ascii="Arial Unicode MS" w:hAnsi="Arial Unicode MS" w:eastAsia="Arial Unicode MS" w:cs="Arial Unicode MS"/>
      <w:sz w:val="21"/>
      <w:szCs w:val="21"/>
    </w:rPr>
  </w:style>
  <w:style w:type="paragraph" w:customStyle="1" w:styleId="49">
    <w:name w:val="2"/>
    <w:basedOn w:val="1"/>
    <w:next w:val="1"/>
    <w:qFormat/>
    <w:uiPriority w:val="0"/>
    <w:pPr>
      <w:ind w:firstLine="527"/>
    </w:pPr>
    <w:rPr>
      <w:spacing w:val="5"/>
      <w:szCs w:val="25"/>
    </w:rPr>
  </w:style>
  <w:style w:type="paragraph" w:customStyle="1" w:styleId="50">
    <w:name w:val="样式 正文文本 + 首行缩进:  2 字符"/>
    <w:basedOn w:val="13"/>
    <w:next w:val="1"/>
    <w:autoRedefine/>
    <w:qFormat/>
    <w:uiPriority w:val="99"/>
    <w:pPr>
      <w:spacing w:after="200" w:line="480" w:lineRule="exact"/>
      <w:ind w:firstLine="480" w:firstLineChars="200"/>
    </w:pPr>
    <w:rPr>
      <w:rFonts w:ascii="宋体" w:hAnsi="宋体"/>
      <w:sz w:val="24"/>
      <w:lang w:val="en-US" w:eastAsia="zh-CN" w:bidi="ar-SA"/>
    </w:rPr>
  </w:style>
  <w:style w:type="paragraph" w:customStyle="1" w:styleId="51">
    <w:name w:val="Default"/>
    <w:basedOn w:val="52"/>
    <w:autoRedefine/>
    <w:qFormat/>
    <w:uiPriority w:val="0"/>
    <w:pPr>
      <w:widowControl w:val="0"/>
      <w:autoSpaceDE w:val="0"/>
      <w:autoSpaceDN w:val="0"/>
      <w:adjustRightInd w:val="0"/>
    </w:pPr>
    <w:rPr>
      <w:rFonts w:ascii="宋体" w:cs="宋体"/>
      <w:color w:val="000000"/>
      <w:szCs w:val="24"/>
    </w:rPr>
  </w:style>
  <w:style w:type="paragraph" w:customStyle="1" w:styleId="52">
    <w:name w:val="纯文本1"/>
    <w:basedOn w:val="1"/>
    <w:next w:val="1"/>
    <w:autoRedefine/>
    <w:qFormat/>
    <w:uiPriority w:val="0"/>
    <w:pPr>
      <w:adjustRightInd w:val="0"/>
    </w:pPr>
    <w:rPr>
      <w:rFonts w:ascii="宋体" w:hAnsi="Courier New"/>
      <w:szCs w:val="20"/>
    </w:rPr>
  </w:style>
  <w:style w:type="paragraph" w:customStyle="1" w:styleId="53">
    <w:name w:val="Default1"/>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5">
    <w:name w:val="样式 样式 样式 四号 左侧:  1.53 厘米 + 首行缩进:  2 字符 + 居中 左侧:  2 字符 首行缩进:  2..."/>
    <w:basedOn w:val="56"/>
    <w:autoRedefine/>
    <w:qFormat/>
    <w:uiPriority w:val="0"/>
    <w:pPr>
      <w:ind w:firstLine="0" w:firstLineChars="0"/>
      <w:jc w:val="center"/>
    </w:pPr>
  </w:style>
  <w:style w:type="paragraph" w:customStyle="1" w:styleId="56">
    <w:name w:val="样式 样式 四号 左侧:  1.53 厘米 + 首行缩进:  2 字符"/>
    <w:basedOn w:val="57"/>
    <w:autoRedefine/>
    <w:qFormat/>
    <w:uiPriority w:val="0"/>
    <w:pPr>
      <w:ind w:left="200" w:leftChars="200"/>
    </w:pPr>
    <w:rPr>
      <w:szCs w:val="20"/>
    </w:rPr>
  </w:style>
  <w:style w:type="paragraph" w:customStyle="1" w:styleId="57">
    <w:name w:val="样式 四号 左侧:  1.53 厘米"/>
    <w:basedOn w:val="1"/>
    <w:autoRedefine/>
    <w:qFormat/>
    <w:uiPriority w:val="0"/>
    <w:pPr>
      <w:adjustRightInd w:val="0"/>
    </w:pPr>
    <w:rPr>
      <w:w w:val="90"/>
      <w:sz w:val="28"/>
      <w:szCs w:val="28"/>
    </w:rPr>
  </w:style>
  <w:style w:type="paragraph" w:customStyle="1" w:styleId="58">
    <w:name w:val="标正文格式"/>
    <w:autoRedefine/>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9">
    <w:name w:val="表格"/>
    <w:basedOn w:val="33"/>
    <w:next w:val="2"/>
    <w:autoRedefine/>
    <w:qFormat/>
    <w:uiPriority w:val="0"/>
    <w:pPr>
      <w:adjustRightInd w:val="0"/>
      <w:snapToGrid w:val="0"/>
      <w:spacing w:beforeLines="10" w:afterLines="10" w:line="259" w:lineRule="auto"/>
      <w:jc w:val="center"/>
    </w:pPr>
    <w:rPr>
      <w:rFonts w:ascii="宋体"/>
      <w:kern w:val="0"/>
    </w:rPr>
  </w:style>
  <w:style w:type="paragraph" w:customStyle="1" w:styleId="60">
    <w:name w:val="12121212"/>
    <w:basedOn w:val="1"/>
    <w:autoRedefine/>
    <w:qFormat/>
    <w:uiPriority w:val="0"/>
    <w:pPr>
      <w:jc w:val="left"/>
    </w:pPr>
    <w:rPr>
      <w:b/>
      <w:sz w:val="28"/>
    </w:rPr>
  </w:style>
  <w:style w:type="paragraph" w:customStyle="1" w:styleId="61">
    <w:name w:val="表格内容格式"/>
    <w:basedOn w:val="1"/>
    <w:autoRedefine/>
    <w:qFormat/>
    <w:uiPriority w:val="0"/>
    <w:pPr>
      <w:tabs>
        <w:tab w:val="left" w:pos="1755"/>
      </w:tabs>
      <w:contextualSpacing/>
      <w:jc w:val="center"/>
      <w:textAlignment w:val="baseline"/>
    </w:pPr>
    <w:rPr>
      <w:snapToGrid w:val="0"/>
      <w:kern w:val="0"/>
    </w:rPr>
  </w:style>
  <w:style w:type="paragraph" w:customStyle="1" w:styleId="62">
    <w:name w:val="小罗文本"/>
    <w:basedOn w:val="1"/>
    <w:autoRedefine/>
    <w:qFormat/>
    <w:uiPriority w:val="0"/>
    <w:pPr>
      <w:spacing w:line="500" w:lineRule="exact"/>
      <w:ind w:firstLine="200" w:firstLineChars="200"/>
    </w:pPr>
    <w:rPr>
      <w:rFonts w:ascii="宋体"/>
    </w:rPr>
  </w:style>
  <w:style w:type="paragraph" w:customStyle="1" w:styleId="63">
    <w:name w:val="样式 表格样式"/>
    <w:basedOn w:val="1"/>
    <w:autoRedefine/>
    <w:qFormat/>
    <w:uiPriority w:val="0"/>
    <w:pPr>
      <w:snapToGrid w:val="0"/>
      <w:spacing w:line="240" w:lineRule="atLeast"/>
    </w:pPr>
    <w:rPr>
      <w:szCs w:val="20"/>
    </w:rPr>
  </w:style>
  <w:style w:type="paragraph" w:customStyle="1" w:styleId="64">
    <w:name w:val="0--表格文字"/>
    <w:basedOn w:val="1"/>
    <w:autoRedefine/>
    <w:qFormat/>
    <w:uiPriority w:val="0"/>
    <w:pPr>
      <w:contextualSpacing/>
      <w:jc w:val="center"/>
    </w:pPr>
    <w:rPr>
      <w:bCs/>
    </w:rPr>
  </w:style>
  <w:style w:type="table" w:customStyle="1" w:styleId="65">
    <w:name w:val="Table Normal"/>
    <w:autoRedefine/>
    <w:unhideWhenUsed/>
    <w:qFormat/>
    <w:uiPriority w:val="2"/>
    <w:tblPr>
      <w:tblCellMar>
        <w:top w:w="0" w:type="dxa"/>
        <w:left w:w="0" w:type="dxa"/>
        <w:bottom w:w="0" w:type="dxa"/>
        <w:right w:w="0" w:type="dxa"/>
      </w:tblCellMar>
    </w:tblPr>
  </w:style>
  <w:style w:type="paragraph" w:styleId="66">
    <w:name w:val="List Paragraph"/>
    <w:basedOn w:val="1"/>
    <w:autoRedefine/>
    <w:qFormat/>
    <w:uiPriority w:val="34"/>
    <w:pPr>
      <w:ind w:firstLine="420" w:firstLineChars="200"/>
    </w:pPr>
  </w:style>
  <w:style w:type="paragraph" w:customStyle="1" w:styleId="67">
    <w:name w:val="_Style 2"/>
    <w:basedOn w:val="1"/>
    <w:autoRedefine/>
    <w:qFormat/>
    <w:uiPriority w:val="34"/>
    <w:pPr>
      <w:ind w:firstLine="420" w:firstLineChars="200"/>
    </w:pPr>
  </w:style>
  <w:style w:type="paragraph" w:customStyle="1" w:styleId="68">
    <w:name w:val="Table Paragraph"/>
    <w:basedOn w:val="1"/>
    <w:autoRedefine/>
    <w:qFormat/>
    <w:uiPriority w:val="1"/>
    <w:rPr>
      <w:rFonts w:ascii="宋体" w:hAnsi="宋体" w:cs="宋体"/>
      <w:lang w:val="zh-CN" w:bidi="zh-CN"/>
    </w:rPr>
  </w:style>
  <w:style w:type="paragraph" w:customStyle="1" w:styleId="69">
    <w:name w:val="表格正文"/>
    <w:basedOn w:val="1"/>
    <w:next w:val="1"/>
    <w:autoRedefine/>
    <w:qFormat/>
    <w:uiPriority w:val="0"/>
    <w:pPr>
      <w:jc w:val="center"/>
    </w:pPr>
  </w:style>
  <w:style w:type="paragraph" w:customStyle="1" w:styleId="70">
    <w:name w:val="表格居中"/>
    <w:basedOn w:val="59"/>
    <w:next w:val="71"/>
    <w:autoRedefine/>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paragraph" w:customStyle="1" w:styleId="71">
    <w:name w:val="新正文"/>
    <w:basedOn w:val="1"/>
    <w:qFormat/>
    <w:uiPriority w:val="0"/>
    <w:pPr>
      <w:spacing w:line="480" w:lineRule="exact"/>
      <w:ind w:firstLine="482" w:firstLineChars="0"/>
    </w:pPr>
    <w:rPr>
      <w:rFonts w:hint="eastAsia" w:ascii="仿宋_GB2312" w:eastAsia="仿宋_GB2312" w:cs="Times New Roman"/>
      <w:bCs/>
      <w:kern w:val="0"/>
      <w:sz w:val="28"/>
      <w:szCs w:val="20"/>
    </w:rPr>
  </w:style>
  <w:style w:type="character" w:customStyle="1" w:styleId="72">
    <w:name w:val="批注文字 Char"/>
    <w:basedOn w:val="42"/>
    <w:link w:val="12"/>
    <w:autoRedefine/>
    <w:semiHidden/>
    <w:qFormat/>
    <w:uiPriority w:val="0"/>
    <w:rPr>
      <w:sz w:val="24"/>
    </w:rPr>
  </w:style>
  <w:style w:type="character" w:customStyle="1" w:styleId="73">
    <w:name w:val="批注主题 Char"/>
    <w:basedOn w:val="72"/>
    <w:link w:val="37"/>
    <w:autoRedefine/>
    <w:qFormat/>
    <w:uiPriority w:val="0"/>
  </w:style>
  <w:style w:type="character" w:customStyle="1" w:styleId="74">
    <w:name w:val="批注框文本 Char"/>
    <w:basedOn w:val="42"/>
    <w:link w:val="25"/>
    <w:autoRedefine/>
    <w:qFormat/>
    <w:uiPriority w:val="0"/>
    <w:rPr>
      <w:kern w:val="2"/>
      <w:sz w:val="18"/>
      <w:szCs w:val="18"/>
    </w:rPr>
  </w:style>
  <w:style w:type="paragraph" w:customStyle="1" w:styleId="75">
    <w:name w:val="表格内容"/>
    <w:basedOn w:val="1"/>
    <w:autoRedefine/>
    <w:qFormat/>
    <w:uiPriority w:val="0"/>
    <w:pPr>
      <w:overflowPunct w:val="0"/>
      <w:adjustRightInd w:val="0"/>
      <w:snapToGrid w:val="0"/>
      <w:spacing w:line="360" w:lineRule="exact"/>
      <w:jc w:val="center"/>
      <w:textAlignment w:val="baseline"/>
    </w:pPr>
    <w:rPr>
      <w:kern w:val="0"/>
    </w:rPr>
  </w:style>
  <w:style w:type="paragraph" w:customStyle="1" w:styleId="76">
    <w:name w:val="正文 New New New New New New New New New New New New New New New New New New New New New New New New New New New New"/>
    <w:autoRedefine/>
    <w:qFormat/>
    <w:uiPriority w:val="0"/>
    <w:pPr>
      <w:widowControl w:val="0"/>
      <w:jc w:val="both"/>
    </w:pPr>
    <w:rPr>
      <w:rFonts w:ascii="宋体" w:hAnsi="Times New Roman" w:eastAsia="宋体" w:cs="Times New Roman"/>
      <w:spacing w:val="5"/>
      <w:kern w:val="2"/>
      <w:sz w:val="25"/>
      <w:szCs w:val="25"/>
      <w:lang w:val="en-US" w:eastAsia="zh-CN" w:bidi="ar-SA"/>
    </w:rPr>
  </w:style>
  <w:style w:type="paragraph" w:customStyle="1" w:styleId="77">
    <w:name w:val="p0"/>
    <w:basedOn w:val="1"/>
    <w:autoRedefine/>
    <w:qFormat/>
    <w:uiPriority w:val="0"/>
    <w:pPr>
      <w:widowControl/>
    </w:pPr>
    <w:rPr>
      <w:kern w:val="0"/>
      <w:sz w:val="32"/>
      <w:szCs w:val="32"/>
    </w:rPr>
  </w:style>
  <w:style w:type="paragraph" w:customStyle="1" w:styleId="78">
    <w:name w:val="List Paragraph1"/>
    <w:basedOn w:val="1"/>
    <w:autoRedefine/>
    <w:qFormat/>
    <w:uiPriority w:val="0"/>
    <w:pPr>
      <w:ind w:firstLine="420" w:firstLineChars="200"/>
    </w:pPr>
    <w:rPr>
      <w:rFonts w:ascii="Times New Roman"/>
    </w:rPr>
  </w:style>
  <w:style w:type="character" w:customStyle="1" w:styleId="79">
    <w:name w:val="NormalCharacter"/>
    <w:autoRedefine/>
    <w:qFormat/>
    <w:uiPriority w:val="0"/>
  </w:style>
  <w:style w:type="paragraph" w:customStyle="1" w:styleId="80">
    <w:name w:val="表字"/>
    <w:next w:val="1"/>
    <w:autoRedefine/>
    <w:qFormat/>
    <w:uiPriority w:val="0"/>
    <w:pPr>
      <w:adjustRightInd w:val="0"/>
      <w:snapToGrid w:val="0"/>
      <w:jc w:val="center"/>
      <w:textAlignment w:val="center"/>
    </w:pPr>
    <w:rPr>
      <w:rFonts w:ascii="Calibri" w:hAnsi="Calibri" w:eastAsia="宋体" w:cs="Times New Roman"/>
      <w:kern w:val="11"/>
      <w:sz w:val="21"/>
      <w:szCs w:val="21"/>
      <w:lang w:val="en-US" w:eastAsia="zh-CN" w:bidi="ar-SA"/>
    </w:rPr>
  </w:style>
  <w:style w:type="paragraph" w:customStyle="1" w:styleId="81">
    <w:name w:val="正文曹"/>
    <w:basedOn w:val="15"/>
    <w:autoRedefine/>
    <w:qFormat/>
    <w:uiPriority w:val="0"/>
    <w:pPr>
      <w:spacing w:line="40" w:lineRule="exact"/>
      <w:ind w:firstLine="0" w:firstLineChars="0"/>
    </w:pPr>
    <w:rPr>
      <w:rFonts w:ascii="Times New Roman"/>
      <w:sz w:val="24"/>
      <w:szCs w:val="24"/>
    </w:rPr>
  </w:style>
  <w:style w:type="paragraph" w:customStyle="1" w:styleId="82">
    <w:name w:val="正文样式1"/>
    <w:basedOn w:val="1"/>
    <w:autoRedefine/>
    <w:qFormat/>
    <w:uiPriority w:val="0"/>
    <w:pPr>
      <w:topLinePunct/>
      <w:spacing w:line="360" w:lineRule="auto"/>
      <w:ind w:firstLine="200" w:firstLineChars="200"/>
    </w:pPr>
    <w:rPr>
      <w:rFonts w:ascii="Calibri" w:hAnsi="Calibri" w:cs="Times New Roman"/>
      <w:sz w:val="24"/>
      <w:lang w:val="zh-CN"/>
    </w:rPr>
  </w:style>
  <w:style w:type="paragraph" w:customStyle="1" w:styleId="83">
    <w:name w:val="S正文段落"/>
    <w:basedOn w:val="1"/>
    <w:autoRedefine/>
    <w:qFormat/>
    <w:uiPriority w:val="0"/>
    <w:pPr>
      <w:snapToGrid w:val="0"/>
      <w:spacing w:line="360" w:lineRule="auto"/>
      <w:ind w:firstLine="200" w:firstLineChars="200"/>
    </w:pPr>
    <w:rPr>
      <w:kern w:val="0"/>
      <w:sz w:val="24"/>
      <w:szCs w:val="24"/>
    </w:rPr>
  </w:style>
  <w:style w:type="paragraph" w:customStyle="1" w:styleId="84">
    <w:name w:val="04 正文"/>
    <w:basedOn w:val="1"/>
    <w:autoRedefine/>
    <w:qFormat/>
    <w:uiPriority w:val="0"/>
    <w:pPr>
      <w:spacing w:line="400" w:lineRule="exact"/>
      <w:ind w:firstLine="420" w:firstLineChars="200"/>
      <w:jc w:val="both"/>
    </w:pPr>
    <w:rPr>
      <w:bCs/>
      <w:color w:val="000000"/>
      <w:sz w:val="24"/>
      <w:szCs w:val="21"/>
    </w:rPr>
  </w:style>
  <w:style w:type="paragraph" w:customStyle="1" w:styleId="85">
    <w:name w:val="CM18"/>
    <w:basedOn w:val="51"/>
    <w:next w:val="51"/>
    <w:autoRedefine/>
    <w:unhideWhenUsed/>
    <w:qFormat/>
    <w:uiPriority w:val="99"/>
    <w:pPr>
      <w:spacing w:beforeLines="0" w:afterLines="0" w:line="440" w:lineRule="atLeast"/>
    </w:pPr>
    <w:rPr>
      <w:rFonts w:hint="default"/>
      <w:sz w:val="24"/>
      <w:szCs w:val="24"/>
    </w:rPr>
  </w:style>
  <w:style w:type="paragraph" w:customStyle="1" w:styleId="86">
    <w:name w:val="CM31"/>
    <w:basedOn w:val="51"/>
    <w:next w:val="51"/>
    <w:autoRedefine/>
    <w:unhideWhenUsed/>
    <w:qFormat/>
    <w:uiPriority w:val="99"/>
    <w:pPr>
      <w:spacing w:beforeLines="0" w:afterLines="0" w:line="440" w:lineRule="atLeast"/>
    </w:pPr>
    <w:rPr>
      <w:rFonts w:hint="default"/>
      <w:sz w:val="24"/>
      <w:szCs w:val="24"/>
    </w:rPr>
  </w:style>
  <w:style w:type="paragraph" w:customStyle="1" w:styleId="87">
    <w:name w:val="CM64"/>
    <w:basedOn w:val="51"/>
    <w:next w:val="51"/>
    <w:autoRedefine/>
    <w:unhideWhenUsed/>
    <w:qFormat/>
    <w:uiPriority w:val="99"/>
    <w:pPr>
      <w:spacing w:beforeLines="0" w:afterLines="0" w:line="473" w:lineRule="atLeast"/>
    </w:pPr>
    <w:rPr>
      <w:rFonts w:hint="default"/>
      <w:sz w:val="24"/>
      <w:szCs w:val="24"/>
    </w:rPr>
  </w:style>
  <w:style w:type="paragraph" w:customStyle="1" w:styleId="88">
    <w:name w:val="CM15"/>
    <w:basedOn w:val="51"/>
    <w:next w:val="51"/>
    <w:autoRedefine/>
    <w:unhideWhenUsed/>
    <w:qFormat/>
    <w:uiPriority w:val="99"/>
    <w:pPr>
      <w:spacing w:beforeLines="0" w:afterLines="0" w:line="473" w:lineRule="atLeast"/>
    </w:pPr>
    <w:rPr>
      <w:rFonts w:hint="default"/>
      <w:sz w:val="24"/>
      <w:szCs w:val="24"/>
    </w:rPr>
  </w:style>
  <w:style w:type="paragraph" w:customStyle="1" w:styleId="89">
    <w:name w:val="CM109"/>
    <w:basedOn w:val="51"/>
    <w:next w:val="51"/>
    <w:autoRedefine/>
    <w:unhideWhenUsed/>
    <w:qFormat/>
    <w:uiPriority w:val="99"/>
    <w:pPr>
      <w:spacing w:beforeLines="0" w:afterLines="0"/>
    </w:pPr>
    <w:rPr>
      <w:rFonts w:hint="default"/>
      <w:sz w:val="24"/>
      <w:szCs w:val="24"/>
    </w:rPr>
  </w:style>
  <w:style w:type="paragraph" w:customStyle="1" w:styleId="90">
    <w:name w:val="CM16"/>
    <w:basedOn w:val="51"/>
    <w:next w:val="51"/>
    <w:autoRedefine/>
    <w:unhideWhenUsed/>
    <w:qFormat/>
    <w:uiPriority w:val="99"/>
    <w:pPr>
      <w:spacing w:beforeLines="0" w:afterLines="0" w:line="473" w:lineRule="atLeast"/>
    </w:pPr>
    <w:rPr>
      <w:rFonts w:hint="default"/>
      <w:sz w:val="24"/>
      <w:szCs w:val="24"/>
    </w:rPr>
  </w:style>
  <w:style w:type="paragraph" w:customStyle="1" w:styleId="91">
    <w:name w:val="CM65"/>
    <w:basedOn w:val="51"/>
    <w:next w:val="51"/>
    <w:autoRedefine/>
    <w:unhideWhenUsed/>
    <w:qFormat/>
    <w:uiPriority w:val="99"/>
    <w:pPr>
      <w:spacing w:beforeLines="0" w:afterLines="0" w:line="468" w:lineRule="atLeast"/>
    </w:pPr>
    <w:rPr>
      <w:rFonts w:hint="default"/>
      <w:sz w:val="24"/>
      <w:szCs w:val="24"/>
    </w:rPr>
  </w:style>
  <w:style w:type="paragraph" w:customStyle="1" w:styleId="92">
    <w:name w:val="CM112"/>
    <w:basedOn w:val="51"/>
    <w:next w:val="51"/>
    <w:autoRedefine/>
    <w:unhideWhenUsed/>
    <w:qFormat/>
    <w:uiPriority w:val="99"/>
    <w:pPr>
      <w:spacing w:beforeLines="0" w:afterLines="0"/>
    </w:pPr>
    <w:rPr>
      <w:rFonts w:hint="default"/>
      <w:sz w:val="24"/>
      <w:szCs w:val="24"/>
    </w:rPr>
  </w:style>
  <w:style w:type="paragraph" w:customStyle="1" w:styleId="93">
    <w:name w:val="CM67"/>
    <w:basedOn w:val="51"/>
    <w:next w:val="51"/>
    <w:autoRedefine/>
    <w:unhideWhenUsed/>
    <w:qFormat/>
    <w:uiPriority w:val="99"/>
    <w:pPr>
      <w:spacing w:beforeLines="0" w:afterLines="0" w:line="500" w:lineRule="atLeast"/>
    </w:pPr>
    <w:rPr>
      <w:rFonts w:hint="default"/>
      <w:sz w:val="24"/>
      <w:szCs w:val="24"/>
    </w:rPr>
  </w:style>
  <w:style w:type="paragraph" w:customStyle="1" w:styleId="94">
    <w:name w:val="CM68"/>
    <w:basedOn w:val="51"/>
    <w:next w:val="51"/>
    <w:autoRedefine/>
    <w:unhideWhenUsed/>
    <w:qFormat/>
    <w:uiPriority w:val="99"/>
    <w:pPr>
      <w:spacing w:beforeLines="0" w:afterLines="0" w:line="408" w:lineRule="atLeast"/>
    </w:pPr>
    <w:rPr>
      <w:rFonts w:hint="default"/>
      <w:sz w:val="24"/>
      <w:szCs w:val="24"/>
    </w:rPr>
  </w:style>
  <w:style w:type="paragraph" w:customStyle="1" w:styleId="95">
    <w:name w:val="CM110"/>
    <w:basedOn w:val="51"/>
    <w:next w:val="51"/>
    <w:autoRedefine/>
    <w:unhideWhenUsed/>
    <w:qFormat/>
    <w:uiPriority w:val="99"/>
    <w:pPr>
      <w:spacing w:beforeLines="0" w:afterLines="0"/>
    </w:pPr>
    <w:rPr>
      <w:rFonts w:hint="default"/>
      <w:sz w:val="24"/>
      <w:szCs w:val="24"/>
    </w:rPr>
  </w:style>
  <w:style w:type="paragraph" w:customStyle="1" w:styleId="96">
    <w:name w:val="CM107"/>
    <w:basedOn w:val="51"/>
    <w:next w:val="51"/>
    <w:autoRedefine/>
    <w:unhideWhenUsed/>
    <w:qFormat/>
    <w:uiPriority w:val="99"/>
    <w:pPr>
      <w:spacing w:beforeLines="0" w:afterLines="0"/>
    </w:pPr>
    <w:rPr>
      <w:rFonts w:hint="default"/>
      <w:sz w:val="24"/>
      <w:szCs w:val="24"/>
    </w:rPr>
  </w:style>
  <w:style w:type="paragraph" w:customStyle="1" w:styleId="97">
    <w:name w:val="CM69"/>
    <w:basedOn w:val="51"/>
    <w:next w:val="51"/>
    <w:autoRedefine/>
    <w:unhideWhenUsed/>
    <w:qFormat/>
    <w:uiPriority w:val="99"/>
    <w:pPr>
      <w:spacing w:beforeLines="0" w:afterLines="0" w:line="408" w:lineRule="atLeast"/>
    </w:pPr>
    <w:rPr>
      <w:rFonts w:hint="default"/>
      <w:sz w:val="24"/>
      <w:szCs w:val="24"/>
    </w:rPr>
  </w:style>
  <w:style w:type="paragraph" w:customStyle="1" w:styleId="98">
    <w:name w:val="CM71"/>
    <w:basedOn w:val="51"/>
    <w:next w:val="51"/>
    <w:autoRedefine/>
    <w:unhideWhenUsed/>
    <w:qFormat/>
    <w:uiPriority w:val="99"/>
    <w:pPr>
      <w:spacing w:beforeLines="0" w:afterLines="0" w:line="468" w:lineRule="atLeast"/>
    </w:pPr>
    <w:rPr>
      <w:rFonts w:hint="default"/>
      <w:sz w:val="24"/>
      <w:szCs w:val="24"/>
    </w:rPr>
  </w:style>
  <w:style w:type="paragraph" w:customStyle="1" w:styleId="99">
    <w:name w:val="CM72"/>
    <w:basedOn w:val="51"/>
    <w:next w:val="51"/>
    <w:autoRedefine/>
    <w:unhideWhenUsed/>
    <w:qFormat/>
    <w:uiPriority w:val="99"/>
    <w:pPr>
      <w:spacing w:beforeLines="0" w:afterLines="0" w:line="468" w:lineRule="atLeast"/>
    </w:pPr>
    <w:rPr>
      <w:rFonts w:hint="default"/>
      <w:sz w:val="24"/>
      <w:szCs w:val="24"/>
    </w:rPr>
  </w:style>
  <w:style w:type="paragraph" w:customStyle="1" w:styleId="100">
    <w:name w:val="CM116"/>
    <w:basedOn w:val="51"/>
    <w:next w:val="51"/>
    <w:autoRedefine/>
    <w:unhideWhenUsed/>
    <w:qFormat/>
    <w:uiPriority w:val="99"/>
    <w:pPr>
      <w:spacing w:beforeLines="0" w:afterLines="0"/>
    </w:pPr>
    <w:rPr>
      <w:rFonts w:hint="default"/>
      <w:sz w:val="24"/>
      <w:szCs w:val="24"/>
    </w:rPr>
  </w:style>
  <w:style w:type="paragraph" w:customStyle="1" w:styleId="101">
    <w:name w:val="CM25"/>
    <w:basedOn w:val="51"/>
    <w:next w:val="51"/>
    <w:autoRedefine/>
    <w:unhideWhenUsed/>
    <w:qFormat/>
    <w:uiPriority w:val="99"/>
    <w:pPr>
      <w:spacing w:beforeLines="0" w:afterLines="0" w:line="440" w:lineRule="atLeast"/>
    </w:pPr>
    <w:rPr>
      <w:rFonts w:hint="default"/>
      <w:sz w:val="24"/>
      <w:szCs w:val="24"/>
    </w:rPr>
  </w:style>
  <w:style w:type="paragraph" w:customStyle="1" w:styleId="102">
    <w:name w:val="CM108"/>
    <w:basedOn w:val="51"/>
    <w:next w:val="51"/>
    <w:autoRedefine/>
    <w:unhideWhenUsed/>
    <w:qFormat/>
    <w:uiPriority w:val="99"/>
    <w:pPr>
      <w:spacing w:beforeLines="0" w:afterLines="0"/>
    </w:pPr>
    <w:rPr>
      <w:rFonts w:hint="default"/>
      <w:sz w:val="24"/>
      <w:szCs w:val="24"/>
    </w:rPr>
  </w:style>
  <w:style w:type="paragraph" w:customStyle="1" w:styleId="103">
    <w:name w:val="CM38"/>
    <w:basedOn w:val="51"/>
    <w:next w:val="51"/>
    <w:autoRedefine/>
    <w:unhideWhenUsed/>
    <w:qFormat/>
    <w:uiPriority w:val="99"/>
    <w:pPr>
      <w:spacing w:beforeLines="0" w:afterLines="0" w:line="473" w:lineRule="atLeast"/>
    </w:pPr>
    <w:rPr>
      <w:rFonts w:hint="default"/>
      <w:sz w:val="24"/>
      <w:szCs w:val="24"/>
    </w:rPr>
  </w:style>
  <w:style w:type="paragraph" w:customStyle="1" w:styleId="104">
    <w:name w:val="CM45"/>
    <w:basedOn w:val="51"/>
    <w:next w:val="51"/>
    <w:autoRedefine/>
    <w:unhideWhenUsed/>
    <w:qFormat/>
    <w:uiPriority w:val="99"/>
    <w:pPr>
      <w:spacing w:beforeLines="0" w:afterLines="0"/>
    </w:pPr>
    <w:rPr>
      <w:rFonts w:hint="default"/>
      <w:sz w:val="24"/>
      <w:szCs w:val="24"/>
    </w:rPr>
  </w:style>
  <w:style w:type="paragraph" w:customStyle="1" w:styleId="105">
    <w:name w:val="CM46"/>
    <w:basedOn w:val="51"/>
    <w:next w:val="51"/>
    <w:autoRedefine/>
    <w:unhideWhenUsed/>
    <w:qFormat/>
    <w:uiPriority w:val="99"/>
    <w:pPr>
      <w:spacing w:beforeLines="0" w:afterLines="0" w:line="473" w:lineRule="atLeast"/>
    </w:pPr>
    <w:rPr>
      <w:rFonts w:hint="default"/>
      <w:sz w:val="24"/>
      <w:szCs w:val="24"/>
    </w:rPr>
  </w:style>
  <w:style w:type="paragraph" w:customStyle="1" w:styleId="106">
    <w:name w:val="CM14"/>
    <w:basedOn w:val="51"/>
    <w:next w:val="51"/>
    <w:autoRedefine/>
    <w:unhideWhenUsed/>
    <w:qFormat/>
    <w:uiPriority w:val="99"/>
    <w:pPr>
      <w:spacing w:beforeLines="0" w:afterLines="0" w:line="471" w:lineRule="atLeast"/>
    </w:pPr>
    <w:rPr>
      <w:rFonts w:hint="default"/>
      <w:sz w:val="24"/>
      <w:szCs w:val="24"/>
    </w:rPr>
  </w:style>
  <w:style w:type="paragraph" w:customStyle="1" w:styleId="107">
    <w:name w:val="CM41"/>
    <w:basedOn w:val="51"/>
    <w:next w:val="51"/>
    <w:autoRedefine/>
    <w:unhideWhenUsed/>
    <w:qFormat/>
    <w:uiPriority w:val="99"/>
    <w:pPr>
      <w:spacing w:beforeLines="0" w:afterLines="0" w:line="471" w:lineRule="atLeast"/>
    </w:pPr>
    <w:rPr>
      <w:rFonts w:hint="default"/>
      <w:sz w:val="24"/>
      <w:szCs w:val="24"/>
    </w:rPr>
  </w:style>
  <w:style w:type="paragraph" w:customStyle="1" w:styleId="108">
    <w:name w:val="CM44"/>
    <w:basedOn w:val="51"/>
    <w:next w:val="51"/>
    <w:autoRedefine/>
    <w:unhideWhenUsed/>
    <w:qFormat/>
    <w:uiPriority w:val="99"/>
    <w:pPr>
      <w:spacing w:beforeLines="0" w:afterLines="0" w:line="471" w:lineRule="atLeast"/>
    </w:pPr>
    <w:rPr>
      <w:rFonts w:hint="default"/>
      <w:sz w:val="24"/>
      <w:szCs w:val="24"/>
    </w:rPr>
  </w:style>
  <w:style w:type="paragraph" w:customStyle="1" w:styleId="109">
    <w:name w:val="CM43"/>
    <w:basedOn w:val="51"/>
    <w:next w:val="51"/>
    <w:autoRedefine/>
    <w:unhideWhenUsed/>
    <w:qFormat/>
    <w:uiPriority w:val="99"/>
    <w:pPr>
      <w:spacing w:beforeLines="0" w:afterLines="0" w:line="471" w:lineRule="atLeast"/>
    </w:pPr>
    <w:rPr>
      <w:rFonts w:hint="default"/>
      <w:sz w:val="24"/>
      <w:szCs w:val="24"/>
    </w:rPr>
  </w:style>
  <w:style w:type="paragraph" w:customStyle="1" w:styleId="110">
    <w:name w:val="CM86"/>
    <w:basedOn w:val="51"/>
    <w:next w:val="51"/>
    <w:autoRedefine/>
    <w:unhideWhenUsed/>
    <w:qFormat/>
    <w:uiPriority w:val="99"/>
    <w:pPr>
      <w:spacing w:beforeLines="0" w:afterLines="0" w:line="460" w:lineRule="atLeast"/>
    </w:pPr>
    <w:rPr>
      <w:rFonts w:hint="default"/>
      <w:sz w:val="24"/>
      <w:szCs w:val="24"/>
    </w:rPr>
  </w:style>
  <w:style w:type="paragraph" w:customStyle="1" w:styleId="111">
    <w:name w:val="CM79"/>
    <w:basedOn w:val="51"/>
    <w:next w:val="51"/>
    <w:autoRedefine/>
    <w:unhideWhenUsed/>
    <w:qFormat/>
    <w:uiPriority w:val="99"/>
    <w:pPr>
      <w:spacing w:beforeLines="0" w:afterLines="0" w:line="468" w:lineRule="atLeast"/>
    </w:pPr>
    <w:rPr>
      <w:rFonts w:hint="default"/>
      <w:sz w:val="24"/>
      <w:szCs w:val="24"/>
    </w:rPr>
  </w:style>
  <w:style w:type="paragraph" w:customStyle="1" w:styleId="112">
    <w:name w:val="CM35"/>
    <w:basedOn w:val="51"/>
    <w:next w:val="51"/>
    <w:autoRedefine/>
    <w:unhideWhenUsed/>
    <w:qFormat/>
    <w:uiPriority w:val="99"/>
    <w:pPr>
      <w:spacing w:beforeLines="0" w:afterLines="0" w:line="496" w:lineRule="atLeast"/>
    </w:pPr>
    <w:rPr>
      <w:rFonts w:hint="default"/>
      <w:sz w:val="24"/>
      <w:szCs w:val="24"/>
    </w:rPr>
  </w:style>
  <w:style w:type="paragraph" w:customStyle="1" w:styleId="113">
    <w:name w:val="CM33"/>
    <w:basedOn w:val="51"/>
    <w:next w:val="51"/>
    <w:autoRedefine/>
    <w:unhideWhenUsed/>
    <w:qFormat/>
    <w:uiPriority w:val="99"/>
    <w:pPr>
      <w:spacing w:beforeLines="0" w:afterLines="0" w:line="440" w:lineRule="atLeast"/>
    </w:pPr>
    <w:rPr>
      <w:rFonts w:hint="default"/>
      <w:sz w:val="24"/>
      <w:szCs w:val="24"/>
    </w:rPr>
  </w:style>
  <w:style w:type="paragraph" w:customStyle="1" w:styleId="114">
    <w:name w:val="q表格"/>
    <w:basedOn w:val="1"/>
    <w:autoRedefine/>
    <w:qFormat/>
    <w:uiPriority w:val="0"/>
    <w:pPr>
      <w:adjustRightInd w:val="0"/>
      <w:snapToGrid w:val="0"/>
      <w:spacing w:line="360" w:lineRule="exact"/>
      <w:jc w:val="center"/>
    </w:pPr>
    <w:rPr>
      <w:szCs w:val="21"/>
    </w:rPr>
  </w:style>
  <w:style w:type="paragraph" w:customStyle="1" w:styleId="115">
    <w:name w:val="环评表正文"/>
    <w:basedOn w:val="1"/>
    <w:qFormat/>
    <w:uiPriority w:val="0"/>
    <w:pPr>
      <w:spacing w:line="480" w:lineRule="exact"/>
      <w:ind w:firstLine="1044" w:firstLineChars="200"/>
    </w:pPr>
    <w:rPr>
      <w:rFonts w:ascii="Times New Roman" w:hAnsi="Times New Roman" w:eastAsia="宋体"/>
      <w:sz w:val="24"/>
    </w:rPr>
  </w:style>
  <w:style w:type="paragraph" w:styleId="116">
    <w:name w:val="No Spacing"/>
    <w:qFormat/>
    <w:uiPriority w:val="1"/>
    <w:pPr>
      <w:widowControl w:val="0"/>
      <w:spacing w:line="360" w:lineRule="exact"/>
      <w:jc w:val="center"/>
    </w:pPr>
    <w:rPr>
      <w:rFonts w:ascii="Times New Roman" w:hAnsi="Times New Roman" w:eastAsia="宋体" w:cs="Times New Roman"/>
      <w:kern w:val="2"/>
      <w:sz w:val="21"/>
      <w:szCs w:val="22"/>
      <w:lang w:val="en-US" w:eastAsia="zh-CN" w:bidi="ar-SA"/>
    </w:rPr>
  </w:style>
  <w:style w:type="paragraph" w:customStyle="1" w:styleId="117">
    <w:name w:val="报告书正文"/>
    <w:basedOn w:val="38"/>
    <w:qFormat/>
    <w:uiPriority w:val="0"/>
    <w:pPr>
      <w:spacing w:line="360" w:lineRule="auto"/>
      <w:ind w:firstLine="480" w:firstLineChars="200"/>
    </w:pPr>
    <w:rPr>
      <w:sz w:val="24"/>
    </w:rPr>
  </w:style>
  <w:style w:type="paragraph" w:customStyle="1" w:styleId="118">
    <w:name w:val="0表格内容"/>
    <w:qFormat/>
    <w:uiPriority w:val="0"/>
    <w:pPr>
      <w:adjustRightInd w:val="0"/>
      <w:snapToGrid w:val="0"/>
      <w:jc w:val="center"/>
    </w:pPr>
    <w:rPr>
      <w:rFonts w:ascii="Times New Roman" w:hAnsi="Times New Roman" w:eastAsia="宋体" w:cs="Times New Roman"/>
      <w:color w:val="000000"/>
      <w:kern w:val="2"/>
      <w:sz w:val="21"/>
      <w:szCs w:val="24"/>
      <w:lang w:val="en-US" w:eastAsia="zh-CN" w:bidi="ar-SA"/>
    </w:rPr>
  </w:style>
  <w:style w:type="paragraph" w:customStyle="1" w:styleId="119">
    <w:name w:val="三"/>
    <w:basedOn w:val="1"/>
    <w:qFormat/>
    <w:uiPriority w:val="0"/>
    <w:rPr>
      <w:rFonts w:ascii="宋体"/>
      <w:sz w:val="24"/>
      <w:szCs w:val="20"/>
    </w:rPr>
  </w:style>
  <w:style w:type="paragraph" w:customStyle="1" w:styleId="120">
    <w:name w:val="lh-正文-报告表"/>
    <w:basedOn w:val="1"/>
    <w:autoRedefine/>
    <w:qFormat/>
    <w:uiPriority w:val="0"/>
    <w:pPr>
      <w:spacing w:line="360" w:lineRule="auto"/>
      <w:ind w:firstLine="480" w:firstLineChars="200"/>
    </w:pPr>
    <w:rPr>
      <w:kern w:val="0"/>
      <w:sz w:val="24"/>
      <w:szCs w:val="21"/>
    </w:rPr>
  </w:style>
  <w:style w:type="paragraph" w:customStyle="1" w:styleId="121">
    <w:name w:val="表格文字-报告表"/>
    <w:basedOn w:val="1"/>
    <w:qFormat/>
    <w:uiPriority w:val="0"/>
    <w:pPr>
      <w:adjustRightInd w:val="0"/>
      <w:spacing w:line="0" w:lineRule="atLeast"/>
      <w:jc w:val="center"/>
    </w:pPr>
    <w:rPr>
      <w:szCs w:val="21"/>
    </w:rPr>
  </w:style>
  <w:style w:type="paragraph" w:customStyle="1" w:styleId="122">
    <w:name w:val="111111正文"/>
    <w:basedOn w:val="1"/>
    <w:qFormat/>
    <w:uiPriority w:val="0"/>
    <w:pPr>
      <w:spacing w:line="360" w:lineRule="exact"/>
      <w:jc w:val="center"/>
    </w:pPr>
    <w:rPr>
      <w:kern w:val="0"/>
    </w:rPr>
  </w:style>
  <w:style w:type="paragraph" w:customStyle="1" w:styleId="123">
    <w:name w:val="小四表文左齐"/>
    <w:basedOn w:val="1"/>
    <w:qFormat/>
    <w:uiPriority w:val="0"/>
    <w:pPr>
      <w:spacing w:line="360" w:lineRule="auto"/>
    </w:pPr>
    <w:rPr>
      <w:rFonts w:ascii="宋体" w:hAnsi="宋体"/>
      <w:bCs/>
      <w:sz w:val="24"/>
    </w:rPr>
  </w:style>
  <w:style w:type="paragraph" w:customStyle="1" w:styleId="124">
    <w:name w:val="我的正文"/>
    <w:basedOn w:val="1"/>
    <w:autoRedefine/>
    <w:qFormat/>
    <w:uiPriority w:val="0"/>
    <w:pPr>
      <w:spacing w:line="360" w:lineRule="auto"/>
      <w:ind w:firstLine="480" w:firstLineChars="200"/>
      <w:contextualSpacing/>
    </w:pPr>
    <w:rPr>
      <w:rFonts w:cs="宋体"/>
      <w:color w:val="000000"/>
      <w:sz w:val="24"/>
      <w:szCs w:val="28"/>
    </w:rPr>
  </w:style>
  <w:style w:type="paragraph" w:customStyle="1" w:styleId="125">
    <w:name w:val="表头"/>
    <w:basedOn w:val="1"/>
    <w:qFormat/>
    <w:uiPriority w:val="0"/>
    <w:pPr>
      <w:jc w:val="center"/>
    </w:pPr>
    <w:rPr>
      <w:b/>
      <w:bCs/>
      <w:szCs w:val="21"/>
    </w:rPr>
  </w:style>
  <w:style w:type="paragraph" w:customStyle="1" w:styleId="126">
    <w:name w:val="表格文字"/>
    <w:basedOn w:val="13"/>
    <w:next w:val="13"/>
    <w:autoRedefine/>
    <w:qFormat/>
    <w:uiPriority w:val="0"/>
    <w:pPr>
      <w:adjustRightInd w:val="0"/>
      <w:snapToGrid w:val="0"/>
      <w:jc w:val="center"/>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7.jpeg"/><Relationship Id="rId27" Type="http://schemas.openxmlformats.org/officeDocument/2006/relationships/image" Target="media/image16.jpeg"/><Relationship Id="rId26" Type="http://schemas.openxmlformats.org/officeDocument/2006/relationships/image" Target="media/image15.jpeg"/><Relationship Id="rId25" Type="http://schemas.openxmlformats.org/officeDocument/2006/relationships/image" Target="media/image14.wmf"/><Relationship Id="rId24" Type="http://schemas.openxmlformats.org/officeDocument/2006/relationships/image" Target="media/image13.wmf"/><Relationship Id="rId23" Type="http://schemas.openxmlformats.org/officeDocument/2006/relationships/image" Target="media/image12.wmf"/><Relationship Id="rId22" Type="http://schemas.openxmlformats.org/officeDocument/2006/relationships/image" Target="media/image11.wmf"/><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wmf"/><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FFFFFF"/>
        </a:solidFill>
        <a:ln w="9525" cap="flat" cmpd="sng">
          <a:solidFill>
            <a:srgbClr val="000000"/>
          </a:solidFill>
          <a:prstDash val="solid"/>
          <a:miter/>
          <a:headEnd type="none" w="med" len="med"/>
          <a:tailEnd type="none" w="med" len="med"/>
        </a:ln>
      </a:spPr>
      <a:bodyPr upright="1"/>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2052"/>
    <customShpInfo spid="_x0000_s2050"/>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yzhg</Company>
  <Pages>62</Pages>
  <Words>44616</Words>
  <Characters>48916</Characters>
  <Lines>237</Lines>
  <Paragraphs>66</Paragraphs>
  <TotalTime>16</TotalTime>
  <ScaleCrop>false</ScaleCrop>
  <LinksUpToDate>false</LinksUpToDate>
  <CharactersWithSpaces>49392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2021-04-20T02:47:00Z</dcterms:created>
  <dc:creator>zghb0</dc:creator>
  <cp:lastModifiedBy>小坏蛋</cp:lastModifiedBy>
  <cp:lastPrinted>2024-03-05T02:23:00Z</cp:lastPrinted>
  <dcterms:modified xsi:type="dcterms:W3CDTF">2026-03-04T06:24:39Z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4F54F2DCD2F94796848CD2816BB084BA</vt:lpwstr>
  </property>
  <property fmtid="{D5CDD505-2E9C-101B-9397-08002B2CF9AE}" pid="4" name="KSOTemplateDocerSaveRecord">
    <vt:lpwstr>eyJoZGlkIjoiOGViNDY5MmI2NGJkN2ViMDIyMGZhMTc0ZTFkZGEzNDMiLCJ1c2VySWQiOiIyNTgwMjk3NzIifQ==</vt:lpwstr>
  </property>
</Properties>
</file>