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2026年部门预算信息公开目录</w:t>
      </w:r>
    </w:p>
    <w:p>
      <w:pPr>
        <w:jc w:val="center"/>
      </w:pPr>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26</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789.28</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597.16</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94.37</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46.37</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51.38</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789.28</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789.28</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789.28</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789.28</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20111</w:t>
            </w:r>
          </w:p>
        </w:tc>
        <w:tc>
          <w:tcPr>
            <w:tcW w:w="1559" w:type="dxa"/>
            <w:tcBorders>
              <w:left w:val="single" w:sz="6" w:space="0" w:color="000000"/>
            </w:tcBorders>
            <w:vAlign w:val="center"/>
          </w:tcPr>
          <w:p>
            <w:pPr>
              <w:pStyle w:val="20"/>
            </w:pPr>
            <w:r>
              <w:t>纪检监察事务</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2011101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20111</w:t>
            </w:r>
          </w:p>
        </w:tc>
        <w:tc>
          <w:tcPr>
            <w:tcW w:w="1559" w:type="dxa"/>
            <w:tcBorders>
              <w:left w:val="single" w:sz="6" w:space="0" w:color="000000"/>
            </w:tcBorders>
            <w:vAlign w:val="center"/>
          </w:tcPr>
          <w:p>
            <w:pPr>
              <w:pStyle w:val="20"/>
            </w:pPr>
            <w:r>
              <w:t>纪检监察事务</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2011101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2011104</w:t>
            </w:r>
          </w:p>
        </w:tc>
        <w:tc>
          <w:tcPr>
            <w:tcW w:w="1559" w:type="dxa"/>
            <w:tcBorders>
              <w:left w:val="single" w:sz="6" w:space="0" w:color="000000"/>
            </w:tcBorders>
            <w:vAlign w:val="center"/>
          </w:tcPr>
          <w:p>
            <w:pPr>
              <w:pStyle w:val="20"/>
            </w:pPr>
            <w:r>
              <w:t>大案要案查处</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2011199</w:t>
            </w:r>
          </w:p>
        </w:tc>
        <w:tc>
          <w:tcPr>
            <w:tcW w:w="1559" w:type="dxa"/>
            <w:tcBorders>
              <w:left w:val="single" w:sz="6" w:space="0" w:color="000000"/>
            </w:tcBorders>
            <w:vAlign w:val="center"/>
          </w:tcPr>
          <w:p>
            <w:pPr>
              <w:pStyle w:val="20"/>
            </w:pPr>
            <w:r>
              <w:t>其他纪检监察事务支出</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2080501</w:t>
            </w:r>
          </w:p>
        </w:tc>
        <w:tc>
          <w:tcPr>
            <w:tcW w:w="1559" w:type="dxa"/>
            <w:tcBorders>
              <w:left w:val="single" w:sz="6" w:space="0" w:color="000000"/>
            </w:tcBorders>
            <w:vAlign w:val="center"/>
          </w:tcPr>
          <w:p>
            <w:pPr>
              <w:pStyle w:val="20"/>
            </w:pPr>
            <w:r>
              <w:t>行政单位离退休</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789.28</w:t>
            </w:r>
          </w:p>
        </w:tc>
        <w:tc>
          <w:tcPr>
            <w:tcW w:w="1361" w:type="dxa"/>
            <w:tcBorders>
              <w:left w:val="single" w:sz="6" w:space="0" w:color="000000"/>
            </w:tcBorders>
            <w:vAlign w:val="center"/>
          </w:tcPr>
          <w:p>
            <w:pPr>
              <w:pStyle w:val="23"/>
            </w:pPr>
            <w:r>
              <w:t>695.28</w:t>
            </w:r>
          </w:p>
        </w:tc>
        <w:tc>
          <w:tcPr>
            <w:tcW w:w="1361" w:type="dxa"/>
            <w:tcBorders>
              <w:left w:val="single" w:sz="6" w:space="0" w:color="000000"/>
            </w:tcBorders>
            <w:vAlign w:val="center"/>
          </w:tcPr>
          <w:p>
            <w:pPr>
              <w:pStyle w:val="23"/>
            </w:pPr>
            <w:r>
              <w:t>94.00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597.16</w:t>
            </w:r>
          </w:p>
        </w:tc>
        <w:tc>
          <w:tcPr>
            <w:tcW w:w="1361" w:type="dxa"/>
            <w:tcBorders>
              <w:left w:val="single" w:sz="6" w:space="0" w:color="000000"/>
            </w:tcBorders>
            <w:vAlign w:val="center"/>
          </w:tcPr>
          <w:p>
            <w:pPr>
              <w:pStyle w:val="19"/>
            </w:pPr>
            <w:r>
              <w:t>503.16</w:t>
            </w:r>
          </w:p>
        </w:tc>
        <w:tc>
          <w:tcPr>
            <w:tcW w:w="1361" w:type="dxa"/>
            <w:tcBorders>
              <w:left w:val="single" w:sz="6" w:space="0" w:color="000000"/>
            </w:tcBorders>
            <w:vAlign w:val="center"/>
          </w:tcPr>
          <w:p>
            <w:pPr>
              <w:pStyle w:val="19"/>
            </w:pPr>
            <w:r>
              <w:t>94.00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1361" w:type="dxa"/>
            <w:tcBorders>
              <w:left w:val="single" w:sz="6" w:space="0" w:color="000000"/>
            </w:tcBorders>
            <w:vAlign w:val="center"/>
          </w:tcPr>
          <w:p>
            <w:pPr>
              <w:pStyle w:val="19"/>
            </w:pPr>
            <w:r>
              <w:t>512.22</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r>
              <w:t>94.00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2011104</w:t>
            </w:r>
          </w:p>
        </w:tc>
        <w:tc>
          <w:tcPr>
            <w:tcW w:w="4535" w:type="dxa"/>
            <w:tcBorders>
              <w:left w:val="single" w:sz="6" w:space="0" w:color="000000"/>
            </w:tcBorders>
            <w:vAlign w:val="center"/>
          </w:tcPr>
          <w:p>
            <w:pPr>
              <w:pStyle w:val="20"/>
            </w:pPr>
            <w:r>
              <w:t>大案要案查处</w:t>
            </w:r>
          </w:p>
        </w:tc>
        <w:tc>
          <w:tcPr>
            <w:tcW w:w="1361" w:type="dxa"/>
            <w:tcBorders>
              <w:left w:val="single" w:sz="6" w:space="0" w:color="000000"/>
            </w:tcBorders>
            <w:vAlign w:val="center"/>
          </w:tcPr>
          <w:p>
            <w:pPr>
              <w:pStyle w:val="19"/>
            </w:pPr>
            <w:r>
              <w:t>83.80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83.80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2011199</w:t>
            </w:r>
          </w:p>
        </w:tc>
        <w:tc>
          <w:tcPr>
            <w:tcW w:w="4535" w:type="dxa"/>
            <w:tcBorders>
              <w:left w:val="single" w:sz="6" w:space="0" w:color="000000"/>
            </w:tcBorders>
            <w:vAlign w:val="center"/>
          </w:tcPr>
          <w:p>
            <w:pPr>
              <w:pStyle w:val="20"/>
            </w:pPr>
            <w:r>
              <w:t>其他纪检监察事务支出</w:t>
            </w:r>
          </w:p>
        </w:tc>
        <w:tc>
          <w:tcPr>
            <w:tcW w:w="1361" w:type="dxa"/>
            <w:tcBorders>
              <w:left w:val="single" w:sz="6" w:space="0" w:color="000000"/>
            </w:tcBorders>
            <w:vAlign w:val="center"/>
          </w:tcPr>
          <w:p>
            <w:pPr>
              <w:pStyle w:val="19"/>
            </w:pPr>
            <w:r>
              <w:t>10.20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10.20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94.37</w:t>
            </w:r>
          </w:p>
        </w:tc>
        <w:tc>
          <w:tcPr>
            <w:tcW w:w="1361" w:type="dxa"/>
            <w:tcBorders>
              <w:left w:val="single" w:sz="6" w:space="0" w:color="000000"/>
            </w:tcBorders>
            <w:vAlign w:val="center"/>
          </w:tcPr>
          <w:p>
            <w:pPr>
              <w:pStyle w:val="19"/>
            </w:pPr>
            <w:r>
              <w:t>94.37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92.40</w:t>
            </w:r>
          </w:p>
        </w:tc>
        <w:tc>
          <w:tcPr>
            <w:tcW w:w="1361" w:type="dxa"/>
            <w:tcBorders>
              <w:left w:val="single" w:sz="6" w:space="0" w:color="000000"/>
            </w:tcBorders>
            <w:vAlign w:val="center"/>
          </w:tcPr>
          <w:p>
            <w:pPr>
              <w:pStyle w:val="19"/>
            </w:pPr>
            <w:r>
              <w:t>92.40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2080501</w:t>
            </w:r>
          </w:p>
        </w:tc>
        <w:tc>
          <w:tcPr>
            <w:tcW w:w="4535" w:type="dxa"/>
            <w:tcBorders>
              <w:left w:val="single" w:sz="6" w:space="0" w:color="000000"/>
            </w:tcBorders>
            <w:vAlign w:val="center"/>
          </w:tcPr>
          <w:p>
            <w:pPr>
              <w:pStyle w:val="20"/>
            </w:pPr>
            <w:r>
              <w:t>行政单位离退休</w:t>
            </w:r>
          </w:p>
        </w:tc>
        <w:tc>
          <w:tcPr>
            <w:tcW w:w="1361" w:type="dxa"/>
            <w:tcBorders>
              <w:left w:val="single" w:sz="6" w:space="0" w:color="000000"/>
            </w:tcBorders>
            <w:vAlign w:val="center"/>
          </w:tcPr>
          <w:p>
            <w:pPr>
              <w:pStyle w:val="19"/>
            </w:pPr>
            <w:r>
              <w:t>29.87</w:t>
            </w:r>
          </w:p>
        </w:tc>
        <w:tc>
          <w:tcPr>
            <w:tcW w:w="1361" w:type="dxa"/>
            <w:tcBorders>
              <w:left w:val="single" w:sz="6" w:space="0" w:color="000000"/>
            </w:tcBorders>
            <w:vAlign w:val="center"/>
          </w:tcPr>
          <w:p>
            <w:pPr>
              <w:pStyle w:val="19"/>
            </w:pPr>
            <w:r>
              <w:t>29.87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62.53</w:t>
            </w:r>
          </w:p>
        </w:tc>
        <w:tc>
          <w:tcPr>
            <w:tcW w:w="1361" w:type="dxa"/>
            <w:tcBorders>
              <w:left w:val="single" w:sz="6" w:space="0" w:color="000000"/>
            </w:tcBorders>
            <w:vAlign w:val="center"/>
          </w:tcPr>
          <w:p>
            <w:pPr>
              <w:pStyle w:val="19"/>
            </w:pPr>
            <w:r>
              <w:t>62.53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26.14</w:t>
            </w:r>
          </w:p>
        </w:tc>
        <w:tc>
          <w:tcPr>
            <w:tcW w:w="1361" w:type="dxa"/>
            <w:tcBorders>
              <w:left w:val="single" w:sz="6" w:space="0" w:color="000000"/>
            </w:tcBorders>
            <w:vAlign w:val="center"/>
          </w:tcPr>
          <w:p>
            <w:pPr>
              <w:pStyle w:val="19"/>
            </w:pPr>
            <w:r>
              <w:t>26.14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20.23</w:t>
            </w:r>
          </w:p>
        </w:tc>
        <w:tc>
          <w:tcPr>
            <w:tcW w:w="1361" w:type="dxa"/>
            <w:tcBorders>
              <w:left w:val="single" w:sz="6" w:space="0" w:color="000000"/>
            </w:tcBorders>
            <w:vAlign w:val="center"/>
          </w:tcPr>
          <w:p>
            <w:pPr>
              <w:pStyle w:val="19"/>
            </w:pPr>
            <w:r>
              <w:t>20.23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789.28</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597.16</w:t>
            </w:r>
          </w:p>
        </w:tc>
        <w:tc>
          <w:tcPr>
            <w:tcW w:w="1474" w:type="dxa"/>
            <w:tcBorders>
              <w:left w:val="single" w:sz="6" w:space="0" w:color="000000"/>
            </w:tcBorders>
            <w:vAlign w:val="center"/>
          </w:tcPr>
          <w:p>
            <w:pPr>
              <w:pStyle w:val="19"/>
            </w:pPr>
            <w:r>
              <w:t>597.16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94.37</w:t>
            </w:r>
          </w:p>
        </w:tc>
        <w:tc>
          <w:tcPr>
            <w:tcW w:w="1474" w:type="dxa"/>
            <w:tcBorders>
              <w:left w:val="single" w:sz="6" w:space="0" w:color="000000"/>
            </w:tcBorders>
            <w:vAlign w:val="center"/>
          </w:tcPr>
          <w:p>
            <w:pPr>
              <w:pStyle w:val="19"/>
            </w:pPr>
            <w:r>
              <w:t>94.37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46.37</w:t>
            </w:r>
          </w:p>
        </w:tc>
        <w:tc>
          <w:tcPr>
            <w:tcW w:w="1474" w:type="dxa"/>
            <w:tcBorders>
              <w:left w:val="single" w:sz="6" w:space="0" w:color="000000"/>
            </w:tcBorders>
            <w:vAlign w:val="center"/>
          </w:tcPr>
          <w:p>
            <w:pPr>
              <w:pStyle w:val="19"/>
            </w:pPr>
            <w:r>
              <w:t>46.37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51.38</w:t>
            </w:r>
          </w:p>
        </w:tc>
        <w:tc>
          <w:tcPr>
            <w:tcW w:w="1474" w:type="dxa"/>
            <w:tcBorders>
              <w:left w:val="single" w:sz="6" w:space="0" w:color="000000"/>
            </w:tcBorders>
            <w:vAlign w:val="center"/>
          </w:tcPr>
          <w:p>
            <w:pPr>
              <w:pStyle w:val="19"/>
            </w:pPr>
            <w:r>
              <w:t>51.38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789.28</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789.28</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789.28</w:t>
            </w:r>
          </w:p>
        </w:tc>
        <w:tc>
          <w:tcPr>
            <w:tcW w:w="2551" w:type="dxa"/>
            <w:tcBorders>
              <w:left w:val="single" w:sz="6" w:space="0" w:color="000000"/>
            </w:tcBorders>
            <w:vAlign w:val="center"/>
          </w:tcPr>
          <w:p>
            <w:pPr>
              <w:pStyle w:val="23"/>
            </w:pPr>
            <w:r>
              <w:t>695.28</w:t>
            </w:r>
          </w:p>
        </w:tc>
        <w:tc>
          <w:tcPr>
            <w:tcW w:w="2551" w:type="dxa"/>
            <w:tcBorders>
              <w:left w:val="single" w:sz="6" w:space="0" w:color="000000"/>
            </w:tcBorders>
            <w:vAlign w:val="center"/>
          </w:tcPr>
          <w:p>
            <w:pPr>
              <w:pStyle w:val="23"/>
            </w:pPr>
            <w:r>
              <w:t>94.00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597.16</w:t>
            </w:r>
          </w:p>
        </w:tc>
        <w:tc>
          <w:tcPr>
            <w:tcW w:w="2551" w:type="dxa"/>
            <w:tcBorders>
              <w:left w:val="single" w:sz="6" w:space="0" w:color="000000"/>
            </w:tcBorders>
            <w:vAlign w:val="center"/>
          </w:tcPr>
          <w:p>
            <w:pPr>
              <w:pStyle w:val="19"/>
            </w:pPr>
            <w:r>
              <w:t>503.16</w:t>
            </w:r>
          </w:p>
        </w:tc>
        <w:tc>
          <w:tcPr>
            <w:tcW w:w="2551" w:type="dxa"/>
            <w:tcBorders>
              <w:left w:val="single" w:sz="6" w:space="0" w:color="000000"/>
            </w:tcBorders>
            <w:vAlign w:val="center"/>
          </w:tcPr>
          <w:p>
            <w:pPr>
              <w:pStyle w:val="19"/>
            </w:pPr>
            <w:r>
              <w:t>94.00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2551" w:type="dxa"/>
            <w:tcBorders>
              <w:left w:val="single" w:sz="6" w:space="0" w:color="000000"/>
            </w:tcBorders>
            <w:vAlign w:val="center"/>
          </w:tcPr>
          <w:p>
            <w:pPr>
              <w:pStyle w:val="19"/>
            </w:pPr>
            <w:r>
              <w:t>512.22</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r>
              <w:t>94.00</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2011104</w:t>
            </w:r>
          </w:p>
        </w:tc>
        <w:tc>
          <w:tcPr>
            <w:tcW w:w="4535" w:type="dxa"/>
            <w:tcBorders>
              <w:left w:val="single" w:sz="6" w:space="0" w:color="000000"/>
            </w:tcBorders>
            <w:vAlign w:val="center"/>
          </w:tcPr>
          <w:p>
            <w:pPr>
              <w:pStyle w:val="20"/>
            </w:pPr>
            <w:r>
              <w:t>大案要案查处</w:t>
            </w:r>
          </w:p>
        </w:tc>
        <w:tc>
          <w:tcPr>
            <w:tcW w:w="2551" w:type="dxa"/>
            <w:tcBorders>
              <w:left w:val="single" w:sz="6" w:space="0" w:color="000000"/>
            </w:tcBorders>
            <w:vAlign w:val="center"/>
          </w:tcPr>
          <w:p>
            <w:pPr>
              <w:pStyle w:val="19"/>
            </w:pPr>
            <w:r>
              <w:t>83.80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83.80</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2011199</w:t>
            </w:r>
          </w:p>
        </w:tc>
        <w:tc>
          <w:tcPr>
            <w:tcW w:w="4535" w:type="dxa"/>
            <w:tcBorders>
              <w:left w:val="single" w:sz="6" w:space="0" w:color="000000"/>
            </w:tcBorders>
            <w:vAlign w:val="center"/>
          </w:tcPr>
          <w:p>
            <w:pPr>
              <w:pStyle w:val="20"/>
            </w:pPr>
            <w:r>
              <w:t>其他纪检监察事务支出</w:t>
            </w:r>
          </w:p>
        </w:tc>
        <w:tc>
          <w:tcPr>
            <w:tcW w:w="2551" w:type="dxa"/>
            <w:tcBorders>
              <w:left w:val="single" w:sz="6" w:space="0" w:color="000000"/>
            </w:tcBorders>
            <w:vAlign w:val="center"/>
          </w:tcPr>
          <w:p>
            <w:pPr>
              <w:pStyle w:val="19"/>
            </w:pPr>
            <w:r>
              <w:t>10.20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10.20</w:t>
            </w: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94.37</w:t>
            </w:r>
          </w:p>
        </w:tc>
        <w:tc>
          <w:tcPr>
            <w:tcW w:w="2551" w:type="dxa"/>
            <w:tcBorders>
              <w:left w:val="single" w:sz="6" w:space="0" w:color="000000"/>
            </w:tcBorders>
            <w:vAlign w:val="center"/>
          </w:tcPr>
          <w:p>
            <w:pPr>
              <w:pStyle w:val="19"/>
            </w:pPr>
            <w:r>
              <w:t>94.37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92.40</w:t>
            </w:r>
          </w:p>
        </w:tc>
        <w:tc>
          <w:tcPr>
            <w:tcW w:w="2551" w:type="dxa"/>
            <w:tcBorders>
              <w:left w:val="single" w:sz="6" w:space="0" w:color="000000"/>
            </w:tcBorders>
            <w:vAlign w:val="center"/>
          </w:tcPr>
          <w:p>
            <w:pPr>
              <w:pStyle w:val="19"/>
            </w:pPr>
            <w:r>
              <w:t>92.40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2080501</w:t>
            </w:r>
          </w:p>
        </w:tc>
        <w:tc>
          <w:tcPr>
            <w:tcW w:w="4535" w:type="dxa"/>
            <w:tcBorders>
              <w:left w:val="single" w:sz="6" w:space="0" w:color="000000"/>
            </w:tcBorders>
            <w:vAlign w:val="center"/>
          </w:tcPr>
          <w:p>
            <w:pPr>
              <w:pStyle w:val="20"/>
            </w:pPr>
            <w:r>
              <w:t>行政单位离退休</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695.28</w:t>
            </w:r>
          </w:p>
        </w:tc>
        <w:tc>
          <w:tcPr>
            <w:tcW w:w="2551" w:type="dxa"/>
            <w:tcBorders>
              <w:left w:val="single" w:sz="6" w:space="0" w:color="000000"/>
            </w:tcBorders>
            <w:vAlign w:val="center"/>
          </w:tcPr>
          <w:p>
            <w:pPr>
              <w:pStyle w:val="23"/>
            </w:pPr>
            <w:r>
              <w:t>656.44</w:t>
            </w:r>
          </w:p>
        </w:tc>
        <w:tc>
          <w:tcPr>
            <w:tcW w:w="2551" w:type="dxa"/>
            <w:tcBorders>
              <w:left w:val="single" w:sz="6" w:space="0" w:color="000000"/>
            </w:tcBorders>
            <w:vAlign w:val="center"/>
          </w:tcPr>
          <w:p>
            <w:pPr>
              <w:pStyle w:val="23"/>
            </w:pPr>
            <w:r>
              <w:t>38.84</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625.33</w:t>
            </w:r>
          </w:p>
        </w:tc>
        <w:tc>
          <w:tcPr>
            <w:tcW w:w="2551" w:type="dxa"/>
            <w:tcBorders>
              <w:left w:val="single" w:sz="6" w:space="0" w:color="000000"/>
            </w:tcBorders>
            <w:vAlign w:val="center"/>
          </w:tcPr>
          <w:p>
            <w:pPr>
              <w:pStyle w:val="19"/>
            </w:pPr>
            <w:r>
              <w:t>625.33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186.91</w:t>
            </w:r>
          </w:p>
        </w:tc>
        <w:tc>
          <w:tcPr>
            <w:tcW w:w="2551" w:type="dxa"/>
            <w:tcBorders>
              <w:left w:val="single" w:sz="6" w:space="0" w:color="000000"/>
            </w:tcBorders>
            <w:vAlign w:val="center"/>
          </w:tcPr>
          <w:p>
            <w:pPr>
              <w:pStyle w:val="19"/>
            </w:pPr>
            <w:r>
              <w:t>186.91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116.18</w:t>
            </w:r>
          </w:p>
        </w:tc>
        <w:tc>
          <w:tcPr>
            <w:tcW w:w="2551" w:type="dxa"/>
            <w:tcBorders>
              <w:left w:val="single" w:sz="6" w:space="0" w:color="000000"/>
            </w:tcBorders>
            <w:vAlign w:val="center"/>
          </w:tcPr>
          <w:p>
            <w:pPr>
              <w:pStyle w:val="19"/>
            </w:pPr>
            <w:r>
              <w:t>116.18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109.13</w:t>
            </w:r>
          </w:p>
        </w:tc>
        <w:tc>
          <w:tcPr>
            <w:tcW w:w="2551" w:type="dxa"/>
            <w:tcBorders>
              <w:left w:val="single" w:sz="6" w:space="0" w:color="000000"/>
            </w:tcBorders>
            <w:vAlign w:val="center"/>
          </w:tcPr>
          <w:p>
            <w:pPr>
              <w:pStyle w:val="19"/>
            </w:pPr>
            <w:r>
              <w:t>109.13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50.86</w:t>
            </w:r>
          </w:p>
        </w:tc>
        <w:tc>
          <w:tcPr>
            <w:tcW w:w="2551" w:type="dxa"/>
            <w:tcBorders>
              <w:left w:val="single" w:sz="6" w:space="0" w:color="000000"/>
            </w:tcBorders>
            <w:vAlign w:val="center"/>
          </w:tcPr>
          <w:p>
            <w:pPr>
              <w:pStyle w:val="19"/>
            </w:pPr>
            <w:r>
              <w:t>50.86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38.84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38.84</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3.24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3.24</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4.84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4.84</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2.60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2.60</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30231</w:t>
            </w:r>
          </w:p>
        </w:tc>
        <w:tc>
          <w:tcPr>
            <w:tcW w:w="4535" w:type="dxa"/>
            <w:tcBorders>
              <w:left w:val="single" w:sz="6" w:space="0" w:color="000000"/>
            </w:tcBorders>
            <w:vAlign w:val="center"/>
          </w:tcPr>
          <w:p>
            <w:pPr>
              <w:pStyle w:val="20"/>
            </w:pPr>
            <w:r>
              <w:t>公务用车运行维护费</w:t>
            </w:r>
          </w:p>
        </w:tc>
        <w:tc>
          <w:tcPr>
            <w:tcW w:w="2551" w:type="dxa"/>
            <w:tcBorders>
              <w:left w:val="single" w:sz="6" w:space="0" w:color="000000"/>
            </w:tcBorders>
            <w:vAlign w:val="center"/>
          </w:tcPr>
          <w:p>
            <w:pPr>
              <w:pStyle w:val="19"/>
            </w:pPr>
            <w:r>
              <w:t>8.00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8.00</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20.16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20.16</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303</w:t>
            </w:r>
          </w:p>
        </w:tc>
        <w:tc>
          <w:tcPr>
            <w:tcW w:w="4535" w:type="dxa"/>
            <w:tcBorders>
              <w:left w:val="single" w:sz="6" w:space="0" w:color="000000"/>
            </w:tcBorders>
            <w:vAlign w:val="center"/>
          </w:tcPr>
          <w:p>
            <w:pPr>
              <w:pStyle w:val="20"/>
            </w:pPr>
            <w:r>
              <w:t>对个人和家庭的补助</w:t>
            </w:r>
          </w:p>
        </w:tc>
        <w:tc>
          <w:tcPr>
            <w:tcW w:w="2551" w:type="dxa"/>
            <w:tcBorders>
              <w:left w:val="single" w:sz="6" w:space="0" w:color="000000"/>
            </w:tcBorders>
            <w:vAlign w:val="center"/>
          </w:tcPr>
          <w:p>
            <w:pPr>
              <w:pStyle w:val="19"/>
            </w:pPr>
            <w:r>
              <w:t>31.11</w:t>
            </w:r>
          </w:p>
        </w:tc>
        <w:tc>
          <w:tcPr>
            <w:tcW w:w="2551" w:type="dxa"/>
            <w:tcBorders>
              <w:left w:val="single" w:sz="6" w:space="0" w:color="000000"/>
            </w:tcBorders>
            <w:vAlign w:val="center"/>
          </w:tcPr>
          <w:p>
            <w:pPr>
              <w:pStyle w:val="19"/>
            </w:pPr>
            <w:r>
              <w:t>31.11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30302</w:t>
            </w:r>
          </w:p>
        </w:tc>
        <w:tc>
          <w:tcPr>
            <w:tcW w:w="4535" w:type="dxa"/>
            <w:tcBorders>
              <w:left w:val="single" w:sz="6" w:space="0" w:color="000000"/>
            </w:tcBorders>
            <w:vAlign w:val="center"/>
          </w:tcPr>
          <w:p>
            <w:pPr>
              <w:pStyle w:val="20"/>
            </w:pPr>
            <w:r>
              <w:t>退休费</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30305</w:t>
            </w:r>
          </w:p>
        </w:tc>
        <w:tc>
          <w:tcPr>
            <w:tcW w:w="4535" w:type="dxa"/>
            <w:tcBorders>
              <w:left w:val="single" w:sz="6" w:space="0" w:color="000000"/>
            </w:tcBorders>
            <w:vAlign w:val="center"/>
          </w:tcPr>
          <w:p>
            <w:pPr>
              <w:pStyle w:val="20"/>
            </w:pPr>
            <w:r>
              <w:t>生活补助</w:t>
            </w:r>
          </w:p>
        </w:tc>
        <w:tc>
          <w:tcPr>
            <w:tcW w:w="2551" w:type="dxa"/>
            <w:tcBorders>
              <w:left w:val="single" w:sz="6" w:space="0" w:color="000000"/>
            </w:tcBorders>
            <w:vAlign w:val="center"/>
          </w:tcPr>
          <w:p>
            <w:pPr>
              <w:pStyle w:val="19"/>
            </w:pPr>
            <w:r>
              <w:t>1.24</w:t>
            </w:r>
          </w:p>
        </w:tc>
        <w:tc>
          <w:tcPr>
            <w:tcW w:w="2551" w:type="dxa"/>
            <w:tcBorders>
              <w:left w:val="single" w:sz="6" w:space="0" w:color="000000"/>
            </w:tcBorders>
            <w:vAlign w:val="center"/>
          </w:tcPr>
          <w:p>
            <w:pPr>
              <w:pStyle w:val="19"/>
            </w:pPr>
            <w:r>
              <w:t>1.24</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ind w:firstLine="420"/>
      </w:pPr>
      <w:r>
        <w:rPr>
          <w:rFonts w:ascii="方正书宋_GBK" w:eastAsia="方正书宋_GBK" w:cs="方正书宋_GBK" w:hAnsi="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中国共产党石家庄市井陉矿区纪律检查委员会2026年部门预算信息公开情况说明</w:t>
      </w:r>
    </w:p>
    <w:p>
      <w:pPr>
        <w:jc w:val="center"/>
      </w:pPr>
      <w:r>
        <w:rPr>
          <w:rFonts w:ascii="方正小标宋_GBK" w:eastAsia="方正小标宋_GBK" w:cs="方正小标宋_GBK" w:hAnsi="方正小标宋_GBK"/>
          <w:color w:val="000000"/>
          <w:sz w:val="44"/>
        </w:rPr>
        <w:t>中国共产党石家庄市井陉矿区纪律检查委员会2026年部门预算信息公开情况说明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按照《中华人民共和国预算法》、《地方预决算公开操作规程》和《关于进一步推进预算公开工作的实施意见》规定，现将中国共产党石家庄市井陉矿区纪律检查委员会2026年部门预算公开如下：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pStyle w:val="25"/>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pPr>
        <w:pStyle w:val="25"/>
      </w:pPr>
      <w:r>
        <w:t>（二）依照党的章程和其他党内法规履行监督、执纪、问责职责。负责经常对党员进行遵守纪律的教育，作出关于维护党纪的决定；对区委工作机关、区委批准设立的党组（党委），各乡镇（街道）党（工）委、纪（工）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5"/>
      </w:pPr>
      <w:r>
        <w:t>（三）支持配合巡视、巡察工作。承担巡视、巡察整改日常监督责任，做好巡视、巡察整改督查督办工作，依规依纪依法处置巡视、巡察移交的反映领导干部问题线索。</w:t>
      </w:r>
    </w:p>
    <w:p>
      <w:pPr>
        <w:pStyle w:val="25"/>
      </w:pPr>
      <w:r>
        <w:t>（四）负责全区监察工作。贯彻落实党中央和省、市、区委关于监察工作的决策部署，维护宪法法律，依法对区委管理的行使公权力的公职人员进行监察，调查职务违法和职务犯罪，开展廉政建设和反腐败工作。</w:t>
      </w:r>
    </w:p>
    <w:p>
      <w:pPr>
        <w:pStyle w:val="25"/>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（六）负责组织协调全面从严治党、党风廉政建设和反腐败宣传教育工作。</w:t>
      </w:r>
    </w:p>
    <w:p>
      <w:pPr>
        <w:pStyle w:val="25"/>
      </w:pPr>
      <w:r>
        <w:t>（七）负责综合分析全面从严治党、党风廉政建设和反腐败工作情况，对纪检监察工作重要理论及实践问题进行调查研究；制定或者修改全区纪检监察相关制度，参与起草有关规范性文件。</w:t>
      </w:r>
    </w:p>
    <w:p>
      <w:pPr>
        <w:pStyle w:val="25"/>
      </w:pPr>
      <w:r>
        <w:t>（八）负责组织协调全区反腐败追逃追赃和防逃工作，督促有关单位做好相关工作。</w:t>
      </w:r>
    </w:p>
    <w:p>
      <w:pPr>
        <w:pStyle w:val="25"/>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干部人事工作。会同有关方面做好乡镇、街道办事处纪检监察机构建设有关工作；组织和指导全区纪检监察系统干部教育培训工作等。</w:t>
      </w:r>
    </w:p>
    <w:p>
      <w:pPr>
        <w:pStyle w:val="25"/>
      </w:pPr>
      <w:r>
        <w:t>（十）完成市纪委监委、区委交办的其他任务。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中国共产党石家庄市井陉矿区纪律检查委员会</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360" w:lineRule="auto"/>
        <w:ind w:firstLine="640"/>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按照预算管理有关规定，目前部门预算的编制实行综合预算管理，即全部收入和支出都反映在预算中。中国共产党石家庄市井陉矿区纪律检查委员会机关及所属事业单位的收支包含在部门预算中。</w:t>
      </w:r>
    </w:p>
    <w:p>
      <w:pPr>
        <w:pStyle w:val="26"/>
      </w:pPr>
      <w:r>
        <w:t>1、收入说明</w:t>
      </w:r>
    </w:p>
    <w:p>
      <w:pPr>
        <w:pStyle w:val="26"/>
      </w:pPr>
      <w:r>
        <w:t>反映本部门当年全部收入。2026年预算收入789.28万元，其中：一般公共预算收入789.28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石家庄市井陉矿区纪律检查委员会年度部门预算中支出预算的总体情况。2026年支出预算789.28万元，其中基本支出695.28万元，包括人员经费656.44万元和日常公用经费38.84万元；项目支出94.00万元，主要为办案经费支出，包括日常执纪执法监督、办案办公设备设施购置及车辆运行维护等。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789.28万元，较2025年预算增加53.94万元，其中：基本支出增加65.11万元，主要为人员工资及社会保障费用支出，机关公务用车运维等日常支出运行费用。项目支出减少11.17万元，主要为购置专用设备设施</w:t>
      </w:r>
      <w:r>
        <w:rPr>
          <w:rFonts w:eastAsia="宋体" w:hint="eastAsia"/>
          <w:lang w:eastAsia="zh-CN"/>
        </w:rPr>
        <w:t>经费</w:t>
      </w:r>
      <w:r>
        <w:t>减少。预计下年使用的单位资金结余增加0.00万元。</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2026年，我部门机关运行经费共计安排38.84万元，主要用于日常</w:t>
      </w:r>
      <w:r>
        <w:rPr>
          <w:rFonts w:eastAsia="宋体" w:hint="eastAsia"/>
          <w:lang w:eastAsia="zh-CN"/>
        </w:rPr>
        <w:t>办公费用、邮电费用、差旅费用及车辆运行维护</w:t>
      </w:r>
      <w:r>
        <w:t>等日常运行支出。</w:t>
      </w:r>
    </w:p>
    <w:p>
      <w:pPr>
        <w:spacing w:before="10" w:after="10" w:line="360" w:lineRule="auto"/>
        <w:ind w:firstLine="640"/>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2026年，我部门财政拨款“三公”经费预算安排</w:t>
      </w:r>
      <w:r>
        <w:rPr>
          <w:rFonts w:eastAsia="宋体" w:hint="eastAsia"/>
          <w:lang w:eastAsia="zh-CN"/>
        </w:rPr>
        <w:t>8</w:t>
      </w:r>
      <w:r>
        <w:t>.00万元，其中因公出国（境）费0.00万元；公务用车购置及运维费</w:t>
      </w:r>
      <w:r>
        <w:rPr>
          <w:rFonts w:eastAsia="宋体" w:hint="eastAsia"/>
          <w:lang w:eastAsia="zh-CN"/>
        </w:rPr>
        <w:t>8</w:t>
      </w:r>
      <w:r>
        <w:t>.00万元（其中：公务用车购置费为0.00万元，公务用车运维费</w:t>
      </w:r>
      <w:r>
        <w:rPr>
          <w:rFonts w:eastAsia="宋体" w:hint="eastAsia"/>
          <w:lang w:eastAsia="zh-CN"/>
        </w:rPr>
        <w:t>8</w:t>
      </w:r>
      <w:r>
        <w:t>.00万元)；公务接待费0.00万元。与2025年相比持平，无增减变化。</w:t>
      </w:r>
    </w:p>
    <w:p>
      <w:pPr>
        <w:spacing w:before="10" w:after="10" w:line="360" w:lineRule="auto"/>
        <w:ind w:firstLine="640"/>
        <w:outlineLvl w:val="2"/>
      </w:pPr>
      <w:bookmarkStart w:id="13" w:name="_Toc_3_3_0000000014"/>
      <w:r>
        <w:rPr>
          <w:rFonts w:ascii="黑体" w:eastAsia="黑体" w:cs="黑体" w:hAnsi="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9"/>
      </w:pPr>
      <w:r>
        <w:rPr>
          <w:rFonts w:hint="eastAsia"/>
        </w:rPr>
        <w:t>持之以恒推进全面从严治党，坚持围绕中心、服务大局，有力有效强化政治监督，纵深推进正风肃纪反腐，加大一体推进不敢腐、不能腐、不想腐力度，更加有力有效铲除腐败滋生的土壤和条件，全面提升工作规范化法治化正规化水平，推进新时代新征程纪检监察工作高质量发展，为实现“十五五”时期经济社会发展目标任务，加快建设省会城市美丽“后花园”新征程提供坚强保障。</w:t>
      </w:r>
      <w:bookmarkStart w:id="14" w:name="_GoBack"/>
      <w:bookmarkEnd w:id="14"/>
    </w:p>
    <w:p>
      <w:pPr>
        <w:spacing w:line="500" w:lineRule="exact"/>
        <w:ind w:firstLine="560"/>
      </w:pPr>
      <w:r>
        <w:rPr>
          <w:rFonts w:eastAsia="方正仿宋_GBK"/>
          <w:color w:val="000000"/>
          <w:sz w:val="28"/>
        </w:rPr>
        <w:t>（二）分项绩效目标</w:t>
      </w:r>
    </w:p>
    <w:p>
      <w:pPr>
        <w:pStyle w:val="30"/>
      </w:pPr>
      <w:r>
        <w:t>（一）办案问责方面。维护党纪国法尊严，坚决惩处腐败分子，有效遏制腐败现象。</w:t>
      </w:r>
    </w:p>
    <w:p>
      <w:pPr>
        <w:pStyle w:val="30"/>
      </w:pPr>
      <w:r>
        <w:t>（二）监督检查方面。加大问责力度，促进“两个责任”有效落实；包联监督常态化、全覆盖。</w:t>
      </w:r>
    </w:p>
    <w:p>
      <w:pPr>
        <w:pStyle w:val="30"/>
      </w:pPr>
      <w:r>
        <w:t>（三）党风廉政建设方面。积极发挥职能作用，加强党风廉政建设，营造风清气正、干事创业的工作氛围。</w:t>
      </w:r>
    </w:p>
    <w:p>
      <w:pPr>
        <w:pStyle w:val="30"/>
      </w:pPr>
      <w:r>
        <w:t>（四）纪检监察事务管理方面。持续深化“三转”，做好“监督执纪问责”主业的保障和服务工作。</w:t>
      </w:r>
    </w:p>
    <w:p>
      <w:pPr>
        <w:pStyle w:val="30"/>
      </w:pPr>
      <w:r>
        <w:t>（五）纪检监察机构管理方面。加强全区纪检监察系统干部队伍和组织建设，打造一支高素质、高水平的纪检监察干部队伍。</w:t>
      </w:r>
    </w:p>
    <w:p>
      <w:pPr>
        <w:spacing w:line="500" w:lineRule="exact"/>
        <w:ind w:firstLine="560"/>
      </w:pPr>
      <w:r>
        <w:rPr>
          <w:rFonts w:eastAsia="方正仿宋_GBK"/>
          <w:color w:val="000000"/>
          <w:sz w:val="28"/>
        </w:rPr>
        <w:t>（三）工作保障措施</w:t>
      </w:r>
    </w:p>
    <w:p>
      <w:pPr>
        <w:pStyle w:val="31"/>
      </w:pPr>
      <w:r>
        <w:t>（一）拓展线索收集渠道，引入信息化手段，强化线索管理，规范有序、处置及时合理，为案件查办奠定基础。</w:t>
      </w:r>
    </w:p>
    <w:p>
      <w:pPr>
        <w:pStyle w:val="31"/>
      </w:pPr>
      <w:r>
        <w:t>（二）积极发挥职能作用，加强党风廉政建设，强化政治警示教育，精准惩治腐败，营造风清气正、干事创业的工作氛围。</w:t>
      </w:r>
    </w:p>
    <w:p>
      <w:pPr>
        <w:pStyle w:val="31"/>
      </w:pPr>
      <w:r>
        <w:t>（三）加大问责力度，促进“两个责任”有效落实。</w:t>
      </w:r>
    </w:p>
    <w:p>
      <w:pPr>
        <w:pStyle w:val="31"/>
        <w:sectPr>
          <w:pgSz w:w="16840" w:h="11900" w:orient="landscape"/>
          <w:pgMar w:top="1361" w:right="1020" w:bottom="1361" w:left="1020" w:header="720" w:footer="720" w:gutter="0"/>
          <w:cols w:num="1" w:space="720"/>
          <w:docGrid w:linePitch="326" w:charSpace="0"/>
        </w:sectPr>
      </w:pPr>
      <w:r>
        <w:t>（四）强化硬件配置，为案件查办、纪检监察业务、包联监督检查、党风廉政建设提高服务和保障。</w:t>
      </w:r>
    </w:p>
    <w:p>
      <w:pPr>
        <w:spacing w:before="10" w:after="10" w:line="360" w:lineRule="auto"/>
        <w:ind w:firstLine="640"/>
        <w:outlineLvl w:val="2"/>
        <w:rPr>
          <w:rFonts w:ascii="黑体" w:eastAsia="黑体" w:cs="黑体" w:hAnsi="黑体"/>
          <w:color w:val="000000"/>
          <w:sz w:val="32"/>
          <w:lang w:eastAsia="zh-CN"/>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Chars="350" w:firstLine="1120"/>
        <w:outlineLvl w:val="2"/>
        <w:rPr>
          <w:lang w:eastAsia="zh-CN"/>
        </w:rPr>
        <w:sectPr>
          <w:pgSz w:w="16840" w:h="11900" w:orient="landscape"/>
          <w:pgMar w:top="1361" w:right="1020" w:bottom="1134" w:left="1020" w:header="720" w:footer="720" w:gutter="0"/>
          <w:cols w:num="1" w:space="720"/>
          <w:docGrid w:linePitch="326" w:charSpace="0"/>
        </w:sectPr>
      </w:pPr>
      <w:r>
        <w:rPr>
          <w:rFonts w:ascii="黑体" w:eastAsia="黑体" w:cs="黑体" w:hAnsi="黑体" w:hint="eastAsia"/>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ind w:firstLine="560"/>
      </w:pPr>
      <w:r>
        <w:rPr>
          <w:rFonts w:ascii="方正仿宋_GBK" w:eastAsia="方正仿宋_GBK" w:cs="方正仿宋_GBK" w:hAnsi="方正仿宋_GBK"/>
          <w:color w:val="000000"/>
          <w:sz w:val="28"/>
        </w:rPr>
        <w:t>1、2026年中央政法纪检监察转移支付资金绩效目标表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13010726P00005610010T</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2026年中央政法纪检监察转移支付资金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10.20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10.20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纪检监察监督，案件查办，监督落实中央八项规定精神，持续深化整治群众身边不正之风和腐败问题等方面支出。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5.00</w:t>
            </w:r>
          </w:p>
        </w:tc>
        <w:tc>
          <w:tcPr>
            <w:tcW w:w="2835" w:type="dxa"/>
            <w:tcBorders>
              <w:left w:val="single" w:sz="6" w:space="0" w:color="000000"/>
            </w:tcBorders>
            <w:vAlign w:val="center"/>
          </w:tcPr>
          <w:p>
            <w:pPr>
              <w:pStyle w:val="21"/>
            </w:pPr>
            <w:r>
              <w:t>5.20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1.引导和支持地方纪检监察机关开展业务工作，帮助提高地方基层纪检监察机关的办案和装备经费保障水平。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支持机关数量</w:t>
            </w:r>
          </w:p>
        </w:tc>
        <w:tc>
          <w:tcPr>
            <w:tcW w:w="5386" w:type="dxa"/>
            <w:tcBorders>
              <w:left w:val="single" w:sz="6" w:space="0" w:color="000000"/>
            </w:tcBorders>
            <w:vAlign w:val="center"/>
          </w:tcPr>
          <w:p>
            <w:pPr>
              <w:pStyle w:val="20"/>
            </w:pPr>
            <w:r>
              <w:t>支持机关数量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三定方案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办理各类案件数量</w:t>
            </w:r>
          </w:p>
        </w:tc>
        <w:tc>
          <w:tcPr>
            <w:tcW w:w="5386" w:type="dxa"/>
            <w:tcBorders>
              <w:left w:val="single" w:sz="6" w:space="0" w:color="000000"/>
            </w:tcBorders>
            <w:vAlign w:val="center"/>
          </w:tcPr>
          <w:p>
            <w:pPr>
              <w:pStyle w:val="20"/>
            </w:pPr>
            <w:r>
              <w:t>办理各类案件数量</w:t>
            </w:r>
          </w:p>
        </w:tc>
        <w:tc>
          <w:tcPr>
            <w:tcW w:w="2268" w:type="dxa"/>
            <w:tcBorders>
              <w:left w:val="single" w:sz="6" w:space="0" w:color="000000"/>
            </w:tcBorders>
            <w:vAlign w:val="center"/>
          </w:tcPr>
          <w:p>
            <w:pPr>
              <w:pStyle w:val="20"/>
            </w:pPr>
            <w:r>
              <w:t>≥45个</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案件办结率</w:t>
            </w:r>
          </w:p>
        </w:tc>
        <w:tc>
          <w:tcPr>
            <w:tcW w:w="5386" w:type="dxa"/>
            <w:tcBorders>
              <w:left w:val="single" w:sz="6" w:space="0" w:color="000000"/>
            </w:tcBorders>
            <w:vAlign w:val="center"/>
          </w:tcPr>
          <w:p>
            <w:pPr>
              <w:pStyle w:val="20"/>
            </w:pPr>
            <w:r>
              <w:t>有效提升案件办结率</w:t>
            </w:r>
          </w:p>
        </w:tc>
        <w:tc>
          <w:tcPr>
            <w:tcW w:w="2268" w:type="dxa"/>
            <w:tcBorders>
              <w:left w:val="single" w:sz="6" w:space="0" w:color="000000"/>
            </w:tcBorders>
            <w:vAlign w:val="center"/>
          </w:tcPr>
          <w:p>
            <w:pPr>
              <w:pStyle w:val="20"/>
            </w:pPr>
            <w:r>
              <w:t>≥80%</w:t>
            </w:r>
          </w:p>
        </w:tc>
        <w:tc>
          <w:tcPr>
            <w:tcW w:w="1276" w:type="dxa"/>
            <w:tcBorders>
              <w:left w:val="single" w:sz="6" w:space="0" w:color="000000"/>
            </w:tcBorders>
            <w:vAlign w:val="center"/>
          </w:tcPr>
          <w:p>
            <w:pPr>
              <w:pStyle w:val="20"/>
            </w:pPr>
            <w:r>
              <w:t>工作总结</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业务装备采购及时性</w:t>
            </w:r>
          </w:p>
        </w:tc>
        <w:tc>
          <w:tcPr>
            <w:tcW w:w="5386" w:type="dxa"/>
            <w:tcBorders>
              <w:left w:val="single" w:sz="6" w:space="0" w:color="000000"/>
            </w:tcBorders>
            <w:vAlign w:val="center"/>
          </w:tcPr>
          <w:p>
            <w:pPr>
              <w:pStyle w:val="20"/>
            </w:pPr>
            <w:r>
              <w:t>业务装备采购及时性、案件响应及时性</w:t>
            </w:r>
          </w:p>
        </w:tc>
        <w:tc>
          <w:tcPr>
            <w:tcW w:w="2268" w:type="dxa"/>
            <w:tcBorders>
              <w:left w:val="single" w:sz="6" w:space="0" w:color="000000"/>
            </w:tcBorders>
            <w:vAlign w:val="center"/>
          </w:tcPr>
          <w:p>
            <w:pPr>
              <w:pStyle w:val="20"/>
            </w:pPr>
            <w:r>
              <w:t>及时采购、及时响应</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项目成本</w:t>
            </w:r>
          </w:p>
        </w:tc>
        <w:tc>
          <w:tcPr>
            <w:tcW w:w="5386" w:type="dxa"/>
            <w:tcBorders>
              <w:left w:val="single" w:sz="6" w:space="0" w:color="000000"/>
            </w:tcBorders>
            <w:vAlign w:val="center"/>
          </w:tcPr>
          <w:p>
            <w:pPr>
              <w:pStyle w:val="20"/>
            </w:pPr>
            <w:r>
              <w:t>经费总额</w:t>
            </w:r>
          </w:p>
        </w:tc>
        <w:tc>
          <w:tcPr>
            <w:tcW w:w="2268" w:type="dxa"/>
            <w:tcBorders>
              <w:left w:val="single" w:sz="6" w:space="0" w:color="000000"/>
            </w:tcBorders>
            <w:vAlign w:val="center"/>
          </w:tcPr>
          <w:p>
            <w:pPr>
              <w:pStyle w:val="20"/>
            </w:pPr>
            <w:r>
              <w:t>10.2万元</w:t>
            </w:r>
          </w:p>
        </w:tc>
        <w:tc>
          <w:tcPr>
            <w:tcW w:w="1276" w:type="dxa"/>
            <w:tcBorders>
              <w:left w:val="single" w:sz="6" w:space="0" w:color="000000"/>
            </w:tcBorders>
            <w:vAlign w:val="center"/>
          </w:tcPr>
          <w:p>
            <w:pPr>
              <w:pStyle w:val="20"/>
            </w:pPr>
            <w:r>
              <w:t>预算指标</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促进改善办案条件、提升部门履职能力</w:t>
            </w:r>
          </w:p>
        </w:tc>
        <w:tc>
          <w:tcPr>
            <w:tcW w:w="5386" w:type="dxa"/>
            <w:tcBorders>
              <w:left w:val="single" w:sz="6" w:space="0" w:color="000000"/>
            </w:tcBorders>
            <w:vAlign w:val="center"/>
          </w:tcPr>
          <w:p>
            <w:pPr>
              <w:pStyle w:val="20"/>
            </w:pPr>
            <w:r>
              <w:t>促进改善办案条件、提升部门履职能力</w:t>
            </w:r>
          </w:p>
        </w:tc>
        <w:tc>
          <w:tcPr>
            <w:tcW w:w="2268" w:type="dxa"/>
            <w:tcBorders>
              <w:left w:val="single" w:sz="6" w:space="0" w:color="000000"/>
            </w:tcBorders>
            <w:vAlign w:val="center"/>
          </w:tcPr>
          <w:p>
            <w:pPr>
              <w:pStyle w:val="20"/>
            </w:pPr>
            <w:r>
              <w:t>良好</w:t>
            </w:r>
          </w:p>
        </w:tc>
        <w:tc>
          <w:tcPr>
            <w:tcW w:w="1276" w:type="dxa"/>
            <w:tcBorders>
              <w:left w:val="single" w:sz="6" w:space="0" w:color="000000"/>
            </w:tcBorders>
            <w:vAlign w:val="center"/>
          </w:tcPr>
          <w:p>
            <w:pPr>
              <w:pStyle w:val="20"/>
            </w:pPr>
            <w:r>
              <w:t>工作总结</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办案人员及社会公众满意度</w:t>
            </w:r>
          </w:p>
        </w:tc>
        <w:tc>
          <w:tcPr>
            <w:tcW w:w="5386" w:type="dxa"/>
            <w:tcBorders>
              <w:left w:val="single" w:sz="6" w:space="0" w:color="000000"/>
            </w:tcBorders>
            <w:vAlign w:val="center"/>
          </w:tcPr>
          <w:p>
            <w:pPr>
              <w:pStyle w:val="20"/>
            </w:pPr>
            <w:r>
              <w:t>办案人员满意度、社会公众满意度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调查问卷</w:t>
            </w:r>
          </w:p>
        </w:tc>
      </w:tr>
    </w:tbl>
    <w:p>
      <w:pPr>
        <w:sectPr>
          <w:type w:val="continuous"/>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2、办案经费绩效目标表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13010726P000056100122</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办案经费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83.80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83.80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主要用于纪检监察监督检查、办案、办公设备设施运维等方面支出。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21.00</w:t>
            </w:r>
          </w:p>
        </w:tc>
        <w:tc>
          <w:tcPr>
            <w:tcW w:w="2835" w:type="dxa"/>
            <w:tcBorders>
              <w:left w:val="single" w:sz="6" w:space="0" w:color="000000"/>
            </w:tcBorders>
            <w:vAlign w:val="center"/>
          </w:tcPr>
          <w:p>
            <w:pPr>
              <w:pStyle w:val="21"/>
            </w:pPr>
            <w:r>
              <w:t>23.00</w:t>
            </w:r>
          </w:p>
        </w:tc>
        <w:tc>
          <w:tcPr>
            <w:tcW w:w="2551" w:type="dxa"/>
            <w:tcBorders>
              <w:left w:val="single" w:sz="6" w:space="0" w:color="000000"/>
            </w:tcBorders>
            <w:vAlign w:val="center"/>
          </w:tcPr>
          <w:p>
            <w:pPr>
              <w:pStyle w:val="21"/>
            </w:pPr>
            <w:r>
              <w:t>22.00</w:t>
            </w:r>
          </w:p>
        </w:tc>
        <w:tc>
          <w:tcPr>
            <w:tcW w:w="3544" w:type="dxa"/>
            <w:gridSpan w:val="2"/>
            <w:tcBorders>
              <w:left w:val="single" w:sz="6" w:space="0" w:color="000000"/>
            </w:tcBorders>
            <w:vAlign w:val="center"/>
          </w:tcPr>
          <w:p>
            <w:pPr>
              <w:pStyle w:val="21"/>
            </w:pPr>
            <w:r>
              <w:t>17.80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1.引导和支持地方纪检监察机关开展业务工作，帮助提高地方基层纪检监察机关的办案和装备经费保障水平。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支持机关数量</w:t>
            </w:r>
          </w:p>
        </w:tc>
        <w:tc>
          <w:tcPr>
            <w:tcW w:w="5386" w:type="dxa"/>
            <w:tcBorders>
              <w:left w:val="single" w:sz="6" w:space="0" w:color="000000"/>
            </w:tcBorders>
            <w:vAlign w:val="center"/>
          </w:tcPr>
          <w:p>
            <w:pPr>
              <w:pStyle w:val="20"/>
            </w:pPr>
            <w:r>
              <w:t>支持机关数量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三定方案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案件办结率</w:t>
            </w:r>
          </w:p>
        </w:tc>
        <w:tc>
          <w:tcPr>
            <w:tcW w:w="5386" w:type="dxa"/>
            <w:tcBorders>
              <w:left w:val="single" w:sz="6" w:space="0" w:color="000000"/>
            </w:tcBorders>
            <w:vAlign w:val="center"/>
          </w:tcPr>
          <w:p>
            <w:pPr>
              <w:pStyle w:val="20"/>
            </w:pPr>
            <w:r>
              <w:t>提高办案质量水平</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业务装备采购及时性和案件响应及时性</w:t>
            </w:r>
          </w:p>
        </w:tc>
        <w:tc>
          <w:tcPr>
            <w:tcW w:w="5386" w:type="dxa"/>
            <w:tcBorders>
              <w:left w:val="single" w:sz="6" w:space="0" w:color="000000"/>
            </w:tcBorders>
            <w:vAlign w:val="center"/>
          </w:tcPr>
          <w:p>
            <w:pPr>
              <w:pStyle w:val="20"/>
            </w:pPr>
            <w:r>
              <w:t>办理案件的时效性</w:t>
            </w:r>
          </w:p>
        </w:tc>
        <w:tc>
          <w:tcPr>
            <w:tcW w:w="2268" w:type="dxa"/>
            <w:tcBorders>
              <w:left w:val="single" w:sz="6" w:space="0" w:color="000000"/>
            </w:tcBorders>
            <w:vAlign w:val="center"/>
          </w:tcPr>
          <w:p>
            <w:pPr>
              <w:pStyle w:val="20"/>
            </w:pPr>
            <w:r>
              <w:t>及时采购、及时响应</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办案经费</w:t>
            </w:r>
          </w:p>
        </w:tc>
        <w:tc>
          <w:tcPr>
            <w:tcW w:w="5386" w:type="dxa"/>
            <w:tcBorders>
              <w:left w:val="single" w:sz="6" w:space="0" w:color="000000"/>
            </w:tcBorders>
            <w:vAlign w:val="center"/>
          </w:tcPr>
          <w:p>
            <w:pPr>
              <w:pStyle w:val="20"/>
            </w:pPr>
            <w:r>
              <w:t>经费保障成本</w:t>
            </w:r>
          </w:p>
        </w:tc>
        <w:tc>
          <w:tcPr>
            <w:tcW w:w="2268" w:type="dxa"/>
            <w:tcBorders>
              <w:left w:val="single" w:sz="6" w:space="0" w:color="000000"/>
            </w:tcBorders>
            <w:vAlign w:val="center"/>
          </w:tcPr>
          <w:p>
            <w:pPr>
              <w:pStyle w:val="20"/>
            </w:pPr>
            <w:r>
              <w:t>83.8万元</w:t>
            </w:r>
          </w:p>
        </w:tc>
        <w:tc>
          <w:tcPr>
            <w:tcW w:w="1276" w:type="dxa"/>
            <w:tcBorders>
              <w:left w:val="single" w:sz="6" w:space="0" w:color="000000"/>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社会效益指标</w:t>
            </w:r>
          </w:p>
        </w:tc>
        <w:tc>
          <w:tcPr>
            <w:tcW w:w="5386" w:type="dxa"/>
            <w:tcBorders>
              <w:left w:val="single" w:sz="6" w:space="0" w:color="000000"/>
            </w:tcBorders>
            <w:vAlign w:val="center"/>
          </w:tcPr>
          <w:p>
            <w:pPr>
              <w:pStyle w:val="20"/>
            </w:pPr>
            <w:r>
              <w:t>促进完善办案条件，提升部门履职能力</w:t>
            </w:r>
          </w:p>
        </w:tc>
        <w:tc>
          <w:tcPr>
            <w:tcW w:w="2268" w:type="dxa"/>
            <w:tcBorders>
              <w:left w:val="single" w:sz="6" w:space="0" w:color="000000"/>
            </w:tcBorders>
            <w:vAlign w:val="center"/>
          </w:tcPr>
          <w:p>
            <w:pPr>
              <w:pStyle w:val="20"/>
            </w:pPr>
            <w:r>
              <w:t>良好</w:t>
            </w:r>
          </w:p>
        </w:tc>
        <w:tc>
          <w:tcPr>
            <w:tcW w:w="1276" w:type="dxa"/>
            <w:tcBorders>
              <w:left w:val="single" w:sz="6" w:space="0" w:color="000000"/>
            </w:tcBorders>
            <w:vAlign w:val="center"/>
          </w:tcPr>
          <w:p>
            <w:pPr>
              <w:pStyle w:val="20"/>
            </w:pPr>
            <w:r>
              <w:t>工作总结</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满意度</w:t>
            </w:r>
          </w:p>
        </w:tc>
        <w:tc>
          <w:tcPr>
            <w:tcW w:w="5386" w:type="dxa"/>
            <w:tcBorders>
              <w:left w:val="single" w:sz="6" w:space="0" w:color="000000"/>
            </w:tcBorders>
            <w:vAlign w:val="center"/>
          </w:tcPr>
          <w:p>
            <w:pPr>
              <w:pStyle w:val="20"/>
            </w:pPr>
            <w:r>
              <w:t>社会公众和办案人员满意度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2"/>
      </w:pPr>
      <w:bookmarkStart w:id="17" w:name="_Toc_3_3_0000000017"/>
      <w:r>
        <w:rPr>
          <w:rFonts w:ascii="黑体" w:eastAsia="黑体" w:cs="黑体" w:hAnsi="黑体"/>
          <w:color w:val="000000"/>
          <w:sz w:val="32"/>
        </w:rPr>
        <w:t>八、政府采购预算情况</w:t>
      </w:r>
      <w:bookmarkEnd w:id="17"/>
    </w:p>
    <w:p>
      <w:pPr>
        <w:jc w:val="center"/>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8"/>
      <w:r>
        <w:rPr>
          <w:rFonts w:ascii="黑体" w:eastAsia="黑体" w:cs="黑体" w:hAnsi="黑体"/>
          <w:color w:val="000000"/>
          <w:sz w:val="32"/>
        </w:rPr>
        <w:t>九、国有资产信息</w:t>
      </w:r>
      <w:bookmarkEnd w:id="18"/>
    </w:p>
    <w:p>
      <w:pPr>
        <w:spacing w:line="500" w:lineRule="exact"/>
        <w:ind w:firstLine="560"/>
      </w:pPr>
      <w:r>
        <w:rPr>
          <w:rFonts w:eastAsia="方正仿宋_GBK"/>
          <w:color w:val="000000"/>
          <w:sz w:val="28"/>
        </w:rPr>
        <w:t>中国共产党石家庄市井陉矿区纪律检查委员会（含所属单位）上年末固定资产金额为306.47万元（详见下表）。本年度拟购置固定资产总额为0.00万元，已按要求列入政府采购预算，详见政府采购预算表。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222中国共产党石家庄市井陉矿区纪律检查委员会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306.47</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r>
              <w:t>4</w:t>
            </w:r>
          </w:p>
        </w:tc>
        <w:tc>
          <w:tcPr>
            <w:tcW w:w="2835" w:type="dxa"/>
            <w:tcBorders>
              <w:left w:val="single" w:sz="6" w:space="0" w:color="000000"/>
            </w:tcBorders>
            <w:vAlign w:val="center"/>
          </w:tcPr>
          <w:p>
            <w:pPr>
              <w:pStyle w:val="19"/>
            </w:pPr>
            <w:r>
              <w:t>68.20</w:t>
            </w: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rPr>
                <w:rFonts w:eastAsia="宋体" w:hint="eastAsia"/>
                <w:lang w:eastAsia="zh-CN"/>
              </w:rPr>
            </w:pPr>
            <w:r>
              <w:rPr>
                <w:rFonts w:eastAsia="宋体" w:hint="eastAsia"/>
                <w:lang w:eastAsia="zh-CN"/>
              </w:rPr>
              <w:t>463</w:t>
            </w:r>
          </w:p>
        </w:tc>
        <w:tc>
          <w:tcPr>
            <w:tcW w:w="2835" w:type="dxa"/>
            <w:tcBorders>
              <w:left w:val="single" w:sz="6" w:space="0" w:color="000000"/>
            </w:tcBorders>
            <w:vAlign w:val="center"/>
          </w:tcPr>
          <w:p>
            <w:pPr>
              <w:pStyle w:val="19"/>
            </w:pPr>
            <w:r>
              <w:t>238.27</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9"/>
      <w:r>
        <w:rPr>
          <w:rFonts w:ascii="黑体" w:eastAsia="黑体" w:cs="黑体" w:hAnsi="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eastAsia="黑体" w:cs="黑体" w:hAnsi="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楷体_GBK">
    <w:altName w:val="宋体"/>
    <w:panose1 w:val="00000000000000000000"/>
    <w:charset w:val="86"/>
    <w:family w:val="roman"/>
    <w:pitch w:val="variable"/>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仿宋_GBK">
    <w:altName w:val="宋体"/>
    <w:panose1 w:val="00000000000000000000"/>
    <w:charset w:val="86"/>
    <w:family w:val="roman"/>
    <w:pitch w:val="variable"/>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jc w:val="right"/>
    </w:pPr>
    <w:rPr>
      <w:rFonts w:ascii="方正小标宋_GBK" w:eastAsia="方正小标宋_GBK" w:cs="方正小标宋_GBK" w:hAnsi="方正小标宋_GBK"/>
    </w:rPr>
  </w:style>
  <w:style w:type="paragraph" w:customStyle="1" w:styleId="16">
    <w:name w:val="单元格样式21"/>
    <w:qFormat/>
    <w:basedOn w:val="0"/>
    <w:pPr>
      <w:jc w:val="center"/>
    </w:pPr>
    <w:rPr>
      <w:rFonts w:ascii="方正小标宋_GBK" w:eastAsia="方正小标宋_GBK" w:cs="方正小标宋_GBK" w:hAnsi="方正小标宋_GBK"/>
    </w:rPr>
  </w:style>
  <w:style w:type="paragraph" w:customStyle="1" w:styleId="17">
    <w:name w:val="单元格样式20"/>
    <w:qFormat/>
    <w:basedOn w:val="0"/>
    <w:rPr>
      <w:rFonts w:ascii="方正小标宋_GBK" w:eastAsia="方正小标宋_GBK" w:cs="方正小标宋_GBK" w:hAnsi="方正小标宋_GBK"/>
    </w:rPr>
  </w:style>
  <w:style w:type="paragraph" w:customStyle="1" w:styleId="18">
    <w:name w:val="单元格样式1"/>
    <w:qFormat/>
    <w:basedOn w:val="0"/>
    <w:pPr>
      <w:jc w:val="center"/>
    </w:pPr>
    <w:rPr>
      <w:rFonts w:ascii="方正书宋_GBK" w:eastAsia="方正书宋_GBK" w:cs="方正书宋_GBK" w:hAnsi="方正书宋_GBK"/>
      <w:b/>
      <w:sz w:val="21"/>
    </w:rPr>
  </w:style>
  <w:style w:type="paragraph" w:customStyle="1" w:styleId="19">
    <w:name w:val="单元格样式4"/>
    <w:qFormat/>
    <w:basedOn w:val="0"/>
    <w:pPr>
      <w:jc w:val="right"/>
    </w:pPr>
    <w:rPr>
      <w:rFonts w:ascii="方正书宋_GBK" w:eastAsia="方正书宋_GBK" w:cs="方正书宋_GBK" w:hAnsi="方正书宋_GBK"/>
      <w:sz w:val="21"/>
    </w:rPr>
  </w:style>
  <w:style w:type="paragraph" w:customStyle="1" w:styleId="20">
    <w:name w:val="单元格样式2"/>
    <w:qFormat/>
    <w:basedOn w:val="0"/>
    <w:rPr>
      <w:rFonts w:ascii="方正书宋_GBK" w:eastAsia="方正书宋_GBK" w:cs="方正书宋_GBK" w:hAnsi="方正书宋_GBK"/>
      <w:sz w:val="21"/>
    </w:rPr>
  </w:style>
  <w:style w:type="paragraph" w:customStyle="1" w:styleId="21">
    <w:name w:val="单元格样式3"/>
    <w:qFormat/>
    <w:basedOn w:val="0"/>
    <w:pPr>
      <w:jc w:val="center"/>
    </w:pPr>
    <w:rPr>
      <w:rFonts w:ascii="方正书宋_GBK" w:eastAsia="方正书宋_GBK" w:cs="方正书宋_GBK" w:hAnsi="方正书宋_GBK"/>
      <w:sz w:val="21"/>
    </w:rPr>
  </w:style>
  <w:style w:type="paragraph" w:customStyle="1" w:styleId="22">
    <w:name w:val="单元格样式6"/>
    <w:qFormat/>
    <w:basedOn w:val="0"/>
    <w:pPr>
      <w:jc w:val="center"/>
    </w:pPr>
    <w:rPr>
      <w:rFonts w:ascii="方正书宋_GBK" w:eastAsia="方正书宋_GBK" w:cs="方正书宋_GBK" w:hAnsi="方正书宋_GBK"/>
      <w:b/>
      <w:sz w:val="21"/>
    </w:rPr>
  </w:style>
  <w:style w:type="paragraph" w:customStyle="1" w:styleId="23">
    <w:name w:val="单元格样式7"/>
    <w:qFormat/>
    <w:basedOn w:val="0"/>
    <w:pPr>
      <w:jc w:val="right"/>
    </w:pPr>
    <w:rPr>
      <w:rFonts w:ascii="方正书宋_GBK" w:eastAsia="方正书宋_GBK" w:cs="方正书宋_GBK" w:hAnsi="方正书宋_GBK"/>
      <w:b/>
      <w:sz w:val="21"/>
    </w:rPr>
  </w:style>
  <w:style w:type="paragraph" w:customStyle="1" w:styleId="24">
    <w:name w:val="单元格样式5"/>
    <w:qFormat/>
    <w:basedOn w:val="0"/>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line="500" w:lineRule="exact"/>
      <w:ind w:firstLine="560"/>
    </w:pPr>
    <w:rPr>
      <w:rFonts w:eastAsia="方正仿宋_GBK"/>
      <w:sz w:val="28"/>
    </w:rPr>
  </w:style>
  <w:style w:type="paragraph" w:customStyle="1" w:styleId="26">
    <w:name w:val="插入文本样式-插入预算公开部门预算安排的总体情况文件"/>
    <w:qFormat/>
    <w:basedOn w:val="0"/>
    <w:pPr>
      <w:spacing w:line="500" w:lineRule="exact"/>
      <w:ind w:firstLine="560"/>
    </w:pPr>
    <w:rPr>
      <w:rFonts w:eastAsia="方正仿宋_GBK"/>
      <w:sz w:val="28"/>
    </w:rPr>
  </w:style>
  <w:style w:type="paragraph" w:customStyle="1" w:styleId="27">
    <w:name w:val="插入文本样式-插入预算公开部门机关运行经费安排情况文件"/>
    <w:qFormat/>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qFormat/>
    <w:basedOn w:val="0"/>
    <w:pPr>
      <w:spacing w:line="500" w:lineRule="exact"/>
      <w:ind w:firstLine="560"/>
    </w:pPr>
    <w:rPr>
      <w:rFonts w:eastAsia="方正仿宋_GBK"/>
      <w:sz w:val="28"/>
    </w:rPr>
  </w:style>
  <w:style w:type="paragraph" w:customStyle="1" w:styleId="29">
    <w:name w:val="插入文本样式-插入总体目标文件"/>
    <w:qFormat/>
    <w:basedOn w:val="0"/>
    <w:pPr>
      <w:spacing w:line="500" w:lineRule="exact"/>
      <w:ind w:firstLine="560"/>
    </w:pPr>
    <w:rPr>
      <w:rFonts w:eastAsia="方正仿宋_GBK"/>
      <w:sz w:val="28"/>
    </w:rPr>
  </w:style>
  <w:style w:type="paragraph" w:customStyle="1" w:styleId="30">
    <w:name w:val="插入文本样式-插入职责分类绩效目标文件"/>
    <w:qFormat/>
    <w:basedOn w:val="0"/>
    <w:pPr>
      <w:spacing w:line="500" w:lineRule="exact"/>
      <w:ind w:firstLine="560"/>
    </w:pPr>
    <w:rPr>
      <w:rFonts w:eastAsia="方正仿宋_GBK"/>
      <w:sz w:val="28"/>
    </w:rPr>
  </w:style>
  <w:style w:type="paragraph" w:customStyle="1" w:styleId="31">
    <w:name w:val="插入文本样式-插入实现年度发展规划目标的保障措施文件"/>
    <w:qFormat/>
    <w:basedOn w:val="0"/>
    <w:pPr>
      <w:spacing w:line="500" w:lineRule="exact"/>
      <w:ind w:firstLine="560"/>
    </w:pPr>
    <w:rPr>
      <w:rFonts w:eastAsia="方正仿宋_GBK"/>
      <w:sz w:val="28"/>
    </w:rPr>
  </w:style>
  <w:style w:type="paragraph" w:customStyle="1" w:styleId="32">
    <w:name w:val="单元格样式23"/>
    <w:qFormat/>
    <w:pPr>
      <w:jc w:val="right"/>
    </w:pPr>
    <w:rPr>
      <w:rFonts w:ascii="方正书宋_GBK" w:eastAsia="方正书宋_GBK" w:cs="方正书宋_GBK" w:hAnsi="方正书宋_GBK"/>
      <w:sz w:val="24"/>
      <w:szCs w:val="20"/>
      <w:lang w:val="en-US" w:eastAsia="zh-CN" w:bidi="ar-SA"/>
    </w:rPr>
  </w:style>
  <w:style w:type="paragraph" w:styleId="33">
    <w:name w:val="toc 2"/>
    <w:qFormat/>
    <w:basedOn w:val="0"/>
    <w:pPr>
      <w:ind w:left="240"/>
    </w:pPr>
  </w:style>
  <w:style w:type="paragraph" w:styleId="34">
    <w:name w:val="toc 3"/>
    <w:qFormat/>
    <w:basedOn w:val="0"/>
    <w:pPr>
      <w:ind w:left="480"/>
    </w:pPr>
  </w:style>
  <w:style w:type="paragraph" w:styleId="35">
    <w:name w:val="toc 1"/>
    <w:qFormat/>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74C5660-E1A7-41E1-A15C-719C7C94FB2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TotalTime>
  <Application>Yozo_Office9.0.4819.102ZH</Application>
  <Pages>29</Pages>
  <Words>0</Words>
  <Characters>9834</Characters>
  <Lines>0</Lines>
  <Paragraphs>134</Paragraphs>
  <CharactersWithSpaces>13112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18</cp:revision>
  <dcterms:created xsi:type="dcterms:W3CDTF">2026-02-09T15:58:00Z</dcterms:created>
  <dcterms:modified xsi:type="dcterms:W3CDTF">2026-02-10T07:19:04Z</dcterms:modified>
</cp:coreProperties>
</file>