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241石家庄市井陉矿区档案馆</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178.71</w:t>
            </w:r>
          </w:p>
        </w:tc>
        <w:tc>
          <w:tcPr>
            <w:tcW w:w="4535" w:type="dxa"/>
            <w:vAlign w:val="center"/>
          </w:tcPr>
          <w:p>
            <w:pPr>
              <w:pStyle w:val="13"/>
            </w:pPr>
            <w:r>
              <w:t>一、一般公共服务支出</w:t>
            </w:r>
          </w:p>
        </w:tc>
        <w:tc>
          <w:tcPr>
            <w:tcW w:w="2126" w:type="dxa"/>
            <w:vAlign w:val="center"/>
          </w:tcPr>
          <w:p>
            <w:pPr>
              <w:pStyle w:val="12"/>
            </w:pPr>
            <w:r>
              <w:t>137.27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178.71</w:t>
            </w:r>
          </w:p>
        </w:tc>
        <w:tc>
          <w:tcPr>
            <w:tcW w:w="4535" w:type="dxa"/>
            <w:vAlign w:val="center"/>
          </w:tcPr>
          <w:p>
            <w:pPr>
              <w:pStyle w:val="15"/>
            </w:pPr>
            <w:r>
              <w:t>本年支出合计</w:t>
            </w:r>
          </w:p>
        </w:tc>
        <w:tc>
          <w:tcPr>
            <w:tcW w:w="2126" w:type="dxa"/>
            <w:vAlign w:val="center"/>
          </w:tcPr>
          <w:p>
            <w:pPr>
              <w:pStyle w:val="16"/>
            </w:pPr>
            <w:r>
              <w:t>178.71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178.71</w:t>
            </w:r>
          </w:p>
        </w:tc>
        <w:tc>
          <w:tcPr>
            <w:tcW w:w="4535" w:type="dxa"/>
            <w:vAlign w:val="center"/>
          </w:tcPr>
          <w:p>
            <w:pPr>
              <w:pStyle w:val="15"/>
            </w:pPr>
            <w:r>
              <w:t>支出总计</w:t>
            </w:r>
          </w:p>
        </w:tc>
        <w:tc>
          <w:tcPr>
            <w:tcW w:w="2126" w:type="dxa"/>
            <w:vAlign w:val="center"/>
          </w:tcPr>
          <w:p>
            <w:pPr>
              <w:pStyle w:val="16"/>
            </w:pPr>
            <w:r>
              <w:t>178.71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241石家庄市井陉矿区档案馆</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178.71</w:t>
            </w:r>
          </w:p>
        </w:tc>
        <w:tc>
          <w:tcPr>
            <w:tcW w:w="1134" w:type="dxa"/>
            <w:vAlign w:val="center"/>
          </w:tcPr>
          <w:p>
            <w:pPr>
              <w:pStyle w:val="16"/>
            </w:pPr>
            <w:r>
              <w:t>178.71</w:t>
            </w:r>
          </w:p>
        </w:tc>
        <w:tc>
          <w:tcPr>
            <w:tcW w:w="1134" w:type="dxa"/>
            <w:vAlign w:val="center"/>
          </w:tcPr>
          <w:p>
            <w:pPr>
              <w:pStyle w:val="16"/>
            </w:pPr>
            <w:r>
              <w:t>178.71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137.27</w:t>
            </w:r>
          </w:p>
        </w:tc>
        <w:tc>
          <w:tcPr>
            <w:tcW w:w="1134" w:type="dxa"/>
            <w:vAlign w:val="center"/>
          </w:tcPr>
          <w:p>
            <w:pPr>
              <w:pStyle w:val="12"/>
            </w:pPr>
            <w:r>
              <w:t>137.27</w:t>
            </w:r>
          </w:p>
        </w:tc>
        <w:tc>
          <w:tcPr>
            <w:tcW w:w="1134" w:type="dxa"/>
            <w:vAlign w:val="center"/>
          </w:tcPr>
          <w:p>
            <w:pPr>
              <w:pStyle w:val="12"/>
            </w:pPr>
            <w:r>
              <w:t>137.27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20126</w:t>
            </w:r>
          </w:p>
        </w:tc>
        <w:tc>
          <w:tcPr>
            <w:tcW w:w="1559" w:type="dxa"/>
            <w:vAlign w:val="center"/>
          </w:tcPr>
          <w:p>
            <w:pPr>
              <w:pStyle w:val="13"/>
            </w:pPr>
            <w:r>
              <w:t>档案事务</w:t>
            </w:r>
          </w:p>
        </w:tc>
        <w:tc>
          <w:tcPr>
            <w:tcW w:w="1134" w:type="dxa"/>
            <w:vAlign w:val="center"/>
          </w:tcPr>
          <w:p>
            <w:pPr>
              <w:pStyle w:val="12"/>
            </w:pPr>
            <w:r>
              <w:t>137.27</w:t>
            </w:r>
          </w:p>
        </w:tc>
        <w:tc>
          <w:tcPr>
            <w:tcW w:w="1134" w:type="dxa"/>
            <w:vAlign w:val="center"/>
          </w:tcPr>
          <w:p>
            <w:pPr>
              <w:pStyle w:val="12"/>
            </w:pPr>
            <w:r>
              <w:t>137.27</w:t>
            </w:r>
          </w:p>
        </w:tc>
        <w:tc>
          <w:tcPr>
            <w:tcW w:w="1134" w:type="dxa"/>
            <w:vAlign w:val="center"/>
          </w:tcPr>
          <w:p>
            <w:pPr>
              <w:pStyle w:val="12"/>
            </w:pPr>
            <w:r>
              <w:t>137.27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2012604</w:t>
            </w:r>
          </w:p>
        </w:tc>
        <w:tc>
          <w:tcPr>
            <w:tcW w:w="1559" w:type="dxa"/>
            <w:vAlign w:val="center"/>
          </w:tcPr>
          <w:p>
            <w:pPr>
              <w:pStyle w:val="13"/>
            </w:pPr>
            <w:r>
              <w:t>档案馆</w:t>
            </w:r>
          </w:p>
        </w:tc>
        <w:tc>
          <w:tcPr>
            <w:tcW w:w="1134" w:type="dxa"/>
            <w:vAlign w:val="center"/>
          </w:tcPr>
          <w:p>
            <w:pPr>
              <w:pStyle w:val="12"/>
            </w:pPr>
            <w:r>
              <w:t>137.27</w:t>
            </w:r>
          </w:p>
        </w:tc>
        <w:tc>
          <w:tcPr>
            <w:tcW w:w="1134" w:type="dxa"/>
            <w:vAlign w:val="center"/>
          </w:tcPr>
          <w:p>
            <w:pPr>
              <w:pStyle w:val="12"/>
            </w:pPr>
            <w:r>
              <w:t>137.27</w:t>
            </w:r>
          </w:p>
        </w:tc>
        <w:tc>
          <w:tcPr>
            <w:tcW w:w="1134" w:type="dxa"/>
            <w:vAlign w:val="center"/>
          </w:tcPr>
          <w:p>
            <w:pPr>
              <w:pStyle w:val="12"/>
            </w:pPr>
            <w:r>
              <w:t>137.27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31.53</w:t>
            </w:r>
          </w:p>
        </w:tc>
        <w:tc>
          <w:tcPr>
            <w:tcW w:w="1134" w:type="dxa"/>
            <w:vAlign w:val="center"/>
          </w:tcPr>
          <w:p>
            <w:pPr>
              <w:pStyle w:val="12"/>
            </w:pPr>
            <w:r>
              <w:t>31.53</w:t>
            </w:r>
          </w:p>
        </w:tc>
        <w:tc>
          <w:tcPr>
            <w:tcW w:w="1134" w:type="dxa"/>
            <w:vAlign w:val="center"/>
          </w:tcPr>
          <w:p>
            <w:pPr>
              <w:pStyle w:val="12"/>
            </w:pPr>
            <w:r>
              <w:t>31.53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31.15</w:t>
            </w:r>
          </w:p>
        </w:tc>
        <w:tc>
          <w:tcPr>
            <w:tcW w:w="1134" w:type="dxa"/>
            <w:vAlign w:val="center"/>
          </w:tcPr>
          <w:p>
            <w:pPr>
              <w:pStyle w:val="12"/>
            </w:pPr>
            <w:r>
              <w:t>31.15</w:t>
            </w:r>
          </w:p>
        </w:tc>
        <w:tc>
          <w:tcPr>
            <w:tcW w:w="1134" w:type="dxa"/>
            <w:vAlign w:val="center"/>
          </w:tcPr>
          <w:p>
            <w:pPr>
              <w:pStyle w:val="12"/>
            </w:pPr>
            <w:r>
              <w:t>31.15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24.76</w:t>
            </w:r>
          </w:p>
        </w:tc>
        <w:tc>
          <w:tcPr>
            <w:tcW w:w="1134" w:type="dxa"/>
            <w:vAlign w:val="center"/>
          </w:tcPr>
          <w:p>
            <w:pPr>
              <w:pStyle w:val="12"/>
            </w:pPr>
            <w:r>
              <w:t>24.76</w:t>
            </w:r>
          </w:p>
        </w:tc>
        <w:tc>
          <w:tcPr>
            <w:tcW w:w="1134" w:type="dxa"/>
            <w:vAlign w:val="center"/>
          </w:tcPr>
          <w:p>
            <w:pPr>
              <w:pStyle w:val="12"/>
            </w:pPr>
            <w:r>
              <w:t>24.76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6.39</w:t>
            </w:r>
          </w:p>
        </w:tc>
        <w:tc>
          <w:tcPr>
            <w:tcW w:w="1134" w:type="dxa"/>
            <w:vAlign w:val="center"/>
          </w:tcPr>
          <w:p>
            <w:pPr>
              <w:pStyle w:val="12"/>
            </w:pPr>
            <w:r>
              <w:t>6.39</w:t>
            </w:r>
          </w:p>
        </w:tc>
        <w:tc>
          <w:tcPr>
            <w:tcW w:w="1134" w:type="dxa"/>
            <w:vAlign w:val="center"/>
          </w:tcPr>
          <w:p>
            <w:pPr>
              <w:pStyle w:val="12"/>
            </w:pPr>
            <w:r>
              <w:t>6.39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0.38</w:t>
            </w:r>
          </w:p>
        </w:tc>
        <w:tc>
          <w:tcPr>
            <w:tcW w:w="1134" w:type="dxa"/>
            <w:vAlign w:val="center"/>
          </w:tcPr>
          <w:p>
            <w:pPr>
              <w:pStyle w:val="12"/>
            </w:pPr>
            <w:r>
              <w:t>0.38</w:t>
            </w:r>
          </w:p>
        </w:tc>
        <w:tc>
          <w:tcPr>
            <w:tcW w:w="1134" w:type="dxa"/>
            <w:vAlign w:val="center"/>
          </w:tcPr>
          <w:p>
            <w:pPr>
              <w:pStyle w:val="12"/>
            </w:pPr>
            <w:r>
              <w:t>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0.38</w:t>
            </w:r>
          </w:p>
        </w:tc>
        <w:tc>
          <w:tcPr>
            <w:tcW w:w="1134" w:type="dxa"/>
            <w:vAlign w:val="center"/>
          </w:tcPr>
          <w:p>
            <w:pPr>
              <w:pStyle w:val="12"/>
            </w:pPr>
            <w:r>
              <w:t>0.38</w:t>
            </w:r>
          </w:p>
        </w:tc>
        <w:tc>
          <w:tcPr>
            <w:tcW w:w="1134" w:type="dxa"/>
            <w:vAlign w:val="center"/>
          </w:tcPr>
          <w:p>
            <w:pPr>
              <w:pStyle w:val="12"/>
            </w:pPr>
            <w:r>
              <w:t>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4.66</w:t>
            </w:r>
          </w:p>
        </w:tc>
        <w:tc>
          <w:tcPr>
            <w:tcW w:w="1134" w:type="dxa"/>
            <w:vAlign w:val="center"/>
          </w:tcPr>
          <w:p>
            <w:pPr>
              <w:pStyle w:val="12"/>
            </w:pPr>
            <w:r>
              <w:t>4.66</w:t>
            </w:r>
          </w:p>
        </w:tc>
        <w:tc>
          <w:tcPr>
            <w:tcW w:w="1134" w:type="dxa"/>
            <w:vAlign w:val="center"/>
          </w:tcPr>
          <w:p>
            <w:pPr>
              <w:pStyle w:val="12"/>
            </w:pPr>
            <w:r>
              <w:t>4.66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4.66</w:t>
            </w:r>
          </w:p>
        </w:tc>
        <w:tc>
          <w:tcPr>
            <w:tcW w:w="1134" w:type="dxa"/>
            <w:vAlign w:val="center"/>
          </w:tcPr>
          <w:p>
            <w:pPr>
              <w:pStyle w:val="12"/>
            </w:pPr>
            <w:r>
              <w:t>4.66</w:t>
            </w:r>
          </w:p>
        </w:tc>
        <w:tc>
          <w:tcPr>
            <w:tcW w:w="1134" w:type="dxa"/>
            <w:vAlign w:val="center"/>
          </w:tcPr>
          <w:p>
            <w:pPr>
              <w:pStyle w:val="12"/>
            </w:pPr>
            <w:r>
              <w:t>4.66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2.63</w:t>
            </w:r>
          </w:p>
        </w:tc>
        <w:tc>
          <w:tcPr>
            <w:tcW w:w="1134" w:type="dxa"/>
            <w:vAlign w:val="center"/>
          </w:tcPr>
          <w:p>
            <w:pPr>
              <w:pStyle w:val="12"/>
            </w:pPr>
            <w:r>
              <w:t>2.63</w:t>
            </w:r>
          </w:p>
        </w:tc>
        <w:tc>
          <w:tcPr>
            <w:tcW w:w="1134" w:type="dxa"/>
            <w:vAlign w:val="center"/>
          </w:tcPr>
          <w:p>
            <w:pPr>
              <w:pStyle w:val="12"/>
            </w:pPr>
            <w:r>
              <w:t>2.63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2.03</w:t>
            </w:r>
          </w:p>
        </w:tc>
        <w:tc>
          <w:tcPr>
            <w:tcW w:w="1134" w:type="dxa"/>
            <w:vAlign w:val="center"/>
          </w:tcPr>
          <w:p>
            <w:pPr>
              <w:pStyle w:val="12"/>
            </w:pPr>
            <w:r>
              <w:t>2.03</w:t>
            </w:r>
          </w:p>
        </w:tc>
        <w:tc>
          <w:tcPr>
            <w:tcW w:w="1134" w:type="dxa"/>
            <w:vAlign w:val="center"/>
          </w:tcPr>
          <w:p>
            <w:pPr>
              <w:pStyle w:val="12"/>
            </w:pPr>
            <w:r>
              <w:t>2.03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r>
              <w:t>5.25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241石家庄市井陉矿区档案馆</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178.71</w:t>
            </w:r>
          </w:p>
        </w:tc>
        <w:tc>
          <w:tcPr>
            <w:tcW w:w="1361" w:type="dxa"/>
            <w:vAlign w:val="center"/>
          </w:tcPr>
          <w:p>
            <w:pPr>
              <w:pStyle w:val="16"/>
            </w:pPr>
            <w:r>
              <w:t>91.82</w:t>
            </w:r>
          </w:p>
        </w:tc>
        <w:tc>
          <w:tcPr>
            <w:tcW w:w="1361" w:type="dxa"/>
            <w:vAlign w:val="center"/>
          </w:tcPr>
          <w:p>
            <w:pPr>
              <w:pStyle w:val="16"/>
            </w:pPr>
            <w:r>
              <w:t>86.89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137.27</w:t>
            </w:r>
          </w:p>
        </w:tc>
        <w:tc>
          <w:tcPr>
            <w:tcW w:w="1361" w:type="dxa"/>
            <w:vAlign w:val="center"/>
          </w:tcPr>
          <w:p>
            <w:pPr>
              <w:pStyle w:val="12"/>
            </w:pPr>
            <w:r>
              <w:t>50.38</w:t>
            </w:r>
          </w:p>
        </w:tc>
        <w:tc>
          <w:tcPr>
            <w:tcW w:w="1361" w:type="dxa"/>
            <w:vAlign w:val="center"/>
          </w:tcPr>
          <w:p>
            <w:pPr>
              <w:pStyle w:val="12"/>
            </w:pPr>
            <w:r>
              <w:t>86.89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20126</w:t>
            </w:r>
          </w:p>
        </w:tc>
        <w:tc>
          <w:tcPr>
            <w:tcW w:w="4535" w:type="dxa"/>
            <w:vAlign w:val="center"/>
          </w:tcPr>
          <w:p>
            <w:pPr>
              <w:pStyle w:val="13"/>
            </w:pPr>
            <w:r>
              <w:t>档案事务</w:t>
            </w:r>
          </w:p>
        </w:tc>
        <w:tc>
          <w:tcPr>
            <w:tcW w:w="1361" w:type="dxa"/>
            <w:vAlign w:val="center"/>
          </w:tcPr>
          <w:p>
            <w:pPr>
              <w:pStyle w:val="12"/>
            </w:pPr>
            <w:r>
              <w:t>137.27</w:t>
            </w:r>
          </w:p>
        </w:tc>
        <w:tc>
          <w:tcPr>
            <w:tcW w:w="1361" w:type="dxa"/>
            <w:vAlign w:val="center"/>
          </w:tcPr>
          <w:p>
            <w:pPr>
              <w:pStyle w:val="12"/>
            </w:pPr>
            <w:r>
              <w:t>50.38</w:t>
            </w:r>
          </w:p>
        </w:tc>
        <w:tc>
          <w:tcPr>
            <w:tcW w:w="1361" w:type="dxa"/>
            <w:vAlign w:val="center"/>
          </w:tcPr>
          <w:p>
            <w:pPr>
              <w:pStyle w:val="12"/>
            </w:pPr>
            <w:r>
              <w:t>86.89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2012604</w:t>
            </w:r>
          </w:p>
        </w:tc>
        <w:tc>
          <w:tcPr>
            <w:tcW w:w="4535" w:type="dxa"/>
            <w:vAlign w:val="center"/>
          </w:tcPr>
          <w:p>
            <w:pPr>
              <w:pStyle w:val="13"/>
            </w:pPr>
            <w:r>
              <w:t>档案馆</w:t>
            </w:r>
          </w:p>
        </w:tc>
        <w:tc>
          <w:tcPr>
            <w:tcW w:w="1361" w:type="dxa"/>
            <w:vAlign w:val="center"/>
          </w:tcPr>
          <w:p>
            <w:pPr>
              <w:pStyle w:val="12"/>
            </w:pPr>
            <w:r>
              <w:t>137.27</w:t>
            </w:r>
          </w:p>
        </w:tc>
        <w:tc>
          <w:tcPr>
            <w:tcW w:w="1361" w:type="dxa"/>
            <w:vAlign w:val="center"/>
          </w:tcPr>
          <w:p>
            <w:pPr>
              <w:pStyle w:val="12"/>
            </w:pPr>
            <w:r>
              <w:t>50.38</w:t>
            </w:r>
          </w:p>
        </w:tc>
        <w:tc>
          <w:tcPr>
            <w:tcW w:w="1361" w:type="dxa"/>
            <w:vAlign w:val="center"/>
          </w:tcPr>
          <w:p>
            <w:pPr>
              <w:pStyle w:val="12"/>
            </w:pPr>
            <w:r>
              <w:t>86.89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31.53</w:t>
            </w:r>
          </w:p>
        </w:tc>
        <w:tc>
          <w:tcPr>
            <w:tcW w:w="1361" w:type="dxa"/>
            <w:vAlign w:val="center"/>
          </w:tcPr>
          <w:p>
            <w:pPr>
              <w:pStyle w:val="12"/>
            </w:pPr>
            <w:r>
              <w:t>31.53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31.15</w:t>
            </w:r>
          </w:p>
        </w:tc>
        <w:tc>
          <w:tcPr>
            <w:tcW w:w="1361" w:type="dxa"/>
            <w:vAlign w:val="center"/>
          </w:tcPr>
          <w:p>
            <w:pPr>
              <w:pStyle w:val="12"/>
            </w:pPr>
            <w:r>
              <w:t>31.15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24.76</w:t>
            </w:r>
          </w:p>
        </w:tc>
        <w:tc>
          <w:tcPr>
            <w:tcW w:w="1361" w:type="dxa"/>
            <w:vAlign w:val="center"/>
          </w:tcPr>
          <w:p>
            <w:pPr>
              <w:pStyle w:val="12"/>
            </w:pPr>
            <w:r>
              <w:t>24.76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6.39</w:t>
            </w:r>
          </w:p>
        </w:tc>
        <w:tc>
          <w:tcPr>
            <w:tcW w:w="1361" w:type="dxa"/>
            <w:vAlign w:val="center"/>
          </w:tcPr>
          <w:p>
            <w:pPr>
              <w:pStyle w:val="12"/>
            </w:pPr>
            <w:r>
              <w:t>6.39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0.38</w:t>
            </w:r>
          </w:p>
        </w:tc>
        <w:tc>
          <w:tcPr>
            <w:tcW w:w="1361" w:type="dxa"/>
            <w:vAlign w:val="center"/>
          </w:tcPr>
          <w:p>
            <w:pPr>
              <w:pStyle w:val="12"/>
            </w:pPr>
            <w:r>
              <w:t>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0.38</w:t>
            </w:r>
          </w:p>
        </w:tc>
        <w:tc>
          <w:tcPr>
            <w:tcW w:w="1361" w:type="dxa"/>
            <w:vAlign w:val="center"/>
          </w:tcPr>
          <w:p>
            <w:pPr>
              <w:pStyle w:val="12"/>
            </w:pPr>
            <w:r>
              <w:t>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4.66</w:t>
            </w:r>
          </w:p>
        </w:tc>
        <w:tc>
          <w:tcPr>
            <w:tcW w:w="1361" w:type="dxa"/>
            <w:vAlign w:val="center"/>
          </w:tcPr>
          <w:p>
            <w:pPr>
              <w:pStyle w:val="12"/>
            </w:pPr>
            <w:r>
              <w:t>4.66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4.66</w:t>
            </w:r>
          </w:p>
        </w:tc>
        <w:tc>
          <w:tcPr>
            <w:tcW w:w="1361" w:type="dxa"/>
            <w:vAlign w:val="center"/>
          </w:tcPr>
          <w:p>
            <w:pPr>
              <w:pStyle w:val="12"/>
            </w:pPr>
            <w:r>
              <w:t>4.66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2.63</w:t>
            </w:r>
          </w:p>
        </w:tc>
        <w:tc>
          <w:tcPr>
            <w:tcW w:w="1361" w:type="dxa"/>
            <w:vAlign w:val="center"/>
          </w:tcPr>
          <w:p>
            <w:pPr>
              <w:pStyle w:val="12"/>
            </w:pPr>
            <w:r>
              <w:t>2.63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2.03</w:t>
            </w:r>
          </w:p>
        </w:tc>
        <w:tc>
          <w:tcPr>
            <w:tcW w:w="1361" w:type="dxa"/>
            <w:vAlign w:val="center"/>
          </w:tcPr>
          <w:p>
            <w:pPr>
              <w:pStyle w:val="12"/>
            </w:pPr>
            <w:r>
              <w:t>2.03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5.25</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5.25</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5.25</w:t>
            </w:r>
          </w:p>
        </w:tc>
        <w:tc>
          <w:tcPr>
            <w:tcW w:w="1361" w:type="dxa"/>
            <w:vAlign w:val="center"/>
          </w:tcPr>
          <w:p>
            <w:pPr>
              <w:pStyle w:val="12"/>
            </w:pPr>
            <w:r>
              <w:t>5.25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241石家庄市井陉矿区档案馆</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178.71</w:t>
            </w:r>
          </w:p>
        </w:tc>
        <w:tc>
          <w:tcPr>
            <w:tcW w:w="3402" w:type="dxa"/>
            <w:vAlign w:val="center"/>
          </w:tcPr>
          <w:p>
            <w:pPr>
              <w:pStyle w:val="13"/>
            </w:pPr>
            <w:r>
              <w:t>一、一般公共服务支出</w:t>
            </w:r>
          </w:p>
        </w:tc>
        <w:tc>
          <w:tcPr>
            <w:tcW w:w="1474" w:type="dxa"/>
            <w:vAlign w:val="center"/>
          </w:tcPr>
          <w:p>
            <w:pPr>
              <w:pStyle w:val="12"/>
            </w:pPr>
            <w:r>
              <w:t>137.27</w:t>
            </w:r>
          </w:p>
        </w:tc>
        <w:tc>
          <w:tcPr>
            <w:tcW w:w="1474" w:type="dxa"/>
            <w:vAlign w:val="center"/>
          </w:tcPr>
          <w:p>
            <w:pPr>
              <w:pStyle w:val="12"/>
            </w:pPr>
            <w:r>
              <w:t>137.27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31.53</w:t>
            </w:r>
          </w:p>
        </w:tc>
        <w:tc>
          <w:tcPr>
            <w:tcW w:w="1474" w:type="dxa"/>
            <w:vAlign w:val="center"/>
          </w:tcPr>
          <w:p>
            <w:pPr>
              <w:pStyle w:val="12"/>
            </w:pPr>
            <w:r>
              <w:t>31.53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4.66</w:t>
            </w:r>
          </w:p>
        </w:tc>
        <w:tc>
          <w:tcPr>
            <w:tcW w:w="1474" w:type="dxa"/>
            <w:vAlign w:val="center"/>
          </w:tcPr>
          <w:p>
            <w:pPr>
              <w:pStyle w:val="12"/>
            </w:pPr>
            <w:r>
              <w:t>4.66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5.25</w:t>
            </w:r>
          </w:p>
        </w:tc>
        <w:tc>
          <w:tcPr>
            <w:tcW w:w="1474" w:type="dxa"/>
            <w:vAlign w:val="center"/>
          </w:tcPr>
          <w:p>
            <w:pPr>
              <w:pStyle w:val="12"/>
            </w:pPr>
            <w:r>
              <w:t>5.25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178.71</w:t>
            </w:r>
          </w:p>
        </w:tc>
        <w:tc>
          <w:tcPr>
            <w:tcW w:w="3402" w:type="dxa"/>
            <w:vAlign w:val="center"/>
          </w:tcPr>
          <w:p>
            <w:pPr>
              <w:pStyle w:val="15"/>
            </w:pPr>
            <w:r>
              <w:t>本年支出合计</w:t>
            </w:r>
          </w:p>
        </w:tc>
        <w:tc>
          <w:tcPr>
            <w:tcW w:w="1474" w:type="dxa"/>
            <w:vAlign w:val="center"/>
          </w:tcPr>
          <w:p>
            <w:pPr>
              <w:pStyle w:val="16"/>
            </w:pPr>
            <w:r>
              <w:t>178.71</w:t>
            </w:r>
          </w:p>
        </w:tc>
        <w:tc>
          <w:tcPr>
            <w:tcW w:w="1474" w:type="dxa"/>
            <w:vAlign w:val="center"/>
          </w:tcPr>
          <w:p>
            <w:pPr>
              <w:pStyle w:val="16"/>
            </w:pPr>
            <w:r>
              <w:t>178.71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178.71</w:t>
            </w:r>
          </w:p>
        </w:tc>
        <w:tc>
          <w:tcPr>
            <w:tcW w:w="3402" w:type="dxa"/>
            <w:vAlign w:val="center"/>
          </w:tcPr>
          <w:p>
            <w:pPr>
              <w:pStyle w:val="15"/>
            </w:pPr>
            <w:r>
              <w:t>支出总计</w:t>
            </w:r>
          </w:p>
        </w:tc>
        <w:tc>
          <w:tcPr>
            <w:tcW w:w="1474" w:type="dxa"/>
            <w:vAlign w:val="center"/>
          </w:tcPr>
          <w:p>
            <w:pPr>
              <w:pStyle w:val="16"/>
            </w:pPr>
            <w:r>
              <w:t>178.71</w:t>
            </w:r>
          </w:p>
        </w:tc>
        <w:tc>
          <w:tcPr>
            <w:tcW w:w="1474" w:type="dxa"/>
            <w:vAlign w:val="center"/>
          </w:tcPr>
          <w:p>
            <w:pPr>
              <w:pStyle w:val="16"/>
            </w:pPr>
            <w:r>
              <w:t>178.71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241石家庄市井陉矿区档案馆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178.71</w:t>
            </w:r>
          </w:p>
        </w:tc>
        <w:tc>
          <w:tcPr>
            <w:tcW w:w="2551" w:type="dxa"/>
            <w:vAlign w:val="center"/>
          </w:tcPr>
          <w:p>
            <w:pPr>
              <w:pStyle w:val="16"/>
            </w:pPr>
            <w:r>
              <w:t>91.82</w:t>
            </w:r>
          </w:p>
        </w:tc>
        <w:tc>
          <w:tcPr>
            <w:tcW w:w="2551" w:type="dxa"/>
            <w:vAlign w:val="center"/>
          </w:tcPr>
          <w:p>
            <w:pPr>
              <w:pStyle w:val="16"/>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137.27</w:t>
            </w:r>
          </w:p>
        </w:tc>
        <w:tc>
          <w:tcPr>
            <w:tcW w:w="2551" w:type="dxa"/>
            <w:vAlign w:val="center"/>
          </w:tcPr>
          <w:p>
            <w:pPr>
              <w:pStyle w:val="12"/>
            </w:pPr>
            <w:r>
              <w:t>50.38</w:t>
            </w:r>
          </w:p>
        </w:tc>
        <w:tc>
          <w:tcPr>
            <w:tcW w:w="2551" w:type="dxa"/>
            <w:vAlign w:val="center"/>
          </w:tcPr>
          <w:p>
            <w:pPr>
              <w:pStyle w:val="12"/>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20126</w:t>
            </w:r>
          </w:p>
        </w:tc>
        <w:tc>
          <w:tcPr>
            <w:tcW w:w="4535" w:type="dxa"/>
            <w:vAlign w:val="center"/>
          </w:tcPr>
          <w:p>
            <w:pPr>
              <w:pStyle w:val="13"/>
            </w:pPr>
            <w:r>
              <w:t>档案事务</w:t>
            </w:r>
          </w:p>
        </w:tc>
        <w:tc>
          <w:tcPr>
            <w:tcW w:w="2551" w:type="dxa"/>
            <w:vAlign w:val="center"/>
          </w:tcPr>
          <w:p>
            <w:pPr>
              <w:pStyle w:val="12"/>
            </w:pPr>
            <w:r>
              <w:t>137.27</w:t>
            </w:r>
          </w:p>
        </w:tc>
        <w:tc>
          <w:tcPr>
            <w:tcW w:w="2551" w:type="dxa"/>
            <w:vAlign w:val="center"/>
          </w:tcPr>
          <w:p>
            <w:pPr>
              <w:pStyle w:val="12"/>
            </w:pPr>
            <w:r>
              <w:t>50.38</w:t>
            </w:r>
          </w:p>
        </w:tc>
        <w:tc>
          <w:tcPr>
            <w:tcW w:w="2551" w:type="dxa"/>
            <w:vAlign w:val="center"/>
          </w:tcPr>
          <w:p>
            <w:pPr>
              <w:pStyle w:val="12"/>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2012604</w:t>
            </w:r>
          </w:p>
        </w:tc>
        <w:tc>
          <w:tcPr>
            <w:tcW w:w="4535" w:type="dxa"/>
            <w:vAlign w:val="center"/>
          </w:tcPr>
          <w:p>
            <w:pPr>
              <w:pStyle w:val="13"/>
            </w:pPr>
            <w:r>
              <w:t>档案馆</w:t>
            </w:r>
          </w:p>
        </w:tc>
        <w:tc>
          <w:tcPr>
            <w:tcW w:w="2551" w:type="dxa"/>
            <w:vAlign w:val="center"/>
          </w:tcPr>
          <w:p>
            <w:pPr>
              <w:pStyle w:val="12"/>
            </w:pPr>
            <w:r>
              <w:t>137.27</w:t>
            </w:r>
          </w:p>
        </w:tc>
        <w:tc>
          <w:tcPr>
            <w:tcW w:w="2551" w:type="dxa"/>
            <w:vAlign w:val="center"/>
          </w:tcPr>
          <w:p>
            <w:pPr>
              <w:pStyle w:val="12"/>
            </w:pPr>
            <w:r>
              <w:t>50.38</w:t>
            </w:r>
          </w:p>
        </w:tc>
        <w:tc>
          <w:tcPr>
            <w:tcW w:w="2551" w:type="dxa"/>
            <w:vAlign w:val="center"/>
          </w:tcPr>
          <w:p>
            <w:pPr>
              <w:pStyle w:val="12"/>
            </w:pPr>
            <w:r>
              <w:t>86.89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31.53</w:t>
            </w:r>
          </w:p>
        </w:tc>
        <w:tc>
          <w:tcPr>
            <w:tcW w:w="2551" w:type="dxa"/>
            <w:vAlign w:val="center"/>
          </w:tcPr>
          <w:p>
            <w:pPr>
              <w:pStyle w:val="12"/>
            </w:pPr>
            <w:r>
              <w:t>31.53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31.15</w:t>
            </w:r>
          </w:p>
        </w:tc>
        <w:tc>
          <w:tcPr>
            <w:tcW w:w="2551" w:type="dxa"/>
            <w:vAlign w:val="center"/>
          </w:tcPr>
          <w:p>
            <w:pPr>
              <w:pStyle w:val="12"/>
            </w:pPr>
            <w:r>
              <w:t>31.15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24.76</w:t>
            </w:r>
          </w:p>
        </w:tc>
        <w:tc>
          <w:tcPr>
            <w:tcW w:w="2551" w:type="dxa"/>
            <w:vAlign w:val="center"/>
          </w:tcPr>
          <w:p>
            <w:pPr>
              <w:pStyle w:val="12"/>
            </w:pPr>
            <w:r>
              <w:t>24.76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6.39</w:t>
            </w:r>
          </w:p>
        </w:tc>
        <w:tc>
          <w:tcPr>
            <w:tcW w:w="2551" w:type="dxa"/>
            <w:vAlign w:val="center"/>
          </w:tcPr>
          <w:p>
            <w:pPr>
              <w:pStyle w:val="12"/>
            </w:pPr>
            <w:r>
              <w:t>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0.38</w:t>
            </w:r>
          </w:p>
        </w:tc>
        <w:tc>
          <w:tcPr>
            <w:tcW w:w="2551" w:type="dxa"/>
            <w:vAlign w:val="center"/>
          </w:tcPr>
          <w:p>
            <w:pPr>
              <w:pStyle w:val="12"/>
            </w:pPr>
            <w:r>
              <w:t>0.38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0.38</w:t>
            </w:r>
          </w:p>
        </w:tc>
        <w:tc>
          <w:tcPr>
            <w:tcW w:w="2551" w:type="dxa"/>
            <w:vAlign w:val="center"/>
          </w:tcPr>
          <w:p>
            <w:pPr>
              <w:pStyle w:val="12"/>
            </w:pPr>
            <w:r>
              <w:t>0.38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4.66</w:t>
            </w:r>
          </w:p>
        </w:tc>
        <w:tc>
          <w:tcPr>
            <w:tcW w:w="2551" w:type="dxa"/>
            <w:vAlign w:val="center"/>
          </w:tcPr>
          <w:p>
            <w:pPr>
              <w:pStyle w:val="12"/>
            </w:pPr>
            <w:r>
              <w:t>4.66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4.66</w:t>
            </w:r>
          </w:p>
        </w:tc>
        <w:tc>
          <w:tcPr>
            <w:tcW w:w="2551" w:type="dxa"/>
            <w:vAlign w:val="center"/>
          </w:tcPr>
          <w:p>
            <w:pPr>
              <w:pStyle w:val="12"/>
            </w:pPr>
            <w:r>
              <w:t>4.66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2.63</w:t>
            </w:r>
          </w:p>
        </w:tc>
        <w:tc>
          <w:tcPr>
            <w:tcW w:w="2551" w:type="dxa"/>
            <w:vAlign w:val="center"/>
          </w:tcPr>
          <w:p>
            <w:pPr>
              <w:pStyle w:val="12"/>
            </w:pPr>
            <w:r>
              <w:t>2.63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2.03</w:t>
            </w:r>
          </w:p>
        </w:tc>
        <w:tc>
          <w:tcPr>
            <w:tcW w:w="2551" w:type="dxa"/>
            <w:vAlign w:val="center"/>
          </w:tcPr>
          <w:p>
            <w:pPr>
              <w:pStyle w:val="12"/>
            </w:pPr>
            <w:r>
              <w:t>2.03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241石家庄市井陉矿区档案馆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91.82</w:t>
            </w:r>
          </w:p>
        </w:tc>
        <w:tc>
          <w:tcPr>
            <w:tcW w:w="2551" w:type="dxa"/>
            <w:vAlign w:val="center"/>
          </w:tcPr>
          <w:p>
            <w:pPr>
              <w:pStyle w:val="16"/>
            </w:pPr>
            <w:r>
              <w:t>87.68</w:t>
            </w:r>
          </w:p>
        </w:tc>
        <w:tc>
          <w:tcPr>
            <w:tcW w:w="2551" w:type="dxa"/>
            <w:vAlign w:val="center"/>
          </w:tcPr>
          <w:p>
            <w:pPr>
              <w:pStyle w:val="16"/>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62.92</w:t>
            </w:r>
          </w:p>
        </w:tc>
        <w:tc>
          <w:tcPr>
            <w:tcW w:w="2551" w:type="dxa"/>
            <w:vAlign w:val="center"/>
          </w:tcPr>
          <w:p>
            <w:pPr>
              <w:pStyle w:val="12"/>
            </w:pPr>
            <w:r>
              <w:t>62.92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18.25</w:t>
            </w:r>
          </w:p>
        </w:tc>
        <w:tc>
          <w:tcPr>
            <w:tcW w:w="2551" w:type="dxa"/>
            <w:vAlign w:val="center"/>
          </w:tcPr>
          <w:p>
            <w:pPr>
              <w:pStyle w:val="12"/>
            </w:pPr>
            <w:r>
              <w:t>18.25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2.51</w:t>
            </w:r>
          </w:p>
        </w:tc>
        <w:tc>
          <w:tcPr>
            <w:tcW w:w="2551" w:type="dxa"/>
            <w:vAlign w:val="center"/>
          </w:tcPr>
          <w:p>
            <w:pPr>
              <w:pStyle w:val="12"/>
            </w:pPr>
            <w:r>
              <w:t>2.51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25.48</w:t>
            </w:r>
          </w:p>
        </w:tc>
        <w:tc>
          <w:tcPr>
            <w:tcW w:w="2551" w:type="dxa"/>
            <w:vAlign w:val="center"/>
          </w:tcPr>
          <w:p>
            <w:pPr>
              <w:pStyle w:val="12"/>
            </w:pPr>
            <w:r>
              <w:t>25.48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6.39</w:t>
            </w:r>
          </w:p>
        </w:tc>
        <w:tc>
          <w:tcPr>
            <w:tcW w:w="2551" w:type="dxa"/>
            <w:vAlign w:val="center"/>
          </w:tcPr>
          <w:p>
            <w:pPr>
              <w:pStyle w:val="12"/>
            </w:pPr>
            <w:r>
              <w:t>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2.63</w:t>
            </w:r>
          </w:p>
        </w:tc>
        <w:tc>
          <w:tcPr>
            <w:tcW w:w="2551" w:type="dxa"/>
            <w:vAlign w:val="center"/>
          </w:tcPr>
          <w:p>
            <w:pPr>
              <w:pStyle w:val="12"/>
            </w:pPr>
            <w:r>
              <w:t>2.63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2.03</w:t>
            </w:r>
          </w:p>
        </w:tc>
        <w:tc>
          <w:tcPr>
            <w:tcW w:w="2551" w:type="dxa"/>
            <w:vAlign w:val="center"/>
          </w:tcPr>
          <w:p>
            <w:pPr>
              <w:pStyle w:val="12"/>
            </w:pPr>
            <w:r>
              <w:t>2.03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0.38</w:t>
            </w:r>
          </w:p>
        </w:tc>
        <w:tc>
          <w:tcPr>
            <w:tcW w:w="2551" w:type="dxa"/>
            <w:vAlign w:val="center"/>
          </w:tcPr>
          <w:p>
            <w:pPr>
              <w:pStyle w:val="12"/>
            </w:pPr>
            <w:r>
              <w:t>0.38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5.25</w:t>
            </w:r>
          </w:p>
        </w:tc>
        <w:tc>
          <w:tcPr>
            <w:tcW w:w="2551" w:type="dxa"/>
            <w:vAlign w:val="center"/>
          </w:tcPr>
          <w:p>
            <w:pPr>
              <w:pStyle w:val="12"/>
            </w:pPr>
            <w:r>
              <w:t>5.25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4.14</w:t>
            </w:r>
          </w:p>
        </w:tc>
        <w:tc>
          <w:tcPr>
            <w:tcW w:w="2551" w:type="dxa"/>
            <w:vAlign w:val="center"/>
          </w:tcPr>
          <w:p>
            <w:pPr>
              <w:pStyle w:val="12"/>
            </w:pPr>
          </w:p>
        </w:tc>
        <w:tc>
          <w:tcPr>
            <w:tcW w:w="2551" w:type="dxa"/>
            <w:vAlign w:val="center"/>
          </w:tcPr>
          <w:p>
            <w:pPr>
              <w:pStyle w:val="12"/>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0.55</w:t>
            </w:r>
          </w:p>
        </w:tc>
        <w:tc>
          <w:tcPr>
            <w:tcW w:w="2551" w:type="dxa"/>
            <w:vAlign w:val="center"/>
          </w:tcPr>
          <w:p>
            <w:pPr>
              <w:pStyle w:val="12"/>
            </w:pPr>
          </w:p>
        </w:tc>
        <w:tc>
          <w:tcPr>
            <w:tcW w:w="2551" w:type="dxa"/>
            <w:vAlign w:val="center"/>
          </w:tcPr>
          <w:p>
            <w:pPr>
              <w:pStyle w:val="12"/>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0.04</w:t>
            </w:r>
          </w:p>
        </w:tc>
        <w:tc>
          <w:tcPr>
            <w:tcW w:w="2551" w:type="dxa"/>
            <w:vAlign w:val="center"/>
          </w:tcPr>
          <w:p>
            <w:pPr>
              <w:pStyle w:val="12"/>
            </w:pPr>
          </w:p>
        </w:tc>
        <w:tc>
          <w:tcPr>
            <w:tcW w:w="2551"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2.16</w:t>
            </w:r>
          </w:p>
        </w:tc>
        <w:tc>
          <w:tcPr>
            <w:tcW w:w="2551" w:type="dxa"/>
            <w:vAlign w:val="center"/>
          </w:tcPr>
          <w:p>
            <w:pPr>
              <w:pStyle w:val="12"/>
            </w:pPr>
          </w:p>
        </w:tc>
        <w:tc>
          <w:tcPr>
            <w:tcW w:w="2551" w:type="dxa"/>
            <w:vAlign w:val="center"/>
          </w:tcPr>
          <w:p>
            <w:pPr>
              <w:pStyle w:val="12"/>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1.28</w:t>
            </w:r>
          </w:p>
        </w:tc>
        <w:tc>
          <w:tcPr>
            <w:tcW w:w="2551" w:type="dxa"/>
            <w:vAlign w:val="center"/>
          </w:tcPr>
          <w:p>
            <w:pPr>
              <w:pStyle w:val="12"/>
            </w:pPr>
          </w:p>
        </w:tc>
        <w:tc>
          <w:tcPr>
            <w:tcW w:w="2551" w:type="dxa"/>
            <w:vAlign w:val="center"/>
          </w:tcPr>
          <w:p>
            <w:pPr>
              <w:pStyle w:val="12"/>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24.76</w:t>
            </w:r>
          </w:p>
        </w:tc>
        <w:tc>
          <w:tcPr>
            <w:tcW w:w="2551" w:type="dxa"/>
            <w:vAlign w:val="center"/>
          </w:tcPr>
          <w:p>
            <w:pPr>
              <w:pStyle w:val="12"/>
            </w:pPr>
            <w:r>
              <w:t>24.76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24.76</w:t>
            </w:r>
          </w:p>
        </w:tc>
        <w:tc>
          <w:tcPr>
            <w:tcW w:w="2551" w:type="dxa"/>
            <w:vAlign w:val="center"/>
          </w:tcPr>
          <w:p>
            <w:pPr>
              <w:pStyle w:val="12"/>
            </w:pPr>
            <w:r>
              <w:t>24.76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241石家庄市井陉矿区档案馆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241石家庄市井陉矿区档案馆</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241石家庄市井陉矿区档案馆</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石家庄市井陉矿区档案馆2026年部门预算信息公开情况说明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石家庄市井陉矿区档案馆2026年部门预算信息公开情况说明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按照《中华人民共和国预算法》、《地方预决算公开操作规程》和《关于进一步推进预算公开工作的实施意见》规定，现将石家庄市井陉矿区档案馆2026年部门预算公开如下：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档案馆主要职能为依法行政管理全区档案事业；做好档案资源建设和保管，优化馆藏，做好重点档案抢救、保护和信息化管理工作。提供档案查阅和利用，培育档案文化产业，推进全区档案信息化工作；有计划地开展档案征集；负责内部综合事务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石家庄市井陉矿区档案馆</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按照预算管理有关规定，目前部门预算的编制实行综合预算管理，即全部收入和支出都反映在预算中。石家庄市井陉矿区档案馆机关及所属事业单位的收支包含在部门预算中。</w:t>
      </w:r>
    </w:p>
    <w:p>
      <w:pPr>
        <w:pStyle w:val="19"/>
      </w:pPr>
      <w:r>
        <w:t>1、收入说明</w:t>
      </w:r>
    </w:p>
    <w:p>
      <w:pPr>
        <w:pStyle w:val="19"/>
      </w:pPr>
      <w:r>
        <w:t>反映本部门当年全部收入。2026年预算收入178.71万元，其中：一般公共预算收入178.71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档案馆年度部门预算中支出预算的总体情况。2026年支出预算178.71万元，其中基本支出91.82万元，包括人员经费87.68万元和日常公用经费4.14万元；项目支出86.89万元，主要为人员经费和项目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rPr>
          <w:rFonts w:ascii="黑体" w:hAnsi="黑体" w:eastAsia="黑体" w:cs="黑体"/>
          <w:color w:val="000000"/>
          <w:sz w:val="32"/>
        </w:rPr>
      </w:pPr>
      <w:r>
        <w:t>2026年预算收支安排178.71万元，较2025年预算增加178.71万元，其中：基本支出增加91.82万元，主要为人员经费和项目经费项目支出增加86.89万元，主要为综合档案馆建设项目和地方志编纂经费。预计下年使用的单位资金结余增加0.00万元。</w:t>
      </w: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19"/>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年，我</w:t>
      </w:r>
      <w:r>
        <w:rPr>
          <w:rFonts w:hint="eastAsia"/>
          <w:lang w:val="en-US" w:eastAsia="zh-CN"/>
        </w:rPr>
        <w:t>单位</w:t>
      </w:r>
      <w:r>
        <w:rPr>
          <w:rFonts w:hint="eastAsia"/>
          <w:lang w:val="en-US" w:eastAsia="uk-UA"/>
        </w:rPr>
        <w:t>机关运行经费共计</w:t>
      </w:r>
      <w:r>
        <w:rPr>
          <w:rFonts w:hint="eastAsia"/>
          <w:lang w:val="en-US" w:eastAsia="zh-CN"/>
        </w:rPr>
        <w:t>4.14</w:t>
      </w:r>
      <w:r>
        <w:rPr>
          <w:rFonts w:hint="eastAsia"/>
          <w:lang w:val="en-US" w:eastAsia="uk-UA"/>
        </w:rPr>
        <w:t>万元，主要用于保证机关正常运转的邮电费、差旅费、</w:t>
      </w:r>
      <w:r>
        <w:rPr>
          <w:rFonts w:hint="eastAsia"/>
          <w:lang w:val="en-US" w:eastAsia="zh-CN"/>
        </w:rPr>
        <w:t>办公费</w:t>
      </w:r>
      <w:r>
        <w:rPr>
          <w:rFonts w:hint="eastAsia"/>
          <w:lang w:val="en-US" w:eastAsia="uk-UA"/>
        </w:rPr>
        <w:t>、</w:t>
      </w:r>
      <w:r>
        <w:rPr>
          <w:rFonts w:hint="eastAsia"/>
          <w:lang w:val="en-US" w:eastAsia="zh-CN"/>
        </w:rPr>
        <w:t>交通补贴</w:t>
      </w:r>
      <w:r>
        <w:rPr>
          <w:rFonts w:hint="eastAsia"/>
          <w:lang w:val="en-US" w:eastAsia="uk-UA"/>
        </w:rPr>
        <w:t>等支出。</w:t>
      </w:r>
    </w:p>
    <w:p>
      <w:pPr>
        <w:pStyle w:val="19"/>
        <w:rPr>
          <w:rFonts w:hint="eastAsia"/>
          <w:lang w:val="en-US" w:eastAsia="uk-UA"/>
        </w:rPr>
      </w:pPr>
    </w:p>
    <w:p>
      <w:pPr>
        <w:pStyle w:val="19"/>
        <w:rPr>
          <w:rFonts w:hint="eastAsia"/>
          <w:lang w:val="en-US" w:eastAsia="uk-UA"/>
        </w:r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spacing w:before="0" w:after="0" w:line="500" w:lineRule="exact"/>
        <w:ind w:firstLine="560"/>
        <w:jc w:val="left"/>
        <w:outlineLvl w:val="9"/>
        <w:rPr>
          <w:rFonts w:hint="eastAsia" w:eastAsia="方正仿宋_GBK" w:cs="Times New Roman"/>
          <w:color w:val="000000"/>
          <w:sz w:val="28"/>
          <w:lang w:eastAsia="zh-CN"/>
        </w:rPr>
      </w:pPr>
      <w:bookmarkStart w:id="13" w:name="_Toc_3_3_0000000014"/>
      <w:r>
        <w:rPr>
          <w:rFonts w:hint="eastAsia" w:eastAsia="方正仿宋_GBK" w:cs="Times New Roman"/>
          <w:color w:val="000000"/>
          <w:sz w:val="28"/>
          <w:lang w:val="en-US" w:eastAsia="zh-CN"/>
        </w:rPr>
        <w:t>2026年，</w:t>
      </w:r>
      <w:r>
        <w:rPr>
          <w:rFonts w:hint="eastAsia" w:eastAsia="方正仿宋_GBK" w:cs="Times New Roman"/>
          <w:color w:val="000000"/>
          <w:sz w:val="28"/>
          <w:lang w:eastAsia="zh-CN"/>
        </w:rPr>
        <w:t>我部门财政拨款“三公”经费预算安排0万元，其中：因公出国（境）费0万元，与上年无变化；公务用车购置及运维费0万元，与上年无变化。（其中：公务用车购置费0万元，公务用车运行维护费0万元)；公务接待费0万元，与上年无变化。</w:t>
      </w:r>
    </w:p>
    <w:p>
      <w:pPr>
        <w:spacing w:before="10" w:after="10" w:line="360" w:lineRule="auto"/>
        <w:ind w:firstLine="640" w:firstLineChars="200"/>
        <w:jc w:val="left"/>
        <w:outlineLvl w:val="2"/>
      </w:pPr>
      <w:r>
        <w:rPr>
          <w:rFonts w:ascii="黑体" w:hAnsi="黑体" w:eastAsia="黑体" w:cs="黑体"/>
          <w:color w:val="000000"/>
          <w:sz w:val="32"/>
        </w:rPr>
        <w:t>五、部门整体绩</w:t>
      </w:r>
      <w:bookmarkStart w:id="20" w:name="_GoBack"/>
      <w:bookmarkEnd w:id="20"/>
      <w:r>
        <w:rPr>
          <w:rFonts w:ascii="黑体" w:hAnsi="黑体" w:eastAsia="黑体" w:cs="黑体"/>
          <w:color w:val="000000"/>
          <w:sz w:val="32"/>
        </w:rPr>
        <w:t>效目标</w:t>
      </w:r>
      <w:bookmarkEnd w:id="13"/>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以“为党管档，为国守史，为民服务”为使命担当，紧紧围绕区委中心工作，做好档案的收、管、存、用，深入挖掘馆藏和地情资源，充分发挥档案方志存史、资政、育人功能，自觉服务全区经济和社会发展大局，开拓创新，奋力开创档案馆工作的新局面，不断激发和释放档案馆的生机和活力。</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做好《井陉矿区年鉴</w:t>
      </w:r>
      <w:r>
        <w:rPr>
          <w:rFonts w:hint="eastAsia" w:eastAsia="方正仿宋_GBK" w:cs="Times New Roman"/>
          <w:color w:val="000000"/>
          <w:sz w:val="28"/>
          <w:lang w:val="en-US" w:eastAsia="zh-CN"/>
        </w:rPr>
        <w:t>2026</w:t>
      </w:r>
      <w:r>
        <w:rPr>
          <w:rFonts w:hint="eastAsia" w:eastAsia="方正仿宋_GBK" w:cs="Times New Roman"/>
          <w:color w:val="000000"/>
          <w:sz w:val="28"/>
          <w:lang w:eastAsia="zh-CN"/>
        </w:rPr>
        <w:t>》编辑出版印刷工作，框架编排合理，内容记述准确，具有编纂委员会、简介、目录、类目等主要要素，符合规定出版。对馆藏档案进行规范整理并数字化，提高档案管理现代化水平，更好的保存历史资料。</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（二）分项绩效目标</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高标准完成年鉴编纂工作</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绩效目标：完成《井陉矿区年鉴2026》的资料搜集及编纂出版印刷。</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绩效指标：具有正规书号、编纂委员会、简介、目录、类目等主要要素，符合规定出版。在规定时限内出版，出版数量</w:t>
      </w:r>
      <w:r>
        <w:rPr>
          <w:rFonts w:hint="default" w:ascii="Arial" w:hAnsi="Arial" w:eastAsia="方正仿宋_GBK" w:cs="Arial"/>
          <w:color w:val="000000"/>
          <w:sz w:val="28"/>
          <w:lang w:eastAsia="zh-CN"/>
        </w:rPr>
        <w:t>≤</w:t>
      </w:r>
      <w:r>
        <w:rPr>
          <w:rFonts w:hint="eastAsia" w:eastAsia="方正仿宋_GBK" w:cs="Times New Roman"/>
          <w:color w:val="000000"/>
          <w:sz w:val="28"/>
          <w:lang w:val="en-US" w:eastAsia="zh-CN"/>
        </w:rPr>
        <w:t>100</w:t>
      </w:r>
      <w:r>
        <w:rPr>
          <w:rFonts w:hint="eastAsia" w:eastAsia="方正仿宋_GBK" w:cs="Times New Roman"/>
          <w:color w:val="000000"/>
          <w:sz w:val="28"/>
          <w:lang w:eastAsia="zh-CN"/>
        </w:rPr>
        <w:t>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1、完善制度建设。制定完善预算管理制度，实行专款专用月原则，加强资金监督管理，确保资金合理，有效使用，有序支出。</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2、加强支出管理。通过优化支出结构，编细编实预算，加快履行政府采购手续，尽快启动项目，及时支付资金等多种措施，确保支出进度达标。</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3、加强绩效运行监控。按要求开展绩效运行监控，发现问题及时采取措施，确保绩效目标如期保质实现。</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val="en-US" w:eastAsia="zh-CN"/>
        </w:rPr>
        <w:t>4、</w:t>
      </w:r>
      <w:r>
        <w:rPr>
          <w:rFonts w:hint="eastAsia" w:eastAsia="方正仿宋_GBK" w:cs="Times New Roman"/>
          <w:color w:val="000000"/>
          <w:sz w:val="28"/>
          <w:lang w:eastAsia="zh-CN"/>
        </w:rPr>
        <w:t>做好绩效自评。按要求开展上年度部门预算绩效自评和重点项目评价工作，对评价中发现的问题及时整改，调整优化支出结构，提高财政资金使用效益。</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5、规范财务资产管理。完善财务管理制度，严格审批程序，加强固定资产登记，使用和报废处置管理，做到支出合理，物尽其用。</w:t>
      </w:r>
    </w:p>
    <w:p>
      <w:pPr>
        <w:spacing w:before="0" w:after="0" w:line="500" w:lineRule="exact"/>
        <w:ind w:firstLine="560"/>
        <w:jc w:val="left"/>
        <w:outlineLvl w:val="9"/>
        <w:rPr>
          <w:rFonts w:hint="eastAsia" w:eastAsia="方正仿宋_GBK" w:cs="Times New Roman"/>
          <w:color w:val="000000"/>
          <w:sz w:val="28"/>
          <w:lang w:eastAsia="zh-CN"/>
        </w:rPr>
      </w:pPr>
      <w:r>
        <w:rPr>
          <w:rFonts w:hint="eastAsia" w:eastAsia="方正仿宋_GBK" w:cs="Times New Roman"/>
          <w:color w:val="000000"/>
          <w:sz w:val="28"/>
          <w:lang w:eastAsia="zh-CN"/>
        </w:rPr>
        <w:t>6、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0" w:after="0" w:line="500" w:lineRule="exact"/>
        <w:ind w:firstLine="560"/>
        <w:jc w:val="left"/>
        <w:outlineLvl w:val="9"/>
        <w:rPr>
          <w:rFonts w:hint="eastAsia" w:eastAsia="方正仿宋_GBK" w:cs="Times New Roman"/>
          <w:color w:val="000000"/>
          <w:sz w:val="28"/>
          <w:lang w:eastAsia="zh-CN"/>
        </w:rPr>
      </w:pPr>
    </w:p>
    <w:p>
      <w:pPr>
        <w:spacing w:before="0" w:after="0" w:line="500" w:lineRule="exact"/>
        <w:ind w:firstLine="560"/>
        <w:jc w:val="left"/>
        <w:outlineLvl w:val="9"/>
        <w:rPr>
          <w:rFonts w:hint="eastAsia" w:eastAsia="方正仿宋_GBK" w:cs="Times New Roman"/>
          <w:color w:val="000000"/>
          <w:sz w:val="28"/>
          <w:lang w:eastAsia="zh-CN"/>
        </w:rPr>
        <w:sectPr>
          <w:pgSz w:w="16840" w:h="11900" w:orient="landscape"/>
          <w:pgMar w:top="1361" w:right="1020" w:bottom="1361" w:left="1020" w:header="720" w:footer="720" w:gutter="0"/>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pPr>
      <w:bookmarkStart w:id="15" w:name="_Toc_3_3_0000000016"/>
      <w:r>
        <w:rPr>
          <w:rFonts w:hint="eastAsia" w:ascii="黑体" w:hAnsi="黑体" w:eastAsia="黑体" w:cs="黑体"/>
          <w:color w:val="000000"/>
          <w:sz w:val="32"/>
          <w:lang w:val="en-US" w:eastAsia="zh-CN"/>
        </w:rPr>
        <w:t>2026年石家庄市井陉矿区档案部门无专项资金预算。</w:t>
      </w: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ind w:firstLine="640"/>
        <w:jc w:val="left"/>
        <w:outlineLvl w:val="2"/>
        <w:rPr>
          <w:rFonts w:hint="eastAsia" w:ascii="黑体" w:hAnsi="黑体" w:eastAsia="黑体" w:cs="黑体"/>
          <w:color w:val="000000"/>
          <w:sz w:val="32"/>
          <w:lang w:val="en-US" w:eastAsia="zh-CN"/>
        </w:rPr>
      </w:pPr>
    </w:p>
    <w:p>
      <w:pPr>
        <w:spacing w:before="10" w:after="10" w:line="360" w:lineRule="auto"/>
        <w:jc w:val="left"/>
        <w:outlineLvl w:val="2"/>
        <w:rPr>
          <w:rFonts w:hint="default" w:ascii="黑体" w:hAnsi="黑体" w:eastAsia="黑体" w:cs="黑体"/>
          <w:color w:val="000000"/>
          <w:sz w:val="32"/>
          <w:lang w:val="en-US" w:eastAsia="zh-CN"/>
        </w:rPr>
      </w:pPr>
    </w:p>
    <w:p>
      <w:pPr>
        <w:spacing w:before="10" w:after="10" w:line="360" w:lineRule="auto"/>
        <w:ind w:firstLine="640"/>
        <w:jc w:val="left"/>
        <w:outlineLvl w:val="2"/>
        <w:sectPr>
          <w:pgSz w:w="16840" w:h="11900" w:orient="landscape"/>
          <w:pgMar w:top="1361" w:right="1020" w:bottom="1134" w:left="1020" w:header="720" w:footer="720" w:gutter="0"/>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1、地方志编纂经费绩效目标表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13010726P000034100030</w:t>
            </w:r>
          </w:p>
        </w:tc>
        <w:tc>
          <w:tcPr>
            <w:tcW w:w="2835" w:type="dxa"/>
            <w:vAlign w:val="center"/>
          </w:tcPr>
          <w:p>
            <w:pPr>
              <w:pStyle w:val="11"/>
            </w:pPr>
            <w:r>
              <w:t>项目名称</w:t>
            </w:r>
          </w:p>
        </w:tc>
        <w:tc>
          <w:tcPr>
            <w:tcW w:w="6095" w:type="dxa"/>
            <w:gridSpan w:val="3"/>
            <w:vAlign w:val="center"/>
          </w:tcPr>
          <w:p>
            <w:pPr>
              <w:pStyle w:val="13"/>
            </w:pPr>
            <w:r>
              <w:t>地方志编纂经费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用于编纂《井陉矿区年鉴2026卷》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1.用于编纂《井陉矿区年鉴2026卷》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年鉴印刷册数</w:t>
            </w:r>
          </w:p>
        </w:tc>
        <w:tc>
          <w:tcPr>
            <w:tcW w:w="5386" w:type="dxa"/>
            <w:vAlign w:val="center"/>
          </w:tcPr>
          <w:p>
            <w:pPr>
              <w:pStyle w:val="13"/>
            </w:pPr>
            <w:r>
              <w:t xml:space="preserve"> 年鉴印刷出版总册数</w:t>
            </w:r>
          </w:p>
        </w:tc>
        <w:tc>
          <w:tcPr>
            <w:tcW w:w="2268" w:type="dxa"/>
            <w:vAlign w:val="center"/>
          </w:tcPr>
          <w:p>
            <w:pPr>
              <w:pStyle w:val="13"/>
            </w:pPr>
            <w:r>
              <w:t>≥100册</w:t>
            </w:r>
          </w:p>
        </w:tc>
        <w:tc>
          <w:tcPr>
            <w:tcW w:w="1276" w:type="dxa"/>
            <w:vAlign w:val="center"/>
          </w:tcPr>
          <w:p>
            <w:pPr>
              <w:pStyle w:val="13"/>
            </w:pPr>
            <w:r>
              <w:t>2026年度年鉴出版印刷计划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年鉴合格率</w:t>
            </w:r>
          </w:p>
        </w:tc>
        <w:tc>
          <w:tcPr>
            <w:tcW w:w="5386" w:type="dxa"/>
            <w:vAlign w:val="center"/>
          </w:tcPr>
          <w:p>
            <w:pPr>
              <w:pStyle w:val="13"/>
            </w:pPr>
            <w:r>
              <w:t>年鉴出版合格情况</w:t>
            </w:r>
          </w:p>
        </w:tc>
        <w:tc>
          <w:tcPr>
            <w:tcW w:w="2268" w:type="dxa"/>
            <w:vAlign w:val="center"/>
          </w:tcPr>
          <w:p>
            <w:pPr>
              <w:pStyle w:val="13"/>
            </w:pPr>
            <w:r>
              <w:t>≥100%</w:t>
            </w:r>
          </w:p>
        </w:tc>
        <w:tc>
          <w:tcPr>
            <w:tcW w:w="1276" w:type="dxa"/>
            <w:vAlign w:val="center"/>
          </w:tcPr>
          <w:p>
            <w:pPr>
              <w:pStyle w:val="13"/>
            </w:pPr>
            <w:r>
              <w:t>2026年度年鉴出版印刷计划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印刷及时率</w:t>
            </w:r>
          </w:p>
        </w:tc>
        <w:tc>
          <w:tcPr>
            <w:tcW w:w="5386" w:type="dxa"/>
            <w:vAlign w:val="center"/>
          </w:tcPr>
          <w:p>
            <w:pPr>
              <w:pStyle w:val="13"/>
            </w:pPr>
            <w:r>
              <w:t>年度内完成年鉴印刷情况</w:t>
            </w:r>
          </w:p>
        </w:tc>
        <w:tc>
          <w:tcPr>
            <w:tcW w:w="2268" w:type="dxa"/>
            <w:vAlign w:val="center"/>
          </w:tcPr>
          <w:p>
            <w:pPr>
              <w:pStyle w:val="13"/>
            </w:pPr>
            <w:r>
              <w:t>≥90%</w:t>
            </w:r>
          </w:p>
        </w:tc>
        <w:tc>
          <w:tcPr>
            <w:tcW w:w="1276" w:type="dxa"/>
            <w:vAlign w:val="center"/>
          </w:tcPr>
          <w:p>
            <w:pPr>
              <w:pStyle w:val="13"/>
            </w:pPr>
            <w:r>
              <w:t>2026年度年鉴出版印刷计划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平均每册</w:t>
            </w:r>
          </w:p>
        </w:tc>
        <w:tc>
          <w:tcPr>
            <w:tcW w:w="5386" w:type="dxa"/>
            <w:vAlign w:val="center"/>
          </w:tcPr>
          <w:p>
            <w:pPr>
              <w:pStyle w:val="13"/>
            </w:pPr>
            <w:r>
              <w:t>出版相关费用成本</w:t>
            </w:r>
          </w:p>
        </w:tc>
        <w:tc>
          <w:tcPr>
            <w:tcW w:w="2268" w:type="dxa"/>
            <w:vAlign w:val="center"/>
          </w:tcPr>
          <w:p>
            <w:pPr>
              <w:pStyle w:val="13"/>
            </w:pPr>
            <w:r>
              <w:t>≤180元</w:t>
            </w:r>
          </w:p>
        </w:tc>
        <w:tc>
          <w:tcPr>
            <w:tcW w:w="1276" w:type="dxa"/>
            <w:vAlign w:val="center"/>
          </w:tcPr>
          <w:p>
            <w:pPr>
              <w:pStyle w:val="13"/>
            </w:pPr>
            <w:r>
              <w:t>2026年度年鉴出版印刷资金需求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丰富馆藏资料通过年鉴编纂为矿区的政策制定提供数据支持</w:t>
            </w:r>
          </w:p>
        </w:tc>
        <w:tc>
          <w:tcPr>
            <w:tcW w:w="5386" w:type="dxa"/>
            <w:vAlign w:val="center"/>
          </w:tcPr>
          <w:p>
            <w:pPr>
              <w:pStyle w:val="13"/>
            </w:pPr>
            <w:r>
              <w:t>丰富馆藏资料通过年鉴编纂为矿区的政策制定提供数据支持</w:t>
            </w:r>
          </w:p>
        </w:tc>
        <w:tc>
          <w:tcPr>
            <w:tcW w:w="2268" w:type="dxa"/>
            <w:vAlign w:val="center"/>
          </w:tcPr>
          <w:p>
            <w:pPr>
              <w:pStyle w:val="13"/>
            </w:pPr>
            <w:r>
              <w:t>提供数据支持</w:t>
            </w:r>
          </w:p>
        </w:tc>
        <w:tc>
          <w:tcPr>
            <w:tcW w:w="1276" w:type="dxa"/>
            <w:vAlign w:val="center"/>
          </w:tcPr>
          <w:p>
            <w:pPr>
              <w:pStyle w:val="13"/>
            </w:pPr>
            <w:r>
              <w:t>2026年度年鉴出版印刷计划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读者人员满意度（%）</w:t>
            </w:r>
          </w:p>
        </w:tc>
        <w:tc>
          <w:tcPr>
            <w:tcW w:w="5386" w:type="dxa"/>
            <w:vAlign w:val="center"/>
          </w:tcPr>
          <w:p>
            <w:pPr>
              <w:pStyle w:val="13"/>
            </w:pPr>
            <w:r>
              <w:t>读者人员满意度（%）</w:t>
            </w:r>
          </w:p>
        </w:tc>
        <w:tc>
          <w:tcPr>
            <w:tcW w:w="2268" w:type="dxa"/>
            <w:vAlign w:val="center"/>
          </w:tcPr>
          <w:p>
            <w:pPr>
              <w:pStyle w:val="13"/>
            </w:pPr>
            <w:r>
              <w:t>≥90%</w:t>
            </w:r>
          </w:p>
        </w:tc>
        <w:tc>
          <w:tcPr>
            <w:tcW w:w="1276" w:type="dxa"/>
            <w:vAlign w:val="center"/>
          </w:tcPr>
          <w:p>
            <w:pPr>
              <w:pStyle w:val="13"/>
            </w:pPr>
            <w:r>
              <w:t>调查问卷</w:t>
            </w:r>
            <w:r>
              <w:tab/>
            </w:r>
          </w:p>
          <w:p>
            <w:pPr>
              <w:pStyle w:val="13"/>
            </w:pP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2、综合档案馆建设项目绩效目标表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13010726P00003210003L</w:t>
            </w:r>
          </w:p>
        </w:tc>
        <w:tc>
          <w:tcPr>
            <w:tcW w:w="2835" w:type="dxa"/>
            <w:vAlign w:val="center"/>
          </w:tcPr>
          <w:p>
            <w:pPr>
              <w:pStyle w:val="11"/>
            </w:pPr>
            <w:r>
              <w:t>项目名称</w:t>
            </w:r>
          </w:p>
        </w:tc>
        <w:tc>
          <w:tcPr>
            <w:tcW w:w="6095" w:type="dxa"/>
            <w:gridSpan w:val="3"/>
            <w:vAlign w:val="center"/>
          </w:tcPr>
          <w:p>
            <w:pPr>
              <w:pStyle w:val="13"/>
            </w:pPr>
            <w:r>
              <w:t>综合档案馆建设项目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81.89</w:t>
            </w:r>
          </w:p>
        </w:tc>
        <w:tc>
          <w:tcPr>
            <w:tcW w:w="2835" w:type="dxa"/>
            <w:vAlign w:val="center"/>
          </w:tcPr>
          <w:p>
            <w:pPr>
              <w:pStyle w:val="11"/>
            </w:pPr>
            <w:r>
              <w:t>其中：财政    资金</w:t>
            </w:r>
          </w:p>
        </w:tc>
        <w:tc>
          <w:tcPr>
            <w:tcW w:w="2551" w:type="dxa"/>
            <w:vAlign w:val="center"/>
          </w:tcPr>
          <w:p>
            <w:pPr>
              <w:pStyle w:val="13"/>
            </w:pPr>
            <w:r>
              <w:t>81.89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用于综合档案馆建设项目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20.47</w:t>
            </w:r>
          </w:p>
        </w:tc>
        <w:tc>
          <w:tcPr>
            <w:tcW w:w="2835" w:type="dxa"/>
            <w:vAlign w:val="center"/>
          </w:tcPr>
          <w:p>
            <w:pPr>
              <w:pStyle w:val="14"/>
            </w:pPr>
            <w:r>
              <w:t>40.94</w:t>
            </w:r>
          </w:p>
        </w:tc>
        <w:tc>
          <w:tcPr>
            <w:tcW w:w="2551" w:type="dxa"/>
            <w:vAlign w:val="center"/>
          </w:tcPr>
          <w:p>
            <w:pPr>
              <w:pStyle w:val="14"/>
            </w:pPr>
            <w:r>
              <w:t>61.41</w:t>
            </w:r>
          </w:p>
        </w:tc>
        <w:tc>
          <w:tcPr>
            <w:tcW w:w="3544" w:type="dxa"/>
            <w:gridSpan w:val="2"/>
            <w:vAlign w:val="center"/>
          </w:tcPr>
          <w:p>
            <w:pPr>
              <w:pStyle w:val="14"/>
            </w:pPr>
            <w:r>
              <w:t>81.89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1.用于综合档案馆项目建设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改建建筑面积</w:t>
            </w:r>
          </w:p>
        </w:tc>
        <w:tc>
          <w:tcPr>
            <w:tcW w:w="5386" w:type="dxa"/>
            <w:vAlign w:val="center"/>
          </w:tcPr>
          <w:p>
            <w:pPr>
              <w:pStyle w:val="13"/>
            </w:pPr>
            <w:r>
              <w:t>改建建筑面积</w:t>
            </w:r>
          </w:p>
        </w:tc>
        <w:tc>
          <w:tcPr>
            <w:tcW w:w="2268" w:type="dxa"/>
            <w:vAlign w:val="center"/>
          </w:tcPr>
          <w:p>
            <w:pPr>
              <w:pStyle w:val="13"/>
            </w:pPr>
            <w:r>
              <w:t>≥952026年档案管理工作计划</w:t>
            </w:r>
          </w:p>
        </w:tc>
        <w:tc>
          <w:tcPr>
            <w:tcW w:w="1276" w:type="dxa"/>
            <w:vAlign w:val="center"/>
          </w:tcPr>
          <w:p>
            <w:pPr>
              <w:pStyle w:val="13"/>
            </w:pPr>
            <w:r>
              <w:t>完成得标准分，未完成不得分</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购置验收通过率（%）</w:t>
            </w:r>
          </w:p>
        </w:tc>
        <w:tc>
          <w:tcPr>
            <w:tcW w:w="5386" w:type="dxa"/>
            <w:vAlign w:val="center"/>
          </w:tcPr>
          <w:p>
            <w:pPr>
              <w:pStyle w:val="13"/>
            </w:pPr>
            <w:r>
              <w:t>购置验收通过率（%）</w:t>
            </w:r>
          </w:p>
        </w:tc>
        <w:tc>
          <w:tcPr>
            <w:tcW w:w="2268" w:type="dxa"/>
            <w:vAlign w:val="center"/>
          </w:tcPr>
          <w:p>
            <w:pPr>
              <w:pStyle w:val="13"/>
            </w:pPr>
            <w:r>
              <w:t>≥902026年档案管理工作计划6</w:t>
            </w:r>
          </w:p>
        </w:tc>
        <w:tc>
          <w:tcPr>
            <w:tcW w:w="1276" w:type="dxa"/>
            <w:vAlign w:val="center"/>
          </w:tcPr>
          <w:p>
            <w:pPr>
              <w:pStyle w:val="13"/>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各项目按时完成情况</w:t>
            </w:r>
          </w:p>
        </w:tc>
        <w:tc>
          <w:tcPr>
            <w:tcW w:w="5386" w:type="dxa"/>
            <w:vAlign w:val="center"/>
          </w:tcPr>
          <w:p>
            <w:pPr>
              <w:pStyle w:val="13"/>
            </w:pPr>
            <w:r>
              <w:t>各项目按时完成情况</w:t>
            </w:r>
          </w:p>
        </w:tc>
        <w:tc>
          <w:tcPr>
            <w:tcW w:w="2268" w:type="dxa"/>
            <w:vAlign w:val="center"/>
          </w:tcPr>
          <w:p>
            <w:pPr>
              <w:pStyle w:val="13"/>
            </w:pPr>
            <w:r>
              <w:t>≥902026年档案管理工作计划</w:t>
            </w:r>
          </w:p>
        </w:tc>
        <w:tc>
          <w:tcPr>
            <w:tcW w:w="1276" w:type="dxa"/>
            <w:vAlign w:val="center"/>
          </w:tcPr>
          <w:p>
            <w:pPr>
              <w:pStyle w:val="13"/>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≥902026年档案管理工作计划</w:t>
            </w:r>
          </w:p>
        </w:tc>
        <w:tc>
          <w:tcPr>
            <w:tcW w:w="1276" w:type="dxa"/>
            <w:vAlign w:val="center"/>
          </w:tcPr>
          <w:p>
            <w:pPr>
              <w:pStyle w:val="13"/>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≥902026年档案管理工作计划</w:t>
            </w:r>
          </w:p>
        </w:tc>
        <w:tc>
          <w:tcPr>
            <w:tcW w:w="1276" w:type="dxa"/>
            <w:vAlign w:val="center"/>
          </w:tcPr>
          <w:p>
            <w:pPr>
              <w:pStyle w:val="13"/>
            </w:pPr>
            <w:r>
              <w:t>完成得标准分，未完成不得分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服务群体满意度</w:t>
            </w:r>
          </w:p>
        </w:tc>
        <w:tc>
          <w:tcPr>
            <w:tcW w:w="5386" w:type="dxa"/>
            <w:vAlign w:val="center"/>
          </w:tcPr>
          <w:p>
            <w:pPr>
              <w:pStyle w:val="13"/>
            </w:pPr>
            <w:r>
              <w:t>服务群体满意度</w:t>
            </w:r>
          </w:p>
        </w:tc>
        <w:tc>
          <w:tcPr>
            <w:tcW w:w="2268" w:type="dxa"/>
            <w:vAlign w:val="center"/>
          </w:tcPr>
          <w:p>
            <w:pPr>
              <w:pStyle w:val="13"/>
            </w:pPr>
            <w:r>
              <w:t>≥902026年档案管理工作计划</w:t>
            </w:r>
          </w:p>
        </w:tc>
        <w:tc>
          <w:tcPr>
            <w:tcW w:w="1276" w:type="dxa"/>
            <w:vAlign w:val="center"/>
          </w:tcPr>
          <w:p>
            <w:pPr>
              <w:pStyle w:val="13"/>
            </w:pPr>
            <w:r>
              <w:t>完成得标准分，未完成不得分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241石家庄市井陉矿区档案馆</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石家庄市井陉矿区档案馆（含所属单位）上年末固定资产金额为0.00万元（详见下表）。本年度拟购置固定资产总额为0.00万元，已按要求列入政府采购预算，详见政府采购预算表。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241石家庄市井陉矿区档案馆</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Cambria">
    <w:panose1 w:val="02040503050406030204"/>
    <w:charset w:val="00"/>
    <w:family w:val="auto"/>
    <w:pitch w:val="default"/>
    <w:sig w:usb0="E00002FF" w:usb1="400004FF" w:usb2="00000000" w:usb3="00000000" w:csb0="2000019F" w:csb1="00000000"/>
  </w:font>
  <w:font w:name="华文仿宋">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 w:name="宋体-方正超大字符集">
    <w:panose1 w:val="03000509000000000000"/>
    <w:charset w:val="86"/>
    <w:family w:val="auto"/>
    <w:pitch w:val="default"/>
    <w:sig w:usb0="00000001"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Microsoft JhengHei">
    <w:panose1 w:val="020B0604030504040204"/>
    <w:charset w:val="88"/>
    <w:family w:val="auto"/>
    <w:pitch w:val="default"/>
    <w:sig w:usb0="00000087" w:usb1="28AF4000" w:usb2="00000016" w:usb3="00000000" w:csb0="00100009" w:csb1="00000000"/>
  </w:font>
  <w:font w:name="MingLiU-ExtB">
    <w:panose1 w:val="02020500000000000000"/>
    <w:charset w:val="88"/>
    <w:family w:val="auto"/>
    <w:pitch w:val="default"/>
    <w:sig w:usb0="8000002F" w:usb1="02000008" w:usb2="00000000" w:usb3="00000000" w:csb0="00100001" w:csb1="00000000"/>
  </w:font>
  <w:font w:name="MingLiU_HKSCS-ExtB">
    <w:panose1 w:val="02020500000000000000"/>
    <w:charset w:val="88"/>
    <w:family w:val="auto"/>
    <w:pitch w:val="default"/>
    <w:sig w:usb0="8000002F" w:usb1="02000008" w:usb2="00000000" w:usb3="00000000" w:csb0="00100001" w:csb1="00000000"/>
  </w:font>
  <w:font w:name="Meiryo">
    <w:panose1 w:val="020B0604030504040204"/>
    <w:charset w:val="80"/>
    <w:family w:val="auto"/>
    <w:pitch w:val="default"/>
    <w:sig w:usb0="E10102FF" w:usb1="EAC7FFFF" w:usb2="00010012" w:usb3="00000000" w:csb0="6002009F" w:csb1="DFD70000"/>
  </w:font>
  <w:font w:name="GungsuhChe">
    <w:panose1 w:val="02030609000101010101"/>
    <w:charset w:val="81"/>
    <w:family w:val="auto"/>
    <w:pitch w:val="default"/>
    <w:sig w:usb0="B00002AF" w:usb1="69D77CFB" w:usb2="00000030" w:usb3="00000000" w:csb0="4008009F" w:csb1="DFD70000"/>
  </w:font>
  <w:font w:name="Gungsuh">
    <w:panose1 w:val="02030600000101010101"/>
    <w:charset w:val="81"/>
    <w:family w:val="auto"/>
    <w:pitch w:val="default"/>
    <w:sig w:usb0="B00002AF" w:usb1="69D77CFB" w:usb2="00000030" w:usb3="00000000" w:csb0="4008009F" w:csb1="DFD70000"/>
  </w:font>
  <w:font w:name="GulimChe">
    <w:panose1 w:val="020B0609000101010101"/>
    <w:charset w:val="81"/>
    <w:family w:val="auto"/>
    <w:pitch w:val="default"/>
    <w:sig w:usb0="B00002AF" w:usb1="69D77CFB" w:usb2="00000030" w:usb3="00000000" w:csb0="4008009F" w:csb1="DFD70000"/>
  </w:font>
  <w:font w:name="Gulim">
    <w:panose1 w:val="020B0600000101010101"/>
    <w:charset w:val="81"/>
    <w:family w:val="auto"/>
    <w:pitch w:val="default"/>
    <w:sig w:usb0="B00002AF" w:usb1="69D77CFB" w:usb2="00000030" w:usb3="00000000" w:csb0="4008009F" w:csb1="DFD70000"/>
  </w:font>
  <w:font w:name="DotumChe">
    <w:panose1 w:val="020B0609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2DFC34"/>
    <w:multiLevelType w:val="singleLevel"/>
    <w:tmpl w:val="822DFC34"/>
    <w:lvl w:ilvl="0" w:tentative="0">
      <w:start w:val="6"/>
      <w:numFmt w:val="chineseCounting"/>
      <w:suff w:val="nothing"/>
      <w:lvlText w:val="%1、"/>
      <w:lvlJc w:val="left"/>
      <w:rPr>
        <w:rFonts w:hint="eastAsia"/>
      </w:rPr>
    </w:lvl>
  </w:abstractNum>
  <w:abstractNum w:abstractNumId="1">
    <w:nsid w:val="1628FEC9"/>
    <w:multiLevelType w:val="singleLevel"/>
    <w:tmpl w:val="1628FEC9"/>
    <w:lvl w:ilvl="0" w:tentative="0">
      <w:start w:val="4"/>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203674"/>
    <w:rsid w:val="12CE6152"/>
    <w:rsid w:val="2350663F"/>
    <w:rsid w:val="237307F4"/>
    <w:rsid w:val="25E846A4"/>
    <w:rsid w:val="3BBA1AEA"/>
    <w:rsid w:val="3F851C20"/>
    <w:rsid w:val="451A4A49"/>
    <w:rsid w:val="4D417FBF"/>
    <w:rsid w:val="4EAA4665"/>
    <w:rsid w:val="5312163C"/>
    <w:rsid w:val="5B3B799D"/>
    <w:rsid w:val="61E31C07"/>
    <w:rsid w:val="741046A4"/>
    <w:rsid w:val="77CB521A"/>
    <w:rsid w:val="7F9F49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1</TotalTime>
  <ScaleCrop>false</ScaleCrop>
  <LinksUpToDate>false</LinksUpToDate>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2026-02-10T10:44:00Z</dcterms:created>
  <dc:creator>Administrator</dc:creator>
  <cp:lastModifiedBy>dag</cp:lastModifiedBy>
  <dcterms:modified xsi:type="dcterms:W3CDTF">2026-02-10T06:42:02Z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