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一、石家庄市井陉矿区档案馆收支预算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一、石家庄市井陉矿区档案馆收支预算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241001石家庄市井陉矿区档案馆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178.71</w:t>
            </w:r>
          </w:p>
        </w:tc>
        <w:tc>
          <w:tcPr>
            <w:tcW w:w="4535" w:type="dxa"/>
            <w:vAlign w:val="center"/>
          </w:tcPr>
          <w:p>
            <w:pPr>
              <w:pStyle w:val="12"/>
            </w:pPr>
            <w:r>
              <w:t>一、一般公共服务支出</w:t>
            </w:r>
          </w:p>
        </w:tc>
        <w:tc>
          <w:tcPr>
            <w:tcW w:w="2126" w:type="dxa"/>
            <w:vAlign w:val="center"/>
          </w:tcPr>
          <w:p>
            <w:pPr>
              <w:pStyle w:val="11"/>
            </w:pPr>
            <w:r>
              <w:t>137.27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178.71</w:t>
            </w:r>
          </w:p>
        </w:tc>
        <w:tc>
          <w:tcPr>
            <w:tcW w:w="4535" w:type="dxa"/>
            <w:vAlign w:val="center"/>
          </w:tcPr>
          <w:p>
            <w:pPr>
              <w:pStyle w:val="14"/>
            </w:pPr>
            <w:r>
              <w:t>本年支出合计</w:t>
            </w:r>
          </w:p>
        </w:tc>
        <w:tc>
          <w:tcPr>
            <w:tcW w:w="2126" w:type="dxa"/>
            <w:vAlign w:val="center"/>
          </w:tcPr>
          <w:p>
            <w:pPr>
              <w:pStyle w:val="15"/>
            </w:pPr>
            <w:r>
              <w:t>178.71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178.71</w:t>
            </w:r>
          </w:p>
        </w:tc>
        <w:tc>
          <w:tcPr>
            <w:tcW w:w="4535" w:type="dxa"/>
            <w:vAlign w:val="center"/>
          </w:tcPr>
          <w:p>
            <w:pPr>
              <w:pStyle w:val="14"/>
            </w:pPr>
            <w:r>
              <w:t>支出总计</w:t>
            </w:r>
          </w:p>
        </w:tc>
        <w:tc>
          <w:tcPr>
            <w:tcW w:w="2126" w:type="dxa"/>
            <w:vAlign w:val="center"/>
          </w:tcPr>
          <w:p>
            <w:pPr>
              <w:pStyle w:val="15"/>
            </w:pPr>
            <w:r>
              <w:t>178.71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241001石家庄市井陉矿区档案馆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178.71</w:t>
            </w:r>
          </w:p>
        </w:tc>
        <w:tc>
          <w:tcPr>
            <w:tcW w:w="1134" w:type="dxa"/>
            <w:vAlign w:val="center"/>
          </w:tcPr>
          <w:p>
            <w:pPr>
              <w:pStyle w:val="15"/>
            </w:pPr>
            <w:r>
              <w:t>178.71</w:t>
            </w:r>
          </w:p>
        </w:tc>
        <w:tc>
          <w:tcPr>
            <w:tcW w:w="1134" w:type="dxa"/>
            <w:vAlign w:val="center"/>
          </w:tcPr>
          <w:p>
            <w:pPr>
              <w:pStyle w:val="15"/>
            </w:pPr>
            <w:r>
              <w:t>178.71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137.27</w:t>
            </w:r>
          </w:p>
        </w:tc>
        <w:tc>
          <w:tcPr>
            <w:tcW w:w="1134" w:type="dxa"/>
            <w:vAlign w:val="center"/>
          </w:tcPr>
          <w:p>
            <w:pPr>
              <w:pStyle w:val="11"/>
            </w:pPr>
            <w:r>
              <w:t>137.27</w:t>
            </w:r>
          </w:p>
        </w:tc>
        <w:tc>
          <w:tcPr>
            <w:tcW w:w="1134" w:type="dxa"/>
            <w:vAlign w:val="center"/>
          </w:tcPr>
          <w:p>
            <w:pPr>
              <w:pStyle w:val="11"/>
            </w:pPr>
            <w:r>
              <w:t>137.27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20126</w:t>
            </w:r>
          </w:p>
        </w:tc>
        <w:tc>
          <w:tcPr>
            <w:tcW w:w="1559" w:type="dxa"/>
            <w:vAlign w:val="center"/>
          </w:tcPr>
          <w:p>
            <w:pPr>
              <w:pStyle w:val="12"/>
            </w:pPr>
            <w:r>
              <w:t>档案事务</w:t>
            </w:r>
          </w:p>
        </w:tc>
        <w:tc>
          <w:tcPr>
            <w:tcW w:w="1134" w:type="dxa"/>
            <w:vAlign w:val="center"/>
          </w:tcPr>
          <w:p>
            <w:pPr>
              <w:pStyle w:val="11"/>
            </w:pPr>
            <w:r>
              <w:t>137.27</w:t>
            </w:r>
          </w:p>
        </w:tc>
        <w:tc>
          <w:tcPr>
            <w:tcW w:w="1134" w:type="dxa"/>
            <w:vAlign w:val="center"/>
          </w:tcPr>
          <w:p>
            <w:pPr>
              <w:pStyle w:val="11"/>
            </w:pPr>
            <w:r>
              <w:t>137.27</w:t>
            </w:r>
          </w:p>
        </w:tc>
        <w:tc>
          <w:tcPr>
            <w:tcW w:w="1134" w:type="dxa"/>
            <w:vAlign w:val="center"/>
          </w:tcPr>
          <w:p>
            <w:pPr>
              <w:pStyle w:val="11"/>
            </w:pPr>
            <w:r>
              <w:t>137.27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2012604</w:t>
            </w:r>
          </w:p>
        </w:tc>
        <w:tc>
          <w:tcPr>
            <w:tcW w:w="1559" w:type="dxa"/>
            <w:vAlign w:val="center"/>
          </w:tcPr>
          <w:p>
            <w:pPr>
              <w:pStyle w:val="12"/>
            </w:pPr>
            <w:r>
              <w:t>档案馆</w:t>
            </w:r>
          </w:p>
        </w:tc>
        <w:tc>
          <w:tcPr>
            <w:tcW w:w="1134" w:type="dxa"/>
            <w:vAlign w:val="center"/>
          </w:tcPr>
          <w:p>
            <w:pPr>
              <w:pStyle w:val="11"/>
            </w:pPr>
            <w:r>
              <w:t>137.27</w:t>
            </w:r>
          </w:p>
        </w:tc>
        <w:tc>
          <w:tcPr>
            <w:tcW w:w="1134" w:type="dxa"/>
            <w:vAlign w:val="center"/>
          </w:tcPr>
          <w:p>
            <w:pPr>
              <w:pStyle w:val="11"/>
            </w:pPr>
            <w:r>
              <w:t>137.27</w:t>
            </w:r>
          </w:p>
        </w:tc>
        <w:tc>
          <w:tcPr>
            <w:tcW w:w="1134" w:type="dxa"/>
            <w:vAlign w:val="center"/>
          </w:tcPr>
          <w:p>
            <w:pPr>
              <w:pStyle w:val="11"/>
            </w:pPr>
            <w:r>
              <w:t>137.27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31.53</w:t>
            </w:r>
          </w:p>
        </w:tc>
        <w:tc>
          <w:tcPr>
            <w:tcW w:w="1134" w:type="dxa"/>
            <w:vAlign w:val="center"/>
          </w:tcPr>
          <w:p>
            <w:pPr>
              <w:pStyle w:val="11"/>
            </w:pPr>
            <w:r>
              <w:t>31.53</w:t>
            </w:r>
          </w:p>
        </w:tc>
        <w:tc>
          <w:tcPr>
            <w:tcW w:w="1134" w:type="dxa"/>
            <w:vAlign w:val="center"/>
          </w:tcPr>
          <w:p>
            <w:pPr>
              <w:pStyle w:val="11"/>
            </w:pPr>
            <w:r>
              <w:t>31.53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31.15</w:t>
            </w:r>
          </w:p>
        </w:tc>
        <w:tc>
          <w:tcPr>
            <w:tcW w:w="1134" w:type="dxa"/>
            <w:vAlign w:val="center"/>
          </w:tcPr>
          <w:p>
            <w:pPr>
              <w:pStyle w:val="11"/>
            </w:pPr>
            <w:r>
              <w:t>31.15</w:t>
            </w:r>
          </w:p>
        </w:tc>
        <w:tc>
          <w:tcPr>
            <w:tcW w:w="1134" w:type="dxa"/>
            <w:vAlign w:val="center"/>
          </w:tcPr>
          <w:p>
            <w:pPr>
              <w:pStyle w:val="11"/>
            </w:pPr>
            <w:r>
              <w:t>31.15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24.76</w:t>
            </w:r>
          </w:p>
        </w:tc>
        <w:tc>
          <w:tcPr>
            <w:tcW w:w="1134" w:type="dxa"/>
            <w:vAlign w:val="center"/>
          </w:tcPr>
          <w:p>
            <w:pPr>
              <w:pStyle w:val="11"/>
            </w:pPr>
            <w:r>
              <w:t>24.76</w:t>
            </w:r>
          </w:p>
        </w:tc>
        <w:tc>
          <w:tcPr>
            <w:tcW w:w="1134" w:type="dxa"/>
            <w:vAlign w:val="center"/>
          </w:tcPr>
          <w:p>
            <w:pPr>
              <w:pStyle w:val="11"/>
            </w:pPr>
            <w:r>
              <w:t>24.76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0.38</w:t>
            </w:r>
          </w:p>
        </w:tc>
        <w:tc>
          <w:tcPr>
            <w:tcW w:w="1134" w:type="dxa"/>
            <w:vAlign w:val="center"/>
          </w:tcPr>
          <w:p>
            <w:pPr>
              <w:pStyle w:val="11"/>
            </w:pPr>
            <w:r>
              <w:t>0.38</w:t>
            </w:r>
          </w:p>
        </w:tc>
        <w:tc>
          <w:tcPr>
            <w:tcW w:w="1134" w:type="dxa"/>
            <w:vAlign w:val="center"/>
          </w:tcPr>
          <w:p>
            <w:pPr>
              <w:pStyle w:val="11"/>
            </w:pPr>
            <w:r>
              <w:t>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0.38</w:t>
            </w:r>
          </w:p>
        </w:tc>
        <w:tc>
          <w:tcPr>
            <w:tcW w:w="1134" w:type="dxa"/>
            <w:vAlign w:val="center"/>
          </w:tcPr>
          <w:p>
            <w:pPr>
              <w:pStyle w:val="11"/>
            </w:pPr>
            <w:r>
              <w:t>0.38</w:t>
            </w:r>
          </w:p>
        </w:tc>
        <w:tc>
          <w:tcPr>
            <w:tcW w:w="1134" w:type="dxa"/>
            <w:vAlign w:val="center"/>
          </w:tcPr>
          <w:p>
            <w:pPr>
              <w:pStyle w:val="11"/>
            </w:pPr>
            <w:r>
              <w:t>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2.63</w:t>
            </w:r>
          </w:p>
        </w:tc>
        <w:tc>
          <w:tcPr>
            <w:tcW w:w="1134" w:type="dxa"/>
            <w:vAlign w:val="center"/>
          </w:tcPr>
          <w:p>
            <w:pPr>
              <w:pStyle w:val="11"/>
            </w:pPr>
            <w:r>
              <w:t>2.63</w:t>
            </w:r>
          </w:p>
        </w:tc>
        <w:tc>
          <w:tcPr>
            <w:tcW w:w="1134" w:type="dxa"/>
            <w:vAlign w:val="center"/>
          </w:tcPr>
          <w:p>
            <w:pPr>
              <w:pStyle w:val="11"/>
            </w:pPr>
            <w:r>
              <w:t>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2.03</w:t>
            </w:r>
          </w:p>
        </w:tc>
        <w:tc>
          <w:tcPr>
            <w:tcW w:w="1134" w:type="dxa"/>
            <w:vAlign w:val="center"/>
          </w:tcPr>
          <w:p>
            <w:pPr>
              <w:pStyle w:val="11"/>
            </w:pPr>
            <w:r>
              <w:t>2.03</w:t>
            </w:r>
          </w:p>
        </w:tc>
        <w:tc>
          <w:tcPr>
            <w:tcW w:w="1134" w:type="dxa"/>
            <w:vAlign w:val="center"/>
          </w:tcPr>
          <w:p>
            <w:pPr>
              <w:pStyle w:val="11"/>
            </w:pPr>
            <w:r>
              <w:t>2.03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178.71</w:t>
            </w:r>
          </w:p>
        </w:tc>
        <w:tc>
          <w:tcPr>
            <w:tcW w:w="1361" w:type="dxa"/>
            <w:vAlign w:val="center"/>
          </w:tcPr>
          <w:p>
            <w:pPr>
              <w:pStyle w:val="15"/>
            </w:pPr>
            <w:r>
              <w:t>91.82</w:t>
            </w:r>
          </w:p>
        </w:tc>
        <w:tc>
          <w:tcPr>
            <w:tcW w:w="1361" w:type="dxa"/>
            <w:vAlign w:val="center"/>
          </w:tcPr>
          <w:p>
            <w:pPr>
              <w:pStyle w:val="15"/>
            </w:pPr>
            <w:r>
              <w:t>86.89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137.27</w:t>
            </w:r>
          </w:p>
        </w:tc>
        <w:tc>
          <w:tcPr>
            <w:tcW w:w="1361" w:type="dxa"/>
            <w:vAlign w:val="center"/>
          </w:tcPr>
          <w:p>
            <w:pPr>
              <w:pStyle w:val="11"/>
            </w:pPr>
            <w:r>
              <w:t>50.38</w:t>
            </w:r>
          </w:p>
        </w:tc>
        <w:tc>
          <w:tcPr>
            <w:tcW w:w="1361" w:type="dxa"/>
            <w:vAlign w:val="center"/>
          </w:tcPr>
          <w:p>
            <w:pPr>
              <w:pStyle w:val="11"/>
            </w:pPr>
            <w:r>
              <w:t>86.89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20126</w:t>
            </w:r>
          </w:p>
        </w:tc>
        <w:tc>
          <w:tcPr>
            <w:tcW w:w="4535" w:type="dxa"/>
            <w:vAlign w:val="center"/>
          </w:tcPr>
          <w:p>
            <w:pPr>
              <w:pStyle w:val="12"/>
            </w:pPr>
            <w:r>
              <w:t>档案事务</w:t>
            </w:r>
          </w:p>
        </w:tc>
        <w:tc>
          <w:tcPr>
            <w:tcW w:w="1361" w:type="dxa"/>
            <w:vAlign w:val="center"/>
          </w:tcPr>
          <w:p>
            <w:pPr>
              <w:pStyle w:val="11"/>
            </w:pPr>
            <w:r>
              <w:t>137.27</w:t>
            </w:r>
          </w:p>
        </w:tc>
        <w:tc>
          <w:tcPr>
            <w:tcW w:w="1361" w:type="dxa"/>
            <w:vAlign w:val="center"/>
          </w:tcPr>
          <w:p>
            <w:pPr>
              <w:pStyle w:val="11"/>
            </w:pPr>
            <w:r>
              <w:t>50.38</w:t>
            </w:r>
          </w:p>
        </w:tc>
        <w:tc>
          <w:tcPr>
            <w:tcW w:w="1361" w:type="dxa"/>
            <w:vAlign w:val="center"/>
          </w:tcPr>
          <w:p>
            <w:pPr>
              <w:pStyle w:val="11"/>
            </w:pPr>
            <w:r>
              <w:t>86.89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2012604</w:t>
            </w:r>
          </w:p>
        </w:tc>
        <w:tc>
          <w:tcPr>
            <w:tcW w:w="4535" w:type="dxa"/>
            <w:vAlign w:val="center"/>
          </w:tcPr>
          <w:p>
            <w:pPr>
              <w:pStyle w:val="12"/>
            </w:pPr>
            <w:r>
              <w:t>档案馆</w:t>
            </w:r>
          </w:p>
        </w:tc>
        <w:tc>
          <w:tcPr>
            <w:tcW w:w="1361" w:type="dxa"/>
            <w:vAlign w:val="center"/>
          </w:tcPr>
          <w:p>
            <w:pPr>
              <w:pStyle w:val="11"/>
            </w:pPr>
            <w:r>
              <w:t>137.27</w:t>
            </w:r>
          </w:p>
        </w:tc>
        <w:tc>
          <w:tcPr>
            <w:tcW w:w="1361" w:type="dxa"/>
            <w:vAlign w:val="center"/>
          </w:tcPr>
          <w:p>
            <w:pPr>
              <w:pStyle w:val="11"/>
            </w:pPr>
            <w:r>
              <w:t>50.38</w:t>
            </w:r>
          </w:p>
        </w:tc>
        <w:tc>
          <w:tcPr>
            <w:tcW w:w="1361" w:type="dxa"/>
            <w:vAlign w:val="center"/>
          </w:tcPr>
          <w:p>
            <w:pPr>
              <w:pStyle w:val="11"/>
            </w:pPr>
            <w:r>
              <w:t>86.89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31.53</w:t>
            </w:r>
          </w:p>
        </w:tc>
        <w:tc>
          <w:tcPr>
            <w:tcW w:w="1361" w:type="dxa"/>
            <w:vAlign w:val="center"/>
          </w:tcPr>
          <w:p>
            <w:pPr>
              <w:pStyle w:val="11"/>
            </w:pPr>
            <w:r>
              <w:t>31.53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31.15</w:t>
            </w:r>
          </w:p>
        </w:tc>
        <w:tc>
          <w:tcPr>
            <w:tcW w:w="1361" w:type="dxa"/>
            <w:vAlign w:val="center"/>
          </w:tcPr>
          <w:p>
            <w:pPr>
              <w:pStyle w:val="11"/>
            </w:pPr>
            <w:r>
              <w:t>31.15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24.76</w:t>
            </w:r>
          </w:p>
        </w:tc>
        <w:tc>
          <w:tcPr>
            <w:tcW w:w="1361" w:type="dxa"/>
            <w:vAlign w:val="center"/>
          </w:tcPr>
          <w:p>
            <w:pPr>
              <w:pStyle w:val="11"/>
            </w:pPr>
            <w:r>
              <w:t>24.76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6.39</w:t>
            </w:r>
          </w:p>
        </w:tc>
        <w:tc>
          <w:tcPr>
            <w:tcW w:w="1361" w:type="dxa"/>
            <w:vAlign w:val="center"/>
          </w:tcPr>
          <w:p>
            <w:pPr>
              <w:pStyle w:val="11"/>
            </w:pPr>
            <w:r>
              <w:t>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0.38</w:t>
            </w:r>
          </w:p>
        </w:tc>
        <w:tc>
          <w:tcPr>
            <w:tcW w:w="1361" w:type="dxa"/>
            <w:vAlign w:val="center"/>
          </w:tcPr>
          <w:p>
            <w:pPr>
              <w:pStyle w:val="11"/>
            </w:pPr>
            <w:r>
              <w:t>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0.38</w:t>
            </w:r>
          </w:p>
        </w:tc>
        <w:tc>
          <w:tcPr>
            <w:tcW w:w="1361" w:type="dxa"/>
            <w:vAlign w:val="center"/>
          </w:tcPr>
          <w:p>
            <w:pPr>
              <w:pStyle w:val="11"/>
            </w:pPr>
            <w:r>
              <w:t>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2.63</w:t>
            </w:r>
          </w:p>
        </w:tc>
        <w:tc>
          <w:tcPr>
            <w:tcW w:w="1361" w:type="dxa"/>
            <w:vAlign w:val="center"/>
          </w:tcPr>
          <w:p>
            <w:pPr>
              <w:pStyle w:val="11"/>
            </w:pPr>
            <w:r>
              <w:t>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2.03</w:t>
            </w:r>
          </w:p>
        </w:tc>
        <w:tc>
          <w:tcPr>
            <w:tcW w:w="1361" w:type="dxa"/>
            <w:vAlign w:val="center"/>
          </w:tcPr>
          <w:p>
            <w:pPr>
              <w:pStyle w:val="11"/>
            </w:pPr>
            <w:r>
              <w:t>2.03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5.25</w:t>
            </w:r>
          </w:p>
        </w:tc>
        <w:tc>
          <w:tcPr>
            <w:tcW w:w="1361" w:type="dxa"/>
            <w:vAlign w:val="center"/>
          </w:tcPr>
          <w:p>
            <w:pPr>
              <w:pStyle w:val="11"/>
            </w:pPr>
            <w:r>
              <w:t>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5.25</w:t>
            </w:r>
          </w:p>
        </w:tc>
        <w:tc>
          <w:tcPr>
            <w:tcW w:w="1361" w:type="dxa"/>
            <w:vAlign w:val="center"/>
          </w:tcPr>
          <w:p>
            <w:pPr>
              <w:pStyle w:val="11"/>
            </w:pPr>
            <w:r>
              <w:t>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5.25</w:t>
            </w:r>
          </w:p>
        </w:tc>
        <w:tc>
          <w:tcPr>
            <w:tcW w:w="1361" w:type="dxa"/>
            <w:vAlign w:val="center"/>
          </w:tcPr>
          <w:p>
            <w:pPr>
              <w:pStyle w:val="11"/>
            </w:pPr>
            <w:r>
              <w:t>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178.71</w:t>
            </w:r>
          </w:p>
        </w:tc>
        <w:tc>
          <w:tcPr>
            <w:tcW w:w="3402" w:type="dxa"/>
            <w:vAlign w:val="center"/>
          </w:tcPr>
          <w:p>
            <w:pPr>
              <w:pStyle w:val="12"/>
            </w:pPr>
            <w:r>
              <w:t>一、一般公共服务支出</w:t>
            </w:r>
          </w:p>
        </w:tc>
        <w:tc>
          <w:tcPr>
            <w:tcW w:w="1474" w:type="dxa"/>
            <w:vAlign w:val="center"/>
          </w:tcPr>
          <w:p>
            <w:pPr>
              <w:pStyle w:val="11"/>
            </w:pPr>
            <w:r>
              <w:t>137.27</w:t>
            </w:r>
          </w:p>
        </w:tc>
        <w:tc>
          <w:tcPr>
            <w:tcW w:w="1474" w:type="dxa"/>
            <w:vAlign w:val="center"/>
          </w:tcPr>
          <w:p>
            <w:pPr>
              <w:pStyle w:val="11"/>
            </w:pPr>
            <w:r>
              <w:t>137.27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31.53</w:t>
            </w:r>
          </w:p>
        </w:tc>
        <w:tc>
          <w:tcPr>
            <w:tcW w:w="1474" w:type="dxa"/>
            <w:vAlign w:val="center"/>
          </w:tcPr>
          <w:p>
            <w:pPr>
              <w:pStyle w:val="11"/>
            </w:pPr>
            <w:r>
              <w:t>31.53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4.66</w:t>
            </w:r>
          </w:p>
        </w:tc>
        <w:tc>
          <w:tcPr>
            <w:tcW w:w="1474" w:type="dxa"/>
            <w:vAlign w:val="center"/>
          </w:tcPr>
          <w:p>
            <w:pPr>
              <w:pStyle w:val="11"/>
            </w:pPr>
            <w:r>
              <w:t>4.66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5.25</w:t>
            </w:r>
          </w:p>
        </w:tc>
        <w:tc>
          <w:tcPr>
            <w:tcW w:w="1474" w:type="dxa"/>
            <w:vAlign w:val="center"/>
          </w:tcPr>
          <w:p>
            <w:pPr>
              <w:pStyle w:val="11"/>
            </w:pPr>
            <w:r>
              <w:t>5.25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178.71</w:t>
            </w:r>
          </w:p>
        </w:tc>
        <w:tc>
          <w:tcPr>
            <w:tcW w:w="3402" w:type="dxa"/>
            <w:vAlign w:val="center"/>
          </w:tcPr>
          <w:p>
            <w:pPr>
              <w:pStyle w:val="14"/>
            </w:pPr>
            <w:r>
              <w:t>本年支出合计</w:t>
            </w:r>
          </w:p>
        </w:tc>
        <w:tc>
          <w:tcPr>
            <w:tcW w:w="1474" w:type="dxa"/>
            <w:vAlign w:val="center"/>
          </w:tcPr>
          <w:p>
            <w:pPr>
              <w:pStyle w:val="15"/>
            </w:pPr>
            <w:r>
              <w:t>178.71</w:t>
            </w:r>
          </w:p>
        </w:tc>
        <w:tc>
          <w:tcPr>
            <w:tcW w:w="1474" w:type="dxa"/>
            <w:vAlign w:val="center"/>
          </w:tcPr>
          <w:p>
            <w:pPr>
              <w:pStyle w:val="15"/>
            </w:pPr>
            <w:r>
              <w:t>178.71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178.71</w:t>
            </w:r>
          </w:p>
        </w:tc>
        <w:tc>
          <w:tcPr>
            <w:tcW w:w="3402" w:type="dxa"/>
            <w:vAlign w:val="center"/>
          </w:tcPr>
          <w:p>
            <w:pPr>
              <w:pStyle w:val="14"/>
            </w:pPr>
            <w:r>
              <w:t>支出总计</w:t>
            </w:r>
          </w:p>
        </w:tc>
        <w:tc>
          <w:tcPr>
            <w:tcW w:w="1474" w:type="dxa"/>
            <w:vAlign w:val="center"/>
          </w:tcPr>
          <w:p>
            <w:pPr>
              <w:pStyle w:val="15"/>
            </w:pPr>
            <w:r>
              <w:t>178.71</w:t>
            </w:r>
          </w:p>
        </w:tc>
        <w:tc>
          <w:tcPr>
            <w:tcW w:w="1474" w:type="dxa"/>
            <w:vAlign w:val="center"/>
          </w:tcPr>
          <w:p>
            <w:pPr>
              <w:pStyle w:val="15"/>
            </w:pPr>
            <w:r>
              <w:t>178.71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178.71</w:t>
            </w:r>
          </w:p>
        </w:tc>
        <w:tc>
          <w:tcPr>
            <w:tcW w:w="2551" w:type="dxa"/>
            <w:vAlign w:val="center"/>
          </w:tcPr>
          <w:p>
            <w:pPr>
              <w:pStyle w:val="15"/>
            </w:pPr>
            <w:r>
              <w:t>91.82</w:t>
            </w:r>
          </w:p>
        </w:tc>
        <w:tc>
          <w:tcPr>
            <w:tcW w:w="2551" w:type="dxa"/>
            <w:vAlign w:val="center"/>
          </w:tcPr>
          <w:p>
            <w:pPr>
              <w:pStyle w:val="15"/>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137.27</w:t>
            </w:r>
          </w:p>
        </w:tc>
        <w:tc>
          <w:tcPr>
            <w:tcW w:w="2551" w:type="dxa"/>
            <w:vAlign w:val="center"/>
          </w:tcPr>
          <w:p>
            <w:pPr>
              <w:pStyle w:val="11"/>
            </w:pPr>
            <w:r>
              <w:t>50.38</w:t>
            </w:r>
          </w:p>
        </w:tc>
        <w:tc>
          <w:tcPr>
            <w:tcW w:w="2551" w:type="dxa"/>
            <w:vAlign w:val="center"/>
          </w:tcPr>
          <w:p>
            <w:pPr>
              <w:pStyle w:val="11"/>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20126</w:t>
            </w:r>
          </w:p>
        </w:tc>
        <w:tc>
          <w:tcPr>
            <w:tcW w:w="4535" w:type="dxa"/>
            <w:vAlign w:val="center"/>
          </w:tcPr>
          <w:p>
            <w:pPr>
              <w:pStyle w:val="12"/>
            </w:pPr>
            <w:r>
              <w:t>档案事务</w:t>
            </w:r>
          </w:p>
        </w:tc>
        <w:tc>
          <w:tcPr>
            <w:tcW w:w="2551" w:type="dxa"/>
            <w:vAlign w:val="center"/>
          </w:tcPr>
          <w:p>
            <w:pPr>
              <w:pStyle w:val="11"/>
            </w:pPr>
            <w:r>
              <w:t>137.27</w:t>
            </w:r>
          </w:p>
        </w:tc>
        <w:tc>
          <w:tcPr>
            <w:tcW w:w="2551" w:type="dxa"/>
            <w:vAlign w:val="center"/>
          </w:tcPr>
          <w:p>
            <w:pPr>
              <w:pStyle w:val="11"/>
            </w:pPr>
            <w:r>
              <w:t>50.38</w:t>
            </w:r>
          </w:p>
        </w:tc>
        <w:tc>
          <w:tcPr>
            <w:tcW w:w="2551" w:type="dxa"/>
            <w:vAlign w:val="center"/>
          </w:tcPr>
          <w:p>
            <w:pPr>
              <w:pStyle w:val="11"/>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2012604</w:t>
            </w:r>
          </w:p>
        </w:tc>
        <w:tc>
          <w:tcPr>
            <w:tcW w:w="4535" w:type="dxa"/>
            <w:vAlign w:val="center"/>
          </w:tcPr>
          <w:p>
            <w:pPr>
              <w:pStyle w:val="12"/>
            </w:pPr>
            <w:r>
              <w:t>档案馆</w:t>
            </w:r>
          </w:p>
        </w:tc>
        <w:tc>
          <w:tcPr>
            <w:tcW w:w="2551" w:type="dxa"/>
            <w:vAlign w:val="center"/>
          </w:tcPr>
          <w:p>
            <w:pPr>
              <w:pStyle w:val="11"/>
            </w:pPr>
            <w:r>
              <w:t>137.27</w:t>
            </w:r>
          </w:p>
        </w:tc>
        <w:tc>
          <w:tcPr>
            <w:tcW w:w="2551" w:type="dxa"/>
            <w:vAlign w:val="center"/>
          </w:tcPr>
          <w:p>
            <w:pPr>
              <w:pStyle w:val="11"/>
            </w:pPr>
            <w:r>
              <w:t>50.38</w:t>
            </w:r>
          </w:p>
        </w:tc>
        <w:tc>
          <w:tcPr>
            <w:tcW w:w="2551" w:type="dxa"/>
            <w:vAlign w:val="center"/>
          </w:tcPr>
          <w:p>
            <w:pPr>
              <w:pStyle w:val="11"/>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31.53</w:t>
            </w:r>
          </w:p>
        </w:tc>
        <w:tc>
          <w:tcPr>
            <w:tcW w:w="2551" w:type="dxa"/>
            <w:vAlign w:val="center"/>
          </w:tcPr>
          <w:p>
            <w:pPr>
              <w:pStyle w:val="11"/>
            </w:pPr>
            <w:r>
              <w:t>31.53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31.15</w:t>
            </w:r>
          </w:p>
        </w:tc>
        <w:tc>
          <w:tcPr>
            <w:tcW w:w="2551" w:type="dxa"/>
            <w:vAlign w:val="center"/>
          </w:tcPr>
          <w:p>
            <w:pPr>
              <w:pStyle w:val="11"/>
            </w:pPr>
            <w:r>
              <w:t>31.15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24.76</w:t>
            </w:r>
          </w:p>
        </w:tc>
        <w:tc>
          <w:tcPr>
            <w:tcW w:w="2551" w:type="dxa"/>
            <w:vAlign w:val="center"/>
          </w:tcPr>
          <w:p>
            <w:pPr>
              <w:pStyle w:val="11"/>
            </w:pPr>
            <w:r>
              <w:t>24.76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6.39</w:t>
            </w:r>
          </w:p>
        </w:tc>
        <w:tc>
          <w:tcPr>
            <w:tcW w:w="2551" w:type="dxa"/>
            <w:vAlign w:val="center"/>
          </w:tcPr>
          <w:p>
            <w:pPr>
              <w:pStyle w:val="11"/>
            </w:pPr>
            <w:r>
              <w:t>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0.38</w:t>
            </w:r>
          </w:p>
        </w:tc>
        <w:tc>
          <w:tcPr>
            <w:tcW w:w="2551" w:type="dxa"/>
            <w:vAlign w:val="center"/>
          </w:tcPr>
          <w:p>
            <w:pPr>
              <w:pStyle w:val="11"/>
            </w:pPr>
            <w:r>
              <w:t>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0.38</w:t>
            </w:r>
          </w:p>
        </w:tc>
        <w:tc>
          <w:tcPr>
            <w:tcW w:w="2551" w:type="dxa"/>
            <w:vAlign w:val="center"/>
          </w:tcPr>
          <w:p>
            <w:pPr>
              <w:pStyle w:val="11"/>
            </w:pPr>
            <w:r>
              <w:t>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2.63</w:t>
            </w:r>
          </w:p>
        </w:tc>
        <w:tc>
          <w:tcPr>
            <w:tcW w:w="2551" w:type="dxa"/>
            <w:vAlign w:val="center"/>
          </w:tcPr>
          <w:p>
            <w:pPr>
              <w:pStyle w:val="11"/>
            </w:pPr>
            <w:r>
              <w:t>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2.03</w:t>
            </w:r>
          </w:p>
        </w:tc>
        <w:tc>
          <w:tcPr>
            <w:tcW w:w="2551" w:type="dxa"/>
            <w:vAlign w:val="center"/>
          </w:tcPr>
          <w:p>
            <w:pPr>
              <w:pStyle w:val="11"/>
            </w:pPr>
            <w:r>
              <w:t>2.03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91.82</w:t>
            </w:r>
          </w:p>
        </w:tc>
        <w:tc>
          <w:tcPr>
            <w:tcW w:w="2551" w:type="dxa"/>
            <w:vAlign w:val="center"/>
          </w:tcPr>
          <w:p>
            <w:pPr>
              <w:pStyle w:val="15"/>
            </w:pPr>
            <w:r>
              <w:t>87.68</w:t>
            </w:r>
          </w:p>
        </w:tc>
        <w:tc>
          <w:tcPr>
            <w:tcW w:w="2551" w:type="dxa"/>
            <w:vAlign w:val="center"/>
          </w:tcPr>
          <w:p>
            <w:pPr>
              <w:pStyle w:val="15"/>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62.92</w:t>
            </w:r>
          </w:p>
        </w:tc>
        <w:tc>
          <w:tcPr>
            <w:tcW w:w="2551" w:type="dxa"/>
            <w:vAlign w:val="center"/>
          </w:tcPr>
          <w:p>
            <w:pPr>
              <w:pStyle w:val="11"/>
            </w:pPr>
            <w:r>
              <w:t>62.92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2.51</w:t>
            </w:r>
          </w:p>
        </w:tc>
        <w:tc>
          <w:tcPr>
            <w:tcW w:w="2551" w:type="dxa"/>
            <w:vAlign w:val="center"/>
          </w:tcPr>
          <w:p>
            <w:pPr>
              <w:pStyle w:val="11"/>
            </w:pPr>
            <w:r>
              <w:t>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25.48</w:t>
            </w:r>
          </w:p>
        </w:tc>
        <w:tc>
          <w:tcPr>
            <w:tcW w:w="2551" w:type="dxa"/>
            <w:vAlign w:val="center"/>
          </w:tcPr>
          <w:p>
            <w:pPr>
              <w:pStyle w:val="11"/>
            </w:pPr>
            <w:r>
              <w:t>25.48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6.39</w:t>
            </w:r>
          </w:p>
        </w:tc>
        <w:tc>
          <w:tcPr>
            <w:tcW w:w="2551" w:type="dxa"/>
            <w:vAlign w:val="center"/>
          </w:tcPr>
          <w:p>
            <w:pPr>
              <w:pStyle w:val="11"/>
            </w:pPr>
            <w:r>
              <w:t>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2.63</w:t>
            </w:r>
          </w:p>
        </w:tc>
        <w:tc>
          <w:tcPr>
            <w:tcW w:w="2551" w:type="dxa"/>
            <w:vAlign w:val="center"/>
          </w:tcPr>
          <w:p>
            <w:pPr>
              <w:pStyle w:val="11"/>
            </w:pPr>
            <w:r>
              <w:t>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2.03</w:t>
            </w:r>
          </w:p>
        </w:tc>
        <w:tc>
          <w:tcPr>
            <w:tcW w:w="2551" w:type="dxa"/>
            <w:vAlign w:val="center"/>
          </w:tcPr>
          <w:p>
            <w:pPr>
              <w:pStyle w:val="11"/>
            </w:pPr>
            <w:r>
              <w:t>2.03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0.38</w:t>
            </w:r>
          </w:p>
        </w:tc>
        <w:tc>
          <w:tcPr>
            <w:tcW w:w="2551" w:type="dxa"/>
            <w:vAlign w:val="center"/>
          </w:tcPr>
          <w:p>
            <w:pPr>
              <w:pStyle w:val="11"/>
            </w:pPr>
            <w:r>
              <w:t>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1.28</w:t>
            </w:r>
          </w:p>
        </w:tc>
        <w:tc>
          <w:tcPr>
            <w:tcW w:w="2551" w:type="dxa"/>
            <w:vAlign w:val="center"/>
          </w:tcPr>
          <w:p>
            <w:pPr>
              <w:pStyle w:val="11"/>
            </w:pPr>
          </w:p>
        </w:tc>
        <w:tc>
          <w:tcPr>
            <w:tcW w:w="2551"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24.76</w:t>
            </w:r>
          </w:p>
        </w:tc>
        <w:tc>
          <w:tcPr>
            <w:tcW w:w="2551" w:type="dxa"/>
            <w:vAlign w:val="center"/>
          </w:tcPr>
          <w:p>
            <w:pPr>
              <w:pStyle w:val="11"/>
            </w:pPr>
            <w:r>
              <w:t>24.76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24.76</w:t>
            </w:r>
          </w:p>
        </w:tc>
        <w:tc>
          <w:tcPr>
            <w:tcW w:w="2551" w:type="dxa"/>
            <w:vAlign w:val="center"/>
          </w:tcPr>
          <w:p>
            <w:pPr>
              <w:pStyle w:val="11"/>
            </w:pPr>
            <w:r>
              <w:t>24.76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241001石家庄市井陉矿区档案馆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石家庄市井陉矿区档案馆2026年单位预算信息公开情况说明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按照《中华人民共和国预算法》、《地方预决算公开操作规程》和《关于进一步推进预算公开工作的实施意见》规定，现将石家庄市井陉矿区档案馆2026年单位预算公开如下：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档案馆主要职能为依法行政管理全区档案事业；做好档案资源建设和保管，优化馆藏，做好重点档案抢救、保护和信息化管理工作。提供档案查阅和利用，培育档案文化产业，推进全区档案信息化工作；有计划地开展档案征集；负责内部综合事务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石家庄市井陉矿区档案馆</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178.71万元，其中：一般公共预算收入178.71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档案馆年度单位预算中支出预算的总体情况。2026年支出预算178.71万元，其中基本支出91.82万元，包括人员经费87.68万元和日常公用经费4.14万元；项目支出86.89万元，主要为人员经费和项目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178.71万元，较2025年预算增加178.71万元，其中：基本支出增加91.82万元，主要为人员经费和项目经费项目支出增加86.89万元，主要为综合档案馆建设项目和地方志编纂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ascii="Times New Roman" w:hAnsi="Times New Roman" w:eastAsia="方正仿宋_GBK" w:cs="Times New Roman"/>
          <w:sz w:val="28"/>
          <w:szCs w:val="22"/>
          <w:lang w:val="en-US"/>
        </w:rPr>
        <w:t>202</w:t>
      </w:r>
      <w:r>
        <w:rPr>
          <w:rFonts w:hint="eastAsia" w:ascii="Times New Roman" w:hAnsi="Times New Roman" w:eastAsia="方正仿宋_GBK" w:cs="Times New Roman"/>
          <w:sz w:val="28"/>
          <w:szCs w:val="22"/>
          <w:lang w:val="en-US" w:eastAsia="zh-CN"/>
        </w:rPr>
        <w:t>6</w:t>
      </w:r>
      <w:r>
        <w:rPr>
          <w:rFonts w:hint="eastAsia" w:ascii="Times New Roman" w:hAnsi="Times New Roman" w:eastAsia="方正仿宋_GBK" w:cs="Times New Roman"/>
          <w:sz w:val="28"/>
          <w:szCs w:val="22"/>
          <w:lang w:val="en-US"/>
        </w:rPr>
        <w:t>年，我</w:t>
      </w:r>
      <w:r>
        <w:rPr>
          <w:rFonts w:hint="eastAsia" w:ascii="Times New Roman" w:hAnsi="Times New Roman" w:eastAsia="方正仿宋_GBK" w:cs="Times New Roman"/>
          <w:sz w:val="28"/>
          <w:szCs w:val="22"/>
          <w:lang w:val="en-US" w:eastAsia="zh-CN"/>
        </w:rPr>
        <w:t>单位</w:t>
      </w:r>
      <w:r>
        <w:rPr>
          <w:rFonts w:hint="eastAsia" w:ascii="Times New Roman" w:hAnsi="Times New Roman" w:eastAsia="方正仿宋_GBK" w:cs="Times New Roman"/>
          <w:sz w:val="28"/>
          <w:szCs w:val="22"/>
          <w:lang w:val="en-US"/>
        </w:rPr>
        <w:t>机关运行经费共计</w:t>
      </w:r>
      <w:r>
        <w:rPr>
          <w:rFonts w:hint="eastAsia" w:ascii="Times New Roman" w:hAnsi="Times New Roman" w:eastAsia="方正仿宋_GBK" w:cs="Times New Roman"/>
          <w:sz w:val="28"/>
          <w:szCs w:val="22"/>
          <w:lang w:val="en-US" w:eastAsia="zh-CN"/>
        </w:rPr>
        <w:t>4.14</w:t>
      </w:r>
      <w:r>
        <w:rPr>
          <w:rFonts w:hint="eastAsia" w:ascii="Times New Roman" w:hAnsi="Times New Roman" w:eastAsia="方正仿宋_GBK" w:cs="Times New Roman"/>
          <w:sz w:val="28"/>
          <w:szCs w:val="22"/>
          <w:lang w:val="en-US"/>
        </w:rPr>
        <w:t>万元，主要用于保证机关正常运转的邮电费、差旅费、</w:t>
      </w:r>
      <w:r>
        <w:rPr>
          <w:rFonts w:hint="eastAsia" w:ascii="Times New Roman" w:hAnsi="Times New Roman" w:eastAsia="方正仿宋_GBK" w:cs="Times New Roman"/>
          <w:sz w:val="28"/>
          <w:szCs w:val="22"/>
          <w:lang w:val="en-US" w:eastAsia="zh-CN"/>
        </w:rPr>
        <w:t>办公费</w:t>
      </w:r>
      <w:r>
        <w:rPr>
          <w:rFonts w:hint="eastAsia" w:ascii="Times New Roman" w:hAnsi="Times New Roman" w:eastAsia="方正仿宋_GBK" w:cs="Times New Roman"/>
          <w:sz w:val="28"/>
          <w:szCs w:val="22"/>
          <w:lang w:val="en-US"/>
        </w:rPr>
        <w:t>、</w:t>
      </w:r>
      <w:r>
        <w:rPr>
          <w:rFonts w:hint="eastAsia" w:ascii="Times New Roman" w:hAnsi="Times New Roman" w:eastAsia="方正仿宋_GBK" w:cs="Times New Roman"/>
          <w:sz w:val="28"/>
          <w:szCs w:val="22"/>
          <w:lang w:val="en-US" w:eastAsia="zh-CN"/>
        </w:rPr>
        <w:t>交通补贴</w:t>
      </w:r>
      <w:r>
        <w:rPr>
          <w:rFonts w:hint="eastAsia" w:ascii="Times New Roman" w:hAnsi="Times New Roman" w:eastAsia="方正仿宋_GBK" w:cs="Times New Roman"/>
          <w:sz w:val="28"/>
          <w:szCs w:val="22"/>
          <w:lang w:val="en-US"/>
        </w:rPr>
        <w:t>等支出。</w:t>
      </w:r>
    </w:p>
    <w:p>
      <w:pPr>
        <w:numPr>
          <w:ilvl w:val="0"/>
          <w:numId w:val="1"/>
        </w:numPr>
        <w:spacing w:before="10" w:after="10" w:line="240" w:lineRule="auto"/>
        <w:ind w:firstLine="640"/>
        <w:jc w:val="left"/>
        <w:outlineLvl w:val="5"/>
        <w:rPr>
          <w:rFonts w:eastAsia="宋体"/>
          <w:sz w:val="32"/>
          <w:szCs w:val="32"/>
          <w:lang w:eastAsia="zh-CN"/>
        </w:rPr>
      </w:pPr>
      <w:r>
        <w:rPr>
          <w:rFonts w:ascii="黑体" w:hAnsi="黑体" w:eastAsia="黑体" w:cs="黑体"/>
          <w:color w:val="000000"/>
          <w:sz w:val="32"/>
          <w:szCs w:val="32"/>
        </w:rPr>
        <w:t>财政拨款“三公”经费预算情况及增减变化原因</w:t>
      </w:r>
    </w:p>
    <w:p>
      <w:pPr>
        <w:numPr>
          <w:numId w:val="0"/>
        </w:numPr>
        <w:spacing w:before="10" w:after="10" w:line="240" w:lineRule="auto"/>
        <w:ind w:firstLine="560" w:firstLineChars="200"/>
        <w:jc w:val="left"/>
        <w:outlineLvl w:val="5"/>
      </w:pPr>
      <w:r>
        <w:rPr>
          <w:rFonts w:hint="eastAsia" w:ascii="Times New Roman" w:hAnsi="Times New Roman" w:eastAsia="方正仿宋_GBK" w:cs="Times New Roman"/>
          <w:sz w:val="28"/>
          <w:szCs w:val="22"/>
          <w:lang/>
        </w:rPr>
        <w:t>202</w:t>
      </w:r>
      <w:r>
        <w:rPr>
          <w:rFonts w:hint="eastAsia" w:eastAsia="方正仿宋_GBK" w:cs="Times New Roman"/>
          <w:sz w:val="28"/>
          <w:szCs w:val="22"/>
          <w:lang w:val="en-US" w:eastAsia="zh-CN"/>
        </w:rPr>
        <w:t>6</w:t>
      </w:r>
      <w:r>
        <w:rPr>
          <w:rFonts w:hint="eastAsia" w:ascii="Times New Roman" w:hAnsi="Times New Roman" w:eastAsia="方正仿宋_GBK" w:cs="Times New Roman"/>
          <w:sz w:val="28"/>
          <w:szCs w:val="22"/>
          <w:lang/>
        </w:rPr>
        <w:t>年，我单位财政拨款“三公”经费预算安排0万元，</w:t>
      </w:r>
      <w:r>
        <w:rPr>
          <w:rFonts w:ascii="Times New Roman" w:hAnsi="Times New Roman" w:eastAsia="方正仿宋_GBK" w:cs="Times New Roman"/>
          <w:sz w:val="28"/>
          <w:szCs w:val="22"/>
          <w:lang/>
        </w:rPr>
        <w:t>其中：因公出国（境）费0万元</w:t>
      </w:r>
      <w:r>
        <w:rPr>
          <w:rFonts w:hint="eastAsia" w:ascii="Times New Roman" w:hAnsi="Times New Roman" w:eastAsia="方正仿宋_GBK" w:cs="Times New Roman"/>
          <w:sz w:val="28"/>
          <w:szCs w:val="22"/>
          <w:lang/>
        </w:rPr>
        <w:t>，与上年无变化</w:t>
      </w:r>
      <w:r>
        <w:rPr>
          <w:rFonts w:ascii="Times New Roman" w:hAnsi="Times New Roman" w:eastAsia="方正仿宋_GBK" w:cs="Times New Roman"/>
          <w:sz w:val="28"/>
          <w:szCs w:val="22"/>
          <w:lang/>
        </w:rPr>
        <w:t>；公务用车购置及运维费</w:t>
      </w:r>
      <w:r>
        <w:rPr>
          <w:rFonts w:hint="eastAsia" w:ascii="Times New Roman" w:hAnsi="Times New Roman" w:eastAsia="方正仿宋_GBK" w:cs="Times New Roman"/>
          <w:sz w:val="28"/>
          <w:szCs w:val="22"/>
          <w:lang w:eastAsia="zh-CN"/>
        </w:rPr>
        <w:t>0</w:t>
      </w:r>
      <w:r>
        <w:rPr>
          <w:rFonts w:ascii="Times New Roman" w:hAnsi="Times New Roman" w:eastAsia="方正仿宋_GBK" w:cs="Times New Roman"/>
          <w:sz w:val="28"/>
          <w:szCs w:val="22"/>
          <w:lang/>
        </w:rPr>
        <w:t>万元</w:t>
      </w:r>
      <w:r>
        <w:rPr>
          <w:rFonts w:hint="eastAsia" w:ascii="Times New Roman" w:hAnsi="Times New Roman" w:eastAsia="方正仿宋_GBK" w:cs="Times New Roman"/>
          <w:sz w:val="28"/>
          <w:szCs w:val="22"/>
          <w:lang w:eastAsia="zh-CN"/>
        </w:rPr>
        <w:t>，与上年无变化</w:t>
      </w:r>
      <w:r>
        <w:rPr>
          <w:rFonts w:ascii="Times New Roman" w:hAnsi="Times New Roman" w:eastAsia="方正仿宋_GBK" w:cs="Times New Roman"/>
          <w:sz w:val="28"/>
          <w:szCs w:val="22"/>
          <w:lang/>
        </w:rPr>
        <w:t>。（其中：公务用车购置费0万元，公务用车运行维护费</w:t>
      </w:r>
      <w:r>
        <w:rPr>
          <w:rFonts w:hint="eastAsia" w:ascii="Times New Roman" w:hAnsi="Times New Roman" w:eastAsia="方正仿宋_GBK" w:cs="Times New Roman"/>
          <w:sz w:val="28"/>
          <w:szCs w:val="22"/>
          <w:lang w:eastAsia="zh-CN"/>
        </w:rPr>
        <w:t>0</w:t>
      </w:r>
      <w:r>
        <w:rPr>
          <w:rFonts w:ascii="Times New Roman" w:hAnsi="Times New Roman" w:eastAsia="方正仿宋_GBK" w:cs="Times New Roman"/>
          <w:sz w:val="28"/>
          <w:szCs w:val="22"/>
          <w:lang/>
        </w:rPr>
        <w:t>万元)；公务接待费</w:t>
      </w:r>
      <w:r>
        <w:rPr>
          <w:rFonts w:hint="eastAsia" w:ascii="Times New Roman" w:hAnsi="Times New Roman" w:eastAsia="方正仿宋_GBK" w:cs="Times New Roman"/>
          <w:sz w:val="28"/>
          <w:szCs w:val="22"/>
          <w:lang w:eastAsia="zh-CN"/>
        </w:rPr>
        <w:t>0</w:t>
      </w:r>
      <w:r>
        <w:rPr>
          <w:rFonts w:ascii="Times New Roman" w:hAnsi="Times New Roman" w:eastAsia="方正仿宋_GBK" w:cs="Times New Roman"/>
          <w:sz w:val="28"/>
          <w:szCs w:val="22"/>
          <w:lang/>
        </w:rPr>
        <w:t>万元</w:t>
      </w:r>
      <w:r>
        <w:rPr>
          <w:rFonts w:hint="eastAsia" w:ascii="Times New Roman" w:hAnsi="Times New Roman" w:eastAsia="方正仿宋_GBK" w:cs="Times New Roman"/>
          <w:sz w:val="28"/>
          <w:szCs w:val="22"/>
          <w:lang w:eastAsia="zh-CN"/>
        </w:rPr>
        <w:t>，与上年无变化</w:t>
      </w:r>
      <w:r>
        <w:rPr>
          <w:rFonts w:ascii="Times New Roman" w:hAnsi="Times New Roman" w:eastAsia="方正仿宋_GBK" w:cs="Times New Roman"/>
          <w:sz w:val="28"/>
          <w:szCs w:val="22"/>
          <w:lang/>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1、地方志编纂经费绩效目标表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13010726P000034100030</w:t>
            </w:r>
          </w:p>
        </w:tc>
        <w:tc>
          <w:tcPr>
            <w:tcW w:w="2835" w:type="dxa"/>
            <w:vAlign w:val="center"/>
          </w:tcPr>
          <w:p>
            <w:pPr>
              <w:pStyle w:val="10"/>
            </w:pPr>
            <w:r>
              <w:t>项目名称</w:t>
            </w:r>
          </w:p>
        </w:tc>
        <w:tc>
          <w:tcPr>
            <w:tcW w:w="6095" w:type="dxa"/>
            <w:gridSpan w:val="3"/>
            <w:vAlign w:val="center"/>
          </w:tcPr>
          <w:p>
            <w:pPr>
              <w:pStyle w:val="12"/>
            </w:pPr>
            <w:r>
              <w:t>地方志编纂经费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用于编纂《井陉矿区年鉴2026卷》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1.用于编纂《井陉矿区年鉴2026卷》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年鉴印刷册数</w:t>
            </w:r>
          </w:p>
        </w:tc>
        <w:tc>
          <w:tcPr>
            <w:tcW w:w="5386" w:type="dxa"/>
            <w:vAlign w:val="center"/>
          </w:tcPr>
          <w:p>
            <w:pPr>
              <w:pStyle w:val="12"/>
            </w:pPr>
            <w:r>
              <w:t xml:space="preserve"> 年鉴印刷出版总册数</w:t>
            </w:r>
          </w:p>
        </w:tc>
        <w:tc>
          <w:tcPr>
            <w:tcW w:w="2268" w:type="dxa"/>
            <w:vAlign w:val="center"/>
          </w:tcPr>
          <w:p>
            <w:pPr>
              <w:pStyle w:val="12"/>
            </w:pPr>
            <w:r>
              <w:t>≥100册</w:t>
            </w:r>
          </w:p>
        </w:tc>
        <w:tc>
          <w:tcPr>
            <w:tcW w:w="1276" w:type="dxa"/>
            <w:vAlign w:val="center"/>
          </w:tcPr>
          <w:p>
            <w:pPr>
              <w:pStyle w:val="12"/>
            </w:pPr>
            <w:r>
              <w:t>2026年度年鉴出版印刷计划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年鉴合格率</w:t>
            </w:r>
          </w:p>
        </w:tc>
        <w:tc>
          <w:tcPr>
            <w:tcW w:w="5386" w:type="dxa"/>
            <w:vAlign w:val="center"/>
          </w:tcPr>
          <w:p>
            <w:pPr>
              <w:pStyle w:val="12"/>
            </w:pPr>
            <w:r>
              <w:t>年鉴出版合格情况</w:t>
            </w:r>
          </w:p>
        </w:tc>
        <w:tc>
          <w:tcPr>
            <w:tcW w:w="2268" w:type="dxa"/>
            <w:vAlign w:val="center"/>
          </w:tcPr>
          <w:p>
            <w:pPr>
              <w:pStyle w:val="12"/>
            </w:pPr>
            <w:r>
              <w:t>≥100%</w:t>
            </w:r>
          </w:p>
        </w:tc>
        <w:tc>
          <w:tcPr>
            <w:tcW w:w="1276" w:type="dxa"/>
            <w:vAlign w:val="center"/>
          </w:tcPr>
          <w:p>
            <w:pPr>
              <w:pStyle w:val="12"/>
            </w:pPr>
            <w:r>
              <w:t>2026年度年鉴出版印刷计划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印刷及时率</w:t>
            </w:r>
          </w:p>
        </w:tc>
        <w:tc>
          <w:tcPr>
            <w:tcW w:w="5386" w:type="dxa"/>
            <w:vAlign w:val="center"/>
          </w:tcPr>
          <w:p>
            <w:pPr>
              <w:pStyle w:val="12"/>
            </w:pPr>
            <w:r>
              <w:t>年度内完成年鉴印刷情况</w:t>
            </w:r>
          </w:p>
        </w:tc>
        <w:tc>
          <w:tcPr>
            <w:tcW w:w="2268" w:type="dxa"/>
            <w:vAlign w:val="center"/>
          </w:tcPr>
          <w:p>
            <w:pPr>
              <w:pStyle w:val="12"/>
            </w:pPr>
            <w:r>
              <w:t>≥90%</w:t>
            </w:r>
          </w:p>
        </w:tc>
        <w:tc>
          <w:tcPr>
            <w:tcW w:w="1276" w:type="dxa"/>
            <w:vAlign w:val="center"/>
          </w:tcPr>
          <w:p>
            <w:pPr>
              <w:pStyle w:val="12"/>
            </w:pPr>
            <w:r>
              <w:t>2026年度年鉴出版印刷计划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平均每册</w:t>
            </w:r>
          </w:p>
        </w:tc>
        <w:tc>
          <w:tcPr>
            <w:tcW w:w="5386" w:type="dxa"/>
            <w:vAlign w:val="center"/>
          </w:tcPr>
          <w:p>
            <w:pPr>
              <w:pStyle w:val="12"/>
            </w:pPr>
            <w:r>
              <w:t>出版相关费用成本</w:t>
            </w:r>
          </w:p>
        </w:tc>
        <w:tc>
          <w:tcPr>
            <w:tcW w:w="2268" w:type="dxa"/>
            <w:vAlign w:val="center"/>
          </w:tcPr>
          <w:p>
            <w:pPr>
              <w:pStyle w:val="12"/>
            </w:pPr>
            <w:r>
              <w:t>≤180元</w:t>
            </w:r>
          </w:p>
        </w:tc>
        <w:tc>
          <w:tcPr>
            <w:tcW w:w="1276" w:type="dxa"/>
            <w:vAlign w:val="center"/>
          </w:tcPr>
          <w:p>
            <w:pPr>
              <w:pStyle w:val="12"/>
            </w:pPr>
            <w:r>
              <w:t>2026年度年鉴出版印刷资金需求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丰富馆藏资料通过年鉴编纂为矿区的政策制定提供数据支持</w:t>
            </w:r>
          </w:p>
        </w:tc>
        <w:tc>
          <w:tcPr>
            <w:tcW w:w="5386" w:type="dxa"/>
            <w:vAlign w:val="center"/>
          </w:tcPr>
          <w:p>
            <w:pPr>
              <w:pStyle w:val="12"/>
            </w:pPr>
            <w:r>
              <w:t>丰富馆藏资料通过年鉴编纂为矿区的政策制定提供数据支持</w:t>
            </w:r>
          </w:p>
        </w:tc>
        <w:tc>
          <w:tcPr>
            <w:tcW w:w="2268" w:type="dxa"/>
            <w:vAlign w:val="center"/>
          </w:tcPr>
          <w:p>
            <w:pPr>
              <w:pStyle w:val="12"/>
            </w:pPr>
            <w:r>
              <w:t>提供数据支持</w:t>
            </w:r>
          </w:p>
        </w:tc>
        <w:tc>
          <w:tcPr>
            <w:tcW w:w="1276" w:type="dxa"/>
            <w:vAlign w:val="center"/>
          </w:tcPr>
          <w:p>
            <w:pPr>
              <w:pStyle w:val="12"/>
            </w:pPr>
            <w:r>
              <w:t>2026年度年鉴出版印刷计划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读者人员满意度（%）</w:t>
            </w:r>
          </w:p>
        </w:tc>
        <w:tc>
          <w:tcPr>
            <w:tcW w:w="5386" w:type="dxa"/>
            <w:vAlign w:val="center"/>
          </w:tcPr>
          <w:p>
            <w:pPr>
              <w:pStyle w:val="12"/>
            </w:pPr>
            <w:r>
              <w:t>读者人员满意度（%）</w:t>
            </w:r>
          </w:p>
        </w:tc>
        <w:tc>
          <w:tcPr>
            <w:tcW w:w="2268" w:type="dxa"/>
            <w:vAlign w:val="center"/>
          </w:tcPr>
          <w:p>
            <w:pPr>
              <w:pStyle w:val="12"/>
            </w:pPr>
            <w:r>
              <w:t>≥90%</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2、综合档案馆建设项目绩效目标表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13010726P00003210003L</w:t>
            </w:r>
          </w:p>
        </w:tc>
        <w:tc>
          <w:tcPr>
            <w:tcW w:w="2835" w:type="dxa"/>
            <w:vAlign w:val="center"/>
          </w:tcPr>
          <w:p>
            <w:pPr>
              <w:pStyle w:val="10"/>
            </w:pPr>
            <w:r>
              <w:t>项目名称</w:t>
            </w:r>
          </w:p>
        </w:tc>
        <w:tc>
          <w:tcPr>
            <w:tcW w:w="6095" w:type="dxa"/>
            <w:gridSpan w:val="3"/>
            <w:vAlign w:val="center"/>
          </w:tcPr>
          <w:p>
            <w:pPr>
              <w:pStyle w:val="12"/>
            </w:pPr>
            <w:r>
              <w:t>综合档案馆建设项目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81.89</w:t>
            </w:r>
          </w:p>
        </w:tc>
        <w:tc>
          <w:tcPr>
            <w:tcW w:w="2835" w:type="dxa"/>
            <w:vAlign w:val="center"/>
          </w:tcPr>
          <w:p>
            <w:pPr>
              <w:pStyle w:val="10"/>
            </w:pPr>
            <w:r>
              <w:t>其中：财政    资金</w:t>
            </w:r>
          </w:p>
        </w:tc>
        <w:tc>
          <w:tcPr>
            <w:tcW w:w="2551" w:type="dxa"/>
            <w:vAlign w:val="center"/>
          </w:tcPr>
          <w:p>
            <w:pPr>
              <w:pStyle w:val="12"/>
            </w:pPr>
            <w:r>
              <w:t>81.89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用于综合档案馆建设项目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20.47</w:t>
            </w:r>
          </w:p>
        </w:tc>
        <w:tc>
          <w:tcPr>
            <w:tcW w:w="2835" w:type="dxa"/>
            <w:vAlign w:val="center"/>
          </w:tcPr>
          <w:p>
            <w:pPr>
              <w:pStyle w:val="13"/>
            </w:pPr>
            <w:r>
              <w:t>40.94</w:t>
            </w:r>
          </w:p>
        </w:tc>
        <w:tc>
          <w:tcPr>
            <w:tcW w:w="2551" w:type="dxa"/>
            <w:vAlign w:val="center"/>
          </w:tcPr>
          <w:p>
            <w:pPr>
              <w:pStyle w:val="13"/>
            </w:pPr>
            <w:r>
              <w:t>61.41</w:t>
            </w:r>
          </w:p>
        </w:tc>
        <w:tc>
          <w:tcPr>
            <w:tcW w:w="3544" w:type="dxa"/>
            <w:gridSpan w:val="2"/>
            <w:vAlign w:val="center"/>
          </w:tcPr>
          <w:p>
            <w:pPr>
              <w:pStyle w:val="13"/>
            </w:pPr>
            <w:r>
              <w:t>81.89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1.用于综合档案馆项目建设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改建建筑面积</w:t>
            </w:r>
          </w:p>
        </w:tc>
        <w:tc>
          <w:tcPr>
            <w:tcW w:w="5386" w:type="dxa"/>
            <w:vAlign w:val="center"/>
          </w:tcPr>
          <w:p>
            <w:pPr>
              <w:pStyle w:val="12"/>
            </w:pPr>
            <w:r>
              <w:t>改建建筑面积</w:t>
            </w:r>
          </w:p>
        </w:tc>
        <w:tc>
          <w:tcPr>
            <w:tcW w:w="2268" w:type="dxa"/>
            <w:vAlign w:val="center"/>
          </w:tcPr>
          <w:p>
            <w:pPr>
              <w:pStyle w:val="12"/>
            </w:pPr>
            <w:r>
              <w:t>≥952026年档案管理工作计划</w:t>
            </w:r>
          </w:p>
        </w:tc>
        <w:tc>
          <w:tcPr>
            <w:tcW w:w="1276" w:type="dxa"/>
            <w:vAlign w:val="center"/>
          </w:tcPr>
          <w:p>
            <w:pPr>
              <w:pStyle w:val="12"/>
            </w:pPr>
            <w:r>
              <w:t>完成得标准分，未完成不得分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购置验收通过率（%）</w:t>
            </w:r>
          </w:p>
        </w:tc>
        <w:tc>
          <w:tcPr>
            <w:tcW w:w="5386" w:type="dxa"/>
            <w:vAlign w:val="center"/>
          </w:tcPr>
          <w:p>
            <w:pPr>
              <w:pStyle w:val="12"/>
            </w:pPr>
            <w:r>
              <w:t>购置验收通过率（%）</w:t>
            </w:r>
          </w:p>
        </w:tc>
        <w:tc>
          <w:tcPr>
            <w:tcW w:w="2268" w:type="dxa"/>
            <w:vAlign w:val="center"/>
          </w:tcPr>
          <w:p>
            <w:pPr>
              <w:pStyle w:val="12"/>
            </w:pPr>
            <w:r>
              <w:t>≥902026年档案管理工作计划6</w:t>
            </w:r>
          </w:p>
        </w:tc>
        <w:tc>
          <w:tcPr>
            <w:tcW w:w="1276" w:type="dxa"/>
            <w:vAlign w:val="center"/>
          </w:tcPr>
          <w:p>
            <w:pPr>
              <w:pStyle w:val="12"/>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各项目按时完成情况</w:t>
            </w:r>
          </w:p>
        </w:tc>
        <w:tc>
          <w:tcPr>
            <w:tcW w:w="5386" w:type="dxa"/>
            <w:vAlign w:val="center"/>
          </w:tcPr>
          <w:p>
            <w:pPr>
              <w:pStyle w:val="12"/>
            </w:pPr>
            <w:r>
              <w:t>各项目按时完成情况</w:t>
            </w:r>
          </w:p>
        </w:tc>
        <w:tc>
          <w:tcPr>
            <w:tcW w:w="2268" w:type="dxa"/>
            <w:vAlign w:val="center"/>
          </w:tcPr>
          <w:p>
            <w:pPr>
              <w:pStyle w:val="12"/>
            </w:pPr>
            <w:r>
              <w:t>≥902026年档案管理工作计划</w:t>
            </w:r>
          </w:p>
        </w:tc>
        <w:tc>
          <w:tcPr>
            <w:tcW w:w="1276" w:type="dxa"/>
            <w:vAlign w:val="center"/>
          </w:tcPr>
          <w:p>
            <w:pPr>
              <w:pStyle w:val="12"/>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≥902026年档案管理工作计划</w:t>
            </w:r>
          </w:p>
        </w:tc>
        <w:tc>
          <w:tcPr>
            <w:tcW w:w="1276" w:type="dxa"/>
            <w:vAlign w:val="center"/>
          </w:tcPr>
          <w:p>
            <w:pPr>
              <w:pStyle w:val="12"/>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≥902026年档案管理工作计划</w:t>
            </w:r>
          </w:p>
        </w:tc>
        <w:tc>
          <w:tcPr>
            <w:tcW w:w="1276" w:type="dxa"/>
            <w:vAlign w:val="center"/>
          </w:tcPr>
          <w:p>
            <w:pPr>
              <w:pStyle w:val="12"/>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≥902026年档案管理工作计划</w:t>
            </w:r>
          </w:p>
        </w:tc>
        <w:tc>
          <w:tcPr>
            <w:tcW w:w="1276" w:type="dxa"/>
            <w:vAlign w:val="center"/>
          </w:tcPr>
          <w:p>
            <w:pPr>
              <w:pStyle w:val="12"/>
            </w:pPr>
            <w:r>
              <w:t>完成得标准分，未完成不得分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241001石家庄市井陉矿区档案馆</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石家庄市井陉矿区档案馆上年末固定资产金额为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241001石家庄市井陉矿区档案馆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2886B6"/>
    <w:multiLevelType w:val="singleLevel"/>
    <w:tmpl w:val="AE2886B6"/>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DF5504"/>
    <w:rsid w:val="324A0124"/>
    <w:rsid w:val="33CB70F4"/>
    <w:rsid w:val="38102122"/>
    <w:rsid w:val="3CB61C44"/>
    <w:rsid w:val="47F672D6"/>
    <w:rsid w:val="664C5769"/>
    <w:rsid w:val="71932C5A"/>
    <w:rsid w:val="7958382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5</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2026-02-10T10:44:00Z</dcterms:created>
  <dc:creator>Administrator</dc:creator>
  <cp:lastModifiedBy>dag</cp:lastModifiedBy>
  <dcterms:modified xsi:type="dcterms:W3CDTF">2026-02-10T06:24:13Z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