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1339.55</w:t>
            </w:r>
          </w:p>
        </w:tc>
        <w:tc>
          <w:tcPr>
            <w:tcW w:w="4535" w:type="dxa"/>
            <w:vAlign w:val="center"/>
          </w:tcPr>
          <w:p>
            <w:pPr>
              <w:pStyle w:val="13"/>
            </w:pPr>
            <w:r>
              <w:t>一、一般公共服务支出</w:t>
            </w:r>
          </w:p>
        </w:tc>
        <w:tc>
          <w:tcPr>
            <w:tcW w:w="2126" w:type="dxa"/>
            <w:vAlign w:val="center"/>
          </w:tcPr>
          <w:p>
            <w:pPr>
              <w:pStyle w:val="12"/>
            </w:pPr>
            <w:r>
              <w:t>1179.08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1339.55</w:t>
            </w:r>
          </w:p>
        </w:tc>
        <w:tc>
          <w:tcPr>
            <w:tcW w:w="4535" w:type="dxa"/>
            <w:vAlign w:val="center"/>
          </w:tcPr>
          <w:p>
            <w:pPr>
              <w:pStyle w:val="15"/>
            </w:pPr>
            <w:r>
              <w:t>本年支出合计</w:t>
            </w:r>
          </w:p>
        </w:tc>
        <w:tc>
          <w:tcPr>
            <w:tcW w:w="2126" w:type="dxa"/>
            <w:vAlign w:val="center"/>
          </w:tcPr>
          <w:p>
            <w:pPr>
              <w:pStyle w:val="16"/>
            </w:pPr>
            <w:r>
              <w:t>1339.55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1339.55</w:t>
            </w:r>
          </w:p>
        </w:tc>
        <w:tc>
          <w:tcPr>
            <w:tcW w:w="4535" w:type="dxa"/>
            <w:vAlign w:val="center"/>
          </w:tcPr>
          <w:p>
            <w:pPr>
              <w:pStyle w:val="15"/>
            </w:pPr>
            <w:r>
              <w:t>支出总计</w:t>
            </w:r>
          </w:p>
        </w:tc>
        <w:tc>
          <w:tcPr>
            <w:tcW w:w="2126" w:type="dxa"/>
            <w:vAlign w:val="center"/>
          </w:tcPr>
          <w:p>
            <w:pPr>
              <w:pStyle w:val="16"/>
            </w:pPr>
            <w:r>
              <w:t>1339.55</w:t>
            </w:r>
          </w:p>
        </w:tc>
      </w:tr>
    </w:tbl>
    <w:p>
      <w:pPr>
        <w:sectPr>
          <w:footerReference r:id="rId3" w:type="default"/>
          <w:footerReference r:id="rId4" w:type="even"/>
          <w:pgSz w:w="16840" w:h="11900" w:orient="landscape"/>
          <w:pgMar w:top="1361" w:right="1020" w:bottom="1134" w:left="1020" w:header="720" w:footer="720" w:gutter="0"/>
          <w:pgNumType w:start="1"/>
          <w:cols w:equalWidth="0" w:num="1">
            <w:col w:w="14800"/>
          </w:cols>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1339.55</w:t>
            </w:r>
          </w:p>
        </w:tc>
        <w:tc>
          <w:tcPr>
            <w:tcW w:w="1134" w:type="dxa"/>
            <w:vAlign w:val="center"/>
          </w:tcPr>
          <w:p>
            <w:pPr>
              <w:pStyle w:val="16"/>
            </w:pPr>
            <w:r>
              <w:t>1339.55</w:t>
            </w:r>
          </w:p>
        </w:tc>
        <w:tc>
          <w:tcPr>
            <w:tcW w:w="1134" w:type="dxa"/>
            <w:vAlign w:val="center"/>
          </w:tcPr>
          <w:p>
            <w:pPr>
              <w:pStyle w:val="16"/>
            </w:pPr>
            <w:r>
              <w:t>1339.55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2010303</w:t>
            </w:r>
          </w:p>
        </w:tc>
        <w:tc>
          <w:tcPr>
            <w:tcW w:w="1559" w:type="dxa"/>
            <w:vAlign w:val="center"/>
          </w:tcPr>
          <w:p>
            <w:pPr>
              <w:pStyle w:val="13"/>
            </w:pPr>
            <w:r>
              <w:t>机关服务</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r>
              <w:t>1179.08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92.27</w:t>
            </w:r>
          </w:p>
        </w:tc>
        <w:tc>
          <w:tcPr>
            <w:tcW w:w="1134" w:type="dxa"/>
            <w:vAlign w:val="center"/>
          </w:tcPr>
          <w:p>
            <w:pPr>
              <w:pStyle w:val="12"/>
            </w:pPr>
            <w:r>
              <w:t>92.27</w:t>
            </w:r>
          </w:p>
        </w:tc>
        <w:tc>
          <w:tcPr>
            <w:tcW w:w="1134" w:type="dxa"/>
            <w:vAlign w:val="center"/>
          </w:tcPr>
          <w:p>
            <w:pPr>
              <w:pStyle w:val="12"/>
            </w:pPr>
            <w:r>
              <w:t>92.27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89.68</w:t>
            </w:r>
          </w:p>
        </w:tc>
        <w:tc>
          <w:tcPr>
            <w:tcW w:w="1134" w:type="dxa"/>
            <w:vAlign w:val="center"/>
          </w:tcPr>
          <w:p>
            <w:pPr>
              <w:pStyle w:val="12"/>
            </w:pPr>
            <w:r>
              <w:t>89.68</w:t>
            </w:r>
          </w:p>
        </w:tc>
        <w:tc>
          <w:tcPr>
            <w:tcW w:w="1134" w:type="dxa"/>
            <w:vAlign w:val="center"/>
          </w:tcPr>
          <w:p>
            <w:pPr>
              <w:pStyle w:val="12"/>
            </w:pPr>
            <w:r>
              <w:t>89.68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45.73</w:t>
            </w:r>
          </w:p>
        </w:tc>
        <w:tc>
          <w:tcPr>
            <w:tcW w:w="1134" w:type="dxa"/>
            <w:vAlign w:val="center"/>
          </w:tcPr>
          <w:p>
            <w:pPr>
              <w:pStyle w:val="12"/>
            </w:pPr>
            <w:r>
              <w:t>45.73</w:t>
            </w:r>
          </w:p>
        </w:tc>
        <w:tc>
          <w:tcPr>
            <w:tcW w:w="1134" w:type="dxa"/>
            <w:vAlign w:val="center"/>
          </w:tcPr>
          <w:p>
            <w:pPr>
              <w:pStyle w:val="12"/>
            </w:pPr>
            <w:r>
              <w:t>45.73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43.95</w:t>
            </w:r>
          </w:p>
        </w:tc>
        <w:tc>
          <w:tcPr>
            <w:tcW w:w="1134" w:type="dxa"/>
            <w:vAlign w:val="center"/>
          </w:tcPr>
          <w:p>
            <w:pPr>
              <w:pStyle w:val="12"/>
            </w:pPr>
            <w:r>
              <w:t>43.95</w:t>
            </w:r>
          </w:p>
        </w:tc>
        <w:tc>
          <w:tcPr>
            <w:tcW w:w="1134" w:type="dxa"/>
            <w:vAlign w:val="center"/>
          </w:tcPr>
          <w:p>
            <w:pPr>
              <w:pStyle w:val="12"/>
            </w:pPr>
            <w:r>
              <w:t>43.95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2.59</w:t>
            </w:r>
          </w:p>
        </w:tc>
        <w:tc>
          <w:tcPr>
            <w:tcW w:w="1134" w:type="dxa"/>
            <w:vAlign w:val="center"/>
          </w:tcPr>
          <w:p>
            <w:pPr>
              <w:pStyle w:val="12"/>
            </w:pPr>
            <w:r>
              <w:t>2.59</w:t>
            </w:r>
          </w:p>
        </w:tc>
        <w:tc>
          <w:tcPr>
            <w:tcW w:w="1134" w:type="dxa"/>
            <w:vAlign w:val="center"/>
          </w:tcPr>
          <w:p>
            <w:pPr>
              <w:pStyle w:val="12"/>
            </w:pPr>
            <w:r>
              <w:t>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2.59</w:t>
            </w:r>
          </w:p>
        </w:tc>
        <w:tc>
          <w:tcPr>
            <w:tcW w:w="1134" w:type="dxa"/>
            <w:vAlign w:val="center"/>
          </w:tcPr>
          <w:p>
            <w:pPr>
              <w:pStyle w:val="12"/>
            </w:pPr>
            <w:r>
              <w:t>2.59</w:t>
            </w:r>
          </w:p>
        </w:tc>
        <w:tc>
          <w:tcPr>
            <w:tcW w:w="1134" w:type="dxa"/>
            <w:vAlign w:val="center"/>
          </w:tcPr>
          <w:p>
            <w:pPr>
              <w:pStyle w:val="12"/>
            </w:pPr>
            <w:r>
              <w:t>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32.16</w:t>
            </w:r>
          </w:p>
        </w:tc>
        <w:tc>
          <w:tcPr>
            <w:tcW w:w="1134" w:type="dxa"/>
            <w:vAlign w:val="center"/>
          </w:tcPr>
          <w:p>
            <w:pPr>
              <w:pStyle w:val="12"/>
            </w:pPr>
            <w:r>
              <w:t>32.16</w:t>
            </w:r>
          </w:p>
        </w:tc>
        <w:tc>
          <w:tcPr>
            <w:tcW w:w="1134" w:type="dxa"/>
            <w:vAlign w:val="center"/>
          </w:tcPr>
          <w:p>
            <w:pPr>
              <w:pStyle w:val="12"/>
            </w:pPr>
            <w:r>
              <w:t>32.16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32.16</w:t>
            </w:r>
          </w:p>
        </w:tc>
        <w:tc>
          <w:tcPr>
            <w:tcW w:w="1134" w:type="dxa"/>
            <w:vAlign w:val="center"/>
          </w:tcPr>
          <w:p>
            <w:pPr>
              <w:pStyle w:val="12"/>
            </w:pPr>
            <w:r>
              <w:t>32.16</w:t>
            </w:r>
          </w:p>
        </w:tc>
        <w:tc>
          <w:tcPr>
            <w:tcW w:w="1134" w:type="dxa"/>
            <w:vAlign w:val="center"/>
          </w:tcPr>
          <w:p>
            <w:pPr>
              <w:pStyle w:val="12"/>
            </w:pPr>
            <w:r>
              <w:t>32.16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18.13</w:t>
            </w:r>
          </w:p>
        </w:tc>
        <w:tc>
          <w:tcPr>
            <w:tcW w:w="1134" w:type="dxa"/>
            <w:vAlign w:val="center"/>
          </w:tcPr>
          <w:p>
            <w:pPr>
              <w:pStyle w:val="12"/>
            </w:pPr>
            <w:r>
              <w:t>18.13</w:t>
            </w:r>
          </w:p>
        </w:tc>
        <w:tc>
          <w:tcPr>
            <w:tcW w:w="1134" w:type="dxa"/>
            <w:vAlign w:val="center"/>
          </w:tcPr>
          <w:p>
            <w:pPr>
              <w:pStyle w:val="12"/>
            </w:pPr>
            <w:r>
              <w:t>18.13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r>
              <w:t>36.04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1339.55</w:t>
            </w:r>
          </w:p>
        </w:tc>
        <w:tc>
          <w:tcPr>
            <w:tcW w:w="1361" w:type="dxa"/>
            <w:vAlign w:val="center"/>
          </w:tcPr>
          <w:p>
            <w:pPr>
              <w:pStyle w:val="16"/>
            </w:pPr>
            <w:r>
              <w:t>881.95</w:t>
            </w:r>
          </w:p>
        </w:tc>
        <w:tc>
          <w:tcPr>
            <w:tcW w:w="1361" w:type="dxa"/>
            <w:vAlign w:val="center"/>
          </w:tcPr>
          <w:p>
            <w:pPr>
              <w:pStyle w:val="16"/>
            </w:pPr>
            <w:r>
              <w:t>457.60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1179.08</w:t>
            </w:r>
          </w:p>
        </w:tc>
        <w:tc>
          <w:tcPr>
            <w:tcW w:w="1361" w:type="dxa"/>
            <w:vAlign w:val="center"/>
          </w:tcPr>
          <w:p>
            <w:pPr>
              <w:pStyle w:val="12"/>
            </w:pPr>
            <w:r>
              <w:t>721.48</w:t>
            </w:r>
          </w:p>
        </w:tc>
        <w:tc>
          <w:tcPr>
            <w:tcW w:w="1361" w:type="dxa"/>
            <w:vAlign w:val="center"/>
          </w:tcPr>
          <w:p>
            <w:pPr>
              <w:pStyle w:val="12"/>
            </w:pPr>
            <w:r>
              <w:t>457.60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1179.08</w:t>
            </w:r>
          </w:p>
        </w:tc>
        <w:tc>
          <w:tcPr>
            <w:tcW w:w="1361" w:type="dxa"/>
            <w:vAlign w:val="center"/>
          </w:tcPr>
          <w:p>
            <w:pPr>
              <w:pStyle w:val="12"/>
            </w:pPr>
            <w:r>
              <w:t>721.48</w:t>
            </w:r>
          </w:p>
        </w:tc>
        <w:tc>
          <w:tcPr>
            <w:tcW w:w="1361" w:type="dxa"/>
            <w:vAlign w:val="center"/>
          </w:tcPr>
          <w:p>
            <w:pPr>
              <w:pStyle w:val="12"/>
            </w:pPr>
            <w:r>
              <w:t>457.60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2010303</w:t>
            </w:r>
          </w:p>
        </w:tc>
        <w:tc>
          <w:tcPr>
            <w:tcW w:w="4535" w:type="dxa"/>
            <w:vAlign w:val="center"/>
          </w:tcPr>
          <w:p>
            <w:pPr>
              <w:pStyle w:val="13"/>
            </w:pPr>
            <w:r>
              <w:t>机关服务</w:t>
            </w:r>
          </w:p>
        </w:tc>
        <w:tc>
          <w:tcPr>
            <w:tcW w:w="1361" w:type="dxa"/>
            <w:vAlign w:val="center"/>
          </w:tcPr>
          <w:p>
            <w:pPr>
              <w:pStyle w:val="12"/>
            </w:pPr>
            <w:r>
              <w:t>1179.08</w:t>
            </w:r>
          </w:p>
        </w:tc>
        <w:tc>
          <w:tcPr>
            <w:tcW w:w="1361" w:type="dxa"/>
            <w:vAlign w:val="center"/>
          </w:tcPr>
          <w:p>
            <w:pPr>
              <w:pStyle w:val="12"/>
            </w:pPr>
            <w:r>
              <w:t>721.48</w:t>
            </w:r>
          </w:p>
        </w:tc>
        <w:tc>
          <w:tcPr>
            <w:tcW w:w="1361" w:type="dxa"/>
            <w:vAlign w:val="center"/>
          </w:tcPr>
          <w:p>
            <w:pPr>
              <w:pStyle w:val="12"/>
            </w:pPr>
            <w:r>
              <w:t>457.60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92.27</w:t>
            </w:r>
          </w:p>
        </w:tc>
        <w:tc>
          <w:tcPr>
            <w:tcW w:w="1361" w:type="dxa"/>
            <w:vAlign w:val="center"/>
          </w:tcPr>
          <w:p>
            <w:pPr>
              <w:pStyle w:val="12"/>
            </w:pPr>
            <w:r>
              <w:t>92.27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89.68</w:t>
            </w:r>
          </w:p>
        </w:tc>
        <w:tc>
          <w:tcPr>
            <w:tcW w:w="1361" w:type="dxa"/>
            <w:vAlign w:val="center"/>
          </w:tcPr>
          <w:p>
            <w:pPr>
              <w:pStyle w:val="12"/>
            </w:pPr>
            <w:r>
              <w:t>89.68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45.73</w:t>
            </w:r>
          </w:p>
        </w:tc>
        <w:tc>
          <w:tcPr>
            <w:tcW w:w="1361" w:type="dxa"/>
            <w:vAlign w:val="center"/>
          </w:tcPr>
          <w:p>
            <w:pPr>
              <w:pStyle w:val="12"/>
            </w:pPr>
            <w:r>
              <w:t>45.73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43.95</w:t>
            </w:r>
          </w:p>
        </w:tc>
        <w:tc>
          <w:tcPr>
            <w:tcW w:w="1361" w:type="dxa"/>
            <w:vAlign w:val="center"/>
          </w:tcPr>
          <w:p>
            <w:pPr>
              <w:pStyle w:val="12"/>
            </w:pPr>
            <w:r>
              <w:t>43.95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2.59</w:t>
            </w:r>
          </w:p>
        </w:tc>
        <w:tc>
          <w:tcPr>
            <w:tcW w:w="1361" w:type="dxa"/>
            <w:vAlign w:val="center"/>
          </w:tcPr>
          <w:p>
            <w:pPr>
              <w:pStyle w:val="12"/>
            </w:pPr>
            <w:r>
              <w:t>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2.59</w:t>
            </w:r>
          </w:p>
        </w:tc>
        <w:tc>
          <w:tcPr>
            <w:tcW w:w="1361" w:type="dxa"/>
            <w:vAlign w:val="center"/>
          </w:tcPr>
          <w:p>
            <w:pPr>
              <w:pStyle w:val="12"/>
            </w:pPr>
            <w:r>
              <w:t>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32.16</w:t>
            </w:r>
          </w:p>
        </w:tc>
        <w:tc>
          <w:tcPr>
            <w:tcW w:w="1361" w:type="dxa"/>
            <w:vAlign w:val="center"/>
          </w:tcPr>
          <w:p>
            <w:pPr>
              <w:pStyle w:val="12"/>
            </w:pPr>
            <w:r>
              <w:t>32.16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32.16</w:t>
            </w:r>
          </w:p>
        </w:tc>
        <w:tc>
          <w:tcPr>
            <w:tcW w:w="1361" w:type="dxa"/>
            <w:vAlign w:val="center"/>
          </w:tcPr>
          <w:p>
            <w:pPr>
              <w:pStyle w:val="12"/>
            </w:pPr>
            <w:r>
              <w:t>32.16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18.13</w:t>
            </w:r>
          </w:p>
        </w:tc>
        <w:tc>
          <w:tcPr>
            <w:tcW w:w="1361" w:type="dxa"/>
            <w:vAlign w:val="center"/>
          </w:tcPr>
          <w:p>
            <w:pPr>
              <w:pStyle w:val="12"/>
            </w:pPr>
            <w:r>
              <w:t>18.13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14.03</w:t>
            </w:r>
          </w:p>
        </w:tc>
        <w:tc>
          <w:tcPr>
            <w:tcW w:w="1361" w:type="dxa"/>
            <w:vAlign w:val="center"/>
          </w:tcPr>
          <w:p>
            <w:pPr>
              <w:pStyle w:val="12"/>
            </w:pPr>
            <w:r>
              <w:t>14.03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36.04</w:t>
            </w:r>
          </w:p>
        </w:tc>
        <w:tc>
          <w:tcPr>
            <w:tcW w:w="1361" w:type="dxa"/>
            <w:vAlign w:val="center"/>
          </w:tcPr>
          <w:p>
            <w:pPr>
              <w:pStyle w:val="12"/>
            </w:pPr>
            <w:r>
              <w:t>36.04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36.04</w:t>
            </w:r>
          </w:p>
        </w:tc>
        <w:tc>
          <w:tcPr>
            <w:tcW w:w="1361" w:type="dxa"/>
            <w:vAlign w:val="center"/>
          </w:tcPr>
          <w:p>
            <w:pPr>
              <w:pStyle w:val="12"/>
            </w:pPr>
            <w:r>
              <w:t>36.04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36.04</w:t>
            </w:r>
          </w:p>
        </w:tc>
        <w:tc>
          <w:tcPr>
            <w:tcW w:w="1361" w:type="dxa"/>
            <w:vAlign w:val="center"/>
          </w:tcPr>
          <w:p>
            <w:pPr>
              <w:pStyle w:val="12"/>
            </w:pPr>
            <w:r>
              <w:t>36.04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1339.55</w:t>
            </w:r>
          </w:p>
        </w:tc>
        <w:tc>
          <w:tcPr>
            <w:tcW w:w="3402" w:type="dxa"/>
            <w:vAlign w:val="center"/>
          </w:tcPr>
          <w:p>
            <w:pPr>
              <w:pStyle w:val="13"/>
            </w:pPr>
            <w:r>
              <w:t>一、一般公共服务支出</w:t>
            </w:r>
          </w:p>
        </w:tc>
        <w:tc>
          <w:tcPr>
            <w:tcW w:w="1474" w:type="dxa"/>
            <w:vAlign w:val="center"/>
          </w:tcPr>
          <w:p>
            <w:pPr>
              <w:pStyle w:val="12"/>
            </w:pPr>
            <w:r>
              <w:t>1179.08</w:t>
            </w:r>
          </w:p>
        </w:tc>
        <w:tc>
          <w:tcPr>
            <w:tcW w:w="1474" w:type="dxa"/>
            <w:vAlign w:val="center"/>
          </w:tcPr>
          <w:p>
            <w:pPr>
              <w:pStyle w:val="12"/>
            </w:pPr>
            <w:r>
              <w:t>1179.08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92.27</w:t>
            </w:r>
          </w:p>
        </w:tc>
        <w:tc>
          <w:tcPr>
            <w:tcW w:w="1474" w:type="dxa"/>
            <w:vAlign w:val="center"/>
          </w:tcPr>
          <w:p>
            <w:pPr>
              <w:pStyle w:val="12"/>
            </w:pPr>
            <w:r>
              <w:t>92.27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32.16</w:t>
            </w:r>
          </w:p>
        </w:tc>
        <w:tc>
          <w:tcPr>
            <w:tcW w:w="1474" w:type="dxa"/>
            <w:vAlign w:val="center"/>
          </w:tcPr>
          <w:p>
            <w:pPr>
              <w:pStyle w:val="12"/>
            </w:pPr>
            <w:r>
              <w:t>32.16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36.04</w:t>
            </w:r>
          </w:p>
        </w:tc>
        <w:tc>
          <w:tcPr>
            <w:tcW w:w="1474" w:type="dxa"/>
            <w:vAlign w:val="center"/>
          </w:tcPr>
          <w:p>
            <w:pPr>
              <w:pStyle w:val="12"/>
            </w:pPr>
            <w:r>
              <w:t>36.04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1339.55</w:t>
            </w:r>
          </w:p>
        </w:tc>
        <w:tc>
          <w:tcPr>
            <w:tcW w:w="3402" w:type="dxa"/>
            <w:vAlign w:val="center"/>
          </w:tcPr>
          <w:p>
            <w:pPr>
              <w:pStyle w:val="15"/>
            </w:pPr>
            <w:r>
              <w:t>本年支出合计</w:t>
            </w:r>
          </w:p>
        </w:tc>
        <w:tc>
          <w:tcPr>
            <w:tcW w:w="1474" w:type="dxa"/>
            <w:vAlign w:val="center"/>
          </w:tcPr>
          <w:p>
            <w:pPr>
              <w:pStyle w:val="16"/>
            </w:pPr>
            <w:r>
              <w:t>1339.55</w:t>
            </w:r>
          </w:p>
        </w:tc>
        <w:tc>
          <w:tcPr>
            <w:tcW w:w="1474" w:type="dxa"/>
            <w:vAlign w:val="center"/>
          </w:tcPr>
          <w:p>
            <w:pPr>
              <w:pStyle w:val="16"/>
            </w:pPr>
            <w:r>
              <w:t>1339.55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1339.55</w:t>
            </w:r>
          </w:p>
        </w:tc>
        <w:tc>
          <w:tcPr>
            <w:tcW w:w="3402" w:type="dxa"/>
            <w:vAlign w:val="center"/>
          </w:tcPr>
          <w:p>
            <w:pPr>
              <w:pStyle w:val="15"/>
            </w:pPr>
            <w:r>
              <w:t>支出总计</w:t>
            </w:r>
          </w:p>
        </w:tc>
        <w:tc>
          <w:tcPr>
            <w:tcW w:w="1474" w:type="dxa"/>
            <w:vAlign w:val="center"/>
          </w:tcPr>
          <w:p>
            <w:pPr>
              <w:pStyle w:val="16"/>
            </w:pPr>
            <w:r>
              <w:t>1339.55</w:t>
            </w:r>
          </w:p>
        </w:tc>
        <w:tc>
          <w:tcPr>
            <w:tcW w:w="1474" w:type="dxa"/>
            <w:vAlign w:val="center"/>
          </w:tcPr>
          <w:p>
            <w:pPr>
              <w:pStyle w:val="16"/>
            </w:pPr>
            <w:r>
              <w:t>1339.55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1339.55</w:t>
            </w:r>
          </w:p>
        </w:tc>
        <w:tc>
          <w:tcPr>
            <w:tcW w:w="2551" w:type="dxa"/>
            <w:vAlign w:val="center"/>
          </w:tcPr>
          <w:p>
            <w:pPr>
              <w:pStyle w:val="16"/>
            </w:pPr>
            <w:r>
              <w:t>881.95</w:t>
            </w:r>
          </w:p>
        </w:tc>
        <w:tc>
          <w:tcPr>
            <w:tcW w:w="2551" w:type="dxa"/>
            <w:vAlign w:val="center"/>
          </w:tcPr>
          <w:p>
            <w:pPr>
              <w:pStyle w:val="16"/>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1179.08</w:t>
            </w:r>
          </w:p>
        </w:tc>
        <w:tc>
          <w:tcPr>
            <w:tcW w:w="2551" w:type="dxa"/>
            <w:vAlign w:val="center"/>
          </w:tcPr>
          <w:p>
            <w:pPr>
              <w:pStyle w:val="12"/>
            </w:pPr>
            <w:r>
              <w:t>721.48</w:t>
            </w:r>
          </w:p>
        </w:tc>
        <w:tc>
          <w:tcPr>
            <w:tcW w:w="2551" w:type="dxa"/>
            <w:vAlign w:val="center"/>
          </w:tcPr>
          <w:p>
            <w:pPr>
              <w:pStyle w:val="12"/>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1179.08</w:t>
            </w:r>
          </w:p>
        </w:tc>
        <w:tc>
          <w:tcPr>
            <w:tcW w:w="2551" w:type="dxa"/>
            <w:vAlign w:val="center"/>
          </w:tcPr>
          <w:p>
            <w:pPr>
              <w:pStyle w:val="12"/>
            </w:pPr>
            <w:r>
              <w:t>721.48</w:t>
            </w:r>
          </w:p>
        </w:tc>
        <w:tc>
          <w:tcPr>
            <w:tcW w:w="2551" w:type="dxa"/>
            <w:vAlign w:val="center"/>
          </w:tcPr>
          <w:p>
            <w:pPr>
              <w:pStyle w:val="12"/>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2010303</w:t>
            </w:r>
          </w:p>
        </w:tc>
        <w:tc>
          <w:tcPr>
            <w:tcW w:w="4535" w:type="dxa"/>
            <w:vAlign w:val="center"/>
          </w:tcPr>
          <w:p>
            <w:pPr>
              <w:pStyle w:val="13"/>
            </w:pPr>
            <w:r>
              <w:t>机关服务</w:t>
            </w:r>
          </w:p>
        </w:tc>
        <w:tc>
          <w:tcPr>
            <w:tcW w:w="2551" w:type="dxa"/>
            <w:vAlign w:val="center"/>
          </w:tcPr>
          <w:p>
            <w:pPr>
              <w:pStyle w:val="12"/>
            </w:pPr>
            <w:r>
              <w:t>1179.08</w:t>
            </w:r>
          </w:p>
        </w:tc>
        <w:tc>
          <w:tcPr>
            <w:tcW w:w="2551" w:type="dxa"/>
            <w:vAlign w:val="center"/>
          </w:tcPr>
          <w:p>
            <w:pPr>
              <w:pStyle w:val="12"/>
            </w:pPr>
            <w:r>
              <w:t>721.48</w:t>
            </w:r>
          </w:p>
        </w:tc>
        <w:tc>
          <w:tcPr>
            <w:tcW w:w="2551" w:type="dxa"/>
            <w:vAlign w:val="center"/>
          </w:tcPr>
          <w:p>
            <w:pPr>
              <w:pStyle w:val="12"/>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92.27</w:t>
            </w:r>
          </w:p>
        </w:tc>
        <w:tc>
          <w:tcPr>
            <w:tcW w:w="2551" w:type="dxa"/>
            <w:vAlign w:val="center"/>
          </w:tcPr>
          <w:p>
            <w:pPr>
              <w:pStyle w:val="12"/>
            </w:pPr>
            <w:r>
              <w:t>92.27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89.68</w:t>
            </w:r>
          </w:p>
        </w:tc>
        <w:tc>
          <w:tcPr>
            <w:tcW w:w="2551" w:type="dxa"/>
            <w:vAlign w:val="center"/>
          </w:tcPr>
          <w:p>
            <w:pPr>
              <w:pStyle w:val="12"/>
            </w:pPr>
            <w:r>
              <w:t>89.68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45.73</w:t>
            </w:r>
          </w:p>
        </w:tc>
        <w:tc>
          <w:tcPr>
            <w:tcW w:w="2551" w:type="dxa"/>
            <w:vAlign w:val="center"/>
          </w:tcPr>
          <w:p>
            <w:pPr>
              <w:pStyle w:val="12"/>
            </w:pPr>
            <w:r>
              <w:t>45.73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43.95</w:t>
            </w:r>
          </w:p>
        </w:tc>
        <w:tc>
          <w:tcPr>
            <w:tcW w:w="2551" w:type="dxa"/>
            <w:vAlign w:val="center"/>
          </w:tcPr>
          <w:p>
            <w:pPr>
              <w:pStyle w:val="12"/>
            </w:pPr>
            <w:r>
              <w:t>43.95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2.59</w:t>
            </w:r>
          </w:p>
        </w:tc>
        <w:tc>
          <w:tcPr>
            <w:tcW w:w="2551" w:type="dxa"/>
            <w:vAlign w:val="center"/>
          </w:tcPr>
          <w:p>
            <w:pPr>
              <w:pStyle w:val="12"/>
            </w:pPr>
            <w:r>
              <w:t>2.59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2.59</w:t>
            </w:r>
          </w:p>
        </w:tc>
        <w:tc>
          <w:tcPr>
            <w:tcW w:w="2551" w:type="dxa"/>
            <w:vAlign w:val="center"/>
          </w:tcPr>
          <w:p>
            <w:pPr>
              <w:pStyle w:val="12"/>
            </w:pPr>
            <w:r>
              <w:t>2.59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32.16</w:t>
            </w:r>
          </w:p>
        </w:tc>
        <w:tc>
          <w:tcPr>
            <w:tcW w:w="2551" w:type="dxa"/>
            <w:vAlign w:val="center"/>
          </w:tcPr>
          <w:p>
            <w:pPr>
              <w:pStyle w:val="12"/>
            </w:pPr>
            <w:r>
              <w:t>32.16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32.16</w:t>
            </w:r>
          </w:p>
        </w:tc>
        <w:tc>
          <w:tcPr>
            <w:tcW w:w="2551" w:type="dxa"/>
            <w:vAlign w:val="center"/>
          </w:tcPr>
          <w:p>
            <w:pPr>
              <w:pStyle w:val="12"/>
            </w:pPr>
            <w:r>
              <w:t>32.16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18.13</w:t>
            </w:r>
          </w:p>
        </w:tc>
        <w:tc>
          <w:tcPr>
            <w:tcW w:w="2551" w:type="dxa"/>
            <w:vAlign w:val="center"/>
          </w:tcPr>
          <w:p>
            <w:pPr>
              <w:pStyle w:val="12"/>
            </w:pPr>
            <w:r>
              <w:t>18.13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14.03</w:t>
            </w:r>
          </w:p>
        </w:tc>
        <w:tc>
          <w:tcPr>
            <w:tcW w:w="2551" w:type="dxa"/>
            <w:vAlign w:val="center"/>
          </w:tcPr>
          <w:p>
            <w:pPr>
              <w:pStyle w:val="12"/>
            </w:pPr>
            <w:r>
              <w:t>14.03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36.04</w:t>
            </w:r>
          </w:p>
        </w:tc>
        <w:tc>
          <w:tcPr>
            <w:tcW w:w="2551" w:type="dxa"/>
            <w:vAlign w:val="center"/>
          </w:tcPr>
          <w:p>
            <w:pPr>
              <w:pStyle w:val="12"/>
            </w:pPr>
            <w:r>
              <w:t>36.04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36.04</w:t>
            </w:r>
          </w:p>
        </w:tc>
        <w:tc>
          <w:tcPr>
            <w:tcW w:w="2551" w:type="dxa"/>
            <w:vAlign w:val="center"/>
          </w:tcPr>
          <w:p>
            <w:pPr>
              <w:pStyle w:val="12"/>
            </w:pPr>
            <w:r>
              <w:t>36.04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36.04</w:t>
            </w:r>
          </w:p>
        </w:tc>
        <w:tc>
          <w:tcPr>
            <w:tcW w:w="2551" w:type="dxa"/>
            <w:vAlign w:val="center"/>
          </w:tcPr>
          <w:p>
            <w:pPr>
              <w:pStyle w:val="12"/>
            </w:pPr>
            <w:r>
              <w:t>36.04</w:t>
            </w:r>
          </w:p>
        </w:tc>
        <w:tc>
          <w:tcPr>
            <w:tcW w:w="2551" w:type="dxa"/>
            <w:vAlign w:val="center"/>
          </w:tcPr>
          <w:p>
            <w:pPr>
              <w:pStyle w:val="12"/>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881.95</w:t>
            </w:r>
          </w:p>
        </w:tc>
        <w:tc>
          <w:tcPr>
            <w:tcW w:w="2551" w:type="dxa"/>
            <w:vAlign w:val="center"/>
          </w:tcPr>
          <w:p>
            <w:pPr>
              <w:pStyle w:val="16"/>
            </w:pPr>
            <w:r>
              <w:t>478.42</w:t>
            </w:r>
          </w:p>
        </w:tc>
        <w:tc>
          <w:tcPr>
            <w:tcW w:w="2551" w:type="dxa"/>
            <w:vAlign w:val="center"/>
          </w:tcPr>
          <w:p>
            <w:pPr>
              <w:pStyle w:val="16"/>
            </w:pPr>
            <w:r>
              <w:t>403.53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429.37</w:t>
            </w:r>
          </w:p>
        </w:tc>
        <w:tc>
          <w:tcPr>
            <w:tcW w:w="2551" w:type="dxa"/>
            <w:vAlign w:val="center"/>
          </w:tcPr>
          <w:p>
            <w:pPr>
              <w:pStyle w:val="12"/>
            </w:pPr>
            <w:r>
              <w:t>429.37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128.01</w:t>
            </w:r>
          </w:p>
        </w:tc>
        <w:tc>
          <w:tcPr>
            <w:tcW w:w="2551" w:type="dxa"/>
            <w:vAlign w:val="center"/>
          </w:tcPr>
          <w:p>
            <w:pPr>
              <w:pStyle w:val="12"/>
            </w:pPr>
            <w:r>
              <w:t>128.01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14.29</w:t>
            </w:r>
          </w:p>
        </w:tc>
        <w:tc>
          <w:tcPr>
            <w:tcW w:w="2551" w:type="dxa"/>
            <w:vAlign w:val="center"/>
          </w:tcPr>
          <w:p>
            <w:pPr>
              <w:pStyle w:val="12"/>
            </w:pPr>
            <w:r>
              <w:t>14.29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172.33</w:t>
            </w:r>
          </w:p>
        </w:tc>
        <w:tc>
          <w:tcPr>
            <w:tcW w:w="2551" w:type="dxa"/>
            <w:vAlign w:val="center"/>
          </w:tcPr>
          <w:p>
            <w:pPr>
              <w:pStyle w:val="12"/>
            </w:pPr>
            <w:r>
              <w:t>172.33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43.95</w:t>
            </w:r>
          </w:p>
        </w:tc>
        <w:tc>
          <w:tcPr>
            <w:tcW w:w="2551" w:type="dxa"/>
            <w:vAlign w:val="center"/>
          </w:tcPr>
          <w:p>
            <w:pPr>
              <w:pStyle w:val="12"/>
            </w:pPr>
            <w:r>
              <w:t>43.95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18.13</w:t>
            </w:r>
          </w:p>
        </w:tc>
        <w:tc>
          <w:tcPr>
            <w:tcW w:w="2551" w:type="dxa"/>
            <w:vAlign w:val="center"/>
          </w:tcPr>
          <w:p>
            <w:pPr>
              <w:pStyle w:val="12"/>
            </w:pPr>
            <w:r>
              <w:t>18.13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14.03</w:t>
            </w:r>
          </w:p>
        </w:tc>
        <w:tc>
          <w:tcPr>
            <w:tcW w:w="2551" w:type="dxa"/>
            <w:vAlign w:val="center"/>
          </w:tcPr>
          <w:p>
            <w:pPr>
              <w:pStyle w:val="12"/>
            </w:pPr>
            <w:r>
              <w:t>14.03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2.59</w:t>
            </w:r>
          </w:p>
        </w:tc>
        <w:tc>
          <w:tcPr>
            <w:tcW w:w="2551" w:type="dxa"/>
            <w:vAlign w:val="center"/>
          </w:tcPr>
          <w:p>
            <w:pPr>
              <w:pStyle w:val="12"/>
            </w:pPr>
            <w:r>
              <w:t>2.59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36.04</w:t>
            </w:r>
          </w:p>
        </w:tc>
        <w:tc>
          <w:tcPr>
            <w:tcW w:w="2551" w:type="dxa"/>
            <w:vAlign w:val="center"/>
          </w:tcPr>
          <w:p>
            <w:pPr>
              <w:pStyle w:val="12"/>
            </w:pPr>
            <w:r>
              <w:t>36.04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403.53</w:t>
            </w:r>
          </w:p>
        </w:tc>
        <w:tc>
          <w:tcPr>
            <w:tcW w:w="2551" w:type="dxa"/>
            <w:vAlign w:val="center"/>
          </w:tcPr>
          <w:p>
            <w:pPr>
              <w:pStyle w:val="12"/>
            </w:pPr>
          </w:p>
        </w:tc>
        <w:tc>
          <w:tcPr>
            <w:tcW w:w="2551" w:type="dxa"/>
            <w:vAlign w:val="center"/>
          </w:tcPr>
          <w:p>
            <w:pPr>
              <w:pStyle w:val="12"/>
            </w:pPr>
            <w:r>
              <w:t>403.53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3.36</w:t>
            </w:r>
          </w:p>
        </w:tc>
        <w:tc>
          <w:tcPr>
            <w:tcW w:w="2551" w:type="dxa"/>
            <w:vAlign w:val="center"/>
          </w:tcPr>
          <w:p>
            <w:pPr>
              <w:pStyle w:val="12"/>
            </w:pPr>
          </w:p>
        </w:tc>
        <w:tc>
          <w:tcPr>
            <w:tcW w:w="2551" w:type="dxa"/>
            <w:vAlign w:val="center"/>
          </w:tcPr>
          <w:p>
            <w:pPr>
              <w:pStyle w:val="12"/>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255.00</w:t>
            </w:r>
          </w:p>
        </w:tc>
        <w:tc>
          <w:tcPr>
            <w:tcW w:w="2551" w:type="dxa"/>
            <w:vAlign w:val="center"/>
          </w:tcPr>
          <w:p>
            <w:pPr>
              <w:pStyle w:val="12"/>
            </w:pPr>
          </w:p>
        </w:tc>
        <w:tc>
          <w:tcPr>
            <w:tcW w:w="2551" w:type="dxa"/>
            <w:vAlign w:val="center"/>
          </w:tcPr>
          <w:p>
            <w:pPr>
              <w:pStyle w:val="12"/>
            </w:pPr>
            <w:r>
              <w:t>255.00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109.59</w:t>
            </w:r>
          </w:p>
        </w:tc>
        <w:tc>
          <w:tcPr>
            <w:tcW w:w="2551" w:type="dxa"/>
            <w:vAlign w:val="center"/>
          </w:tcPr>
          <w:p>
            <w:pPr>
              <w:pStyle w:val="12"/>
            </w:pPr>
          </w:p>
        </w:tc>
        <w:tc>
          <w:tcPr>
            <w:tcW w:w="2551" w:type="dxa"/>
            <w:vAlign w:val="center"/>
          </w:tcPr>
          <w:p>
            <w:pPr>
              <w:pStyle w:val="12"/>
            </w:pPr>
            <w:r>
              <w:t>109.59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2.58</w:t>
            </w:r>
          </w:p>
        </w:tc>
        <w:tc>
          <w:tcPr>
            <w:tcW w:w="2551" w:type="dxa"/>
            <w:vAlign w:val="center"/>
          </w:tcPr>
          <w:p>
            <w:pPr>
              <w:pStyle w:val="12"/>
            </w:pPr>
          </w:p>
        </w:tc>
        <w:tc>
          <w:tcPr>
            <w:tcW w:w="2551" w:type="dxa"/>
            <w:vAlign w:val="center"/>
          </w:tcPr>
          <w:p>
            <w:pPr>
              <w:pStyle w:val="12"/>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49.05</w:t>
            </w:r>
          </w:p>
        </w:tc>
        <w:tc>
          <w:tcPr>
            <w:tcW w:w="2551" w:type="dxa"/>
            <w:vAlign w:val="center"/>
          </w:tcPr>
          <w:p>
            <w:pPr>
              <w:pStyle w:val="12"/>
            </w:pPr>
            <w:r>
              <w:t>49.05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45.73</w:t>
            </w:r>
          </w:p>
        </w:tc>
        <w:tc>
          <w:tcPr>
            <w:tcW w:w="2551" w:type="dxa"/>
            <w:vAlign w:val="center"/>
          </w:tcPr>
          <w:p>
            <w:pPr>
              <w:pStyle w:val="12"/>
            </w:pPr>
            <w:r>
              <w:t>45.73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3.32</w:t>
            </w:r>
          </w:p>
        </w:tc>
        <w:tc>
          <w:tcPr>
            <w:tcW w:w="2551" w:type="dxa"/>
            <w:vAlign w:val="center"/>
          </w:tcPr>
          <w:p>
            <w:pPr>
              <w:pStyle w:val="12"/>
            </w:pPr>
            <w:r>
              <w:t>3.32</w:t>
            </w:r>
          </w:p>
        </w:tc>
        <w:tc>
          <w:tcPr>
            <w:tcW w:w="2551" w:type="dxa"/>
            <w:vAlign w:val="center"/>
          </w:tcPr>
          <w:p>
            <w:pPr>
              <w:pStyle w:val="12"/>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equalWidth="0" w:num="1">
            <w:col w:w="14800"/>
          </w:cols>
        </w:sectPr>
      </w:pPr>
      <w:r>
        <w:rPr>
          <w:rFonts w:ascii="方正书宋_GBK" w:hAnsi="方正书宋_GBK" w:eastAsia="方正书宋_GBK" w:cs="方正书宋_GBK"/>
          <w:color w:val="FFFFFF"/>
          <w:sz w:val="21"/>
        </w:rPr>
        <w:t>第一部分  石家庄市井陉矿区机关后勤服务中心2026年部门预算信息公开情况说明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石家庄市井陉矿区机关后勤服务中心2026年部门预算信息公开情况说明</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按照《中华人民共和国预算法》、《地方预决算公开操作规程》和《关于进一步推进预算公开工作的实施意见》规定，现将石家庄市井陉矿区机关后勤服务中心2026年部门预算公开如下：</w:t>
      </w:r>
    </w:p>
    <w:p>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560" w:firstLineChars="200"/>
        <w:jc w:val="both"/>
        <w:textAlignment w:val="auto"/>
        <w:outlineLvl w:val="9"/>
      </w:pPr>
      <w:r>
        <w:rPr>
          <w:rFonts w:ascii="方正楷体_GBK" w:hAnsi="方正楷体_GBK" w:eastAsia="方正楷体_GBK" w:cs="方正楷体_GBK"/>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before="0" w:after="0"/>
        <w:ind w:left="0" w:leftChars="0" w:right="0" w:rightChars="0" w:firstLine="560" w:firstLineChars="200"/>
        <w:jc w:val="both"/>
        <w:textAlignment w:val="auto"/>
      </w:pPr>
      <w:r>
        <w:t>承担综合办公大楼、文化服务中心、区委东院、信访局院、等地的水、电、暖、消防、电梯、中央空调、弱电、电子监控系统等设备的运转维护；机关环境绿化美化、卫生保洁等相关工作；办公用房统一调配；落实《公共机构节能条例》大力在公共机构节能宣传和节能常识普及工作，督导全区公共机构节能工作有序开展，根据石家庄市公共机构节能工作组织开展全区公共机构能源审计工作；负责区级以上领导等带队来我区调研等工作组的政务接待活动；人大、政协两会的会务保障等相关工作；负责机关食堂管理工作；根据省、市要求负责我区公务用车信息化管理平台运行及维护工作，确保公务用车信息化管理平台监管功能、车辆调度功能、车辆信息查询功能均能正常使用运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62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34"/>
        <w:gridCol w:w="1864"/>
        <w:gridCol w:w="2151"/>
        <w:gridCol w:w="3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33" w:hRule="atLeast"/>
          <w:tblHeader/>
          <w:jc w:val="center"/>
        </w:trPr>
        <w:tc>
          <w:tcPr>
            <w:tcW w:w="5734" w:type="dxa"/>
            <w:vAlign w:val="center"/>
          </w:tcPr>
          <w:p>
            <w:pPr>
              <w:pStyle w:val="11"/>
            </w:pPr>
            <w:r>
              <w:t>单位名称</w:t>
            </w:r>
          </w:p>
        </w:tc>
        <w:tc>
          <w:tcPr>
            <w:tcW w:w="1864" w:type="dxa"/>
            <w:vAlign w:val="center"/>
          </w:tcPr>
          <w:p>
            <w:pPr>
              <w:pStyle w:val="11"/>
            </w:pPr>
            <w:r>
              <w:t>单位性质</w:t>
            </w:r>
          </w:p>
        </w:tc>
        <w:tc>
          <w:tcPr>
            <w:tcW w:w="2151" w:type="dxa"/>
            <w:vAlign w:val="center"/>
          </w:tcPr>
          <w:p>
            <w:pPr>
              <w:pStyle w:val="11"/>
            </w:pPr>
            <w:r>
              <w:t>单位规格</w:t>
            </w:r>
          </w:p>
        </w:tc>
        <w:tc>
          <w:tcPr>
            <w:tcW w:w="3871"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77" w:hRule="atLeast"/>
          <w:jc w:val="center"/>
        </w:trPr>
        <w:tc>
          <w:tcPr>
            <w:tcW w:w="5734" w:type="dxa"/>
            <w:vAlign w:val="center"/>
          </w:tcPr>
          <w:p>
            <w:pPr>
              <w:pStyle w:val="13"/>
            </w:pPr>
            <w:r>
              <w:t>石家庄市井陉矿区机关后勤服务中心</w:t>
            </w:r>
          </w:p>
        </w:tc>
        <w:tc>
          <w:tcPr>
            <w:tcW w:w="1864" w:type="dxa"/>
            <w:vAlign w:val="center"/>
          </w:tcPr>
          <w:p>
            <w:pPr>
              <w:pStyle w:val="14"/>
            </w:pPr>
            <w:r>
              <w:t>事业</w:t>
            </w:r>
          </w:p>
        </w:tc>
        <w:tc>
          <w:tcPr>
            <w:tcW w:w="2151" w:type="dxa"/>
            <w:vAlign w:val="center"/>
          </w:tcPr>
          <w:p>
            <w:pPr>
              <w:pStyle w:val="14"/>
            </w:pPr>
            <w:r>
              <w:t>正科级</w:t>
            </w:r>
          </w:p>
        </w:tc>
        <w:tc>
          <w:tcPr>
            <w:tcW w:w="3871" w:type="dxa"/>
            <w:vAlign w:val="center"/>
          </w:tcPr>
          <w:p>
            <w:pPr>
              <w:pStyle w:val="14"/>
            </w:pPr>
            <w:r>
              <w:t>财政性资金基本保证</w:t>
            </w:r>
          </w:p>
        </w:tc>
      </w:tr>
    </w:tbl>
    <w:p>
      <w:pPr>
        <w:spacing w:before="10" w:after="10" w:line="360" w:lineRule="auto"/>
        <w:jc w:val="left"/>
        <w:outlineLvl w:val="2"/>
        <w:rPr>
          <w:rFonts w:ascii="黑体" w:hAnsi="黑体" w:eastAsia="黑体" w:cs="黑体"/>
          <w:color w:val="000000"/>
          <w:sz w:val="32"/>
        </w:rPr>
      </w:pPr>
      <w:bookmarkStart w:id="10" w:name="_Toc_3_3_0000000011"/>
      <w:bookmarkStart w:id="20" w:name="_GoBack"/>
      <w:bookmarkEnd w:id="20"/>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按照预算管理有关规定，目前部门预算的编制实行综合预算管理，即全部收入和支出都反映在预算中。石家庄市井陉矿区机关后勤服务中心机关及所属事业单位的收支包含在部门预算中。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反映本部门当年全部收入。2026年预算收入1339.55万元，其中：一般公共预算收入1339.55万元，基金预算收入0.00万元，国有资本经营预算收入0.00万元，财政专户核拨收入0.00万元，单位资金收入0.00万元，上年结转结余0.00万元。</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2、支出说明</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收支预算总表支出栏、基本支出表、项目支出表按经济分类和支出功能分类科目编制，反映石家庄市井陉矿区机关后勤服务中心年度部门预算中支出预算的总体情况。2026年支出预算1339.55万元，其中基本支出881.95万元，包括人员经费478.42万元和日常公用经费403.53万元；项目支出457.60万元，主要为综合办公楼运行维护费180万元；食堂服务保障项目95.2万元；行政大楼安保项目37万元；综合办公楼保洁项目85万元；行政大楼网费项目16.7万元；公务用车“三定一平台”项目30万元。预计下年使用的单位资金结余0.00万元。委托业务费共计安排0.00万元，主要用于因技术原因确需对外委托的辅助性工作和确有必要对外委托开展咨询、评审、规划等工作。</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3、比上年增减情况</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2026年预算收支安排1339.55万元，较2025年预算减少184.53万元，其中：基本支出增加9.23万元，主要为主要为人员经费中保险基数增加及人员变动。项目支出减少193.76万元，主要为综合办公楼运行维护费、行政大楼安保项目、综合办公楼保洁项目预算有所减少。预计下年使用的单位资金结余增加0.00万元。</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2026年，我部门机关运行经费共计安排403.53万元，主要用于日常维修、办公用房水电费、办公用房取暖费、办公用房物业管理费等日常运行支出。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2026年，我部门财政拨款“三公”经费预算安排</w:t>
      </w:r>
      <w:r>
        <w:rPr>
          <w:rFonts w:hint="eastAsia"/>
          <w:lang w:val="en-US" w:eastAsia="zh-CN"/>
        </w:rPr>
        <w:t>6.5</w:t>
      </w:r>
      <w:r>
        <w:t>万元，其中因公出国（境）费0.00万元；公务用车购置及运维费</w:t>
      </w:r>
      <w:r>
        <w:rPr>
          <w:rFonts w:hint="eastAsia"/>
          <w:lang w:val="en-US" w:eastAsia="zh-CN"/>
        </w:rPr>
        <w:t>2</w:t>
      </w:r>
      <w:r>
        <w:t>万元（其中：公务用车购置费为0.00万元，公务用车运维费</w:t>
      </w:r>
      <w:r>
        <w:rPr>
          <w:rFonts w:hint="eastAsia"/>
          <w:lang w:val="en-US" w:eastAsia="zh-CN"/>
        </w:rPr>
        <w:t>2</w:t>
      </w:r>
      <w:r>
        <w:t>万元)；公务接待费</w:t>
      </w:r>
      <w:r>
        <w:rPr>
          <w:rFonts w:hint="eastAsia"/>
          <w:lang w:val="en-US" w:eastAsia="zh-CN"/>
        </w:rPr>
        <w:t>4.5</w:t>
      </w:r>
      <w:r>
        <w:t>万元。与2025年相比减少</w:t>
      </w:r>
      <w:r>
        <w:rPr>
          <w:rFonts w:hint="eastAsia"/>
          <w:lang w:val="en-US" w:eastAsia="zh-CN"/>
        </w:rPr>
        <w:t>4.5</w:t>
      </w:r>
      <w:r>
        <w:t>万元，增减变化的主要原因是本年度较上年度公车减少两辆</w:t>
      </w:r>
      <w:r>
        <w:rPr>
          <w:rFonts w:hint="eastAsia"/>
          <w:lang w:eastAsia="zh-CN"/>
        </w:rPr>
        <w:t>，</w:t>
      </w:r>
      <w:r>
        <w:t>且公务接待费有所减少。</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承担行政办公大楼、文化服务中心、区委东院、信访局院、新世纪综合楼配楼西楼、东楼等地的水、电、暖、消防、电梯、中央空调、弱电、电子监控系统等设备的运转维护、机关环境绿化美化、卫生保洁等相关工作；办公用房统一调配；落实《公共机构节能条例》大力在公共机构节能宣传和节能常识普及工作，督导全区公共机构节能工作有序开展，根据石家庄市公共机构节能工作组织开展全区公共机构能源审计工作；负责区级以上领导等带队来我区调研等工作组的政务接待活动；人大、政协两会的会务保障等相关工作；负责机关食堂管理工作；根据省、市要求负责我区公务用车信息化管理平台运行及维护工作，确保公务用车信息化管理平台监管功能、车辆调度功能、车辆信息查询功能均能正常使用运行。</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（1）综合办公楼运行维护费</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绩效目标：坚持每日巡视巡检，及时维修公共区域设备设施，发现隐患，及时处理，保证行政大楼安全稳定运行。</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一是进一步提高日常维修和大型设备日常维护技术确保服务水平和保障能力；所负责区域内大型设备及关键部分24小时值班。二是整理完善各项维修维护制度，责任到人，确保大楼监控、弱电、水、空调、消防、电梯、等设施正常使用。</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（2）、食堂服务保障项目</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绩效目标：通过第三方餐饮公司协助管理，进一步提高就餐质量，确保食堂正常运行，就餐人员满意。</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绩效指标：不断学习接待服务质量，不定时更新饭菜品种，确保餐饮质量不断提升。</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（3）、行政大楼安保项目</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绩效目标：通过开展日常检查巡查工作，确保行政大楼安全稳定运行。</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一是抓好行政大楼安全保卫，严格出入证制度，严格安全防范，协助有关部门做好上访秩序维持工作，处理好应急事件，坚持24小时值班巡逻，确保不发生刑事案件和大的安全事故，确保办公区安全稳定运行。</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（4）、综合办公楼保洁项目 绩效目标：根据合同，按时对所管辖区域进行日常保洁，加强日常巡查力度，确保所管辖区域卫生达标。</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绩效指标：根据合同要求按时对行政大楼、区委东院、文化中心、配楼西楼等所属区域进行日常保洁，加强日常巡查力度，确保所管辖区域卫生达标。</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（5）、行政大楼网费项目</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绩效目标：保障行政大楼、区委东院、信访局院、文化中心的政务网使用工作。</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绩效指标：根据合同节点完成电子政务网招投标工作，定期对电子政务网进行网络维护。</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（6）、劳务派遣经费</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绩效目标：通过聘用劳务派遣人员，进一步提高工作效率。</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绩效指标：确保日常工作正常开展。</w:t>
      </w:r>
    </w:p>
    <w:p>
      <w:pPr>
        <w:pStyle w:val="23"/>
        <w:keepNext w:val="0"/>
        <w:keepLines w:val="0"/>
        <w:pageBreakBefore w:val="0"/>
        <w:widowControl/>
        <w:numPr>
          <w:ilvl w:val="0"/>
          <w:numId w:val="1"/>
        </w:numPr>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rPr>
          <w:rFonts w:hint="eastAsia"/>
          <w:lang w:eastAsia="zh-CN"/>
        </w:rPr>
      </w:pPr>
      <w:r>
        <w:rPr>
          <w:rFonts w:hint="eastAsia"/>
          <w:lang w:eastAsia="zh-CN"/>
        </w:rPr>
        <w:t>公务用车“三定一平台”项目</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绩效目标：</w:t>
      </w:r>
      <w:r>
        <w:rPr>
          <w:rFonts w:hint="eastAsia"/>
          <w:lang w:eastAsia="zh-CN"/>
        </w:rPr>
        <w:t>按时对公务用车定点加油、定点保险、定点维修、定点租赁工作进行统一招标，保障公车正常使用</w:t>
      </w:r>
      <w:r>
        <w:t>。</w:t>
      </w:r>
    </w:p>
    <w:p>
      <w:pPr>
        <w:pStyle w:val="23"/>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rPr>
          <w:rFonts w:hint="eastAsia"/>
          <w:lang w:eastAsia="zh-CN"/>
        </w:rPr>
      </w:pPr>
      <w:r>
        <w:t>绩效指标：</w:t>
      </w:r>
      <w:r>
        <w:rPr>
          <w:rFonts w:hint="eastAsia"/>
          <w:lang w:eastAsia="zh-CN"/>
        </w:rPr>
        <w:t>一是按照政府采购相关政策对此项目进行招标，确保招标工作合法合规；二是确保公车规范使用。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发扬“服务是基本功”的传统，不断提高后勤保障服务水平。加强后勤服务队伍技能培训，增强日常维修维护、应急处理、文明接待、安全保卫等各项工作技能，进一步提高服务质量和水平，探索建立绩效奖励办法，增强后勤机关队伍的凝聚力、向心力。202</w:t>
      </w:r>
      <w:r>
        <w:rPr>
          <w:rFonts w:hint="eastAsia"/>
          <w:lang w:val="en-US" w:eastAsia="zh-CN"/>
        </w:rPr>
        <w:t>6</w:t>
      </w:r>
      <w:r>
        <w:t>年要对各项工作进行考核，各科室都要制定细化量化的标准，要通过教育培训和规范制度，使全体工作人员进一步认识到后勤保障工作的重要性，使我中心后勤保障工作迈上一个新的台阶。</w:t>
      </w:r>
    </w:p>
    <w:p>
      <w:pPr>
        <w:pStyle w:val="24"/>
      </w:pPr>
      <w:r>
        <w:t>（二）交流学习经验，不断进行自我提升。针对安保、公车管理、会务接待等工作，开展“问计市直省直、寻求支持，问计于民、寻求智慧”活动，学习兄弟县市区及各单位好的经验做法，真正落实“引进来，走出去，升上去”工作理念，切实提高业务水平。</w:t>
      </w:r>
    </w:p>
    <w:p>
      <w:pPr>
        <w:pStyle w:val="24"/>
      </w:pPr>
      <w:r>
        <w:t>（三）紧盯重点难点，提速工作进度。将202</w:t>
      </w:r>
      <w:r>
        <w:rPr>
          <w:rFonts w:hint="eastAsia"/>
          <w:lang w:val="en-US" w:eastAsia="zh-CN"/>
        </w:rPr>
        <w:t>6</w:t>
      </w:r>
      <w:r>
        <w:t>年工作谋划列入全年工作要点，拉出目标清单，细化责任分工，明确时间节点，重点工作月调度，重要工作周调度，全力抓重点攻难点，集中精干队伍，全力提速工作进度，确保全年重点工作早开工、早见效。</w:t>
      </w:r>
    </w:p>
    <w:p>
      <w:pPr>
        <w:pStyle w:val="24"/>
      </w:pPr>
      <w:r>
        <w:t xml:space="preserve">（四）健全各项制度。进一步促进后勤保障工作规范化、程序化。我中心始终围绕“后勤工作无小事”的目标，着重抓好两方面的工作：一是健全各项规章制度，进一步提升后勤保障服务水平；二是加强各岗位人员教育培训，不断提高工作人员自身素质及工作技能。三是加强财务管理，定期组织财务人员学习，严格执行各项财务制度，保证会计凭证的真实性与合法性，认真执行财务预决算相关规定，规范管理各项收支，严格执行收支两条线标准，按照会计制度规定进行账务处理，规范核算办法，加强三公经费支出监管，各项经费使用情况严格遵照年度预算计划执行，杜绝一切不合理的开支，增收节支，开源节流，使财务管理更加规范化、程序化。四是按要求开展绩效运行监控，发现问题及时采取措施，确保绩效目标如期保质实现。五是加强 </w:t>
      </w:r>
    </w:p>
    <w:p>
      <w:pPr>
        <w:pStyle w:val="24"/>
        <w:sectPr>
          <w:pgSz w:w="16840" w:h="11900" w:orient="landscape"/>
          <w:pgMar w:top="1361" w:right="1020" w:bottom="1361" w:left="1020" w:header="720" w:footer="720" w:gutter="0"/>
          <w:cols w:equalWidth="0" w:num="1">
            <w:col w:w="14800"/>
          </w:cols>
        </w:sectPr>
      </w:pPr>
      <w:r>
        <w:t>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2"/>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134" w:right="1020" w:bottom="1134" w:left="1020" w:header="720" w:footer="720" w:gutter="0"/>
          <w:cols w:equalWidth="0" w:num="1">
            <w:col w:w="14800"/>
          </w:cols>
          <w:rtlGutter w:val="0"/>
          <w:docGrid w:linePitch="0"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1、公务用车“三定一平台”项目绩效目标表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13010726P00008110007H</w:t>
            </w:r>
          </w:p>
        </w:tc>
        <w:tc>
          <w:tcPr>
            <w:tcW w:w="2835" w:type="dxa"/>
            <w:vAlign w:val="center"/>
          </w:tcPr>
          <w:p>
            <w:pPr>
              <w:pStyle w:val="11"/>
            </w:pPr>
            <w:r>
              <w:t>项目名称</w:t>
            </w:r>
          </w:p>
        </w:tc>
        <w:tc>
          <w:tcPr>
            <w:tcW w:w="6095" w:type="dxa"/>
            <w:gridSpan w:val="3"/>
            <w:vAlign w:val="center"/>
          </w:tcPr>
          <w:p>
            <w:pPr>
              <w:pStyle w:val="13"/>
            </w:pPr>
            <w:r>
              <w:t>公务用车“三定一平台”项目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用于公车三定一平台的招标工作。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1.按时完成招标工作，确保公车使用进一步规范。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2267"/>
        <w:gridCol w:w="2833"/>
        <w:gridCol w:w="3285"/>
        <w:gridCol w:w="349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26" w:hRule="atLeast"/>
          <w:tblHeader/>
          <w:jc w:val="center"/>
        </w:trPr>
        <w:tc>
          <w:tcPr>
            <w:tcW w:w="1275" w:type="dxa"/>
            <w:vAlign w:val="center"/>
          </w:tcPr>
          <w:p>
            <w:pPr>
              <w:pStyle w:val="11"/>
            </w:pPr>
            <w:r>
              <w:t>一级指标</w:t>
            </w:r>
          </w:p>
        </w:tc>
        <w:tc>
          <w:tcPr>
            <w:tcW w:w="2267" w:type="dxa"/>
            <w:vAlign w:val="center"/>
          </w:tcPr>
          <w:p>
            <w:pPr>
              <w:pStyle w:val="11"/>
            </w:pPr>
            <w:r>
              <w:t>二级指标</w:t>
            </w:r>
          </w:p>
        </w:tc>
        <w:tc>
          <w:tcPr>
            <w:tcW w:w="2833" w:type="dxa"/>
            <w:vAlign w:val="center"/>
          </w:tcPr>
          <w:p>
            <w:pPr>
              <w:pStyle w:val="11"/>
            </w:pPr>
            <w:r>
              <w:t>三级指标</w:t>
            </w:r>
          </w:p>
        </w:tc>
        <w:tc>
          <w:tcPr>
            <w:tcW w:w="3285" w:type="dxa"/>
            <w:vAlign w:val="center"/>
          </w:tcPr>
          <w:p>
            <w:pPr>
              <w:pStyle w:val="11"/>
            </w:pPr>
            <w:r>
              <w:t>绩效指标描述</w:t>
            </w:r>
          </w:p>
        </w:tc>
        <w:tc>
          <w:tcPr>
            <w:tcW w:w="3495"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6" w:hRule="atLeast"/>
          <w:jc w:val="center"/>
        </w:trPr>
        <w:tc>
          <w:tcPr>
            <w:tcW w:w="1275" w:type="dxa"/>
            <w:vMerge w:val="restart"/>
            <w:vAlign w:val="center"/>
          </w:tcPr>
          <w:p>
            <w:pPr>
              <w:pStyle w:val="14"/>
            </w:pPr>
            <w:r>
              <w:t>产出指标</w:t>
            </w:r>
          </w:p>
        </w:tc>
        <w:tc>
          <w:tcPr>
            <w:tcW w:w="2267" w:type="dxa"/>
            <w:vAlign w:val="center"/>
          </w:tcPr>
          <w:p>
            <w:pPr>
              <w:pStyle w:val="13"/>
            </w:pPr>
            <w:r>
              <w:t>数量指标</w:t>
            </w:r>
          </w:p>
        </w:tc>
        <w:tc>
          <w:tcPr>
            <w:tcW w:w="2833" w:type="dxa"/>
            <w:vAlign w:val="center"/>
          </w:tcPr>
          <w:p>
            <w:pPr>
              <w:pStyle w:val="13"/>
            </w:pPr>
            <w:r>
              <w:t>标段数量</w:t>
            </w:r>
          </w:p>
        </w:tc>
        <w:tc>
          <w:tcPr>
            <w:tcW w:w="3285" w:type="dxa"/>
            <w:vAlign w:val="center"/>
          </w:tcPr>
          <w:p>
            <w:pPr>
              <w:pStyle w:val="13"/>
            </w:pPr>
            <w:r>
              <w:t>标段数量</w:t>
            </w:r>
          </w:p>
        </w:tc>
        <w:tc>
          <w:tcPr>
            <w:tcW w:w="3495" w:type="dxa"/>
            <w:vAlign w:val="center"/>
          </w:tcPr>
          <w:p>
            <w:pPr>
              <w:pStyle w:val="13"/>
            </w:pPr>
            <w:r>
              <w:t>4个</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6" w:hRule="atLeast"/>
          <w:jc w:val="center"/>
        </w:trPr>
        <w:tc>
          <w:tcPr>
            <w:tcW w:w="1275" w:type="dxa"/>
            <w:vMerge w:val="continue"/>
            <w:vAlign w:val="center"/>
          </w:tcPr>
          <w:p>
            <w:pPr/>
          </w:p>
        </w:tc>
        <w:tc>
          <w:tcPr>
            <w:tcW w:w="2267" w:type="dxa"/>
            <w:vAlign w:val="center"/>
          </w:tcPr>
          <w:p>
            <w:pPr>
              <w:pStyle w:val="13"/>
            </w:pPr>
            <w:r>
              <w:t>质量指标</w:t>
            </w:r>
          </w:p>
        </w:tc>
        <w:tc>
          <w:tcPr>
            <w:tcW w:w="2833" w:type="dxa"/>
            <w:vAlign w:val="center"/>
          </w:tcPr>
          <w:p>
            <w:pPr>
              <w:pStyle w:val="13"/>
            </w:pPr>
            <w:r>
              <w:t>招标工作合规率</w:t>
            </w:r>
          </w:p>
        </w:tc>
        <w:tc>
          <w:tcPr>
            <w:tcW w:w="3285" w:type="dxa"/>
            <w:vAlign w:val="center"/>
          </w:tcPr>
          <w:p>
            <w:pPr>
              <w:pStyle w:val="13"/>
            </w:pPr>
            <w:r>
              <w:t>招标工作合规率</w:t>
            </w:r>
          </w:p>
        </w:tc>
        <w:tc>
          <w:tcPr>
            <w:tcW w:w="3495" w:type="dxa"/>
            <w:vAlign w:val="center"/>
          </w:tcPr>
          <w:p>
            <w:pPr>
              <w:pStyle w:val="13"/>
            </w:pPr>
            <w:r>
              <w:t>≥90%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6" w:hRule="atLeast"/>
          <w:jc w:val="center"/>
        </w:trPr>
        <w:tc>
          <w:tcPr>
            <w:tcW w:w="1275" w:type="dxa"/>
            <w:vMerge w:val="continue"/>
            <w:vAlign w:val="center"/>
          </w:tcPr>
          <w:p>
            <w:pPr/>
          </w:p>
        </w:tc>
        <w:tc>
          <w:tcPr>
            <w:tcW w:w="2267" w:type="dxa"/>
            <w:vAlign w:val="center"/>
          </w:tcPr>
          <w:p>
            <w:pPr>
              <w:pStyle w:val="13"/>
            </w:pPr>
            <w:r>
              <w:t>时效指标</w:t>
            </w:r>
          </w:p>
        </w:tc>
        <w:tc>
          <w:tcPr>
            <w:tcW w:w="2833" w:type="dxa"/>
            <w:vAlign w:val="center"/>
          </w:tcPr>
          <w:p>
            <w:pPr>
              <w:pStyle w:val="13"/>
            </w:pPr>
            <w:r>
              <w:t>工作开展及时率</w:t>
            </w:r>
          </w:p>
        </w:tc>
        <w:tc>
          <w:tcPr>
            <w:tcW w:w="3285" w:type="dxa"/>
            <w:vAlign w:val="center"/>
          </w:tcPr>
          <w:p>
            <w:pPr>
              <w:pStyle w:val="13"/>
            </w:pPr>
            <w:r>
              <w:t>工作开展及时率</w:t>
            </w:r>
          </w:p>
        </w:tc>
        <w:tc>
          <w:tcPr>
            <w:tcW w:w="3495" w:type="dxa"/>
            <w:vAlign w:val="center"/>
          </w:tcPr>
          <w:p>
            <w:pPr>
              <w:pStyle w:val="13"/>
            </w:pPr>
            <w:r>
              <w:t>≥90%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6" w:hRule="atLeast"/>
          <w:jc w:val="center"/>
        </w:trPr>
        <w:tc>
          <w:tcPr>
            <w:tcW w:w="1275" w:type="dxa"/>
            <w:vMerge w:val="continue"/>
            <w:vAlign w:val="center"/>
          </w:tcPr>
          <w:p>
            <w:pPr/>
          </w:p>
        </w:tc>
        <w:tc>
          <w:tcPr>
            <w:tcW w:w="2267" w:type="dxa"/>
            <w:vAlign w:val="center"/>
          </w:tcPr>
          <w:p>
            <w:pPr>
              <w:pStyle w:val="13"/>
            </w:pPr>
            <w:r>
              <w:t>成本指标</w:t>
            </w:r>
          </w:p>
        </w:tc>
        <w:tc>
          <w:tcPr>
            <w:tcW w:w="2833" w:type="dxa"/>
            <w:vAlign w:val="center"/>
          </w:tcPr>
          <w:p>
            <w:pPr>
              <w:pStyle w:val="13"/>
            </w:pPr>
            <w:r>
              <w:t>年度预算金额</w:t>
            </w:r>
          </w:p>
        </w:tc>
        <w:tc>
          <w:tcPr>
            <w:tcW w:w="3285" w:type="dxa"/>
            <w:vAlign w:val="center"/>
          </w:tcPr>
          <w:p>
            <w:pPr>
              <w:pStyle w:val="13"/>
            </w:pPr>
            <w:r>
              <w:t>年度预算金额</w:t>
            </w:r>
          </w:p>
        </w:tc>
        <w:tc>
          <w:tcPr>
            <w:tcW w:w="3495" w:type="dxa"/>
            <w:vAlign w:val="center"/>
          </w:tcPr>
          <w:p>
            <w:pPr>
              <w:pStyle w:val="13"/>
            </w:pPr>
            <w:r>
              <w:t>我单位只负责招标工作，</w:t>
            </w:r>
          </w:p>
          <w:p>
            <w:pPr>
              <w:pStyle w:val="13"/>
            </w:pPr>
            <w:r>
              <w:t>其实际费用由各单位据实结算。</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6" w:hRule="atLeast"/>
          <w:jc w:val="center"/>
        </w:trPr>
        <w:tc>
          <w:tcPr>
            <w:tcW w:w="1275" w:type="dxa"/>
            <w:vAlign w:val="center"/>
          </w:tcPr>
          <w:p>
            <w:pPr>
              <w:pStyle w:val="14"/>
            </w:pPr>
            <w:r>
              <w:t>效益指标</w:t>
            </w:r>
          </w:p>
        </w:tc>
        <w:tc>
          <w:tcPr>
            <w:tcW w:w="2267" w:type="dxa"/>
            <w:vAlign w:val="center"/>
          </w:tcPr>
          <w:p>
            <w:pPr>
              <w:pStyle w:val="13"/>
            </w:pPr>
            <w:r>
              <w:t>社会效益指标</w:t>
            </w:r>
          </w:p>
        </w:tc>
        <w:tc>
          <w:tcPr>
            <w:tcW w:w="2833" w:type="dxa"/>
            <w:vAlign w:val="center"/>
          </w:tcPr>
          <w:p>
            <w:pPr>
              <w:pStyle w:val="13"/>
            </w:pPr>
            <w:r>
              <w:t>进一步规范公车管理，为机关高效履职提供有力支撑。</w:t>
            </w:r>
          </w:p>
        </w:tc>
        <w:tc>
          <w:tcPr>
            <w:tcW w:w="3285" w:type="dxa"/>
            <w:vAlign w:val="center"/>
          </w:tcPr>
          <w:p>
            <w:pPr>
              <w:pStyle w:val="13"/>
            </w:pPr>
            <w:r>
              <w:t>进一步规范公车管理，为机关高效履职提供有力支撑。</w:t>
            </w:r>
          </w:p>
        </w:tc>
        <w:tc>
          <w:tcPr>
            <w:tcW w:w="3495" w:type="dxa"/>
            <w:vAlign w:val="center"/>
          </w:tcPr>
          <w:p>
            <w:pPr>
              <w:pStyle w:val="13"/>
            </w:pPr>
            <w:r>
              <w:t>≥90%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8" w:hRule="atLeast"/>
          <w:jc w:val="center"/>
        </w:trPr>
        <w:tc>
          <w:tcPr>
            <w:tcW w:w="1275" w:type="dxa"/>
            <w:vAlign w:val="center"/>
          </w:tcPr>
          <w:p>
            <w:pPr>
              <w:pStyle w:val="14"/>
            </w:pPr>
            <w:r>
              <w:t>满意度指标</w:t>
            </w:r>
          </w:p>
        </w:tc>
        <w:tc>
          <w:tcPr>
            <w:tcW w:w="2267" w:type="dxa"/>
            <w:vAlign w:val="center"/>
          </w:tcPr>
          <w:p>
            <w:pPr>
              <w:pStyle w:val="13"/>
            </w:pPr>
            <w:r>
              <w:t>服务对象满意度指标</w:t>
            </w:r>
          </w:p>
        </w:tc>
        <w:tc>
          <w:tcPr>
            <w:tcW w:w="2833" w:type="dxa"/>
            <w:vAlign w:val="center"/>
          </w:tcPr>
          <w:p>
            <w:pPr>
              <w:pStyle w:val="13"/>
            </w:pPr>
            <w:r>
              <w:t>使用单位满意度</w:t>
            </w:r>
          </w:p>
        </w:tc>
        <w:tc>
          <w:tcPr>
            <w:tcW w:w="3285" w:type="dxa"/>
            <w:vAlign w:val="center"/>
          </w:tcPr>
          <w:p>
            <w:pPr>
              <w:pStyle w:val="13"/>
            </w:pPr>
            <w:r>
              <w:t>使用单位满意度</w:t>
            </w:r>
          </w:p>
        </w:tc>
        <w:tc>
          <w:tcPr>
            <w:tcW w:w="3495" w:type="dxa"/>
            <w:vAlign w:val="center"/>
          </w:tcPr>
          <w:p>
            <w:pPr>
              <w:pStyle w:val="13"/>
            </w:pPr>
            <w:r>
              <w:t>≥90%</w:t>
            </w:r>
          </w:p>
        </w:tc>
        <w:tc>
          <w:tcPr>
            <w:tcW w:w="2145" w:type="dxa"/>
            <w:vAlign w:val="center"/>
          </w:tcPr>
          <w:p>
            <w:pPr>
              <w:pStyle w:val="13"/>
            </w:pPr>
            <w:r>
              <w:t>反馈意见</w:t>
            </w:r>
          </w:p>
        </w:tc>
      </w:tr>
    </w:tbl>
    <w:p>
      <w:pPr>
        <w:sectPr>
          <w:type w:val="continuous"/>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2、劳务派遣经费绩效目标表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13010726P00008110002F</w:t>
            </w:r>
          </w:p>
        </w:tc>
        <w:tc>
          <w:tcPr>
            <w:tcW w:w="2835" w:type="dxa"/>
            <w:vAlign w:val="center"/>
          </w:tcPr>
          <w:p>
            <w:pPr>
              <w:pStyle w:val="11"/>
            </w:pPr>
            <w:r>
              <w:t>项目名称</w:t>
            </w:r>
          </w:p>
        </w:tc>
        <w:tc>
          <w:tcPr>
            <w:tcW w:w="6095" w:type="dxa"/>
            <w:gridSpan w:val="3"/>
            <w:vAlign w:val="center"/>
          </w:tcPr>
          <w:p>
            <w:pPr>
              <w:pStyle w:val="13"/>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16.70</w:t>
            </w:r>
          </w:p>
        </w:tc>
        <w:tc>
          <w:tcPr>
            <w:tcW w:w="2835" w:type="dxa"/>
            <w:vAlign w:val="center"/>
          </w:tcPr>
          <w:p>
            <w:pPr>
              <w:pStyle w:val="11"/>
            </w:pPr>
            <w:r>
              <w:t>其中：财政    资金</w:t>
            </w:r>
          </w:p>
        </w:tc>
        <w:tc>
          <w:tcPr>
            <w:tcW w:w="2551" w:type="dxa"/>
            <w:vAlign w:val="center"/>
          </w:tcPr>
          <w:p>
            <w:pPr>
              <w:pStyle w:val="13"/>
            </w:pPr>
            <w:r>
              <w:t>16.70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4.18</w:t>
            </w:r>
          </w:p>
        </w:tc>
        <w:tc>
          <w:tcPr>
            <w:tcW w:w="2835" w:type="dxa"/>
            <w:vAlign w:val="center"/>
          </w:tcPr>
          <w:p>
            <w:pPr>
              <w:pStyle w:val="14"/>
            </w:pPr>
            <w:r>
              <w:t>8.35</w:t>
            </w:r>
          </w:p>
        </w:tc>
        <w:tc>
          <w:tcPr>
            <w:tcW w:w="2551" w:type="dxa"/>
            <w:vAlign w:val="center"/>
          </w:tcPr>
          <w:p>
            <w:pPr>
              <w:pStyle w:val="14"/>
            </w:pPr>
            <w:r>
              <w:t>12.53</w:t>
            </w:r>
          </w:p>
        </w:tc>
        <w:tc>
          <w:tcPr>
            <w:tcW w:w="3544" w:type="dxa"/>
            <w:gridSpan w:val="2"/>
            <w:vAlign w:val="center"/>
          </w:tcPr>
          <w:p>
            <w:pPr>
              <w:pStyle w:val="14"/>
            </w:pPr>
            <w:r>
              <w:t>16.70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1.进一步提升单位工作效率。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工作人员出勤率</w:t>
            </w:r>
          </w:p>
        </w:tc>
        <w:tc>
          <w:tcPr>
            <w:tcW w:w="5386" w:type="dxa"/>
            <w:vAlign w:val="center"/>
          </w:tcPr>
          <w:p>
            <w:pPr>
              <w:pStyle w:val="13"/>
            </w:pPr>
            <w:r>
              <w:t>工作人员出勤率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工作合格率</w:t>
            </w:r>
          </w:p>
        </w:tc>
        <w:tc>
          <w:tcPr>
            <w:tcW w:w="5386" w:type="dxa"/>
            <w:vAlign w:val="center"/>
          </w:tcPr>
          <w:p>
            <w:pPr>
              <w:pStyle w:val="13"/>
            </w:pPr>
            <w:r>
              <w:t>工作合格率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人均工资标准</w:t>
            </w:r>
          </w:p>
        </w:tc>
        <w:tc>
          <w:tcPr>
            <w:tcW w:w="5386" w:type="dxa"/>
            <w:vAlign w:val="center"/>
          </w:tcPr>
          <w:p>
            <w:pPr>
              <w:pStyle w:val="13"/>
            </w:pPr>
            <w:r>
              <w:t>人均工资标准</w:t>
            </w:r>
          </w:p>
        </w:tc>
        <w:tc>
          <w:tcPr>
            <w:tcW w:w="2268" w:type="dxa"/>
            <w:vAlign w:val="center"/>
          </w:tcPr>
          <w:p>
            <w:pPr>
              <w:pStyle w:val="13"/>
            </w:pPr>
            <w:r>
              <w:t>1480元/人/月</w:t>
            </w:r>
          </w:p>
        </w:tc>
        <w:tc>
          <w:tcPr>
            <w:tcW w:w="1276" w:type="dxa"/>
            <w:vAlign w:val="center"/>
          </w:tcPr>
          <w:p>
            <w:pPr>
              <w:pStyle w:val="13"/>
            </w:pPr>
            <w:r>
              <w:t>劳动 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进一步提升工作效率</w:t>
            </w:r>
          </w:p>
        </w:tc>
        <w:tc>
          <w:tcPr>
            <w:tcW w:w="5386" w:type="dxa"/>
            <w:vAlign w:val="center"/>
          </w:tcPr>
          <w:p>
            <w:pPr>
              <w:pStyle w:val="13"/>
            </w:pPr>
            <w:r>
              <w:t>进一步提升工作效率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3、食堂服务保障项目绩效目标表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13010726P00008110004N</w:t>
            </w:r>
          </w:p>
        </w:tc>
        <w:tc>
          <w:tcPr>
            <w:tcW w:w="2835" w:type="dxa"/>
            <w:vAlign w:val="center"/>
          </w:tcPr>
          <w:p>
            <w:pPr>
              <w:pStyle w:val="11"/>
            </w:pPr>
            <w:r>
              <w:t>项目名称</w:t>
            </w:r>
          </w:p>
        </w:tc>
        <w:tc>
          <w:tcPr>
            <w:tcW w:w="6095" w:type="dxa"/>
            <w:gridSpan w:val="3"/>
            <w:vAlign w:val="center"/>
          </w:tcPr>
          <w:p>
            <w:pPr>
              <w:pStyle w:val="13"/>
            </w:pPr>
            <w:r>
              <w:t>食堂服务保障项目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95.20</w:t>
            </w:r>
          </w:p>
        </w:tc>
        <w:tc>
          <w:tcPr>
            <w:tcW w:w="2835" w:type="dxa"/>
            <w:vAlign w:val="center"/>
          </w:tcPr>
          <w:p>
            <w:pPr>
              <w:pStyle w:val="11"/>
            </w:pPr>
            <w:r>
              <w:t>其中：财政    资金</w:t>
            </w:r>
          </w:p>
        </w:tc>
        <w:tc>
          <w:tcPr>
            <w:tcW w:w="2551" w:type="dxa"/>
            <w:vAlign w:val="center"/>
          </w:tcPr>
          <w:p>
            <w:pPr>
              <w:pStyle w:val="13"/>
            </w:pPr>
            <w:r>
              <w:t>95.20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用于支付食堂餐饮服务费。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23.80</w:t>
            </w:r>
          </w:p>
        </w:tc>
        <w:tc>
          <w:tcPr>
            <w:tcW w:w="2835" w:type="dxa"/>
            <w:vAlign w:val="center"/>
          </w:tcPr>
          <w:p>
            <w:pPr>
              <w:pStyle w:val="14"/>
            </w:pPr>
            <w:r>
              <w:t>47.60</w:t>
            </w:r>
          </w:p>
        </w:tc>
        <w:tc>
          <w:tcPr>
            <w:tcW w:w="2551" w:type="dxa"/>
            <w:vAlign w:val="center"/>
          </w:tcPr>
          <w:p>
            <w:pPr>
              <w:pStyle w:val="14"/>
            </w:pPr>
            <w:r>
              <w:t>71.40</w:t>
            </w:r>
          </w:p>
        </w:tc>
        <w:tc>
          <w:tcPr>
            <w:tcW w:w="3544" w:type="dxa"/>
            <w:gridSpan w:val="2"/>
            <w:vAlign w:val="center"/>
          </w:tcPr>
          <w:p>
            <w:pPr>
              <w:pStyle w:val="14"/>
            </w:pPr>
            <w:r>
              <w:t>95.20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1.进一步优化食堂就餐体验感，进一步提升餐食品质。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餐饮工作人员数量</w:t>
            </w:r>
          </w:p>
        </w:tc>
        <w:tc>
          <w:tcPr>
            <w:tcW w:w="5386" w:type="dxa"/>
            <w:vAlign w:val="center"/>
          </w:tcPr>
          <w:p>
            <w:pPr>
              <w:pStyle w:val="13"/>
            </w:pPr>
            <w:r>
              <w:t>餐饮工作人员数量</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工作合格率</w:t>
            </w:r>
          </w:p>
        </w:tc>
        <w:tc>
          <w:tcPr>
            <w:tcW w:w="5386" w:type="dxa"/>
            <w:vAlign w:val="center"/>
          </w:tcPr>
          <w:p>
            <w:pPr>
              <w:pStyle w:val="13"/>
            </w:pPr>
            <w:r>
              <w:t>工作合格率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工作出勤率</w:t>
            </w:r>
          </w:p>
        </w:tc>
        <w:tc>
          <w:tcPr>
            <w:tcW w:w="5386" w:type="dxa"/>
            <w:vAlign w:val="center"/>
          </w:tcPr>
          <w:p>
            <w:pPr>
              <w:pStyle w:val="13"/>
            </w:pPr>
            <w:r>
              <w:t>工作出勤率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餐饮服务费标准</w:t>
            </w:r>
          </w:p>
        </w:tc>
        <w:tc>
          <w:tcPr>
            <w:tcW w:w="5386" w:type="dxa"/>
            <w:vAlign w:val="center"/>
          </w:tcPr>
          <w:p>
            <w:pPr>
              <w:pStyle w:val="13"/>
            </w:pPr>
            <w:r>
              <w:t>餐饮服务费标准</w:t>
            </w:r>
          </w:p>
        </w:tc>
        <w:tc>
          <w:tcPr>
            <w:tcW w:w="2268" w:type="dxa"/>
            <w:vAlign w:val="center"/>
          </w:tcPr>
          <w:p>
            <w:pPr>
              <w:pStyle w:val="13"/>
            </w:pPr>
            <w:r>
              <w:t>≤8万元/月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进一步优化食堂就餐体验，提升餐食品质</w:t>
            </w:r>
          </w:p>
        </w:tc>
        <w:tc>
          <w:tcPr>
            <w:tcW w:w="5386" w:type="dxa"/>
            <w:vAlign w:val="center"/>
          </w:tcPr>
          <w:p>
            <w:pPr>
              <w:pStyle w:val="13"/>
            </w:pPr>
            <w:r>
              <w:t>进一步优化食堂就餐体验，提升餐食品质</w:t>
            </w:r>
          </w:p>
        </w:tc>
        <w:tc>
          <w:tcPr>
            <w:tcW w:w="2268" w:type="dxa"/>
            <w:vAlign w:val="center"/>
          </w:tcPr>
          <w:p>
            <w:pPr>
              <w:pStyle w:val="13"/>
            </w:pPr>
            <w:r>
              <w:t>进一步优化食堂就餐体验，提升餐食品质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就餐人员满意度</w:t>
            </w:r>
          </w:p>
        </w:tc>
        <w:tc>
          <w:tcPr>
            <w:tcW w:w="5386" w:type="dxa"/>
            <w:vAlign w:val="center"/>
          </w:tcPr>
          <w:p>
            <w:pPr>
              <w:pStyle w:val="13"/>
            </w:pPr>
            <w:r>
              <w:t>就餐人员满意度</w:t>
            </w:r>
          </w:p>
        </w:tc>
        <w:tc>
          <w:tcPr>
            <w:tcW w:w="2268" w:type="dxa"/>
            <w:vAlign w:val="center"/>
          </w:tcPr>
          <w:p>
            <w:pPr>
              <w:pStyle w:val="13"/>
            </w:pPr>
            <w:r>
              <w:t>≥90%</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4、行政大楼安保项目绩效目标表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13010726P00008110005A</w:t>
            </w:r>
          </w:p>
        </w:tc>
        <w:tc>
          <w:tcPr>
            <w:tcW w:w="2835" w:type="dxa"/>
            <w:vAlign w:val="center"/>
          </w:tcPr>
          <w:p>
            <w:pPr>
              <w:pStyle w:val="11"/>
            </w:pPr>
            <w:r>
              <w:t>项目名称</w:t>
            </w:r>
          </w:p>
        </w:tc>
        <w:tc>
          <w:tcPr>
            <w:tcW w:w="6095" w:type="dxa"/>
            <w:gridSpan w:val="3"/>
            <w:vAlign w:val="center"/>
          </w:tcPr>
          <w:p>
            <w:pPr>
              <w:pStyle w:val="13"/>
            </w:pPr>
            <w:r>
              <w:t>行政大楼安保项目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36.80</w:t>
            </w:r>
          </w:p>
        </w:tc>
        <w:tc>
          <w:tcPr>
            <w:tcW w:w="2835" w:type="dxa"/>
            <w:vAlign w:val="center"/>
          </w:tcPr>
          <w:p>
            <w:pPr>
              <w:pStyle w:val="11"/>
            </w:pPr>
            <w:r>
              <w:t>其中：财政    资金</w:t>
            </w:r>
          </w:p>
        </w:tc>
        <w:tc>
          <w:tcPr>
            <w:tcW w:w="2551" w:type="dxa"/>
            <w:vAlign w:val="center"/>
          </w:tcPr>
          <w:p>
            <w:pPr>
              <w:pStyle w:val="13"/>
            </w:pPr>
            <w:r>
              <w:t>36.80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用于支付大楼安保服务费。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9.20</w:t>
            </w:r>
          </w:p>
        </w:tc>
        <w:tc>
          <w:tcPr>
            <w:tcW w:w="2835" w:type="dxa"/>
            <w:vAlign w:val="center"/>
          </w:tcPr>
          <w:p>
            <w:pPr>
              <w:pStyle w:val="14"/>
            </w:pPr>
            <w:r>
              <w:t>18.40</w:t>
            </w:r>
          </w:p>
        </w:tc>
        <w:tc>
          <w:tcPr>
            <w:tcW w:w="2551" w:type="dxa"/>
            <w:vAlign w:val="center"/>
          </w:tcPr>
          <w:p>
            <w:pPr>
              <w:pStyle w:val="14"/>
            </w:pPr>
            <w:r>
              <w:t>27.60</w:t>
            </w:r>
          </w:p>
        </w:tc>
        <w:tc>
          <w:tcPr>
            <w:tcW w:w="3544" w:type="dxa"/>
            <w:gridSpan w:val="2"/>
            <w:vAlign w:val="center"/>
          </w:tcPr>
          <w:p>
            <w:pPr>
              <w:pStyle w:val="14"/>
            </w:pPr>
            <w:r>
              <w:t>36.80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1.通过聘请第三方安保服务公司，对大楼进行日常安保维护工作，确保大楼安全稳定运行。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安保人数</w:t>
            </w:r>
          </w:p>
        </w:tc>
        <w:tc>
          <w:tcPr>
            <w:tcW w:w="5386" w:type="dxa"/>
            <w:vAlign w:val="center"/>
          </w:tcPr>
          <w:p>
            <w:pPr>
              <w:pStyle w:val="13"/>
            </w:pPr>
            <w:r>
              <w:t>安保人数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工作出勤率</w:t>
            </w:r>
          </w:p>
        </w:tc>
        <w:tc>
          <w:tcPr>
            <w:tcW w:w="5386" w:type="dxa"/>
            <w:vAlign w:val="center"/>
          </w:tcPr>
          <w:p>
            <w:pPr>
              <w:pStyle w:val="13"/>
            </w:pPr>
            <w:r>
              <w:t>工作出勤率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工作合格率</w:t>
            </w:r>
          </w:p>
        </w:tc>
        <w:tc>
          <w:tcPr>
            <w:tcW w:w="5386" w:type="dxa"/>
            <w:vAlign w:val="center"/>
          </w:tcPr>
          <w:p>
            <w:pPr>
              <w:pStyle w:val="13"/>
            </w:pPr>
            <w:r>
              <w:t>工作合格率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安保人员工资标准</w:t>
            </w:r>
          </w:p>
        </w:tc>
        <w:tc>
          <w:tcPr>
            <w:tcW w:w="5386" w:type="dxa"/>
            <w:vAlign w:val="center"/>
          </w:tcPr>
          <w:p>
            <w:pPr>
              <w:pStyle w:val="13"/>
            </w:pPr>
            <w:r>
              <w:t>安保人员工资标准</w:t>
            </w:r>
          </w:p>
        </w:tc>
        <w:tc>
          <w:tcPr>
            <w:tcW w:w="2268" w:type="dxa"/>
            <w:vAlign w:val="center"/>
          </w:tcPr>
          <w:p>
            <w:pPr>
              <w:pStyle w:val="13"/>
            </w:pPr>
            <w:r>
              <w:t>1800元/人/月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重大事故发生率</w:t>
            </w:r>
          </w:p>
        </w:tc>
        <w:tc>
          <w:tcPr>
            <w:tcW w:w="5386" w:type="dxa"/>
            <w:vAlign w:val="center"/>
          </w:tcPr>
          <w:p>
            <w:pPr>
              <w:pStyle w:val="13"/>
            </w:pPr>
            <w:r>
              <w:t>重大事故发生率</w:t>
            </w:r>
          </w:p>
        </w:tc>
        <w:tc>
          <w:tcPr>
            <w:tcW w:w="2268" w:type="dxa"/>
            <w:vAlign w:val="center"/>
          </w:tcPr>
          <w:p>
            <w:pPr>
              <w:pStyle w:val="13"/>
            </w:pPr>
            <w:r>
              <w:t>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用人单位满意度</w:t>
            </w:r>
          </w:p>
        </w:tc>
        <w:tc>
          <w:tcPr>
            <w:tcW w:w="5386" w:type="dxa"/>
            <w:vAlign w:val="center"/>
          </w:tcPr>
          <w:p>
            <w:pPr>
              <w:pStyle w:val="13"/>
            </w:pPr>
            <w:r>
              <w:t>用人单位满意度</w:t>
            </w:r>
          </w:p>
        </w:tc>
        <w:tc>
          <w:tcPr>
            <w:tcW w:w="2268" w:type="dxa"/>
            <w:vAlign w:val="center"/>
          </w:tcPr>
          <w:p>
            <w:pPr>
              <w:pStyle w:val="13"/>
            </w:pPr>
            <w:r>
              <w:t>≥90%</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5、行政大楼网费项目绩效目标表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13010726P000081100033</w:t>
            </w:r>
          </w:p>
        </w:tc>
        <w:tc>
          <w:tcPr>
            <w:tcW w:w="2835" w:type="dxa"/>
            <w:vAlign w:val="center"/>
          </w:tcPr>
          <w:p>
            <w:pPr>
              <w:pStyle w:val="11"/>
            </w:pPr>
            <w:r>
              <w:t>项目名称</w:t>
            </w:r>
          </w:p>
        </w:tc>
        <w:tc>
          <w:tcPr>
            <w:tcW w:w="6095" w:type="dxa"/>
            <w:gridSpan w:val="3"/>
            <w:vAlign w:val="center"/>
          </w:tcPr>
          <w:p>
            <w:pPr>
              <w:pStyle w:val="13"/>
            </w:pPr>
            <w:r>
              <w:t>行政大楼网费项目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13.90</w:t>
            </w:r>
          </w:p>
        </w:tc>
        <w:tc>
          <w:tcPr>
            <w:tcW w:w="2835" w:type="dxa"/>
            <w:vAlign w:val="center"/>
          </w:tcPr>
          <w:p>
            <w:pPr>
              <w:pStyle w:val="11"/>
            </w:pPr>
            <w:r>
              <w:t>其中：财政    资金</w:t>
            </w:r>
          </w:p>
        </w:tc>
        <w:tc>
          <w:tcPr>
            <w:tcW w:w="2551" w:type="dxa"/>
            <w:vAlign w:val="center"/>
          </w:tcPr>
          <w:p>
            <w:pPr>
              <w:pStyle w:val="13"/>
            </w:pPr>
            <w:r>
              <w:t>13.90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用于支付大楼网费。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6.95</w:t>
            </w:r>
          </w:p>
        </w:tc>
        <w:tc>
          <w:tcPr>
            <w:tcW w:w="2551" w:type="dxa"/>
            <w:vAlign w:val="center"/>
          </w:tcPr>
          <w:p>
            <w:pPr>
              <w:pStyle w:val="14"/>
            </w:pPr>
            <w:r>
              <w:t xml:space="preserve"> </w:t>
            </w:r>
          </w:p>
        </w:tc>
        <w:tc>
          <w:tcPr>
            <w:tcW w:w="3544" w:type="dxa"/>
            <w:gridSpan w:val="2"/>
            <w:vAlign w:val="center"/>
          </w:tcPr>
          <w:p>
            <w:pPr>
              <w:pStyle w:val="14"/>
            </w:pPr>
            <w:r>
              <w:t>13.90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1.按时交纳网费，确保网络通畅。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供应商数量</w:t>
            </w:r>
          </w:p>
        </w:tc>
        <w:tc>
          <w:tcPr>
            <w:tcW w:w="5386" w:type="dxa"/>
            <w:vAlign w:val="center"/>
          </w:tcPr>
          <w:p>
            <w:pPr>
              <w:pStyle w:val="13"/>
            </w:pPr>
            <w:r>
              <w:t>供应商数量</w:t>
            </w:r>
          </w:p>
        </w:tc>
        <w:tc>
          <w:tcPr>
            <w:tcW w:w="2268" w:type="dxa"/>
            <w:vAlign w:val="center"/>
          </w:tcPr>
          <w:p>
            <w:pPr>
              <w:pStyle w:val="13"/>
            </w:pPr>
            <w:r>
              <w:t>2家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设备正常运行率</w:t>
            </w:r>
          </w:p>
        </w:tc>
        <w:tc>
          <w:tcPr>
            <w:tcW w:w="5386" w:type="dxa"/>
            <w:vAlign w:val="center"/>
          </w:tcPr>
          <w:p>
            <w:pPr>
              <w:pStyle w:val="13"/>
            </w:pPr>
            <w:r>
              <w:t>设备正常运行率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故障响应时间</w:t>
            </w:r>
          </w:p>
        </w:tc>
        <w:tc>
          <w:tcPr>
            <w:tcW w:w="5386" w:type="dxa"/>
            <w:vAlign w:val="center"/>
          </w:tcPr>
          <w:p>
            <w:pPr>
              <w:pStyle w:val="13"/>
            </w:pPr>
            <w:r>
              <w:t>故障响应时间</w:t>
            </w:r>
          </w:p>
        </w:tc>
        <w:tc>
          <w:tcPr>
            <w:tcW w:w="2268" w:type="dxa"/>
            <w:vAlign w:val="center"/>
          </w:tcPr>
          <w:p>
            <w:pPr>
              <w:pStyle w:val="13"/>
            </w:pPr>
            <w:r>
              <w:t>≤2小时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平均每条价格</w:t>
            </w:r>
          </w:p>
        </w:tc>
        <w:tc>
          <w:tcPr>
            <w:tcW w:w="5386" w:type="dxa"/>
            <w:vAlign w:val="center"/>
          </w:tcPr>
          <w:p>
            <w:pPr>
              <w:pStyle w:val="13"/>
            </w:pPr>
            <w:r>
              <w:t>平均每条价格</w:t>
            </w:r>
          </w:p>
        </w:tc>
        <w:tc>
          <w:tcPr>
            <w:tcW w:w="2268" w:type="dxa"/>
            <w:vAlign w:val="center"/>
          </w:tcPr>
          <w:p>
            <w:pPr>
              <w:pStyle w:val="13"/>
            </w:pPr>
            <w:r>
              <w:t>≤10000元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提供网络便捷服务</w:t>
            </w:r>
          </w:p>
        </w:tc>
        <w:tc>
          <w:tcPr>
            <w:tcW w:w="5386" w:type="dxa"/>
            <w:vAlign w:val="center"/>
          </w:tcPr>
          <w:p>
            <w:pPr>
              <w:pStyle w:val="13"/>
            </w:pPr>
            <w:r>
              <w:t>提供网络便捷服务</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使用部门满意度</w:t>
            </w:r>
          </w:p>
        </w:tc>
        <w:tc>
          <w:tcPr>
            <w:tcW w:w="5386" w:type="dxa"/>
            <w:vAlign w:val="center"/>
          </w:tcPr>
          <w:p>
            <w:pPr>
              <w:pStyle w:val="13"/>
            </w:pPr>
            <w:r>
              <w:t>使用部门满意度</w:t>
            </w:r>
          </w:p>
        </w:tc>
        <w:tc>
          <w:tcPr>
            <w:tcW w:w="2268" w:type="dxa"/>
            <w:vAlign w:val="center"/>
          </w:tcPr>
          <w:p>
            <w:pPr>
              <w:pStyle w:val="13"/>
            </w:pPr>
            <w:r>
              <w:t>≥90%</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6、综合办公楼保洁项目绩效目标表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13010726P00008110001U</w:t>
            </w:r>
          </w:p>
        </w:tc>
        <w:tc>
          <w:tcPr>
            <w:tcW w:w="2835" w:type="dxa"/>
            <w:vAlign w:val="center"/>
          </w:tcPr>
          <w:p>
            <w:pPr>
              <w:pStyle w:val="11"/>
            </w:pPr>
            <w:r>
              <w:t>项目名称</w:t>
            </w:r>
          </w:p>
        </w:tc>
        <w:tc>
          <w:tcPr>
            <w:tcW w:w="6095" w:type="dxa"/>
            <w:gridSpan w:val="3"/>
            <w:vAlign w:val="center"/>
          </w:tcPr>
          <w:p>
            <w:pPr>
              <w:pStyle w:val="13"/>
            </w:pPr>
            <w:r>
              <w:t>综合办公楼保洁项目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用与支付大楼保洁服务费。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21.25</w:t>
            </w:r>
          </w:p>
        </w:tc>
        <w:tc>
          <w:tcPr>
            <w:tcW w:w="2835" w:type="dxa"/>
            <w:vAlign w:val="center"/>
          </w:tcPr>
          <w:p>
            <w:pPr>
              <w:pStyle w:val="14"/>
            </w:pPr>
            <w:r>
              <w:t>42.50</w:t>
            </w:r>
          </w:p>
        </w:tc>
        <w:tc>
          <w:tcPr>
            <w:tcW w:w="2551" w:type="dxa"/>
            <w:vAlign w:val="center"/>
          </w:tcPr>
          <w:p>
            <w:pPr>
              <w:pStyle w:val="14"/>
            </w:pPr>
            <w:r>
              <w:t>63.75</w:t>
            </w:r>
          </w:p>
        </w:tc>
        <w:tc>
          <w:tcPr>
            <w:tcW w:w="3544" w:type="dxa"/>
            <w:gridSpan w:val="2"/>
            <w:vAlign w:val="center"/>
          </w:tcPr>
          <w:p>
            <w:pPr>
              <w:pStyle w:val="14"/>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1.聘请第三方保洁服务公司对综合办公楼进行日常保洁服务，确保大楼日常干净整洁。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保洁人数</w:t>
            </w:r>
          </w:p>
        </w:tc>
        <w:tc>
          <w:tcPr>
            <w:tcW w:w="5386" w:type="dxa"/>
            <w:vAlign w:val="center"/>
          </w:tcPr>
          <w:p>
            <w:pPr>
              <w:pStyle w:val="13"/>
            </w:pPr>
            <w:r>
              <w:t>保洁人数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保洁人员工作合格率</w:t>
            </w:r>
          </w:p>
        </w:tc>
        <w:tc>
          <w:tcPr>
            <w:tcW w:w="5386" w:type="dxa"/>
            <w:vAlign w:val="center"/>
          </w:tcPr>
          <w:p>
            <w:pPr>
              <w:pStyle w:val="13"/>
            </w:pPr>
            <w:r>
              <w:t>保洁人员工作合格率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保洁人员出勤率</w:t>
            </w:r>
          </w:p>
        </w:tc>
        <w:tc>
          <w:tcPr>
            <w:tcW w:w="5386" w:type="dxa"/>
            <w:vAlign w:val="center"/>
          </w:tcPr>
          <w:p>
            <w:pPr>
              <w:pStyle w:val="13"/>
            </w:pPr>
            <w:r>
              <w:t>保洁人员出勤率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人均工资标准</w:t>
            </w:r>
          </w:p>
        </w:tc>
        <w:tc>
          <w:tcPr>
            <w:tcW w:w="5386" w:type="dxa"/>
            <w:vAlign w:val="center"/>
          </w:tcPr>
          <w:p>
            <w:pPr>
              <w:pStyle w:val="13"/>
            </w:pPr>
            <w:r>
              <w:t>人均工资标准</w:t>
            </w:r>
          </w:p>
        </w:tc>
        <w:tc>
          <w:tcPr>
            <w:tcW w:w="2268" w:type="dxa"/>
            <w:vAlign w:val="center"/>
          </w:tcPr>
          <w:p>
            <w:pPr>
              <w:pStyle w:val="13"/>
            </w:pPr>
            <w:r>
              <w:t>1800元/人/月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保障机关大楼日常干净整洁</w:t>
            </w:r>
          </w:p>
        </w:tc>
        <w:tc>
          <w:tcPr>
            <w:tcW w:w="5386" w:type="dxa"/>
            <w:vAlign w:val="center"/>
          </w:tcPr>
          <w:p>
            <w:pPr>
              <w:pStyle w:val="13"/>
            </w:pPr>
            <w:r>
              <w:t>保障机关大楼日常干净整洁</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使用部门满意度</w:t>
            </w:r>
          </w:p>
        </w:tc>
        <w:tc>
          <w:tcPr>
            <w:tcW w:w="5386" w:type="dxa"/>
            <w:vAlign w:val="center"/>
          </w:tcPr>
          <w:p>
            <w:pPr>
              <w:pStyle w:val="13"/>
            </w:pPr>
            <w:r>
              <w:t>使用部门满意度</w:t>
            </w:r>
          </w:p>
        </w:tc>
        <w:tc>
          <w:tcPr>
            <w:tcW w:w="2268" w:type="dxa"/>
            <w:vAlign w:val="center"/>
          </w:tcPr>
          <w:p>
            <w:pPr>
              <w:pStyle w:val="13"/>
            </w:pPr>
            <w:r>
              <w:t>≥95%</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7、综合办公楼运行维护费绩效目标表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13010726P00008110006X</w:t>
            </w:r>
          </w:p>
        </w:tc>
        <w:tc>
          <w:tcPr>
            <w:tcW w:w="2835" w:type="dxa"/>
            <w:vAlign w:val="center"/>
          </w:tcPr>
          <w:p>
            <w:pPr>
              <w:pStyle w:val="11"/>
            </w:pPr>
            <w:r>
              <w:t>项目名称</w:t>
            </w:r>
          </w:p>
        </w:tc>
        <w:tc>
          <w:tcPr>
            <w:tcW w:w="6095" w:type="dxa"/>
            <w:gridSpan w:val="3"/>
            <w:vAlign w:val="center"/>
          </w:tcPr>
          <w:p>
            <w:pPr>
              <w:pStyle w:val="13"/>
            </w:pPr>
            <w:r>
              <w:t>综合办公楼运行维护费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用于支付大楼日常维修维护费用。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45.00</w:t>
            </w:r>
          </w:p>
        </w:tc>
        <w:tc>
          <w:tcPr>
            <w:tcW w:w="2835" w:type="dxa"/>
            <w:vAlign w:val="center"/>
          </w:tcPr>
          <w:p>
            <w:pPr>
              <w:pStyle w:val="14"/>
            </w:pPr>
            <w:r>
              <w:t>90.00</w:t>
            </w:r>
          </w:p>
        </w:tc>
        <w:tc>
          <w:tcPr>
            <w:tcW w:w="2551" w:type="dxa"/>
            <w:vAlign w:val="center"/>
          </w:tcPr>
          <w:p>
            <w:pPr>
              <w:pStyle w:val="14"/>
            </w:pPr>
            <w:r>
              <w:t>135.00</w:t>
            </w:r>
          </w:p>
        </w:tc>
        <w:tc>
          <w:tcPr>
            <w:tcW w:w="3544"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1.通过对综合办公楼日常维修维护，确保日常办公正常运行。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维修范围</w:t>
            </w:r>
          </w:p>
        </w:tc>
        <w:tc>
          <w:tcPr>
            <w:tcW w:w="5386" w:type="dxa"/>
            <w:vAlign w:val="center"/>
          </w:tcPr>
          <w:p>
            <w:pPr>
              <w:pStyle w:val="13"/>
            </w:pPr>
            <w:r>
              <w:t>维修范围</w:t>
            </w:r>
          </w:p>
        </w:tc>
        <w:tc>
          <w:tcPr>
            <w:tcW w:w="2268" w:type="dxa"/>
            <w:vAlign w:val="center"/>
          </w:tcPr>
          <w:p>
            <w:pPr>
              <w:pStyle w:val="13"/>
            </w:pPr>
            <w:r>
              <w:t>7栋楼</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工作合格率</w:t>
            </w:r>
          </w:p>
        </w:tc>
        <w:tc>
          <w:tcPr>
            <w:tcW w:w="5386" w:type="dxa"/>
            <w:vAlign w:val="center"/>
          </w:tcPr>
          <w:p>
            <w:pPr>
              <w:pStyle w:val="13"/>
            </w:pPr>
            <w:r>
              <w:t>工作合格率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出勤率</w:t>
            </w:r>
          </w:p>
        </w:tc>
        <w:tc>
          <w:tcPr>
            <w:tcW w:w="5386" w:type="dxa"/>
            <w:vAlign w:val="center"/>
          </w:tcPr>
          <w:p>
            <w:pPr>
              <w:pStyle w:val="13"/>
            </w:pPr>
            <w:r>
              <w:t>出勤率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年维修费用</w:t>
            </w:r>
          </w:p>
        </w:tc>
        <w:tc>
          <w:tcPr>
            <w:tcW w:w="5386" w:type="dxa"/>
            <w:vAlign w:val="center"/>
          </w:tcPr>
          <w:p>
            <w:pPr>
              <w:pStyle w:val="13"/>
            </w:pPr>
            <w:r>
              <w:t>年维修费用</w:t>
            </w:r>
          </w:p>
        </w:tc>
        <w:tc>
          <w:tcPr>
            <w:tcW w:w="2268" w:type="dxa"/>
            <w:vAlign w:val="center"/>
          </w:tcPr>
          <w:p>
            <w:pPr>
              <w:pStyle w:val="13"/>
            </w:pPr>
            <w:r>
              <w:t>≤300万元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大楼稳定运行情况</w:t>
            </w:r>
          </w:p>
        </w:tc>
        <w:tc>
          <w:tcPr>
            <w:tcW w:w="5386" w:type="dxa"/>
            <w:vAlign w:val="center"/>
          </w:tcPr>
          <w:p>
            <w:pPr>
              <w:pStyle w:val="13"/>
            </w:pPr>
            <w:r>
              <w:t>大楼稳定运行情况</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反馈意见</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250.44</w:t>
            </w:r>
          </w:p>
        </w:tc>
        <w:tc>
          <w:tcPr>
            <w:tcW w:w="964" w:type="dxa"/>
            <w:vAlign w:val="center"/>
          </w:tcPr>
          <w:p>
            <w:pPr>
              <w:pStyle w:val="16"/>
            </w:pPr>
            <w:r>
              <w:t>250.44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石家庄市井陉矿区机关后勤服务中心小计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250.44</w:t>
            </w:r>
          </w:p>
        </w:tc>
        <w:tc>
          <w:tcPr>
            <w:tcW w:w="964" w:type="dxa"/>
            <w:vAlign w:val="center"/>
          </w:tcPr>
          <w:p>
            <w:pPr>
              <w:pStyle w:val="16"/>
            </w:pPr>
            <w:r>
              <w:t>250.44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400.95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0.02</w:t>
            </w:r>
          </w:p>
        </w:tc>
        <w:tc>
          <w:tcPr>
            <w:tcW w:w="964" w:type="dxa"/>
            <w:vAlign w:val="center"/>
          </w:tcPr>
          <w:p>
            <w:pPr>
              <w:pStyle w:val="12"/>
            </w:pPr>
            <w:r>
              <w:t>1.44</w:t>
            </w:r>
          </w:p>
        </w:tc>
        <w:tc>
          <w:tcPr>
            <w:tcW w:w="964" w:type="dxa"/>
            <w:vAlign w:val="center"/>
          </w:tcPr>
          <w:p>
            <w:pPr>
              <w:pStyle w:val="12"/>
            </w:pPr>
            <w:r>
              <w:t>1.44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400.95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400.95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400.95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公务用车“三定一平台”项目</w:t>
            </w:r>
          </w:p>
        </w:tc>
        <w:tc>
          <w:tcPr>
            <w:tcW w:w="964" w:type="dxa"/>
            <w:vAlign w:val="center"/>
          </w:tcPr>
          <w:p>
            <w:pPr>
              <w:pStyle w:val="12"/>
            </w:pPr>
            <w:r>
              <w:t>30.00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公务用车“三定一平台”项目</w:t>
            </w:r>
          </w:p>
        </w:tc>
        <w:tc>
          <w:tcPr>
            <w:tcW w:w="964" w:type="dxa"/>
            <w:vAlign w:val="center"/>
          </w:tcPr>
          <w:p>
            <w:pPr>
              <w:pStyle w:val="12"/>
            </w:pPr>
            <w:r>
              <w:t>30.00</w:t>
            </w:r>
          </w:p>
        </w:tc>
        <w:tc>
          <w:tcPr>
            <w:tcW w:w="1134" w:type="dxa"/>
            <w:vAlign w:val="center"/>
          </w:tcPr>
          <w:p>
            <w:pPr>
              <w:pStyle w:val="13"/>
            </w:pPr>
            <w:r>
              <w:t>车辆及其他运输机械租赁服务</w:t>
            </w:r>
          </w:p>
        </w:tc>
        <w:tc>
          <w:tcPr>
            <w:tcW w:w="1134" w:type="dxa"/>
            <w:vAlign w:val="center"/>
          </w:tcPr>
          <w:p>
            <w:pPr>
              <w:pStyle w:val="13"/>
            </w:pPr>
            <w:r>
              <w:t>C23110300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公务用车“三定一平台”项目</w:t>
            </w:r>
          </w:p>
        </w:tc>
        <w:tc>
          <w:tcPr>
            <w:tcW w:w="964" w:type="dxa"/>
            <w:vAlign w:val="center"/>
          </w:tcPr>
          <w:p>
            <w:pPr>
              <w:pStyle w:val="12"/>
            </w:pPr>
            <w:r>
              <w:t>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公务用车“三定一平台”项目</w:t>
            </w:r>
          </w:p>
        </w:tc>
        <w:tc>
          <w:tcPr>
            <w:tcW w:w="964" w:type="dxa"/>
            <w:vAlign w:val="center"/>
          </w:tcPr>
          <w:p>
            <w:pPr>
              <w:pStyle w:val="12"/>
            </w:pPr>
            <w:r>
              <w:t>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食堂服务保障项目</w:t>
            </w:r>
          </w:p>
        </w:tc>
        <w:tc>
          <w:tcPr>
            <w:tcW w:w="964" w:type="dxa"/>
            <w:vAlign w:val="center"/>
          </w:tcPr>
          <w:p>
            <w:pPr>
              <w:pStyle w:val="12"/>
            </w:pPr>
            <w:r>
              <w:t>95.20</w:t>
            </w:r>
          </w:p>
        </w:tc>
        <w:tc>
          <w:tcPr>
            <w:tcW w:w="1134" w:type="dxa"/>
            <w:vAlign w:val="center"/>
          </w:tcPr>
          <w:p>
            <w:pPr>
              <w:pStyle w:val="13"/>
            </w:pPr>
            <w:r>
              <w:t>餐饮服务</w:t>
            </w:r>
          </w:p>
        </w:tc>
        <w:tc>
          <w:tcPr>
            <w:tcW w:w="1134" w:type="dxa"/>
            <w:vAlign w:val="center"/>
          </w:tcPr>
          <w:p>
            <w:pPr>
              <w:pStyle w:val="13"/>
            </w:pPr>
            <w:r>
              <w:t>C22040000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95.20</w:t>
            </w:r>
          </w:p>
        </w:tc>
        <w:tc>
          <w:tcPr>
            <w:tcW w:w="964" w:type="dxa"/>
            <w:vAlign w:val="center"/>
          </w:tcPr>
          <w:p>
            <w:pPr>
              <w:pStyle w:val="12"/>
            </w:pPr>
            <w:r>
              <w:t>95.20</w:t>
            </w:r>
          </w:p>
        </w:tc>
        <w:tc>
          <w:tcPr>
            <w:tcW w:w="964" w:type="dxa"/>
            <w:vAlign w:val="center"/>
          </w:tcPr>
          <w:p>
            <w:pPr>
              <w:pStyle w:val="12"/>
            </w:pPr>
            <w:r>
              <w:t>95.20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行政大楼安保项目</w:t>
            </w:r>
          </w:p>
        </w:tc>
        <w:tc>
          <w:tcPr>
            <w:tcW w:w="964" w:type="dxa"/>
            <w:vAlign w:val="center"/>
          </w:tcPr>
          <w:p>
            <w:pPr>
              <w:pStyle w:val="12"/>
            </w:pPr>
            <w:r>
              <w:t>36.80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36.80</w:t>
            </w:r>
          </w:p>
        </w:tc>
        <w:tc>
          <w:tcPr>
            <w:tcW w:w="964" w:type="dxa"/>
            <w:vAlign w:val="center"/>
          </w:tcPr>
          <w:p>
            <w:pPr>
              <w:pStyle w:val="12"/>
            </w:pPr>
            <w:r>
              <w:t>36.80</w:t>
            </w:r>
          </w:p>
        </w:tc>
        <w:tc>
          <w:tcPr>
            <w:tcW w:w="964" w:type="dxa"/>
            <w:vAlign w:val="center"/>
          </w:tcPr>
          <w:p>
            <w:pPr>
              <w:pStyle w:val="12"/>
            </w:pPr>
            <w:r>
              <w:t>36.80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综合办公楼保洁项目</w:t>
            </w:r>
          </w:p>
        </w:tc>
        <w:tc>
          <w:tcPr>
            <w:tcW w:w="964" w:type="dxa"/>
            <w:vAlign w:val="center"/>
          </w:tcPr>
          <w:p>
            <w:pPr>
              <w:pStyle w:val="12"/>
            </w:pPr>
            <w:r>
              <w:t>85.00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85.00</w:t>
            </w:r>
          </w:p>
        </w:tc>
        <w:tc>
          <w:tcPr>
            <w:tcW w:w="964" w:type="dxa"/>
            <w:vAlign w:val="center"/>
          </w:tcPr>
          <w:p>
            <w:pPr>
              <w:pStyle w:val="12"/>
            </w:pPr>
            <w:r>
              <w:t>85.00</w:t>
            </w:r>
          </w:p>
        </w:tc>
        <w:tc>
          <w:tcPr>
            <w:tcW w:w="964" w:type="dxa"/>
            <w:vAlign w:val="center"/>
          </w:tcPr>
          <w:p>
            <w:pPr>
              <w:pStyle w:val="12"/>
            </w:pPr>
            <w:r>
              <w:t>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石家庄市井陉矿区机关后勤服务中心（含所属单位）上年末固定资产金额为</w:t>
      </w:r>
      <w:r>
        <w:rPr>
          <w:rFonts w:hint="eastAsia" w:eastAsia="方正仿宋_GBK" w:cs="Times New Roman"/>
          <w:b w:val="0"/>
          <w:color w:val="000000"/>
          <w:sz w:val="28"/>
          <w:lang w:val="en-US" w:eastAsia="zh-CN"/>
        </w:rPr>
        <w:t>1116.06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430石家庄市井陉矿区机关后勤服务中心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904</w:t>
            </w:r>
          </w:p>
        </w:tc>
        <w:tc>
          <w:tcPr>
            <w:tcW w:w="2835" w:type="dxa"/>
            <w:vAlign w:val="center"/>
          </w:tcPr>
          <w:p>
            <w:pPr>
              <w:pStyle w:val="12"/>
              <w:jc w:val="center"/>
            </w:pPr>
            <w:r>
              <w:rPr>
                <w:rFonts w:hint="eastAsia"/>
                <w:lang w:val="en-US" w:eastAsia="zh-CN"/>
              </w:rPr>
              <w:t>1116.06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rFonts w:hint="eastAsia" w:eastAsia="方正书宋_GBK"/>
                <w:lang w:val="en-US" w:eastAsia="zh-CN"/>
              </w:rPr>
            </w:pPr>
            <w:r>
              <w:rPr>
                <w:rFonts w:hint="eastAsia"/>
                <w:lang w:val="en-US" w:eastAsia="zh-CN"/>
              </w:rPr>
              <w:t>9618</w:t>
            </w:r>
          </w:p>
        </w:tc>
        <w:tc>
          <w:tcPr>
            <w:tcW w:w="2835" w:type="dxa"/>
            <w:vAlign w:val="center"/>
          </w:tcPr>
          <w:p>
            <w:pPr>
              <w:pStyle w:val="12"/>
              <w:jc w:val="center"/>
              <w:rPr>
                <w:rFonts w:hint="eastAsia" w:eastAsia="方正书宋_GBK"/>
                <w:lang w:val="en-US" w:eastAsia="zh-CN"/>
              </w:rPr>
            </w:pPr>
            <w:r>
              <w:rPr>
                <w:rFonts w:hint="eastAsia"/>
                <w:lang w:val="en-US" w:eastAsia="zh-CN"/>
              </w:rPr>
              <w:t>414.42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jc w:val="center"/>
              <w:rPr>
                <w:rFonts w:hint="eastAsia" w:eastAsia="方正书宋_GBK"/>
                <w:lang w:val="en-US" w:eastAsia="zh-CN"/>
              </w:rPr>
            </w:pPr>
            <w:r>
              <w:rPr>
                <w:rFonts w:hint="eastAsia"/>
                <w:lang w:val="en-US" w:eastAsia="zh-CN"/>
              </w:rP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rPr>
                <w:rFonts w:hint="eastAsia" w:eastAsia="方正书宋_GBK"/>
                <w:lang w:val="en-US" w:eastAsia="zh-CN"/>
              </w:rPr>
            </w:pPr>
            <w:r>
              <w:rPr>
                <w:rFonts w:hint="eastAsia"/>
                <w:lang w:val="en-US" w:eastAsia="zh-CN"/>
              </w:rPr>
              <w:t>4</w:t>
            </w:r>
          </w:p>
        </w:tc>
        <w:tc>
          <w:tcPr>
            <w:tcW w:w="2835" w:type="dxa"/>
            <w:vAlign w:val="center"/>
          </w:tcPr>
          <w:p>
            <w:pPr>
              <w:pStyle w:val="12"/>
              <w:jc w:val="center"/>
              <w:rPr>
                <w:rFonts w:hint="eastAsia" w:eastAsia="方正书宋_GBK"/>
                <w:lang w:val="en-US" w:eastAsia="zh-CN"/>
              </w:rPr>
            </w:pPr>
            <w:r>
              <w:rPr>
                <w:rFonts w:hint="eastAsia"/>
                <w:lang w:val="en-US" w:eastAsia="zh-CN"/>
              </w:rPr>
              <w:t>176.93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eastAsia" w:eastAsia="方正书宋_GBK"/>
                <w:lang w:val="en-US" w:eastAsia="zh-CN"/>
              </w:rPr>
            </w:pPr>
            <w:r>
              <w:rPr>
                <w:rFonts w:hint="eastAsia"/>
                <w:lang w:val="en-US" w:eastAsia="zh-CN"/>
              </w:rPr>
              <w:t>898</w:t>
            </w:r>
          </w:p>
        </w:tc>
        <w:tc>
          <w:tcPr>
            <w:tcW w:w="2835" w:type="dxa"/>
            <w:vAlign w:val="center"/>
          </w:tcPr>
          <w:p>
            <w:pPr>
              <w:pStyle w:val="12"/>
              <w:jc w:val="center"/>
              <w:rPr>
                <w:rFonts w:hint="eastAsia" w:eastAsia="方正书宋_GBK"/>
                <w:lang w:val="en-US" w:eastAsia="zh-CN"/>
              </w:rPr>
            </w:pPr>
            <w:r>
              <w:rPr>
                <w:rFonts w:hint="eastAsia"/>
                <w:lang w:val="en-US" w:eastAsia="zh-CN"/>
              </w:rPr>
              <w:t>474.91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Arial">
    <w:panose1 w:val="020B0604020202020204"/>
    <w:charset w:val="00"/>
    <w:family w:val="auto"/>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535209017">
    <w:nsid w:val="D2B70239"/>
    <w:multiLevelType w:val="singleLevel"/>
    <w:tmpl w:val="D2B70239"/>
    <w:lvl w:ilvl="0" w:tentative="1">
      <w:start w:val="6"/>
      <w:numFmt w:val="chineseCounting"/>
      <w:suff w:val="nothing"/>
      <w:lvlText w:val="%1、"/>
      <w:lvlJc w:val="left"/>
      <w:rPr>
        <w:rFonts w:hint="eastAsia"/>
      </w:rPr>
    </w:lvl>
  </w:abstractNum>
  <w:abstractNum w:abstractNumId="1770685608">
    <w:nsid w:val="698A84A8"/>
    <w:multiLevelType w:val="singleLevel"/>
    <w:tmpl w:val="698A84A8"/>
    <w:lvl w:ilvl="0" w:tentative="1">
      <w:start w:val="7"/>
      <w:numFmt w:val="decimal"/>
      <w:suff w:val="nothing"/>
      <w:lvlText w:val="（%1）"/>
      <w:lvlJc w:val="left"/>
    </w:lvl>
  </w:abstractNum>
  <w:num w:numId="1">
    <w:abstractNumId w:val="1770685608"/>
  </w:num>
  <w:num w:numId="2">
    <w:abstractNumId w:val="35352090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4E0DEF"/>
    <w:rsid w:val="259E56D9"/>
    <w:rsid w:val="31156666"/>
    <w:rsid w:val="3E887FC3"/>
    <w:rsid w:val="3F432634"/>
    <w:rsid w:val="42103B2D"/>
    <w:rsid w:val="51E21CED"/>
    <w:rsid w:val="542D1F46"/>
    <w:rsid w:val="5FB8730A"/>
    <w:rsid w:val="65F7119E"/>
    <w:rsid w:val="69B541E3"/>
    <w:rsid w:val="730255D0"/>
    <w:rsid w:val="767043C1"/>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2026-02-09T15:35:00Z</dcterms:created>
  <dc:creator>Administrator</dc:creator>
  <cp:lastModifiedBy>Administrator</cp:lastModifiedBy>
  <dcterms:modified xsi:type="dcterms:W3CDTF">2026-02-10T06:11:09Z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