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2026年部门预算信息公开目录</w:t>
      </w:r>
    </w:p>
    <w:p>
      <w:pPr>
        <w:jc w:val="center"/>
      </w:pPr>
      <w:r>
        <w:rPr>
          <w:rFonts w:ascii="黑体" w:eastAsia="黑体" w:cs="黑体" w:hAnsi="黑体"/>
          <w:b/>
          <w:color w:val="000000"/>
          <w:sz w:val="30"/>
        </w:rPr>
        <w:t xml:space="preserve"> </w:t>
      </w:r>
    </w:p>
    <w:p>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15</w:t>
      </w:r>
      <w:r>
        <w:fldChar w:fldCharType="end"/>
      </w:r>
      <w:r>
        <w:fldChar w:fldCharType="end"/>
      </w:r>
    </w:p>
    <w:p>
      <w:r>
        <w:fldChar w:fldCharType="end"/>
      </w:r>
    </w:p>
    <w:p>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41</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41</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42</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450.71</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367.24</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33.49</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23.64</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26.34</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450.71</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450.71</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450.71</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450.71</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450.71</w:t>
            </w:r>
          </w:p>
        </w:tc>
        <w:tc>
          <w:tcPr>
            <w:tcW w:w="1134" w:type="dxa"/>
            <w:tcBorders>
              <w:left w:val="single" w:sz="6" w:space="0" w:color="000000"/>
            </w:tcBorders>
            <w:vAlign w:val="center"/>
          </w:tcPr>
          <w:p>
            <w:pPr>
              <w:pStyle w:val="23"/>
            </w:pPr>
            <w:r>
              <w:t>450.71</w:t>
            </w:r>
          </w:p>
        </w:tc>
        <w:tc>
          <w:tcPr>
            <w:tcW w:w="1134" w:type="dxa"/>
            <w:tcBorders>
              <w:left w:val="single" w:sz="6" w:space="0" w:color="000000"/>
            </w:tcBorders>
            <w:vAlign w:val="center"/>
          </w:tcPr>
          <w:p>
            <w:pPr>
              <w:pStyle w:val="23"/>
            </w:pPr>
            <w:r>
              <w:t>450.71</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367.24</w:t>
            </w:r>
          </w:p>
        </w:tc>
        <w:tc>
          <w:tcPr>
            <w:tcW w:w="1134" w:type="dxa"/>
            <w:tcBorders>
              <w:left w:val="single" w:sz="6" w:space="0" w:color="000000"/>
            </w:tcBorders>
            <w:vAlign w:val="center"/>
          </w:tcPr>
          <w:p>
            <w:pPr>
              <w:pStyle w:val="19"/>
            </w:pPr>
            <w:r>
              <w:t>367.24</w:t>
            </w:r>
          </w:p>
        </w:tc>
        <w:tc>
          <w:tcPr>
            <w:tcW w:w="1134" w:type="dxa"/>
            <w:tcBorders>
              <w:left w:val="single" w:sz="6" w:space="0" w:color="000000"/>
            </w:tcBorders>
            <w:vAlign w:val="center"/>
          </w:tcPr>
          <w:p>
            <w:pPr>
              <w:pStyle w:val="19"/>
            </w:pPr>
            <w:r>
              <w:t>367.24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20103</w:t>
            </w:r>
          </w:p>
        </w:tc>
        <w:tc>
          <w:tcPr>
            <w:tcW w:w="1559" w:type="dxa"/>
            <w:tcBorders>
              <w:left w:val="single" w:sz="6" w:space="0" w:color="000000"/>
            </w:tcBorders>
            <w:vAlign w:val="center"/>
          </w:tcPr>
          <w:p>
            <w:pPr>
              <w:pStyle w:val="20"/>
            </w:pPr>
            <w:r>
              <w:t>政府办公厅（室）及相关机构事务</w:t>
            </w:r>
          </w:p>
        </w:tc>
        <w:tc>
          <w:tcPr>
            <w:tcW w:w="1134" w:type="dxa"/>
            <w:tcBorders>
              <w:left w:val="single" w:sz="6" w:space="0" w:color="000000"/>
            </w:tcBorders>
            <w:vAlign w:val="center"/>
          </w:tcPr>
          <w:p>
            <w:pPr>
              <w:pStyle w:val="19"/>
            </w:pPr>
            <w:r>
              <w:t>367.24</w:t>
            </w:r>
          </w:p>
        </w:tc>
        <w:tc>
          <w:tcPr>
            <w:tcW w:w="1134" w:type="dxa"/>
            <w:tcBorders>
              <w:left w:val="single" w:sz="6" w:space="0" w:color="000000"/>
            </w:tcBorders>
            <w:vAlign w:val="center"/>
          </w:tcPr>
          <w:p>
            <w:pPr>
              <w:pStyle w:val="19"/>
            </w:pPr>
            <w:r>
              <w:t>367.24</w:t>
            </w:r>
          </w:p>
        </w:tc>
        <w:tc>
          <w:tcPr>
            <w:tcW w:w="1134" w:type="dxa"/>
            <w:tcBorders>
              <w:left w:val="single" w:sz="6" w:space="0" w:color="000000"/>
            </w:tcBorders>
            <w:vAlign w:val="center"/>
          </w:tcPr>
          <w:p>
            <w:pPr>
              <w:pStyle w:val="19"/>
            </w:pPr>
            <w:r>
              <w:t>367.24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2010301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72.51</w:t>
            </w:r>
          </w:p>
        </w:tc>
        <w:tc>
          <w:tcPr>
            <w:tcW w:w="1134" w:type="dxa"/>
            <w:tcBorders>
              <w:left w:val="single" w:sz="6" w:space="0" w:color="000000"/>
            </w:tcBorders>
            <w:vAlign w:val="center"/>
          </w:tcPr>
          <w:p>
            <w:pPr>
              <w:pStyle w:val="19"/>
            </w:pPr>
            <w:r>
              <w:t>72.51</w:t>
            </w:r>
          </w:p>
        </w:tc>
        <w:tc>
          <w:tcPr>
            <w:tcW w:w="1134" w:type="dxa"/>
            <w:tcBorders>
              <w:left w:val="single" w:sz="6" w:space="0" w:color="000000"/>
            </w:tcBorders>
            <w:vAlign w:val="center"/>
          </w:tcPr>
          <w:p>
            <w:pPr>
              <w:pStyle w:val="19"/>
            </w:pPr>
            <w:r>
              <w:t>72.51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2010302</w:t>
            </w:r>
          </w:p>
        </w:tc>
        <w:tc>
          <w:tcPr>
            <w:tcW w:w="1559" w:type="dxa"/>
            <w:tcBorders>
              <w:left w:val="single" w:sz="6" w:space="0" w:color="000000"/>
            </w:tcBorders>
            <w:vAlign w:val="center"/>
          </w:tcPr>
          <w:p>
            <w:pPr>
              <w:pStyle w:val="20"/>
            </w:pPr>
            <w:r>
              <w:t>一般行政管理事务</w:t>
            </w:r>
          </w:p>
        </w:tc>
        <w:tc>
          <w:tcPr>
            <w:tcW w:w="1134" w:type="dxa"/>
            <w:tcBorders>
              <w:left w:val="single" w:sz="6" w:space="0" w:color="000000"/>
            </w:tcBorders>
            <w:vAlign w:val="center"/>
          </w:tcPr>
          <w:p>
            <w:pPr>
              <w:pStyle w:val="19"/>
            </w:pPr>
            <w:r>
              <w:t>115.65</w:t>
            </w:r>
          </w:p>
        </w:tc>
        <w:tc>
          <w:tcPr>
            <w:tcW w:w="1134" w:type="dxa"/>
            <w:tcBorders>
              <w:left w:val="single" w:sz="6" w:space="0" w:color="000000"/>
            </w:tcBorders>
            <w:vAlign w:val="center"/>
          </w:tcPr>
          <w:p>
            <w:pPr>
              <w:pStyle w:val="19"/>
            </w:pPr>
            <w:r>
              <w:t>115.65</w:t>
            </w:r>
          </w:p>
        </w:tc>
        <w:tc>
          <w:tcPr>
            <w:tcW w:w="1134" w:type="dxa"/>
            <w:tcBorders>
              <w:left w:val="single" w:sz="6" w:space="0" w:color="000000"/>
            </w:tcBorders>
            <w:vAlign w:val="center"/>
          </w:tcPr>
          <w:p>
            <w:pPr>
              <w:pStyle w:val="19"/>
            </w:pPr>
            <w:r>
              <w:t>115.65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2010350</w:t>
            </w:r>
          </w:p>
        </w:tc>
        <w:tc>
          <w:tcPr>
            <w:tcW w:w="1559" w:type="dxa"/>
            <w:tcBorders>
              <w:left w:val="single" w:sz="6" w:space="0" w:color="000000"/>
            </w:tcBorders>
            <w:vAlign w:val="center"/>
          </w:tcPr>
          <w:p>
            <w:pPr>
              <w:pStyle w:val="20"/>
            </w:pPr>
            <w:r>
              <w:t>事业运行</w:t>
            </w:r>
          </w:p>
        </w:tc>
        <w:tc>
          <w:tcPr>
            <w:tcW w:w="1134" w:type="dxa"/>
            <w:tcBorders>
              <w:left w:val="single" w:sz="6" w:space="0" w:color="000000"/>
            </w:tcBorders>
            <w:vAlign w:val="center"/>
          </w:tcPr>
          <w:p>
            <w:pPr>
              <w:pStyle w:val="19"/>
            </w:pPr>
            <w:r>
              <w:t>173.20</w:t>
            </w:r>
          </w:p>
        </w:tc>
        <w:tc>
          <w:tcPr>
            <w:tcW w:w="1134" w:type="dxa"/>
            <w:tcBorders>
              <w:left w:val="single" w:sz="6" w:space="0" w:color="000000"/>
            </w:tcBorders>
            <w:vAlign w:val="center"/>
          </w:tcPr>
          <w:p>
            <w:pPr>
              <w:pStyle w:val="19"/>
            </w:pPr>
            <w:r>
              <w:t>173.20</w:t>
            </w:r>
          </w:p>
        </w:tc>
        <w:tc>
          <w:tcPr>
            <w:tcW w:w="1134" w:type="dxa"/>
            <w:tcBorders>
              <w:left w:val="single" w:sz="6" w:space="0" w:color="000000"/>
            </w:tcBorders>
            <w:vAlign w:val="center"/>
          </w:tcPr>
          <w:p>
            <w:pPr>
              <w:pStyle w:val="19"/>
            </w:pPr>
            <w:r>
              <w:t>173.20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2010399</w:t>
            </w:r>
          </w:p>
        </w:tc>
        <w:tc>
          <w:tcPr>
            <w:tcW w:w="1559" w:type="dxa"/>
            <w:tcBorders>
              <w:left w:val="single" w:sz="6" w:space="0" w:color="000000"/>
            </w:tcBorders>
            <w:vAlign w:val="center"/>
          </w:tcPr>
          <w:p>
            <w:pPr>
              <w:pStyle w:val="20"/>
            </w:pPr>
            <w:r>
              <w:t>其他政府办公厅（室）及相关机构事务支出</w:t>
            </w:r>
          </w:p>
        </w:tc>
        <w:tc>
          <w:tcPr>
            <w:tcW w:w="1134" w:type="dxa"/>
            <w:tcBorders>
              <w:left w:val="single" w:sz="6" w:space="0" w:color="000000"/>
            </w:tcBorders>
            <w:vAlign w:val="center"/>
          </w:tcPr>
          <w:p>
            <w:pPr>
              <w:pStyle w:val="19"/>
            </w:pPr>
            <w:r>
              <w:t>5.88</w:t>
            </w:r>
          </w:p>
        </w:tc>
        <w:tc>
          <w:tcPr>
            <w:tcW w:w="1134" w:type="dxa"/>
            <w:tcBorders>
              <w:left w:val="single" w:sz="6" w:space="0" w:color="000000"/>
            </w:tcBorders>
            <w:vAlign w:val="center"/>
          </w:tcPr>
          <w:p>
            <w:pPr>
              <w:pStyle w:val="19"/>
            </w:pPr>
            <w:r>
              <w:t>5.88</w:t>
            </w:r>
          </w:p>
        </w:tc>
        <w:tc>
          <w:tcPr>
            <w:tcW w:w="1134" w:type="dxa"/>
            <w:tcBorders>
              <w:left w:val="single" w:sz="6" w:space="0" w:color="000000"/>
            </w:tcBorders>
            <w:vAlign w:val="center"/>
          </w:tcPr>
          <w:p>
            <w:pPr>
              <w:pStyle w:val="19"/>
            </w:pPr>
            <w:r>
              <w:t>5.88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33.49</w:t>
            </w:r>
          </w:p>
        </w:tc>
        <w:tc>
          <w:tcPr>
            <w:tcW w:w="1134" w:type="dxa"/>
            <w:tcBorders>
              <w:left w:val="single" w:sz="6" w:space="0" w:color="000000"/>
            </w:tcBorders>
            <w:vAlign w:val="center"/>
          </w:tcPr>
          <w:p>
            <w:pPr>
              <w:pStyle w:val="19"/>
            </w:pPr>
            <w:r>
              <w:t>33.49</w:t>
            </w:r>
          </w:p>
        </w:tc>
        <w:tc>
          <w:tcPr>
            <w:tcW w:w="1134" w:type="dxa"/>
            <w:tcBorders>
              <w:left w:val="single" w:sz="6" w:space="0" w:color="000000"/>
            </w:tcBorders>
            <w:vAlign w:val="center"/>
          </w:tcPr>
          <w:p>
            <w:pPr>
              <w:pStyle w:val="19"/>
            </w:pPr>
            <w:r>
              <w:t>33.49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31.92</w:t>
            </w:r>
          </w:p>
        </w:tc>
        <w:tc>
          <w:tcPr>
            <w:tcW w:w="1134" w:type="dxa"/>
            <w:tcBorders>
              <w:left w:val="single" w:sz="6" w:space="0" w:color="000000"/>
            </w:tcBorders>
            <w:vAlign w:val="center"/>
          </w:tcPr>
          <w:p>
            <w:pPr>
              <w:pStyle w:val="19"/>
            </w:pPr>
            <w:r>
              <w:t>31.92</w:t>
            </w:r>
          </w:p>
        </w:tc>
        <w:tc>
          <w:tcPr>
            <w:tcW w:w="1134" w:type="dxa"/>
            <w:tcBorders>
              <w:left w:val="single" w:sz="6" w:space="0" w:color="000000"/>
            </w:tcBorders>
            <w:vAlign w:val="center"/>
          </w:tcPr>
          <w:p>
            <w:pPr>
              <w:pStyle w:val="19"/>
            </w:pPr>
            <w:r>
              <w:t>31.92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31.92</w:t>
            </w:r>
          </w:p>
        </w:tc>
        <w:tc>
          <w:tcPr>
            <w:tcW w:w="1134" w:type="dxa"/>
            <w:tcBorders>
              <w:left w:val="single" w:sz="6" w:space="0" w:color="000000"/>
            </w:tcBorders>
            <w:vAlign w:val="center"/>
          </w:tcPr>
          <w:p>
            <w:pPr>
              <w:pStyle w:val="19"/>
            </w:pPr>
            <w:r>
              <w:t>31.92</w:t>
            </w:r>
          </w:p>
        </w:tc>
        <w:tc>
          <w:tcPr>
            <w:tcW w:w="1134" w:type="dxa"/>
            <w:tcBorders>
              <w:left w:val="single" w:sz="6" w:space="0" w:color="000000"/>
            </w:tcBorders>
            <w:vAlign w:val="center"/>
          </w:tcPr>
          <w:p>
            <w:pPr>
              <w:pStyle w:val="19"/>
            </w:pPr>
            <w:r>
              <w:t>31.92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20899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1.57</w:t>
            </w:r>
          </w:p>
        </w:tc>
        <w:tc>
          <w:tcPr>
            <w:tcW w:w="1134" w:type="dxa"/>
            <w:tcBorders>
              <w:left w:val="single" w:sz="6" w:space="0" w:color="000000"/>
            </w:tcBorders>
            <w:vAlign w:val="center"/>
          </w:tcPr>
          <w:p>
            <w:pPr>
              <w:pStyle w:val="19"/>
            </w:pPr>
            <w:r>
              <w:t>1.57</w:t>
            </w:r>
          </w:p>
        </w:tc>
        <w:tc>
          <w:tcPr>
            <w:tcW w:w="1134" w:type="dxa"/>
            <w:tcBorders>
              <w:left w:val="single" w:sz="6" w:space="0" w:color="000000"/>
            </w:tcBorders>
            <w:vAlign w:val="center"/>
          </w:tcPr>
          <w:p>
            <w:pPr>
              <w:pStyle w:val="19"/>
            </w:pPr>
            <w:r>
              <w:t>1.57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2089999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1.57</w:t>
            </w:r>
          </w:p>
        </w:tc>
        <w:tc>
          <w:tcPr>
            <w:tcW w:w="1134" w:type="dxa"/>
            <w:tcBorders>
              <w:left w:val="single" w:sz="6" w:space="0" w:color="000000"/>
            </w:tcBorders>
            <w:vAlign w:val="center"/>
          </w:tcPr>
          <w:p>
            <w:pPr>
              <w:pStyle w:val="19"/>
            </w:pPr>
            <w:r>
              <w:t>1.57</w:t>
            </w:r>
          </w:p>
        </w:tc>
        <w:tc>
          <w:tcPr>
            <w:tcW w:w="1134" w:type="dxa"/>
            <w:tcBorders>
              <w:left w:val="single" w:sz="6" w:space="0" w:color="000000"/>
            </w:tcBorders>
            <w:vAlign w:val="center"/>
          </w:tcPr>
          <w:p>
            <w:pPr>
              <w:pStyle w:val="19"/>
            </w:pPr>
            <w:r>
              <w:t>1.57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23.64</w:t>
            </w:r>
          </w:p>
        </w:tc>
        <w:tc>
          <w:tcPr>
            <w:tcW w:w="1134" w:type="dxa"/>
            <w:tcBorders>
              <w:left w:val="single" w:sz="6" w:space="0" w:color="000000"/>
            </w:tcBorders>
            <w:vAlign w:val="center"/>
          </w:tcPr>
          <w:p>
            <w:pPr>
              <w:pStyle w:val="19"/>
            </w:pPr>
            <w:r>
              <w:t>23.64</w:t>
            </w:r>
          </w:p>
        </w:tc>
        <w:tc>
          <w:tcPr>
            <w:tcW w:w="1134" w:type="dxa"/>
            <w:tcBorders>
              <w:left w:val="single" w:sz="6" w:space="0" w:color="000000"/>
            </w:tcBorders>
            <w:vAlign w:val="center"/>
          </w:tcPr>
          <w:p>
            <w:pPr>
              <w:pStyle w:val="19"/>
            </w:pPr>
            <w:r>
              <w:t>23.64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23.64</w:t>
            </w:r>
          </w:p>
        </w:tc>
        <w:tc>
          <w:tcPr>
            <w:tcW w:w="1134" w:type="dxa"/>
            <w:tcBorders>
              <w:left w:val="single" w:sz="6" w:space="0" w:color="000000"/>
            </w:tcBorders>
            <w:vAlign w:val="center"/>
          </w:tcPr>
          <w:p>
            <w:pPr>
              <w:pStyle w:val="19"/>
            </w:pPr>
            <w:r>
              <w:t>23.64</w:t>
            </w:r>
          </w:p>
        </w:tc>
        <w:tc>
          <w:tcPr>
            <w:tcW w:w="1134" w:type="dxa"/>
            <w:tcBorders>
              <w:left w:val="single" w:sz="6" w:space="0" w:color="000000"/>
            </w:tcBorders>
            <w:vAlign w:val="center"/>
          </w:tcPr>
          <w:p>
            <w:pPr>
              <w:pStyle w:val="19"/>
            </w:pPr>
            <w:r>
              <w:t>23.64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2101101</w:t>
            </w:r>
          </w:p>
        </w:tc>
        <w:tc>
          <w:tcPr>
            <w:tcW w:w="1559" w:type="dxa"/>
            <w:tcBorders>
              <w:left w:val="single" w:sz="6" w:space="0" w:color="000000"/>
            </w:tcBorders>
            <w:vAlign w:val="center"/>
          </w:tcPr>
          <w:p>
            <w:pPr>
              <w:pStyle w:val="20"/>
            </w:pPr>
            <w:r>
              <w:t>行政单位医疗</w:t>
            </w:r>
          </w:p>
        </w:tc>
        <w:tc>
          <w:tcPr>
            <w:tcW w:w="1134" w:type="dxa"/>
            <w:tcBorders>
              <w:left w:val="single" w:sz="6" w:space="0" w:color="000000"/>
            </w:tcBorders>
            <w:vAlign w:val="center"/>
          </w:tcPr>
          <w:p>
            <w:pPr>
              <w:pStyle w:val="19"/>
            </w:pPr>
            <w:r>
              <w:t>3.56</w:t>
            </w:r>
          </w:p>
        </w:tc>
        <w:tc>
          <w:tcPr>
            <w:tcW w:w="1134" w:type="dxa"/>
            <w:tcBorders>
              <w:left w:val="single" w:sz="6" w:space="0" w:color="000000"/>
            </w:tcBorders>
            <w:vAlign w:val="center"/>
          </w:tcPr>
          <w:p>
            <w:pPr>
              <w:pStyle w:val="19"/>
            </w:pPr>
            <w:r>
              <w:t>3.56</w:t>
            </w:r>
          </w:p>
        </w:tc>
        <w:tc>
          <w:tcPr>
            <w:tcW w:w="1134" w:type="dxa"/>
            <w:tcBorders>
              <w:left w:val="single" w:sz="6" w:space="0" w:color="000000"/>
            </w:tcBorders>
            <w:vAlign w:val="center"/>
          </w:tcPr>
          <w:p>
            <w:pPr>
              <w:pStyle w:val="19"/>
            </w:pPr>
            <w:r>
              <w:t>3.56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2101102</w:t>
            </w:r>
          </w:p>
        </w:tc>
        <w:tc>
          <w:tcPr>
            <w:tcW w:w="1559" w:type="dxa"/>
            <w:tcBorders>
              <w:left w:val="single" w:sz="6" w:space="0" w:color="000000"/>
            </w:tcBorders>
            <w:vAlign w:val="center"/>
          </w:tcPr>
          <w:p>
            <w:pPr>
              <w:pStyle w:val="20"/>
            </w:pPr>
            <w:r>
              <w:t>事业单位医疗</w:t>
            </w:r>
          </w:p>
        </w:tc>
        <w:tc>
          <w:tcPr>
            <w:tcW w:w="1134" w:type="dxa"/>
            <w:tcBorders>
              <w:left w:val="single" w:sz="6" w:space="0" w:color="000000"/>
            </w:tcBorders>
            <w:vAlign w:val="center"/>
          </w:tcPr>
          <w:p>
            <w:pPr>
              <w:pStyle w:val="19"/>
            </w:pPr>
            <w:r>
              <w:t>9.70</w:t>
            </w:r>
          </w:p>
        </w:tc>
        <w:tc>
          <w:tcPr>
            <w:tcW w:w="1134" w:type="dxa"/>
            <w:tcBorders>
              <w:left w:val="single" w:sz="6" w:space="0" w:color="000000"/>
            </w:tcBorders>
            <w:vAlign w:val="center"/>
          </w:tcPr>
          <w:p>
            <w:pPr>
              <w:pStyle w:val="19"/>
            </w:pPr>
            <w:r>
              <w:t>9.70</w:t>
            </w:r>
          </w:p>
        </w:tc>
        <w:tc>
          <w:tcPr>
            <w:tcW w:w="1134" w:type="dxa"/>
            <w:tcBorders>
              <w:left w:val="single" w:sz="6" w:space="0" w:color="000000"/>
            </w:tcBorders>
            <w:vAlign w:val="center"/>
          </w:tcPr>
          <w:p>
            <w:pPr>
              <w:pStyle w:val="19"/>
            </w:pPr>
            <w:r>
              <w:t>9.70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2101103</w:t>
            </w:r>
          </w:p>
        </w:tc>
        <w:tc>
          <w:tcPr>
            <w:tcW w:w="1559" w:type="dxa"/>
            <w:tcBorders>
              <w:left w:val="single" w:sz="6" w:space="0" w:color="000000"/>
            </w:tcBorders>
            <w:vAlign w:val="center"/>
          </w:tcPr>
          <w:p>
            <w:pPr>
              <w:pStyle w:val="20"/>
            </w:pPr>
            <w:r>
              <w:t>公务员医疗补助</w:t>
            </w:r>
          </w:p>
        </w:tc>
        <w:tc>
          <w:tcPr>
            <w:tcW w:w="1134" w:type="dxa"/>
            <w:tcBorders>
              <w:left w:val="single" w:sz="6" w:space="0" w:color="000000"/>
            </w:tcBorders>
            <w:vAlign w:val="center"/>
          </w:tcPr>
          <w:p>
            <w:pPr>
              <w:pStyle w:val="19"/>
            </w:pPr>
            <w:r>
              <w:t>10.38</w:t>
            </w:r>
          </w:p>
        </w:tc>
        <w:tc>
          <w:tcPr>
            <w:tcW w:w="1134" w:type="dxa"/>
            <w:tcBorders>
              <w:left w:val="single" w:sz="6" w:space="0" w:color="000000"/>
            </w:tcBorders>
            <w:vAlign w:val="center"/>
          </w:tcPr>
          <w:p>
            <w:pPr>
              <w:pStyle w:val="19"/>
            </w:pPr>
            <w:r>
              <w:t>10.38</w:t>
            </w:r>
          </w:p>
        </w:tc>
        <w:tc>
          <w:tcPr>
            <w:tcW w:w="1134" w:type="dxa"/>
            <w:tcBorders>
              <w:left w:val="single" w:sz="6" w:space="0" w:color="000000"/>
            </w:tcBorders>
            <w:vAlign w:val="center"/>
          </w:tcPr>
          <w:p>
            <w:pPr>
              <w:pStyle w:val="19"/>
            </w:pPr>
            <w:r>
              <w:t>10.38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26.34</w:t>
            </w:r>
          </w:p>
        </w:tc>
        <w:tc>
          <w:tcPr>
            <w:tcW w:w="1134" w:type="dxa"/>
            <w:tcBorders>
              <w:left w:val="single" w:sz="6" w:space="0" w:color="000000"/>
            </w:tcBorders>
            <w:vAlign w:val="center"/>
          </w:tcPr>
          <w:p>
            <w:pPr>
              <w:pStyle w:val="19"/>
            </w:pPr>
            <w:r>
              <w:t>26.34</w:t>
            </w:r>
          </w:p>
        </w:tc>
        <w:tc>
          <w:tcPr>
            <w:tcW w:w="1134" w:type="dxa"/>
            <w:tcBorders>
              <w:left w:val="single" w:sz="6" w:space="0" w:color="000000"/>
            </w:tcBorders>
            <w:vAlign w:val="center"/>
          </w:tcPr>
          <w:p>
            <w:pPr>
              <w:pStyle w:val="19"/>
            </w:pPr>
            <w:r>
              <w:t>26.34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26.34</w:t>
            </w:r>
          </w:p>
        </w:tc>
        <w:tc>
          <w:tcPr>
            <w:tcW w:w="1134" w:type="dxa"/>
            <w:tcBorders>
              <w:left w:val="single" w:sz="6" w:space="0" w:color="000000"/>
            </w:tcBorders>
            <w:vAlign w:val="center"/>
          </w:tcPr>
          <w:p>
            <w:pPr>
              <w:pStyle w:val="19"/>
            </w:pPr>
            <w:r>
              <w:t>26.34</w:t>
            </w:r>
          </w:p>
        </w:tc>
        <w:tc>
          <w:tcPr>
            <w:tcW w:w="1134" w:type="dxa"/>
            <w:tcBorders>
              <w:left w:val="single" w:sz="6" w:space="0" w:color="000000"/>
            </w:tcBorders>
            <w:vAlign w:val="center"/>
          </w:tcPr>
          <w:p>
            <w:pPr>
              <w:pStyle w:val="19"/>
            </w:pPr>
            <w:r>
              <w:t>26.34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26.34</w:t>
            </w:r>
          </w:p>
        </w:tc>
        <w:tc>
          <w:tcPr>
            <w:tcW w:w="1134" w:type="dxa"/>
            <w:tcBorders>
              <w:left w:val="single" w:sz="6" w:space="0" w:color="000000"/>
            </w:tcBorders>
            <w:vAlign w:val="center"/>
          </w:tcPr>
          <w:p>
            <w:pPr>
              <w:pStyle w:val="19"/>
            </w:pPr>
            <w:r>
              <w:t>26.34</w:t>
            </w:r>
          </w:p>
        </w:tc>
        <w:tc>
          <w:tcPr>
            <w:tcW w:w="1134" w:type="dxa"/>
            <w:tcBorders>
              <w:left w:val="single" w:sz="6" w:space="0" w:color="000000"/>
            </w:tcBorders>
            <w:vAlign w:val="center"/>
          </w:tcPr>
          <w:p>
            <w:pPr>
              <w:pStyle w:val="19"/>
            </w:pPr>
            <w:r>
              <w:t>26.34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450.71</w:t>
            </w:r>
          </w:p>
        </w:tc>
        <w:tc>
          <w:tcPr>
            <w:tcW w:w="1361" w:type="dxa"/>
            <w:tcBorders>
              <w:left w:val="single" w:sz="6" w:space="0" w:color="000000"/>
            </w:tcBorders>
            <w:vAlign w:val="center"/>
          </w:tcPr>
          <w:p>
            <w:pPr>
              <w:pStyle w:val="23"/>
            </w:pPr>
            <w:r>
              <w:t>329.18</w:t>
            </w:r>
          </w:p>
        </w:tc>
        <w:tc>
          <w:tcPr>
            <w:tcW w:w="1361" w:type="dxa"/>
            <w:tcBorders>
              <w:left w:val="single" w:sz="6" w:space="0" w:color="000000"/>
            </w:tcBorders>
            <w:vAlign w:val="center"/>
          </w:tcPr>
          <w:p>
            <w:pPr>
              <w:pStyle w:val="23"/>
            </w:pPr>
            <w:r>
              <w:t>121.53</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367.24</w:t>
            </w:r>
          </w:p>
        </w:tc>
        <w:tc>
          <w:tcPr>
            <w:tcW w:w="1361" w:type="dxa"/>
            <w:tcBorders>
              <w:left w:val="single" w:sz="6" w:space="0" w:color="000000"/>
            </w:tcBorders>
            <w:vAlign w:val="center"/>
          </w:tcPr>
          <w:p>
            <w:pPr>
              <w:pStyle w:val="19"/>
            </w:pPr>
            <w:r>
              <w:t>245.71</w:t>
            </w:r>
          </w:p>
        </w:tc>
        <w:tc>
          <w:tcPr>
            <w:tcW w:w="1361" w:type="dxa"/>
            <w:tcBorders>
              <w:left w:val="single" w:sz="6" w:space="0" w:color="000000"/>
            </w:tcBorders>
            <w:vAlign w:val="center"/>
          </w:tcPr>
          <w:p>
            <w:pPr>
              <w:pStyle w:val="19"/>
            </w:pPr>
            <w:r>
              <w:t>121.53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1361" w:type="dxa"/>
            <w:tcBorders>
              <w:left w:val="single" w:sz="6" w:space="0" w:color="000000"/>
            </w:tcBorders>
            <w:vAlign w:val="center"/>
          </w:tcPr>
          <w:p>
            <w:pPr>
              <w:pStyle w:val="19"/>
            </w:pPr>
            <w:r>
              <w:t>367.24</w:t>
            </w:r>
          </w:p>
        </w:tc>
        <w:tc>
          <w:tcPr>
            <w:tcW w:w="1361" w:type="dxa"/>
            <w:tcBorders>
              <w:left w:val="single" w:sz="6" w:space="0" w:color="000000"/>
            </w:tcBorders>
            <w:vAlign w:val="center"/>
          </w:tcPr>
          <w:p>
            <w:pPr>
              <w:pStyle w:val="19"/>
            </w:pPr>
            <w:r>
              <w:t>245.71</w:t>
            </w:r>
          </w:p>
        </w:tc>
        <w:tc>
          <w:tcPr>
            <w:tcW w:w="1361" w:type="dxa"/>
            <w:tcBorders>
              <w:left w:val="single" w:sz="6" w:space="0" w:color="000000"/>
            </w:tcBorders>
            <w:vAlign w:val="center"/>
          </w:tcPr>
          <w:p>
            <w:pPr>
              <w:pStyle w:val="19"/>
            </w:pPr>
            <w:r>
              <w:t>121.53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2010301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72.51</w:t>
            </w:r>
          </w:p>
        </w:tc>
        <w:tc>
          <w:tcPr>
            <w:tcW w:w="1361" w:type="dxa"/>
            <w:tcBorders>
              <w:left w:val="single" w:sz="6" w:space="0" w:color="000000"/>
            </w:tcBorders>
            <w:vAlign w:val="center"/>
          </w:tcPr>
          <w:p>
            <w:pPr>
              <w:pStyle w:val="19"/>
            </w:pPr>
            <w:r>
              <w:t>72.51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2010302</w:t>
            </w:r>
          </w:p>
        </w:tc>
        <w:tc>
          <w:tcPr>
            <w:tcW w:w="4535" w:type="dxa"/>
            <w:tcBorders>
              <w:left w:val="single" w:sz="6" w:space="0" w:color="000000"/>
            </w:tcBorders>
            <w:vAlign w:val="center"/>
          </w:tcPr>
          <w:p>
            <w:pPr>
              <w:pStyle w:val="20"/>
            </w:pPr>
            <w:r>
              <w:t>一般行政管理事务</w:t>
            </w:r>
          </w:p>
        </w:tc>
        <w:tc>
          <w:tcPr>
            <w:tcW w:w="1361" w:type="dxa"/>
            <w:tcBorders>
              <w:left w:val="single" w:sz="6" w:space="0" w:color="000000"/>
            </w:tcBorders>
            <w:vAlign w:val="center"/>
          </w:tcPr>
          <w:p>
            <w:pPr>
              <w:pStyle w:val="19"/>
            </w:pPr>
            <w:r>
              <w:t>115.65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115.65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1361" w:type="dxa"/>
            <w:tcBorders>
              <w:left w:val="single" w:sz="6" w:space="0" w:color="000000"/>
            </w:tcBorders>
            <w:vAlign w:val="center"/>
          </w:tcPr>
          <w:p>
            <w:pPr>
              <w:pStyle w:val="19"/>
            </w:pPr>
            <w:r>
              <w:t>173.20</w:t>
            </w:r>
          </w:p>
        </w:tc>
        <w:tc>
          <w:tcPr>
            <w:tcW w:w="1361" w:type="dxa"/>
            <w:tcBorders>
              <w:left w:val="single" w:sz="6" w:space="0" w:color="000000"/>
            </w:tcBorders>
            <w:vAlign w:val="center"/>
          </w:tcPr>
          <w:p>
            <w:pPr>
              <w:pStyle w:val="19"/>
            </w:pPr>
            <w:r>
              <w:t>173.20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2010399</w:t>
            </w:r>
          </w:p>
        </w:tc>
        <w:tc>
          <w:tcPr>
            <w:tcW w:w="4535" w:type="dxa"/>
            <w:tcBorders>
              <w:left w:val="single" w:sz="6" w:space="0" w:color="000000"/>
            </w:tcBorders>
            <w:vAlign w:val="center"/>
          </w:tcPr>
          <w:p>
            <w:pPr>
              <w:pStyle w:val="20"/>
            </w:pPr>
            <w:r>
              <w:t>其他政府办公厅（室）及相关机构事务支出</w:t>
            </w:r>
          </w:p>
        </w:tc>
        <w:tc>
          <w:tcPr>
            <w:tcW w:w="1361" w:type="dxa"/>
            <w:tcBorders>
              <w:left w:val="single" w:sz="6" w:space="0" w:color="000000"/>
            </w:tcBorders>
            <w:vAlign w:val="center"/>
          </w:tcPr>
          <w:p>
            <w:pPr>
              <w:pStyle w:val="19"/>
            </w:pPr>
            <w:r>
              <w:t>5.88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5.88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33.49</w:t>
            </w:r>
          </w:p>
        </w:tc>
        <w:tc>
          <w:tcPr>
            <w:tcW w:w="1361" w:type="dxa"/>
            <w:tcBorders>
              <w:left w:val="single" w:sz="6" w:space="0" w:color="000000"/>
            </w:tcBorders>
            <w:vAlign w:val="center"/>
          </w:tcPr>
          <w:p>
            <w:pPr>
              <w:pStyle w:val="19"/>
            </w:pPr>
            <w:r>
              <w:t>33.49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31.92</w:t>
            </w:r>
          </w:p>
        </w:tc>
        <w:tc>
          <w:tcPr>
            <w:tcW w:w="1361" w:type="dxa"/>
            <w:tcBorders>
              <w:left w:val="single" w:sz="6" w:space="0" w:color="000000"/>
            </w:tcBorders>
            <w:vAlign w:val="center"/>
          </w:tcPr>
          <w:p>
            <w:pPr>
              <w:pStyle w:val="19"/>
            </w:pPr>
            <w:r>
              <w:t>31.92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31.92</w:t>
            </w:r>
          </w:p>
        </w:tc>
        <w:tc>
          <w:tcPr>
            <w:tcW w:w="1361" w:type="dxa"/>
            <w:tcBorders>
              <w:left w:val="single" w:sz="6" w:space="0" w:color="000000"/>
            </w:tcBorders>
            <w:vAlign w:val="center"/>
          </w:tcPr>
          <w:p>
            <w:pPr>
              <w:pStyle w:val="19"/>
            </w:pPr>
            <w:r>
              <w:t>31.92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1.57</w:t>
            </w:r>
          </w:p>
        </w:tc>
        <w:tc>
          <w:tcPr>
            <w:tcW w:w="1361" w:type="dxa"/>
            <w:tcBorders>
              <w:left w:val="single" w:sz="6" w:space="0" w:color="000000"/>
            </w:tcBorders>
            <w:vAlign w:val="center"/>
          </w:tcPr>
          <w:p>
            <w:pPr>
              <w:pStyle w:val="19"/>
            </w:pPr>
            <w:r>
              <w:t>1.57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1.57</w:t>
            </w:r>
          </w:p>
        </w:tc>
        <w:tc>
          <w:tcPr>
            <w:tcW w:w="1361" w:type="dxa"/>
            <w:tcBorders>
              <w:left w:val="single" w:sz="6" w:space="0" w:color="000000"/>
            </w:tcBorders>
            <w:vAlign w:val="center"/>
          </w:tcPr>
          <w:p>
            <w:pPr>
              <w:pStyle w:val="19"/>
            </w:pPr>
            <w:r>
              <w:t>1.57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23.64</w:t>
            </w:r>
          </w:p>
        </w:tc>
        <w:tc>
          <w:tcPr>
            <w:tcW w:w="1361" w:type="dxa"/>
            <w:tcBorders>
              <w:left w:val="single" w:sz="6" w:space="0" w:color="000000"/>
            </w:tcBorders>
            <w:vAlign w:val="center"/>
          </w:tcPr>
          <w:p>
            <w:pPr>
              <w:pStyle w:val="19"/>
            </w:pPr>
            <w:r>
              <w:t>23.64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23.64</w:t>
            </w:r>
          </w:p>
        </w:tc>
        <w:tc>
          <w:tcPr>
            <w:tcW w:w="1361" w:type="dxa"/>
            <w:tcBorders>
              <w:left w:val="single" w:sz="6" w:space="0" w:color="000000"/>
            </w:tcBorders>
            <w:vAlign w:val="center"/>
          </w:tcPr>
          <w:p>
            <w:pPr>
              <w:pStyle w:val="19"/>
            </w:pPr>
            <w:r>
              <w:t>23.64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1361" w:type="dxa"/>
            <w:tcBorders>
              <w:left w:val="single" w:sz="6" w:space="0" w:color="000000"/>
            </w:tcBorders>
            <w:vAlign w:val="center"/>
          </w:tcPr>
          <w:p>
            <w:pPr>
              <w:pStyle w:val="19"/>
            </w:pPr>
            <w:r>
              <w:t>3.56</w:t>
            </w:r>
          </w:p>
        </w:tc>
        <w:tc>
          <w:tcPr>
            <w:tcW w:w="1361" w:type="dxa"/>
            <w:tcBorders>
              <w:left w:val="single" w:sz="6" w:space="0" w:color="000000"/>
            </w:tcBorders>
            <w:vAlign w:val="center"/>
          </w:tcPr>
          <w:p>
            <w:pPr>
              <w:pStyle w:val="19"/>
            </w:pPr>
            <w:r>
              <w:t>3.56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1361" w:type="dxa"/>
            <w:tcBorders>
              <w:left w:val="single" w:sz="6" w:space="0" w:color="000000"/>
            </w:tcBorders>
            <w:vAlign w:val="center"/>
          </w:tcPr>
          <w:p>
            <w:pPr>
              <w:pStyle w:val="19"/>
            </w:pPr>
            <w:r>
              <w:t>9.70</w:t>
            </w:r>
          </w:p>
        </w:tc>
        <w:tc>
          <w:tcPr>
            <w:tcW w:w="1361" w:type="dxa"/>
            <w:tcBorders>
              <w:left w:val="single" w:sz="6" w:space="0" w:color="000000"/>
            </w:tcBorders>
            <w:vAlign w:val="center"/>
          </w:tcPr>
          <w:p>
            <w:pPr>
              <w:pStyle w:val="19"/>
            </w:pPr>
            <w:r>
              <w:t>9.70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1361" w:type="dxa"/>
            <w:tcBorders>
              <w:left w:val="single" w:sz="6" w:space="0" w:color="000000"/>
            </w:tcBorders>
            <w:vAlign w:val="center"/>
          </w:tcPr>
          <w:p>
            <w:pPr>
              <w:pStyle w:val="19"/>
            </w:pPr>
            <w:r>
              <w:t>10.38</w:t>
            </w:r>
          </w:p>
        </w:tc>
        <w:tc>
          <w:tcPr>
            <w:tcW w:w="1361" w:type="dxa"/>
            <w:tcBorders>
              <w:left w:val="single" w:sz="6" w:space="0" w:color="000000"/>
            </w:tcBorders>
            <w:vAlign w:val="center"/>
          </w:tcPr>
          <w:p>
            <w:pPr>
              <w:pStyle w:val="19"/>
            </w:pPr>
            <w:r>
              <w:t>10.38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26.34</w:t>
            </w:r>
          </w:p>
        </w:tc>
        <w:tc>
          <w:tcPr>
            <w:tcW w:w="1361" w:type="dxa"/>
            <w:tcBorders>
              <w:left w:val="single" w:sz="6" w:space="0" w:color="000000"/>
            </w:tcBorders>
            <w:vAlign w:val="center"/>
          </w:tcPr>
          <w:p>
            <w:pPr>
              <w:pStyle w:val="19"/>
            </w:pPr>
            <w:r>
              <w:t>26.34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26.34</w:t>
            </w:r>
          </w:p>
        </w:tc>
        <w:tc>
          <w:tcPr>
            <w:tcW w:w="1361" w:type="dxa"/>
            <w:tcBorders>
              <w:left w:val="single" w:sz="6" w:space="0" w:color="000000"/>
            </w:tcBorders>
            <w:vAlign w:val="center"/>
          </w:tcPr>
          <w:p>
            <w:pPr>
              <w:pStyle w:val="19"/>
            </w:pPr>
            <w:r>
              <w:t>26.34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26.34</w:t>
            </w:r>
          </w:p>
        </w:tc>
        <w:tc>
          <w:tcPr>
            <w:tcW w:w="1361" w:type="dxa"/>
            <w:tcBorders>
              <w:left w:val="single" w:sz="6" w:space="0" w:color="000000"/>
            </w:tcBorders>
            <w:vAlign w:val="center"/>
          </w:tcPr>
          <w:p>
            <w:pPr>
              <w:pStyle w:val="19"/>
            </w:pPr>
            <w:r>
              <w:t>26.34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450.71</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367.24</w:t>
            </w:r>
          </w:p>
        </w:tc>
        <w:tc>
          <w:tcPr>
            <w:tcW w:w="1474" w:type="dxa"/>
            <w:tcBorders>
              <w:left w:val="single" w:sz="6" w:space="0" w:color="000000"/>
            </w:tcBorders>
            <w:vAlign w:val="center"/>
          </w:tcPr>
          <w:p>
            <w:pPr>
              <w:pStyle w:val="19"/>
            </w:pPr>
            <w:r>
              <w:t>367.24</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33.49</w:t>
            </w:r>
          </w:p>
        </w:tc>
        <w:tc>
          <w:tcPr>
            <w:tcW w:w="1474" w:type="dxa"/>
            <w:tcBorders>
              <w:left w:val="single" w:sz="6" w:space="0" w:color="000000"/>
            </w:tcBorders>
            <w:vAlign w:val="center"/>
          </w:tcPr>
          <w:p>
            <w:pPr>
              <w:pStyle w:val="19"/>
            </w:pPr>
            <w:r>
              <w:t>33.49</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23.64</w:t>
            </w:r>
          </w:p>
        </w:tc>
        <w:tc>
          <w:tcPr>
            <w:tcW w:w="1474" w:type="dxa"/>
            <w:tcBorders>
              <w:left w:val="single" w:sz="6" w:space="0" w:color="000000"/>
            </w:tcBorders>
            <w:vAlign w:val="center"/>
          </w:tcPr>
          <w:p>
            <w:pPr>
              <w:pStyle w:val="19"/>
            </w:pPr>
            <w:r>
              <w:t>23.64</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26.34</w:t>
            </w:r>
          </w:p>
        </w:tc>
        <w:tc>
          <w:tcPr>
            <w:tcW w:w="1474" w:type="dxa"/>
            <w:tcBorders>
              <w:left w:val="single" w:sz="6" w:space="0" w:color="000000"/>
            </w:tcBorders>
            <w:vAlign w:val="center"/>
          </w:tcPr>
          <w:p>
            <w:pPr>
              <w:pStyle w:val="19"/>
            </w:pPr>
            <w:r>
              <w:t>26.34</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450.71</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450.71</w:t>
            </w:r>
          </w:p>
        </w:tc>
        <w:tc>
          <w:tcPr>
            <w:tcW w:w="1474" w:type="dxa"/>
            <w:tcBorders>
              <w:left w:val="single" w:sz="6" w:space="0" w:color="000000"/>
            </w:tcBorders>
            <w:vAlign w:val="center"/>
          </w:tcPr>
          <w:p>
            <w:pPr>
              <w:pStyle w:val="23"/>
            </w:pPr>
            <w:r>
              <w:t>450.71</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450.71</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450.71</w:t>
            </w:r>
          </w:p>
        </w:tc>
        <w:tc>
          <w:tcPr>
            <w:tcW w:w="1474" w:type="dxa"/>
            <w:tcBorders>
              <w:left w:val="single" w:sz="6" w:space="0" w:color="000000"/>
            </w:tcBorders>
            <w:vAlign w:val="center"/>
          </w:tcPr>
          <w:p>
            <w:pPr>
              <w:pStyle w:val="23"/>
            </w:pPr>
            <w:r>
              <w:t>450.71</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450.71</w:t>
            </w:r>
          </w:p>
        </w:tc>
        <w:tc>
          <w:tcPr>
            <w:tcW w:w="2551" w:type="dxa"/>
            <w:tcBorders>
              <w:left w:val="single" w:sz="6" w:space="0" w:color="000000"/>
            </w:tcBorders>
            <w:vAlign w:val="center"/>
          </w:tcPr>
          <w:p>
            <w:pPr>
              <w:pStyle w:val="23"/>
            </w:pPr>
            <w:r>
              <w:t>329.18</w:t>
            </w:r>
          </w:p>
        </w:tc>
        <w:tc>
          <w:tcPr>
            <w:tcW w:w="2551" w:type="dxa"/>
            <w:tcBorders>
              <w:left w:val="single" w:sz="6" w:space="0" w:color="000000"/>
            </w:tcBorders>
            <w:vAlign w:val="center"/>
          </w:tcPr>
          <w:p>
            <w:pPr>
              <w:pStyle w:val="23"/>
            </w:pPr>
            <w:r>
              <w:t>121.53</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367.24</w:t>
            </w:r>
          </w:p>
        </w:tc>
        <w:tc>
          <w:tcPr>
            <w:tcW w:w="2551" w:type="dxa"/>
            <w:tcBorders>
              <w:left w:val="single" w:sz="6" w:space="0" w:color="000000"/>
            </w:tcBorders>
            <w:vAlign w:val="center"/>
          </w:tcPr>
          <w:p>
            <w:pPr>
              <w:pStyle w:val="19"/>
            </w:pPr>
            <w:r>
              <w:t>245.71</w:t>
            </w:r>
          </w:p>
        </w:tc>
        <w:tc>
          <w:tcPr>
            <w:tcW w:w="2551" w:type="dxa"/>
            <w:tcBorders>
              <w:left w:val="single" w:sz="6" w:space="0" w:color="000000"/>
            </w:tcBorders>
            <w:vAlign w:val="center"/>
          </w:tcPr>
          <w:p>
            <w:pPr>
              <w:pStyle w:val="19"/>
            </w:pPr>
            <w:r>
              <w:t>121.53</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2551" w:type="dxa"/>
            <w:tcBorders>
              <w:left w:val="single" w:sz="6" w:space="0" w:color="000000"/>
            </w:tcBorders>
            <w:vAlign w:val="center"/>
          </w:tcPr>
          <w:p>
            <w:pPr>
              <w:pStyle w:val="19"/>
            </w:pPr>
            <w:r>
              <w:t>367.24</w:t>
            </w:r>
          </w:p>
        </w:tc>
        <w:tc>
          <w:tcPr>
            <w:tcW w:w="2551" w:type="dxa"/>
            <w:tcBorders>
              <w:left w:val="single" w:sz="6" w:space="0" w:color="000000"/>
            </w:tcBorders>
            <w:vAlign w:val="center"/>
          </w:tcPr>
          <w:p>
            <w:pPr>
              <w:pStyle w:val="19"/>
            </w:pPr>
            <w:r>
              <w:t>245.71</w:t>
            </w:r>
          </w:p>
        </w:tc>
        <w:tc>
          <w:tcPr>
            <w:tcW w:w="2551" w:type="dxa"/>
            <w:tcBorders>
              <w:left w:val="single" w:sz="6" w:space="0" w:color="000000"/>
            </w:tcBorders>
            <w:vAlign w:val="center"/>
          </w:tcPr>
          <w:p>
            <w:pPr>
              <w:pStyle w:val="19"/>
            </w:pPr>
            <w:r>
              <w:t>121.53</w:t>
            </w: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2010301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72.51</w:t>
            </w:r>
          </w:p>
        </w:tc>
        <w:tc>
          <w:tcPr>
            <w:tcW w:w="2551" w:type="dxa"/>
            <w:tcBorders>
              <w:left w:val="single" w:sz="6" w:space="0" w:color="000000"/>
            </w:tcBorders>
            <w:vAlign w:val="center"/>
          </w:tcPr>
          <w:p>
            <w:pPr>
              <w:pStyle w:val="19"/>
            </w:pPr>
            <w:r>
              <w:t>72.51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2010302</w:t>
            </w:r>
          </w:p>
        </w:tc>
        <w:tc>
          <w:tcPr>
            <w:tcW w:w="4535" w:type="dxa"/>
            <w:tcBorders>
              <w:left w:val="single" w:sz="6" w:space="0" w:color="000000"/>
            </w:tcBorders>
            <w:vAlign w:val="center"/>
          </w:tcPr>
          <w:p>
            <w:pPr>
              <w:pStyle w:val="20"/>
            </w:pPr>
            <w:r>
              <w:t>一般行政管理事务</w:t>
            </w:r>
          </w:p>
        </w:tc>
        <w:tc>
          <w:tcPr>
            <w:tcW w:w="2551" w:type="dxa"/>
            <w:tcBorders>
              <w:left w:val="single" w:sz="6" w:space="0" w:color="000000"/>
            </w:tcBorders>
            <w:vAlign w:val="center"/>
          </w:tcPr>
          <w:p>
            <w:pPr>
              <w:pStyle w:val="19"/>
            </w:pPr>
            <w:r>
              <w:t>115.65</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115.65</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2551" w:type="dxa"/>
            <w:tcBorders>
              <w:left w:val="single" w:sz="6" w:space="0" w:color="000000"/>
            </w:tcBorders>
            <w:vAlign w:val="center"/>
          </w:tcPr>
          <w:p>
            <w:pPr>
              <w:pStyle w:val="19"/>
            </w:pPr>
            <w:r>
              <w:t>173.20</w:t>
            </w:r>
          </w:p>
        </w:tc>
        <w:tc>
          <w:tcPr>
            <w:tcW w:w="2551" w:type="dxa"/>
            <w:tcBorders>
              <w:left w:val="single" w:sz="6" w:space="0" w:color="000000"/>
            </w:tcBorders>
            <w:vAlign w:val="center"/>
          </w:tcPr>
          <w:p>
            <w:pPr>
              <w:pStyle w:val="19"/>
            </w:pPr>
            <w:r>
              <w:t>173.20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2010399</w:t>
            </w:r>
          </w:p>
        </w:tc>
        <w:tc>
          <w:tcPr>
            <w:tcW w:w="4535" w:type="dxa"/>
            <w:tcBorders>
              <w:left w:val="single" w:sz="6" w:space="0" w:color="000000"/>
            </w:tcBorders>
            <w:vAlign w:val="center"/>
          </w:tcPr>
          <w:p>
            <w:pPr>
              <w:pStyle w:val="20"/>
            </w:pPr>
            <w:r>
              <w:t>其他政府办公厅（室）及相关机构事务支出</w:t>
            </w:r>
          </w:p>
        </w:tc>
        <w:tc>
          <w:tcPr>
            <w:tcW w:w="2551" w:type="dxa"/>
            <w:tcBorders>
              <w:left w:val="single" w:sz="6" w:space="0" w:color="000000"/>
            </w:tcBorders>
            <w:vAlign w:val="center"/>
          </w:tcPr>
          <w:p>
            <w:pPr>
              <w:pStyle w:val="19"/>
            </w:pPr>
            <w:r>
              <w:t>5.88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5.88</w:t>
            </w: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33.49</w:t>
            </w:r>
          </w:p>
        </w:tc>
        <w:tc>
          <w:tcPr>
            <w:tcW w:w="2551" w:type="dxa"/>
            <w:tcBorders>
              <w:left w:val="single" w:sz="6" w:space="0" w:color="000000"/>
            </w:tcBorders>
            <w:vAlign w:val="center"/>
          </w:tcPr>
          <w:p>
            <w:pPr>
              <w:pStyle w:val="19"/>
            </w:pPr>
            <w:r>
              <w:t>33.49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31.92</w:t>
            </w:r>
          </w:p>
        </w:tc>
        <w:tc>
          <w:tcPr>
            <w:tcW w:w="2551" w:type="dxa"/>
            <w:tcBorders>
              <w:left w:val="single" w:sz="6" w:space="0" w:color="000000"/>
            </w:tcBorders>
            <w:vAlign w:val="center"/>
          </w:tcPr>
          <w:p>
            <w:pPr>
              <w:pStyle w:val="19"/>
            </w:pPr>
            <w:r>
              <w:t>31.92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31.92</w:t>
            </w:r>
          </w:p>
        </w:tc>
        <w:tc>
          <w:tcPr>
            <w:tcW w:w="2551" w:type="dxa"/>
            <w:tcBorders>
              <w:left w:val="single" w:sz="6" w:space="0" w:color="000000"/>
            </w:tcBorders>
            <w:vAlign w:val="center"/>
          </w:tcPr>
          <w:p>
            <w:pPr>
              <w:pStyle w:val="19"/>
            </w:pPr>
            <w:r>
              <w:t>31.92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1.57</w:t>
            </w:r>
          </w:p>
        </w:tc>
        <w:tc>
          <w:tcPr>
            <w:tcW w:w="2551" w:type="dxa"/>
            <w:tcBorders>
              <w:left w:val="single" w:sz="6" w:space="0" w:color="000000"/>
            </w:tcBorders>
            <w:vAlign w:val="center"/>
          </w:tcPr>
          <w:p>
            <w:pPr>
              <w:pStyle w:val="19"/>
            </w:pPr>
            <w:r>
              <w:t>1.57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1.57</w:t>
            </w:r>
          </w:p>
        </w:tc>
        <w:tc>
          <w:tcPr>
            <w:tcW w:w="2551" w:type="dxa"/>
            <w:tcBorders>
              <w:left w:val="single" w:sz="6" w:space="0" w:color="000000"/>
            </w:tcBorders>
            <w:vAlign w:val="center"/>
          </w:tcPr>
          <w:p>
            <w:pPr>
              <w:pStyle w:val="19"/>
            </w:pPr>
            <w:r>
              <w:t>1.57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23.64</w:t>
            </w:r>
          </w:p>
        </w:tc>
        <w:tc>
          <w:tcPr>
            <w:tcW w:w="2551" w:type="dxa"/>
            <w:tcBorders>
              <w:left w:val="single" w:sz="6" w:space="0" w:color="000000"/>
            </w:tcBorders>
            <w:vAlign w:val="center"/>
          </w:tcPr>
          <w:p>
            <w:pPr>
              <w:pStyle w:val="19"/>
            </w:pPr>
            <w:r>
              <w:t>23.64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23.64</w:t>
            </w:r>
          </w:p>
        </w:tc>
        <w:tc>
          <w:tcPr>
            <w:tcW w:w="2551" w:type="dxa"/>
            <w:tcBorders>
              <w:left w:val="single" w:sz="6" w:space="0" w:color="000000"/>
            </w:tcBorders>
            <w:vAlign w:val="center"/>
          </w:tcPr>
          <w:p>
            <w:pPr>
              <w:pStyle w:val="19"/>
            </w:pPr>
            <w:r>
              <w:t>23.64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2551" w:type="dxa"/>
            <w:tcBorders>
              <w:left w:val="single" w:sz="6" w:space="0" w:color="000000"/>
            </w:tcBorders>
            <w:vAlign w:val="center"/>
          </w:tcPr>
          <w:p>
            <w:pPr>
              <w:pStyle w:val="19"/>
            </w:pPr>
            <w:r>
              <w:t>3.56</w:t>
            </w:r>
          </w:p>
        </w:tc>
        <w:tc>
          <w:tcPr>
            <w:tcW w:w="2551" w:type="dxa"/>
            <w:tcBorders>
              <w:left w:val="single" w:sz="6" w:space="0" w:color="000000"/>
            </w:tcBorders>
            <w:vAlign w:val="center"/>
          </w:tcPr>
          <w:p>
            <w:pPr>
              <w:pStyle w:val="19"/>
            </w:pPr>
            <w:r>
              <w:t>3.56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2551" w:type="dxa"/>
            <w:tcBorders>
              <w:left w:val="single" w:sz="6" w:space="0" w:color="000000"/>
            </w:tcBorders>
            <w:vAlign w:val="center"/>
          </w:tcPr>
          <w:p>
            <w:pPr>
              <w:pStyle w:val="19"/>
            </w:pPr>
            <w:r>
              <w:t>9.70</w:t>
            </w:r>
          </w:p>
        </w:tc>
        <w:tc>
          <w:tcPr>
            <w:tcW w:w="2551" w:type="dxa"/>
            <w:tcBorders>
              <w:left w:val="single" w:sz="6" w:space="0" w:color="000000"/>
            </w:tcBorders>
            <w:vAlign w:val="center"/>
          </w:tcPr>
          <w:p>
            <w:pPr>
              <w:pStyle w:val="19"/>
            </w:pPr>
            <w:r>
              <w:t>9.70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2551" w:type="dxa"/>
            <w:tcBorders>
              <w:left w:val="single" w:sz="6" w:space="0" w:color="000000"/>
            </w:tcBorders>
            <w:vAlign w:val="center"/>
          </w:tcPr>
          <w:p>
            <w:pPr>
              <w:pStyle w:val="19"/>
            </w:pPr>
            <w:r>
              <w:t>10.38</w:t>
            </w:r>
          </w:p>
        </w:tc>
        <w:tc>
          <w:tcPr>
            <w:tcW w:w="2551" w:type="dxa"/>
            <w:tcBorders>
              <w:left w:val="single" w:sz="6" w:space="0" w:color="000000"/>
            </w:tcBorders>
            <w:vAlign w:val="center"/>
          </w:tcPr>
          <w:p>
            <w:pPr>
              <w:pStyle w:val="19"/>
            </w:pPr>
            <w:r>
              <w:t>10.38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26.34</w:t>
            </w:r>
          </w:p>
        </w:tc>
        <w:tc>
          <w:tcPr>
            <w:tcW w:w="2551" w:type="dxa"/>
            <w:tcBorders>
              <w:left w:val="single" w:sz="6" w:space="0" w:color="000000"/>
            </w:tcBorders>
            <w:vAlign w:val="center"/>
          </w:tcPr>
          <w:p>
            <w:pPr>
              <w:pStyle w:val="19"/>
            </w:pPr>
            <w:r>
              <w:t>26.34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26.34</w:t>
            </w:r>
          </w:p>
        </w:tc>
        <w:tc>
          <w:tcPr>
            <w:tcW w:w="2551" w:type="dxa"/>
            <w:tcBorders>
              <w:left w:val="single" w:sz="6" w:space="0" w:color="000000"/>
            </w:tcBorders>
            <w:vAlign w:val="center"/>
          </w:tcPr>
          <w:p>
            <w:pPr>
              <w:pStyle w:val="19"/>
            </w:pPr>
            <w:r>
              <w:t>26.34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26.34</w:t>
            </w:r>
          </w:p>
        </w:tc>
        <w:tc>
          <w:tcPr>
            <w:tcW w:w="2551" w:type="dxa"/>
            <w:tcBorders>
              <w:left w:val="single" w:sz="6" w:space="0" w:color="000000"/>
            </w:tcBorders>
            <w:vAlign w:val="center"/>
          </w:tcPr>
          <w:p>
            <w:pPr>
              <w:pStyle w:val="19"/>
            </w:pPr>
            <w:r>
              <w:t>26.34</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329.18</w:t>
            </w:r>
          </w:p>
        </w:tc>
        <w:tc>
          <w:tcPr>
            <w:tcW w:w="2551" w:type="dxa"/>
            <w:tcBorders>
              <w:left w:val="single" w:sz="6" w:space="0" w:color="000000"/>
            </w:tcBorders>
            <w:vAlign w:val="center"/>
          </w:tcPr>
          <w:p>
            <w:pPr>
              <w:pStyle w:val="23"/>
            </w:pPr>
            <w:r>
              <w:t>316.08</w:t>
            </w:r>
          </w:p>
        </w:tc>
        <w:tc>
          <w:tcPr>
            <w:tcW w:w="2551" w:type="dxa"/>
            <w:tcBorders>
              <w:left w:val="single" w:sz="6" w:space="0" w:color="000000"/>
            </w:tcBorders>
            <w:vAlign w:val="center"/>
          </w:tcPr>
          <w:p>
            <w:pPr>
              <w:pStyle w:val="23"/>
            </w:pPr>
            <w:r>
              <w:t>13.10</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316.08</w:t>
            </w:r>
          </w:p>
        </w:tc>
        <w:tc>
          <w:tcPr>
            <w:tcW w:w="2551" w:type="dxa"/>
            <w:tcBorders>
              <w:left w:val="single" w:sz="6" w:space="0" w:color="000000"/>
            </w:tcBorders>
            <w:vAlign w:val="center"/>
          </w:tcPr>
          <w:p>
            <w:pPr>
              <w:pStyle w:val="19"/>
            </w:pPr>
            <w:r>
              <w:t>316.08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87.20</w:t>
            </w:r>
          </w:p>
        </w:tc>
        <w:tc>
          <w:tcPr>
            <w:tcW w:w="2551" w:type="dxa"/>
            <w:tcBorders>
              <w:left w:val="single" w:sz="6" w:space="0" w:color="000000"/>
            </w:tcBorders>
            <w:vAlign w:val="center"/>
          </w:tcPr>
          <w:p>
            <w:pPr>
              <w:pStyle w:val="19"/>
            </w:pPr>
            <w:r>
              <w:t>87.20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29.61</w:t>
            </w:r>
          </w:p>
        </w:tc>
        <w:tc>
          <w:tcPr>
            <w:tcW w:w="2551" w:type="dxa"/>
            <w:tcBorders>
              <w:left w:val="single" w:sz="6" w:space="0" w:color="000000"/>
            </w:tcBorders>
            <w:vAlign w:val="center"/>
          </w:tcPr>
          <w:p>
            <w:pPr>
              <w:pStyle w:val="19"/>
            </w:pPr>
            <w:r>
              <w:t>29.61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20.77</w:t>
            </w:r>
          </w:p>
        </w:tc>
        <w:tc>
          <w:tcPr>
            <w:tcW w:w="2551" w:type="dxa"/>
            <w:tcBorders>
              <w:left w:val="single" w:sz="6" w:space="0" w:color="000000"/>
            </w:tcBorders>
            <w:vAlign w:val="center"/>
          </w:tcPr>
          <w:p>
            <w:pPr>
              <w:pStyle w:val="19"/>
            </w:pPr>
            <w:r>
              <w:t>20.77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95.03</w:t>
            </w:r>
          </w:p>
        </w:tc>
        <w:tc>
          <w:tcPr>
            <w:tcW w:w="2551" w:type="dxa"/>
            <w:tcBorders>
              <w:left w:val="single" w:sz="6" w:space="0" w:color="000000"/>
            </w:tcBorders>
            <w:vAlign w:val="center"/>
          </w:tcPr>
          <w:p>
            <w:pPr>
              <w:pStyle w:val="19"/>
            </w:pPr>
            <w:r>
              <w:t>95.03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31.92</w:t>
            </w:r>
          </w:p>
        </w:tc>
        <w:tc>
          <w:tcPr>
            <w:tcW w:w="2551" w:type="dxa"/>
            <w:tcBorders>
              <w:left w:val="single" w:sz="6" w:space="0" w:color="000000"/>
            </w:tcBorders>
            <w:vAlign w:val="center"/>
          </w:tcPr>
          <w:p>
            <w:pPr>
              <w:pStyle w:val="19"/>
            </w:pPr>
            <w:r>
              <w:t>31.92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13.26</w:t>
            </w:r>
          </w:p>
        </w:tc>
        <w:tc>
          <w:tcPr>
            <w:tcW w:w="2551" w:type="dxa"/>
            <w:tcBorders>
              <w:left w:val="single" w:sz="6" w:space="0" w:color="000000"/>
            </w:tcBorders>
            <w:vAlign w:val="center"/>
          </w:tcPr>
          <w:p>
            <w:pPr>
              <w:pStyle w:val="19"/>
            </w:pPr>
            <w:r>
              <w:t>13.26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30111</w:t>
            </w:r>
          </w:p>
        </w:tc>
        <w:tc>
          <w:tcPr>
            <w:tcW w:w="4535" w:type="dxa"/>
            <w:tcBorders>
              <w:left w:val="single" w:sz="6" w:space="0" w:color="000000"/>
            </w:tcBorders>
            <w:vAlign w:val="center"/>
          </w:tcPr>
          <w:p>
            <w:pPr>
              <w:pStyle w:val="20"/>
            </w:pPr>
            <w:r>
              <w:t>公务员医疗补助缴费</w:t>
            </w:r>
          </w:p>
        </w:tc>
        <w:tc>
          <w:tcPr>
            <w:tcW w:w="2551" w:type="dxa"/>
            <w:tcBorders>
              <w:left w:val="single" w:sz="6" w:space="0" w:color="000000"/>
            </w:tcBorders>
            <w:vAlign w:val="center"/>
          </w:tcPr>
          <w:p>
            <w:pPr>
              <w:pStyle w:val="19"/>
            </w:pPr>
            <w:r>
              <w:t>10.38</w:t>
            </w:r>
          </w:p>
        </w:tc>
        <w:tc>
          <w:tcPr>
            <w:tcW w:w="2551" w:type="dxa"/>
            <w:tcBorders>
              <w:left w:val="single" w:sz="6" w:space="0" w:color="000000"/>
            </w:tcBorders>
            <w:vAlign w:val="center"/>
          </w:tcPr>
          <w:p>
            <w:pPr>
              <w:pStyle w:val="19"/>
            </w:pPr>
            <w:r>
              <w:t>10.38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1.57</w:t>
            </w:r>
          </w:p>
        </w:tc>
        <w:tc>
          <w:tcPr>
            <w:tcW w:w="2551" w:type="dxa"/>
            <w:tcBorders>
              <w:left w:val="single" w:sz="6" w:space="0" w:color="000000"/>
            </w:tcBorders>
            <w:vAlign w:val="center"/>
          </w:tcPr>
          <w:p>
            <w:pPr>
              <w:pStyle w:val="19"/>
            </w:pPr>
            <w:r>
              <w:t>1.57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26.34</w:t>
            </w:r>
          </w:p>
        </w:tc>
        <w:tc>
          <w:tcPr>
            <w:tcW w:w="2551" w:type="dxa"/>
            <w:tcBorders>
              <w:left w:val="single" w:sz="6" w:space="0" w:color="000000"/>
            </w:tcBorders>
            <w:vAlign w:val="center"/>
          </w:tcPr>
          <w:p>
            <w:pPr>
              <w:pStyle w:val="19"/>
            </w:pPr>
            <w:r>
              <w:t>26.34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13.10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13.10</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4.20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4.20</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30207</w:t>
            </w:r>
          </w:p>
        </w:tc>
        <w:tc>
          <w:tcPr>
            <w:tcW w:w="4535" w:type="dxa"/>
            <w:tcBorders>
              <w:left w:val="single" w:sz="6" w:space="0" w:color="000000"/>
            </w:tcBorders>
            <w:vAlign w:val="center"/>
          </w:tcPr>
          <w:p>
            <w:pPr>
              <w:pStyle w:val="20"/>
            </w:pPr>
            <w:r>
              <w:t>邮电费</w:t>
            </w:r>
          </w:p>
        </w:tc>
        <w:tc>
          <w:tcPr>
            <w:tcW w:w="2551" w:type="dxa"/>
            <w:tcBorders>
              <w:left w:val="single" w:sz="6" w:space="0" w:color="000000"/>
            </w:tcBorders>
            <w:vAlign w:val="center"/>
          </w:tcPr>
          <w:p>
            <w:pPr>
              <w:pStyle w:val="19"/>
            </w:pPr>
            <w:r>
              <w:t>0.54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0.54</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30217</w:t>
            </w:r>
          </w:p>
        </w:tc>
        <w:tc>
          <w:tcPr>
            <w:tcW w:w="4535" w:type="dxa"/>
            <w:tcBorders>
              <w:left w:val="single" w:sz="6" w:space="0" w:color="000000"/>
            </w:tcBorders>
            <w:vAlign w:val="center"/>
          </w:tcPr>
          <w:p>
            <w:pPr>
              <w:pStyle w:val="20"/>
            </w:pPr>
            <w:r>
              <w:t>公务接待费</w:t>
            </w:r>
          </w:p>
        </w:tc>
        <w:tc>
          <w:tcPr>
            <w:tcW w:w="2551" w:type="dxa"/>
            <w:tcBorders>
              <w:left w:val="single" w:sz="6" w:space="0" w:color="000000"/>
            </w:tcBorders>
            <w:vAlign w:val="center"/>
          </w:tcPr>
          <w:p>
            <w:pPr>
              <w:pStyle w:val="19"/>
            </w:pPr>
            <w:r>
              <w:t>0.08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0.08</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30231</w:t>
            </w:r>
          </w:p>
        </w:tc>
        <w:tc>
          <w:tcPr>
            <w:tcW w:w="4535" w:type="dxa"/>
            <w:tcBorders>
              <w:left w:val="single" w:sz="6" w:space="0" w:color="000000"/>
            </w:tcBorders>
            <w:vAlign w:val="center"/>
          </w:tcPr>
          <w:p>
            <w:pPr>
              <w:pStyle w:val="20"/>
            </w:pPr>
            <w:r>
              <w:t>公务用车运行维护费</w:t>
            </w:r>
          </w:p>
        </w:tc>
        <w:tc>
          <w:tcPr>
            <w:tcW w:w="2551" w:type="dxa"/>
            <w:tcBorders>
              <w:left w:val="single" w:sz="6" w:space="0" w:color="000000"/>
            </w:tcBorders>
            <w:vAlign w:val="center"/>
          </w:tcPr>
          <w:p>
            <w:pPr>
              <w:pStyle w:val="19"/>
            </w:pPr>
            <w:r>
              <w:t>2.00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2.00</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3.42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3.42</w:t>
            </w: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30299</w:t>
            </w:r>
          </w:p>
        </w:tc>
        <w:tc>
          <w:tcPr>
            <w:tcW w:w="4535" w:type="dxa"/>
            <w:tcBorders>
              <w:left w:val="single" w:sz="6" w:space="0" w:color="000000"/>
            </w:tcBorders>
            <w:vAlign w:val="center"/>
          </w:tcPr>
          <w:p>
            <w:pPr>
              <w:pStyle w:val="20"/>
            </w:pPr>
            <w:r>
              <w:t>其他商品和服务支出</w:t>
            </w:r>
          </w:p>
        </w:tc>
        <w:tc>
          <w:tcPr>
            <w:tcW w:w="2551" w:type="dxa"/>
            <w:tcBorders>
              <w:left w:val="single" w:sz="6" w:space="0" w:color="000000"/>
            </w:tcBorders>
            <w:vAlign w:val="center"/>
          </w:tcPr>
          <w:p>
            <w:pPr>
              <w:pStyle w:val="19"/>
            </w:pPr>
            <w:r>
              <w:t>2.86</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2.86</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2.08</w:t>
            </w:r>
          </w:p>
        </w:tc>
        <w:tc>
          <w:tcPr>
            <w:tcW w:w="2381" w:type="dxa"/>
            <w:tcBorders>
              <w:left w:val="single" w:sz="6" w:space="0" w:color="auto"/>
              <w:right w:val="single" w:sz="6" w:space="0" w:color="auto"/>
            </w:tcBorders>
            <w:vAlign w:val="center"/>
          </w:tcPr>
          <w:p>
            <w:pPr>
              <w:pStyle w:val="23"/>
            </w:pPr>
            <w:r>
              <w:t>2.08</w:t>
            </w:r>
          </w:p>
        </w:tc>
        <w:tc>
          <w:tcPr>
            <w:tcW w:w="2381" w:type="dxa"/>
            <w:tcBorders>
              <w:left w:val="single" w:sz="6" w:space="0" w:color="auto"/>
              <w:right w:val="single" w:sz="6" w:space="0" w:color="auto"/>
            </w:tcBorders>
            <w:vAlign w:val="center"/>
          </w:tcPr>
          <w:p>
            <w:pPr>
              <w:pStyle w:val="23"/>
            </w:pPr>
          </w:p>
        </w:tc>
        <w:tc>
          <w:tcPr>
            <w:tcW w:w="2381" w:type="dxa"/>
            <w:tcBorders>
              <w:left w:val="single" w:sz="6" w:space="0" w:color="auto"/>
            </w:tcBorders>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2.08</w:t>
            </w:r>
          </w:p>
        </w:tc>
        <w:tc>
          <w:tcPr>
            <w:tcW w:w="2381" w:type="dxa"/>
            <w:tcBorders>
              <w:left w:val="single" w:sz="6" w:space="0" w:color="auto"/>
              <w:right w:val="single" w:sz="6" w:space="0" w:color="auto"/>
            </w:tcBorders>
            <w:vAlign w:val="center"/>
          </w:tcPr>
          <w:p>
            <w:pPr>
              <w:pStyle w:val="19"/>
            </w:pPr>
            <w:r>
              <w:t>2.08</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r>
              <w:t>2.00</w:t>
            </w:r>
          </w:p>
        </w:tc>
        <w:tc>
          <w:tcPr>
            <w:tcW w:w="2381" w:type="dxa"/>
            <w:tcBorders>
              <w:left w:val="single" w:sz="6" w:space="0" w:color="auto"/>
              <w:right w:val="single" w:sz="6" w:space="0" w:color="auto"/>
            </w:tcBorders>
            <w:vAlign w:val="center"/>
          </w:tcPr>
          <w:p>
            <w:pPr>
              <w:pStyle w:val="19"/>
            </w:pPr>
            <w:r>
              <w:t>2.00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r>
              <w:t>2.00</w:t>
            </w:r>
          </w:p>
        </w:tc>
        <w:tc>
          <w:tcPr>
            <w:tcW w:w="2381" w:type="dxa"/>
            <w:tcBorders>
              <w:left w:val="single" w:sz="6" w:space="0" w:color="auto"/>
              <w:right w:val="single" w:sz="6" w:space="0" w:color="auto"/>
            </w:tcBorders>
            <w:vAlign w:val="center"/>
          </w:tcPr>
          <w:p>
            <w:pPr>
              <w:pStyle w:val="19"/>
            </w:pPr>
            <w:r>
              <w:t>2.00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r>
              <w:t>0.08</w:t>
            </w:r>
          </w:p>
        </w:tc>
        <w:tc>
          <w:tcPr>
            <w:tcW w:w="2381" w:type="dxa"/>
            <w:tcBorders>
              <w:left w:val="single" w:sz="6" w:space="0" w:color="auto"/>
              <w:right w:val="single" w:sz="6" w:space="0" w:color="auto"/>
            </w:tcBorders>
            <w:vAlign w:val="center"/>
          </w:tcPr>
          <w:p>
            <w:pPr>
              <w:pStyle w:val="19"/>
            </w:pPr>
            <w:r>
              <w:t>0.08</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jc w:val="center"/>
        <w:outlineLvl w:val="0"/>
        <w:sectPr>
          <w:pgSz w:w="16840" w:h="11900" w:orient="landscape"/>
          <w:pgMar w:top="1361" w:right="1020" w:bottom="1361" w:left="1020" w:header="720" w:footer="720" w:gutter="0"/>
          <w:cols w:num="1" w:space="720"/>
          <w:docGrid w:linePitch="326" w:charSpace="0"/>
        </w:sectPr>
      </w:pPr>
    </w:p>
    <w:p>
      <w:pPr>
        <w:jc w:val="center"/>
      </w:pPr>
      <w:r>
        <w:rPr>
          <w:rFonts w:ascii="方正小标宋_GBK" w:eastAsia="方正小标宋_GBK" w:cs="方正小标宋_GBK" w:hAnsi="方正小标宋_GBK"/>
          <w:color w:val="000000"/>
          <w:sz w:val="44"/>
        </w:rPr>
        <w:t>石家庄市井陉矿区数据和政务服务局2026年部门预算信息公开情况说明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按照《中华人民共和国预算法》、《地方预决算公开操作规程》和《关于进一步推进预算公开工作的实施意见》规定，现将石家庄市井陉矿区数据和政务服务局2026年部门预算公开如下：</w:t>
      </w:r>
    </w:p>
    <w:p>
      <w:pPr>
        <w:spacing w:before="10" w:after="10" w:line="360" w:lineRule="auto"/>
        <w:ind w:firstLine="640"/>
        <w:outlineLvl w:val="2"/>
      </w:pPr>
      <w:bookmarkStart w:id="9" w:name="_Toc_3_3_0000000010"/>
      <w:r>
        <w:rPr>
          <w:rFonts w:ascii="黑体" w:eastAsia="黑体" w:cs="黑体" w:hAnsi="黑体"/>
          <w:color w:val="000000"/>
          <w:sz w:val="32"/>
        </w:rPr>
        <w:t>一、部门职责及机构设置情况</w:t>
      </w:r>
      <w:bookmarkEnd w:id="9"/>
    </w:p>
    <w:p>
      <w:pPr>
        <w:ind w:firstLine="640"/>
      </w:pPr>
      <w:r>
        <w:rPr>
          <w:rFonts w:ascii="方正楷体_GBK" w:eastAsia="方正楷体_GBK" w:cs="方正楷体_GBK" w:hAnsi="方正楷体_GBK"/>
          <w:b/>
          <w:color w:val="000000"/>
          <w:sz w:val="32"/>
        </w:rPr>
        <w:t>部门职责：</w:t>
      </w:r>
    </w:p>
    <w:p>
      <w:pPr>
        <w:pStyle w:val="25"/>
      </w:pPr>
      <w:r>
        <w:t>（一）贯彻执行国家、省、市有关电子政务、智慧城市、政务服务和数据资源管理的方针政策和法律法规，统筹推进数字矿区、数字经济、数字社会、数字政府规划和建设，拟订全区数据资源管理发展规划、年度计划、政策措施和评价体系并组织实施。</w:t>
      </w:r>
    </w:p>
    <w:p>
      <w:pPr>
        <w:pStyle w:val="25"/>
      </w:pPr>
      <w:r>
        <w:t>（二）贯彻落实国家和地方数据技术标准；研究制定我区数据资源采集、存储、使用、开放、共享等标准规范并监督实施。</w:t>
      </w:r>
    </w:p>
    <w:p>
      <w:pPr>
        <w:pStyle w:val="25"/>
      </w:pPr>
      <w:r>
        <w:t>（三）负责“互联网＋政务服务”工作的规划及有关项目建设工作。负责在线政务服务平台建设。推进在线政务服务平台规范化、标准化、集约化建设。</w:t>
      </w:r>
    </w:p>
    <w:p>
      <w:pPr>
        <w:pStyle w:val="25"/>
      </w:pPr>
      <w:r>
        <w:t>（四）拟订全区政务数据和公共数据资源的目录制定、归集管理、整理利用、共享开放管理办法并组织实施，推动数据资源在政府管理和社会治理领域的应用。</w:t>
      </w:r>
    </w:p>
    <w:p>
      <w:pPr>
        <w:pStyle w:val="25"/>
      </w:pPr>
      <w:r>
        <w:t>（五）负责区电子政务组织推动工作，负责区级智慧城市项目建设和数据资源基础设施建设管理，提出各部门统筹安排区级信息化项目及资金的使用建议。</w:t>
      </w:r>
    </w:p>
    <w:p>
      <w:pPr>
        <w:pStyle w:val="25"/>
      </w:pPr>
      <w:r>
        <w:t>（六）负责全区数据资源、政务信息化领域的对外交流合作；会同有关部门做好全区数据资源、政务信息化人才培养等工作。</w:t>
      </w:r>
    </w:p>
    <w:p>
      <w:pPr>
        <w:pStyle w:val="25"/>
      </w:pPr>
      <w:r>
        <w:t>（七）负责指导全区经济社会各领域的数据资源开发利用工作，促进全区数据资源产业发展；负责数据资源相关技术研发、行业数据分析成果转化等工作。</w:t>
      </w:r>
    </w:p>
    <w:p>
      <w:pPr>
        <w:pStyle w:val="25"/>
      </w:pPr>
      <w:r>
        <w:t>（八）负责全区数据资源安全保障体系建设，指导各级各部门政务数据资源和公共数据资源的安全保障工作。</w:t>
      </w:r>
    </w:p>
    <w:p>
      <w:pPr>
        <w:pStyle w:val="25"/>
      </w:pPr>
      <w:r>
        <w:t>（九）贯彻落实党中央、国务院和省委、省政府，市委、市政府关于推进政府职能转变和“放管服”改革、行政审批制度改革、工程建设项目审批制度改革、政务服务管理、公共资源交易管理、社会信用体系建设有关方针政策和法律法规。承担区政府推进政府职能转变和“放管服”改革协调小组办公室的日常工作。</w:t>
      </w:r>
    </w:p>
    <w:p>
      <w:pPr>
        <w:pStyle w:val="25"/>
      </w:pPr>
      <w:r>
        <w:t>（十）负责规范全区行政审批行为，创新和完善相关工作体制机制。推进简政放权，清理和规范各类行政许可等管理事项；承担区行政审批制度改革领导小组办公室日常工作；统筹推动各级政务服务标准化、规范化、便利化，推进政务服务集成化高效办。</w:t>
      </w:r>
    </w:p>
    <w:p>
      <w:pPr>
        <w:pStyle w:val="25"/>
      </w:pPr>
      <w:r>
        <w:t>（十一）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pPr>
        <w:pStyle w:val="25"/>
      </w:pPr>
      <w:r>
        <w:t>（十二）负责投资项目、商事登记、市场服务、文教体卫、社会事务、住建交通、生态环境、安全生产、农林畜水、经贸商务、城市管理等方面行政审批事项的办理，并承担相应的法律责任。</w:t>
      </w:r>
    </w:p>
    <w:p>
      <w:pPr>
        <w:pStyle w:val="25"/>
      </w:pPr>
      <w:r>
        <w:t>（十三）负责协调派驻部门行政审批事项的办理工作，规范、管理和监督派驻部门行政审批行为。</w:t>
      </w:r>
    </w:p>
    <w:p>
      <w:pPr>
        <w:pStyle w:val="25"/>
      </w:pPr>
      <w:r>
        <w:t>（十四）负责对行政审批、政务服务事项流程进行规范和优化，推进审批服务便民化、标准化建设。</w:t>
      </w:r>
    </w:p>
    <w:p>
      <w:pPr>
        <w:pStyle w:val="25"/>
      </w:pPr>
      <w:r>
        <w:t>（十五）统筹推进政务履职和政务运行数字化转型。统筹推进全区“互联网＋政务服务”工作，构建全区一体化政务服务平台。推行政务服务事项网上办理，形成管理机构、实体大厅、网上平台“三位一体”的政务服务管理模式；推进全区电子证照库建设；推进全省政务服务平台规范化、标准化、集约化建设和互联互通、数据共享。</w:t>
      </w:r>
    </w:p>
    <w:p>
      <w:pPr>
        <w:pStyle w:val="25"/>
      </w:pPr>
      <w:r>
        <w:t>（十六）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25"/>
      </w:pPr>
      <w:r>
        <w:t>（十七）负责对全区行政审批、政务服务行为进行监督检查，对窗口工作人员进行日常管理、教育培训和检查考核。</w:t>
      </w:r>
    </w:p>
    <w:p>
      <w:pPr>
        <w:pStyle w:val="25"/>
      </w:pPr>
      <w:r>
        <w:t>（十八）负责区直部门已划转行政许可事项涉及的现场勘验、审图、联合验收等工作。</w:t>
      </w:r>
    </w:p>
    <w:p>
      <w:pPr>
        <w:pStyle w:val="25"/>
      </w:pPr>
      <w:r>
        <w:t>（十九）负责行政审批信息化工作，区级行政审批信息资料的保管、整理、统计、编目和定期检查工作。</w:t>
      </w:r>
    </w:p>
    <w:p>
      <w:pPr>
        <w:pStyle w:val="25"/>
      </w:pPr>
      <w:r>
        <w:t>（二十）完成区委、区政府交办的其他任务。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石家庄市井陉矿区数据和政务服务局</w:t>
            </w:r>
          </w:p>
        </w:tc>
        <w:tc>
          <w:tcPr>
            <w:tcW w:w="1843" w:type="dxa"/>
            <w:tcBorders>
              <w:left w:val="single" w:sz="6" w:space="0" w:color="000000"/>
            </w:tcBorders>
            <w:vAlign w:val="center"/>
          </w:tcPr>
          <w:p>
            <w:pPr>
              <w:pStyle w:val="21"/>
            </w:pPr>
            <w:r>
              <w:t>行政</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r>
        <w:trPr>
          <w:trHeight w:val="369"/>
        </w:trPr>
        <w:tc>
          <w:tcPr>
            <w:tcW w:w="5669" w:type="dxa"/>
            <w:vAlign w:val="center"/>
          </w:tcPr>
          <w:p>
            <w:pPr>
              <w:pStyle w:val="20"/>
            </w:pPr>
            <w:r>
              <w:t>石家庄市井陉矿区数据和政务服务中心</w:t>
            </w:r>
          </w:p>
        </w:tc>
        <w:tc>
          <w:tcPr>
            <w:tcW w:w="1843" w:type="dxa"/>
            <w:tcBorders>
              <w:left w:val="single" w:sz="6" w:space="0" w:color="000000"/>
            </w:tcBorders>
            <w:vAlign w:val="center"/>
          </w:tcPr>
          <w:p>
            <w:pPr>
              <w:pStyle w:val="21"/>
            </w:pPr>
            <w:r>
              <w:t>事业</w:t>
            </w:r>
          </w:p>
        </w:tc>
        <w:tc>
          <w:tcPr>
            <w:tcW w:w="2126" w:type="dxa"/>
            <w:tcBorders>
              <w:left w:val="single" w:sz="6" w:space="0" w:color="000000"/>
            </w:tcBorders>
            <w:vAlign w:val="center"/>
          </w:tcPr>
          <w:p>
            <w:pPr>
              <w:pStyle w:val="21"/>
            </w:pPr>
            <w:r>
              <w:t>股级</w:t>
            </w:r>
          </w:p>
        </w:tc>
        <w:tc>
          <w:tcPr>
            <w:tcW w:w="3827" w:type="dxa"/>
            <w:tcBorders>
              <w:left w:val="single" w:sz="6" w:space="0" w:color="000000"/>
            </w:tcBorders>
            <w:vAlign w:val="center"/>
          </w:tcPr>
          <w:p>
            <w:pPr>
              <w:pStyle w:val="21"/>
            </w:pPr>
            <w:r>
              <w:t>财政性资金基本保证</w:t>
            </w:r>
          </w:p>
        </w:tc>
      </w:tr>
      <w:tr>
        <w:trPr>
          <w:trHeight w:val="369"/>
        </w:trPr>
        <w:tc>
          <w:tcPr>
            <w:tcW w:w="5669" w:type="dxa"/>
            <w:vAlign w:val="center"/>
          </w:tcPr>
          <w:p>
            <w:pPr>
              <w:pStyle w:val="20"/>
            </w:pPr>
            <w:r>
              <w:t>石家庄市井陉矿区公共资源交易中心</w:t>
            </w:r>
          </w:p>
        </w:tc>
        <w:tc>
          <w:tcPr>
            <w:tcW w:w="1843" w:type="dxa"/>
            <w:tcBorders>
              <w:left w:val="single" w:sz="6" w:space="0" w:color="000000"/>
            </w:tcBorders>
            <w:vAlign w:val="center"/>
          </w:tcPr>
          <w:p>
            <w:pPr>
              <w:pStyle w:val="21"/>
            </w:pPr>
            <w:r>
              <w:t>事业</w:t>
            </w:r>
          </w:p>
        </w:tc>
        <w:tc>
          <w:tcPr>
            <w:tcW w:w="2126" w:type="dxa"/>
            <w:tcBorders>
              <w:left w:val="single" w:sz="6" w:space="0" w:color="000000"/>
            </w:tcBorders>
            <w:vAlign w:val="center"/>
          </w:tcPr>
          <w:p>
            <w:pPr>
              <w:pStyle w:val="21"/>
            </w:pPr>
            <w:r>
              <w:t>股级</w:t>
            </w:r>
          </w:p>
        </w:tc>
        <w:tc>
          <w:tcPr>
            <w:tcW w:w="3827" w:type="dxa"/>
            <w:tcBorders>
              <w:left w:val="single" w:sz="6" w:space="0" w:color="000000"/>
            </w:tcBorders>
            <w:vAlign w:val="center"/>
          </w:tcPr>
          <w:p>
            <w:pPr>
              <w:pStyle w:val="21"/>
            </w:pPr>
            <w:r>
              <w:t>财政性资金基本保证</w:t>
            </w:r>
          </w:p>
        </w:tc>
      </w:tr>
    </w:tbl>
    <w:p>
      <w:pPr>
        <w:spacing w:before="10" w:after="10" w:line="360" w:lineRule="auto"/>
        <w:ind w:firstLine="640"/>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按照预算管理有关规定，目前部门预算的编制实行综合预算管理，即全部收入和支出都反映在预算中。石家庄市井陉矿区数据和政务服务局机关及所属事业单位的收支包含在部门预算中。</w:t>
      </w:r>
    </w:p>
    <w:p>
      <w:pPr>
        <w:pStyle w:val="26"/>
      </w:pPr>
      <w:r>
        <w:t>1、收入说明</w:t>
      </w:r>
    </w:p>
    <w:p>
      <w:pPr>
        <w:pStyle w:val="26"/>
      </w:pPr>
      <w:r>
        <w:t>反映本部门当年全部收入。2026年预算收入450.71万元，其中：一般公共预算收入450.71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井陉矿区数据和政务服务局年度部门预算中支出预算的总体情况。2026年支出预算450.71万元，其中基本支出329.18万元，包括人员经费316.08万元和日常公用经费13.10万元；项目支出121.53万元，主要为一般行政管理事务支出0万元、专项业务及机关事务管理0万元、其他政府办公厅（室）及相关机构事务支出121.53万元。；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450.71万元，较2025年预算减少22.84万元，其中：基本支出增加9.30万元，主要为2026年人员增加，相应人员经费和公用经费增加。项目支出减少32.14万元，主要为减少劳务派遣经费及政务服务大厅提升改造经费等。预计下年使用的单位资金结余增加0.00万元。</w:t>
      </w:r>
    </w:p>
    <w:p>
      <w:pPr>
        <w:spacing w:before="10" w:after="10" w:line="360" w:lineRule="auto"/>
        <w:ind w:firstLine="640"/>
        <w:outlineLvl w:val="2"/>
      </w:pPr>
      <w:bookmarkStart w:id="11" w:name="_Toc_3_3_0000000012"/>
      <w:r>
        <w:rPr>
          <w:rFonts w:ascii="黑体" w:eastAsia="黑体" w:cs="黑体" w:hAnsi="黑体"/>
          <w:color w:val="000000"/>
          <w:sz w:val="32"/>
        </w:rPr>
        <w:t>三、机关运行经费安排情况</w:t>
      </w:r>
      <w:bookmarkEnd w:id="11"/>
    </w:p>
    <w:p>
      <w:pPr>
        <w:pStyle w:val="27"/>
      </w:pPr>
      <w:r>
        <w:t>2026年，我部门机关运行经费共计安排13.10万元，主要用于</w:t>
      </w:r>
      <w:bookmarkStart w:id="12" w:name="_GoBack"/>
      <w:bookmarkEnd w:id="12"/>
      <w:r>
        <w:t>办公费、差旅费、公务用车运行维护费、邮电费等日常运行支出。</w:t>
      </w:r>
    </w:p>
    <w:p>
      <w:pPr>
        <w:spacing w:before="10" w:after="10" w:line="360" w:lineRule="auto"/>
        <w:ind w:firstLine="640"/>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2026年，我部门财政拨款“三公”经费预算安排2.08万元，其中因公出国（境）费0.00万元；公务用车购置及运维费2.00万元（其中：公务用车购置费为0.00万元，公务用车运维费2.00万元)；公务接待费0.08万元。与2025年相比，“三公”经费与上年持平。</w:t>
      </w:r>
    </w:p>
    <w:p>
      <w:pPr>
        <w:spacing w:before="10" w:after="10" w:line="360" w:lineRule="auto"/>
        <w:ind w:firstLine="640"/>
        <w:outlineLvl w:val="2"/>
      </w:pPr>
      <w:bookmarkStart w:id="14" w:name="_Toc_3_3_0000000014"/>
      <w:r>
        <w:rPr>
          <w:rFonts w:ascii="黑体" w:eastAsia="黑体" w:cs="黑体" w:hAnsi="黑体"/>
          <w:color w:val="000000"/>
          <w:sz w:val="32"/>
        </w:rPr>
        <w:t>五、部门整体绩效目标</w:t>
      </w:r>
      <w:bookmarkEnd w:id="14"/>
    </w:p>
    <w:p>
      <w:pPr>
        <w:spacing w:line="500" w:lineRule="exact"/>
        <w:ind w:firstLine="560"/>
      </w:pPr>
      <w:r>
        <w:rPr>
          <w:rFonts w:eastAsia="方正仿宋_GBK"/>
          <w:color w:val="000000"/>
          <w:sz w:val="28"/>
        </w:rPr>
        <w:t>（一）总体绩效目标</w:t>
      </w:r>
    </w:p>
    <w:p>
      <w:pPr>
        <w:pStyle w:val="29"/>
      </w:pPr>
      <w:r>
        <w:t>坚持以习近平新时代中国特色社会主义思想为指导，深入贯彻落实中央八项规定精神，全面学习党的二十大和二十届历次全会精神，严格执行“一岗双责”及“第一议题”制度，切实落实全面从严治党和意识形态主体责任。以资源整合共享为突破点，以政务建设为引擎，以优化营商环境为落脚点，统筹推进各项工作，政务服务质效持续提升。</w:t>
      </w:r>
    </w:p>
    <w:p>
      <w:pPr>
        <w:spacing w:line="500" w:lineRule="exact"/>
        <w:ind w:firstLine="560"/>
      </w:pPr>
      <w:r>
        <w:rPr>
          <w:rFonts w:eastAsia="方正仿宋_GBK"/>
          <w:color w:val="000000"/>
          <w:sz w:val="28"/>
        </w:rPr>
        <w:t>（二）分项绩效目标</w:t>
      </w:r>
    </w:p>
    <w:p>
      <w:pPr>
        <w:pStyle w:val="30"/>
      </w:pPr>
      <w:r>
        <w:t>（一）深化行政审批制度改革</w:t>
      </w:r>
    </w:p>
    <w:p>
      <w:pPr>
        <w:pStyle w:val="30"/>
      </w:pPr>
      <w:r>
        <w:t>绩效目标：实施高效办成一件事、行政许可告知承诺让办事更便捷、更高效。</w:t>
      </w:r>
    </w:p>
    <w:p>
      <w:pPr>
        <w:pStyle w:val="30"/>
      </w:pPr>
      <w:r>
        <w:t>绩效指标：各项改革落实落地。</w:t>
      </w:r>
    </w:p>
    <w:p>
      <w:pPr>
        <w:pStyle w:val="30"/>
      </w:pPr>
      <w:r>
        <w:t>（二）扎实推进数字领域工作</w:t>
      </w:r>
    </w:p>
    <w:p>
      <w:pPr>
        <w:pStyle w:val="30"/>
      </w:pPr>
      <w:r>
        <w:t>绩效目标:深挖数据赋能产业，积极参加雄安新区垂直大模型、数据要素×大赛，开展公共数据资源登记，推进数据资源共享开放。</w:t>
      </w:r>
    </w:p>
    <w:p>
      <w:pPr>
        <w:pStyle w:val="30"/>
      </w:pPr>
      <w:r>
        <w:t>绩效指标:对接部门及企业，深入挖掘数据要素价值，积极参加省市大赛。</w:t>
      </w:r>
    </w:p>
    <w:p>
      <w:pPr>
        <w:pStyle w:val="30"/>
      </w:pPr>
      <w:r>
        <w:t>（三）深化商事制度改革</w:t>
      </w:r>
    </w:p>
    <w:p>
      <w:pPr>
        <w:pStyle w:val="30"/>
      </w:pPr>
      <w:r>
        <w:t>绩效目标：进一步降低市场准入门槛和制度性交易成本、破解“准入不准营”问题，大力推行“个转企”，激发市场活力。</w:t>
      </w:r>
    </w:p>
    <w:p>
      <w:pPr>
        <w:pStyle w:val="30"/>
      </w:pPr>
      <w:r>
        <w:t>绩效指标：将企业开办时间保持在2个小时以内。推行“证照分离”、高效办成一件事改革。</w:t>
      </w:r>
    </w:p>
    <w:p>
      <w:pPr>
        <w:pStyle w:val="30"/>
      </w:pPr>
      <w:r>
        <w:t>（四）深化工程建设项目审批制度改革</w:t>
      </w:r>
    </w:p>
    <w:p>
      <w:pPr>
        <w:pStyle w:val="30"/>
      </w:pPr>
      <w:r>
        <w:t>绩效目标：完善“石家庄市工程建设项目监督管理系统”功能，推行一个系统统一管理、一张蓝图统筹实施、一个窗口综合受理、一张表单整合材料、一套机制规范运行的“五个一”改革模式，加快项目落地速度。</w:t>
      </w:r>
    </w:p>
    <w:p>
      <w:pPr>
        <w:pStyle w:val="30"/>
      </w:pPr>
      <w:r>
        <w:t>绩效指标：将工程建设项目审批时间保持在50个工作日以内。</w:t>
      </w:r>
    </w:p>
    <w:p>
      <w:pPr>
        <w:pStyle w:val="30"/>
      </w:pPr>
      <w:r>
        <w:t>（五）加快社会信用体系建设</w:t>
      </w:r>
    </w:p>
    <w:p>
      <w:pPr>
        <w:pStyle w:val="30"/>
      </w:pPr>
      <w:r>
        <w:t>绩效目标：确保“双公示”准确率和及时率均为100%，畅通信用信息归集整合、交换、公示应用渠道，强化信用监管和信用建设，不断提升社会治理现代化水平。</w:t>
      </w:r>
    </w:p>
    <w:p>
      <w:pPr>
        <w:pStyle w:val="30"/>
      </w:pPr>
      <w:r>
        <w:t xml:space="preserve">绩效指标：社会信用体系考核排名保持在第一方阵。 </w:t>
      </w:r>
    </w:p>
    <w:p>
      <w:pPr>
        <w:pStyle w:val="30"/>
      </w:pPr>
      <w:r>
        <w:t>（六）深化公共资源交易体制改革</w:t>
      </w:r>
    </w:p>
    <w:p>
      <w:pPr>
        <w:pStyle w:val="30"/>
      </w:pPr>
      <w:r>
        <w:t>绩效目标：提升公共资源交易电子化水平，进一步扩大评标公示范围，促进电子合同网签，推进远程异地评标，确保“双盲”评审100%，加强对公共资源交易活动的监督和管理，保障公共交易顺利开展。</w:t>
      </w:r>
    </w:p>
    <w:p>
      <w:pPr>
        <w:pStyle w:val="30"/>
      </w:pPr>
      <w:r>
        <w:t xml:space="preserve">绩效指标：确保土地招拍挂的顺利开展，完成率100%，招投标项目完成率≥95%，确保开评标及应用平台系统安全正常运行。  </w:t>
      </w:r>
    </w:p>
    <w:p>
      <w:pPr>
        <w:spacing w:line="500" w:lineRule="exact"/>
        <w:ind w:firstLine="560"/>
      </w:pPr>
      <w:r>
        <w:rPr>
          <w:rFonts w:eastAsia="方正仿宋_GBK"/>
          <w:color w:val="000000"/>
          <w:sz w:val="28"/>
        </w:rPr>
        <w:t>（三）工作保障措施</w:t>
      </w:r>
    </w:p>
    <w:p>
      <w:pPr>
        <w:pStyle w:val="31"/>
      </w:pPr>
      <w:r>
        <w:t>完善制度建设。制定完善预算绩效管理制度,严格按照区财政预算工作安排，科学设定绩效指标和目标，从源头上保障绩效管理的有效落实，严格按照财务管理制度列支各类资金，确保资金支出有序进行，为全年预算绩效目标的实现奠定基础。</w:t>
      </w:r>
    </w:p>
    <w:p>
      <w:pPr>
        <w:pStyle w:val="31"/>
      </w:pPr>
      <w:r>
        <w:t>加强支出管理。以项目预算绩效为依据，优化支出结构，编细编实预算，支出执行有章可循。加快履行政府采购手续，提前谋划，尽快启动项目，资金支出安排科学合理，为项目组织实施保驾护航。</w:t>
      </w:r>
    </w:p>
    <w:p>
      <w:pPr>
        <w:pStyle w:val="31"/>
      </w:pPr>
      <w:r>
        <w:t>加强绩效运行监控。按要求开展绩效运行监控，发现问题及时采取措施，确保绩效目标如期保质实现。</w:t>
      </w:r>
    </w:p>
    <w:p>
      <w:pPr>
        <w:pStyle w:val="31"/>
      </w:pPr>
      <w:r>
        <w:t>做好绩效自评。按要求开展上年度部门预算绩效自评和重点评价工作，对评价中发现的问题及时整改，调整优化支出结构，提高财政资金使用效益。</w:t>
      </w:r>
    </w:p>
    <w:p>
      <w:pPr>
        <w:pStyle w:val="31"/>
      </w:pPr>
      <w:r>
        <w:t>规范财务资产管理。严格遵守财务管理制度，确保账面数字真实、完整，加强程序管理，严格审批程序，依照政府采购目录进行政府采购，加强固定资产登记、使用和报废处置管理，做到支出合理，物尽其用。</w:t>
      </w:r>
    </w:p>
    <w:p>
      <w:pPr>
        <w:pStyle w:val="31"/>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pPr>
      <w:r>
        <w:t>加强宣传培训调研。加强人员培训，提高审批系统审批人员工作能力，强化预算绩效管理意识，掌握工作方法，提升管理能力；加强调研，提出优化财政资金配置、提高资金使用效益的意见建议；加大宣传力度，强化预算绩效管理意识，促进预算绩效管理水平进一步提升。</w:t>
      </w:r>
    </w:p>
    <w:p>
      <w:pPr>
        <w:pStyle w:val="31"/>
        <w:sectPr>
          <w:pgSz w:w="16840" w:h="11900" w:orient="landscape"/>
          <w:pgMar w:top="1361" w:right="1020" w:bottom="1361" w:left="1020" w:header="720" w:footer="720" w:gutter="0"/>
          <w:cols w:num="1" w:space="720"/>
          <w:docGrid w:linePitch="326" w:charSpace="0"/>
        </w:sectPr>
      </w:pPr>
    </w:p>
    <w:p>
      <w:pPr>
        <w:spacing w:before="10" w:after="10" w:line="360" w:lineRule="auto"/>
        <w:ind w:firstLine="640"/>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outlineLvl w:val="2"/>
        <w:rPr>
          <w:rFonts w:ascii="黑体" w:eastAsia="黑体" w:cs="黑体" w:hAnsi="黑体"/>
          <w:color w:val="000000"/>
          <w:sz w:val="32"/>
        </w:rPr>
      </w:pPr>
    </w:p>
    <w:p>
      <w:pPr>
        <w:spacing w:before="10" w:after="10" w:line="360" w:lineRule="auto"/>
        <w:ind w:firstLine="640"/>
        <w:outlineLvl w:val="2"/>
        <w:sectPr>
          <w:pgSz w:w="16840" w:h="11900" w:orient="landscape"/>
          <w:pgMar w:top="1361" w:right="1020" w:bottom="1134" w:left="1020" w:header="720" w:footer="720" w:gutter="0"/>
          <w:cols w:num="1" w:space="720"/>
          <w:docGrid w:linePitch="326" w:charSpace="0"/>
        </w:sectPr>
      </w:pPr>
      <w:r>
        <w:rPr>
          <w:rFonts w:eastAsia="方正仿宋_GBK" w:hAnsi="黑体"/>
          <w:sz w:val="28"/>
        </w:rPr>
        <w:t>无</w:t>
      </w:r>
    </w:p>
    <w:p>
      <w:pPr>
        <w:spacing w:before="10" w:after="10" w:line="360" w:lineRule="auto"/>
        <w:ind w:firstLine="640"/>
        <w:outlineLvl w:val="2"/>
        <w:sectPr>
          <w:pgSz w:w="16840" w:h="11900" w:orient="landscape"/>
          <w:pgMar w:top="1361" w:right="1020" w:bottom="1134" w:left="1020" w:header="720" w:footer="720" w:gutter="0"/>
          <w:cols w:num="1" w:space="72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ind w:firstLine="560"/>
      </w:pPr>
      <w:r>
        <w:rPr>
          <w:rFonts w:ascii="方正仿宋_GBK" w:eastAsia="方正仿宋_GBK" w:cs="方正仿宋_GBK" w:hAnsi="方正仿宋_GBK"/>
          <w:color w:val="000000"/>
          <w:sz w:val="28"/>
        </w:rPr>
        <w:t>1、公共资源交易中心“双盲”评审改造提升项目绩效目标表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13010726P00003810013J</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公共资源交易中心“双盲”评审改造提升项目</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45.45</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45.45</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用于支付“双盲”评审设备费用。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45.45</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1.全面推行远程异地评标，进一步升级完善交易平台基础，促进交易更加公平公正。</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设备设施数量</w:t>
            </w:r>
          </w:p>
        </w:tc>
        <w:tc>
          <w:tcPr>
            <w:tcW w:w="5386" w:type="dxa"/>
            <w:tcBorders>
              <w:left w:val="single" w:sz="6" w:space="0" w:color="000000"/>
            </w:tcBorders>
            <w:vAlign w:val="center"/>
          </w:tcPr>
          <w:p>
            <w:pPr>
              <w:pStyle w:val="20"/>
            </w:pPr>
            <w:r>
              <w:t>”双盲“评审设备</w:t>
            </w:r>
          </w:p>
        </w:tc>
        <w:tc>
          <w:tcPr>
            <w:tcW w:w="2268" w:type="dxa"/>
            <w:tcBorders>
              <w:left w:val="single" w:sz="6" w:space="0" w:color="000000"/>
            </w:tcBorders>
            <w:vAlign w:val="center"/>
          </w:tcPr>
          <w:p>
            <w:pPr>
              <w:pStyle w:val="20"/>
            </w:pPr>
            <w:r>
              <w:t>≥12个</w:t>
            </w:r>
          </w:p>
        </w:tc>
        <w:tc>
          <w:tcPr>
            <w:tcW w:w="1276" w:type="dxa"/>
            <w:tcBorders>
              <w:left w:val="single" w:sz="6" w:space="0" w:color="000000"/>
            </w:tcBorders>
            <w:vAlign w:val="center"/>
          </w:tcPr>
          <w:p>
            <w:pPr>
              <w:pStyle w:val="20"/>
            </w:pPr>
            <w:r>
              <w:t>2026年公共资源交易中心工作方案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验收合格率</w:t>
            </w:r>
          </w:p>
        </w:tc>
        <w:tc>
          <w:tcPr>
            <w:tcW w:w="5386" w:type="dxa"/>
            <w:tcBorders>
              <w:left w:val="single" w:sz="6" w:space="0" w:color="000000"/>
            </w:tcBorders>
            <w:vAlign w:val="center"/>
          </w:tcPr>
          <w:p>
            <w:pPr>
              <w:pStyle w:val="20"/>
            </w:pPr>
            <w:r>
              <w:t>”双盲“评审设备验收合格率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2026年公共资源交易中心工作方案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升级完成时间</w:t>
            </w:r>
          </w:p>
        </w:tc>
        <w:tc>
          <w:tcPr>
            <w:tcW w:w="5386" w:type="dxa"/>
            <w:tcBorders>
              <w:left w:val="single" w:sz="6" w:space="0" w:color="000000"/>
            </w:tcBorders>
            <w:vAlign w:val="center"/>
          </w:tcPr>
          <w:p>
            <w:pPr>
              <w:pStyle w:val="20"/>
            </w:pPr>
            <w:r>
              <w:t>”双盲“评审改造提升完成时间</w:t>
            </w:r>
          </w:p>
        </w:tc>
        <w:tc>
          <w:tcPr>
            <w:tcW w:w="2268" w:type="dxa"/>
            <w:tcBorders>
              <w:left w:val="single" w:sz="6" w:space="0" w:color="000000"/>
            </w:tcBorders>
            <w:vAlign w:val="center"/>
          </w:tcPr>
          <w:p>
            <w:pPr>
              <w:pStyle w:val="20"/>
            </w:pPr>
            <w:r>
              <w:t>2025年</w:t>
            </w:r>
          </w:p>
        </w:tc>
        <w:tc>
          <w:tcPr>
            <w:tcW w:w="1276" w:type="dxa"/>
            <w:tcBorders>
              <w:left w:val="single" w:sz="6" w:space="0" w:color="000000"/>
            </w:tcBorders>
            <w:vAlign w:val="center"/>
          </w:tcPr>
          <w:p>
            <w:pPr>
              <w:pStyle w:val="20"/>
            </w:pPr>
            <w:r>
              <w:t>2026年公共资源交易中心工作方案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提升改造成本</w:t>
            </w:r>
          </w:p>
        </w:tc>
        <w:tc>
          <w:tcPr>
            <w:tcW w:w="5386" w:type="dxa"/>
            <w:tcBorders>
              <w:left w:val="single" w:sz="6" w:space="0" w:color="000000"/>
            </w:tcBorders>
            <w:vAlign w:val="center"/>
          </w:tcPr>
          <w:p>
            <w:pPr>
              <w:pStyle w:val="20"/>
            </w:pPr>
            <w:r>
              <w:t>”双盲“评审提升改造成本</w:t>
            </w:r>
          </w:p>
        </w:tc>
        <w:tc>
          <w:tcPr>
            <w:tcW w:w="2268" w:type="dxa"/>
            <w:tcBorders>
              <w:left w:val="single" w:sz="6" w:space="0" w:color="000000"/>
            </w:tcBorders>
            <w:vAlign w:val="center"/>
          </w:tcPr>
          <w:p>
            <w:pPr>
              <w:pStyle w:val="20"/>
            </w:pPr>
            <w:r>
              <w:t>≤45.45万元</w:t>
            </w:r>
          </w:p>
        </w:tc>
        <w:tc>
          <w:tcPr>
            <w:tcW w:w="1276" w:type="dxa"/>
            <w:tcBorders>
              <w:left w:val="single" w:sz="6" w:space="0" w:color="000000"/>
            </w:tcBorders>
            <w:vAlign w:val="center"/>
          </w:tcPr>
          <w:p>
            <w:pPr>
              <w:pStyle w:val="20"/>
            </w:pPr>
            <w:r>
              <w:t>2026年公共资源交易中心工作计划</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进一步提升完善交易平台</w:t>
            </w:r>
          </w:p>
        </w:tc>
        <w:tc>
          <w:tcPr>
            <w:tcW w:w="5386" w:type="dxa"/>
            <w:tcBorders>
              <w:left w:val="single" w:sz="6" w:space="0" w:color="000000"/>
            </w:tcBorders>
            <w:vAlign w:val="center"/>
          </w:tcPr>
          <w:p>
            <w:pPr>
              <w:pStyle w:val="20"/>
            </w:pPr>
            <w:r>
              <w:t>进一步提升完善交易平台，促进交易更加公平公正</w:t>
            </w:r>
          </w:p>
        </w:tc>
        <w:tc>
          <w:tcPr>
            <w:tcW w:w="2268" w:type="dxa"/>
            <w:tcBorders>
              <w:left w:val="single" w:sz="6" w:space="0" w:color="000000"/>
            </w:tcBorders>
            <w:vAlign w:val="center"/>
          </w:tcPr>
          <w:p>
            <w:pPr>
              <w:pStyle w:val="20"/>
            </w:pPr>
            <w:r>
              <w:t>进一步提升完善交易平台，促进交易更加公平公正</w:t>
            </w:r>
          </w:p>
        </w:tc>
        <w:tc>
          <w:tcPr>
            <w:tcW w:w="1276" w:type="dxa"/>
            <w:tcBorders>
              <w:left w:val="single" w:sz="6" w:space="0" w:color="000000"/>
            </w:tcBorders>
            <w:vAlign w:val="center"/>
          </w:tcPr>
          <w:p>
            <w:pPr>
              <w:pStyle w:val="20"/>
            </w:pPr>
            <w:r>
              <w:t>2026年公共资源交易中心工作方案</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招标单位满意度</w:t>
            </w:r>
          </w:p>
        </w:tc>
        <w:tc>
          <w:tcPr>
            <w:tcW w:w="5386" w:type="dxa"/>
            <w:tcBorders>
              <w:left w:val="single" w:sz="6" w:space="0" w:color="000000"/>
            </w:tcBorders>
            <w:vAlign w:val="center"/>
          </w:tcPr>
          <w:p>
            <w:pPr>
              <w:pStyle w:val="20"/>
            </w:pPr>
            <w:r>
              <w:t>招标单位满意度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type w:val="continuous"/>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2、劳务派遣经费（保安）绩效目标表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13010726P000210103668</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劳务派遣经费（保安）</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7.20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7.20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用于支付4名保安人员工资。</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1.78</w:t>
            </w:r>
          </w:p>
        </w:tc>
        <w:tc>
          <w:tcPr>
            <w:tcW w:w="2835" w:type="dxa"/>
            <w:tcBorders>
              <w:left w:val="single" w:sz="6" w:space="0" w:color="000000"/>
            </w:tcBorders>
            <w:vAlign w:val="center"/>
          </w:tcPr>
          <w:p>
            <w:pPr>
              <w:pStyle w:val="21"/>
            </w:pPr>
            <w:r>
              <w:t>3.55</w:t>
            </w:r>
          </w:p>
        </w:tc>
        <w:tc>
          <w:tcPr>
            <w:tcW w:w="2551" w:type="dxa"/>
            <w:tcBorders>
              <w:left w:val="single" w:sz="6" w:space="0" w:color="000000"/>
            </w:tcBorders>
            <w:vAlign w:val="center"/>
          </w:tcPr>
          <w:p>
            <w:pPr>
              <w:pStyle w:val="21"/>
            </w:pPr>
            <w:r>
              <w:t>5.33</w:t>
            </w:r>
          </w:p>
        </w:tc>
        <w:tc>
          <w:tcPr>
            <w:tcW w:w="3544" w:type="dxa"/>
            <w:gridSpan w:val="2"/>
            <w:tcBorders>
              <w:left w:val="single" w:sz="6" w:space="0" w:color="000000"/>
            </w:tcBorders>
            <w:vAlign w:val="center"/>
          </w:tcPr>
          <w:p>
            <w:pPr>
              <w:pStyle w:val="21"/>
            </w:pPr>
            <w:r>
              <w:t>7.10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1.按时发放保安人员工资，提高人员积极性，提高机关正常运转。保障保安的权益。</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保安数量</w:t>
            </w:r>
          </w:p>
        </w:tc>
        <w:tc>
          <w:tcPr>
            <w:tcW w:w="5386" w:type="dxa"/>
            <w:tcBorders>
              <w:left w:val="single" w:sz="6" w:space="0" w:color="000000"/>
            </w:tcBorders>
            <w:vAlign w:val="center"/>
          </w:tcPr>
          <w:p>
            <w:pPr>
              <w:pStyle w:val="20"/>
            </w:pPr>
            <w:r>
              <w:t>政务服务大厅保安数量</w:t>
            </w:r>
          </w:p>
        </w:tc>
        <w:tc>
          <w:tcPr>
            <w:tcW w:w="2268" w:type="dxa"/>
            <w:tcBorders>
              <w:left w:val="single" w:sz="6" w:space="0" w:color="000000"/>
            </w:tcBorders>
            <w:vAlign w:val="center"/>
          </w:tcPr>
          <w:p>
            <w:pPr>
              <w:pStyle w:val="20"/>
            </w:pPr>
            <w:r>
              <w:t>4人</w:t>
            </w:r>
          </w:p>
        </w:tc>
        <w:tc>
          <w:tcPr>
            <w:tcW w:w="1276" w:type="dxa"/>
            <w:tcBorders>
              <w:left w:val="single" w:sz="6" w:space="0" w:color="000000"/>
            </w:tcBorders>
            <w:vAlign w:val="center"/>
          </w:tcPr>
          <w:p>
            <w:pPr>
              <w:pStyle w:val="20"/>
            </w:pPr>
            <w:r>
              <w:t>保安人数统计</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工资发放准确率</w:t>
            </w:r>
          </w:p>
        </w:tc>
        <w:tc>
          <w:tcPr>
            <w:tcW w:w="5386" w:type="dxa"/>
            <w:tcBorders>
              <w:left w:val="single" w:sz="6" w:space="0" w:color="000000"/>
            </w:tcBorders>
            <w:vAlign w:val="center"/>
          </w:tcPr>
          <w:p>
            <w:pPr>
              <w:pStyle w:val="20"/>
            </w:pPr>
            <w:r>
              <w:t>保安工资发放正确率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参考2025年发放情况</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工资发放时间</w:t>
            </w:r>
          </w:p>
        </w:tc>
        <w:tc>
          <w:tcPr>
            <w:tcW w:w="5386" w:type="dxa"/>
            <w:tcBorders>
              <w:left w:val="single" w:sz="6" w:space="0" w:color="000000"/>
            </w:tcBorders>
            <w:vAlign w:val="center"/>
          </w:tcPr>
          <w:p>
            <w:pPr>
              <w:pStyle w:val="20"/>
            </w:pPr>
            <w:r>
              <w:t>保安工资发放时间</w:t>
            </w:r>
          </w:p>
        </w:tc>
        <w:tc>
          <w:tcPr>
            <w:tcW w:w="2268" w:type="dxa"/>
            <w:tcBorders>
              <w:left w:val="single" w:sz="6" w:space="0" w:color="000000"/>
            </w:tcBorders>
            <w:vAlign w:val="center"/>
          </w:tcPr>
          <w:p>
            <w:pPr>
              <w:pStyle w:val="20"/>
            </w:pPr>
            <w:r>
              <w:t>一月一次</w:t>
            </w:r>
          </w:p>
        </w:tc>
        <w:tc>
          <w:tcPr>
            <w:tcW w:w="1276" w:type="dxa"/>
            <w:tcBorders>
              <w:left w:val="single" w:sz="6" w:space="0" w:color="000000"/>
            </w:tcBorders>
            <w:vAlign w:val="center"/>
          </w:tcPr>
          <w:p>
            <w:pPr>
              <w:pStyle w:val="20"/>
            </w:pPr>
            <w:r>
              <w:t>参考2025年发放情况</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保安人均工资</w:t>
            </w:r>
          </w:p>
        </w:tc>
        <w:tc>
          <w:tcPr>
            <w:tcW w:w="5386" w:type="dxa"/>
            <w:tcBorders>
              <w:left w:val="single" w:sz="6" w:space="0" w:color="000000"/>
            </w:tcBorders>
            <w:vAlign w:val="center"/>
          </w:tcPr>
          <w:p>
            <w:pPr>
              <w:pStyle w:val="20"/>
            </w:pPr>
            <w:r>
              <w:t>政务服务大厅保安人均工资</w:t>
            </w:r>
          </w:p>
        </w:tc>
        <w:tc>
          <w:tcPr>
            <w:tcW w:w="2268" w:type="dxa"/>
            <w:tcBorders>
              <w:left w:val="single" w:sz="6" w:space="0" w:color="000000"/>
            </w:tcBorders>
            <w:vAlign w:val="center"/>
          </w:tcPr>
          <w:p>
            <w:pPr>
              <w:pStyle w:val="20"/>
            </w:pPr>
            <w:r>
              <w:t>≤1480元/人/月</w:t>
            </w:r>
          </w:p>
        </w:tc>
        <w:tc>
          <w:tcPr>
            <w:tcW w:w="1276" w:type="dxa"/>
            <w:tcBorders>
              <w:left w:val="single" w:sz="6" w:space="0" w:color="000000"/>
            </w:tcBorders>
            <w:vAlign w:val="center"/>
          </w:tcPr>
          <w:p>
            <w:pPr>
              <w:pStyle w:val="20"/>
            </w:pPr>
            <w:r>
              <w:t>劳务派遣合同</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保障大厅安保情况</w:t>
            </w:r>
          </w:p>
        </w:tc>
        <w:tc>
          <w:tcPr>
            <w:tcW w:w="5386" w:type="dxa"/>
            <w:tcBorders>
              <w:left w:val="single" w:sz="6" w:space="0" w:color="000000"/>
            </w:tcBorders>
            <w:vAlign w:val="center"/>
          </w:tcPr>
          <w:p>
            <w:pPr>
              <w:pStyle w:val="20"/>
            </w:pPr>
            <w:r>
              <w:t>确保大厅安保，保证政务服务大厅工作正常运转</w:t>
            </w:r>
          </w:p>
        </w:tc>
        <w:tc>
          <w:tcPr>
            <w:tcW w:w="2268" w:type="dxa"/>
            <w:tcBorders>
              <w:left w:val="single" w:sz="6" w:space="0" w:color="000000"/>
            </w:tcBorders>
            <w:vAlign w:val="center"/>
          </w:tcPr>
          <w:p>
            <w:pPr>
              <w:pStyle w:val="20"/>
            </w:pPr>
            <w:r>
              <w:t>保障大厅安保工作</w:t>
            </w:r>
          </w:p>
        </w:tc>
        <w:tc>
          <w:tcPr>
            <w:tcW w:w="1276" w:type="dxa"/>
            <w:tcBorders>
              <w:left w:val="single" w:sz="6" w:space="0" w:color="000000"/>
            </w:tcBorders>
            <w:vAlign w:val="center"/>
          </w:tcPr>
          <w:p>
            <w:pPr>
              <w:pStyle w:val="20"/>
            </w:pPr>
            <w:r>
              <w:t>2025年度数政局运转计划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大厅保安及劳务派遣人员满意度</w:t>
            </w:r>
          </w:p>
        </w:tc>
        <w:tc>
          <w:tcPr>
            <w:tcW w:w="5386" w:type="dxa"/>
            <w:tcBorders>
              <w:left w:val="single" w:sz="6" w:space="0" w:color="000000"/>
            </w:tcBorders>
            <w:vAlign w:val="center"/>
          </w:tcPr>
          <w:p>
            <w:pPr>
              <w:pStyle w:val="20"/>
            </w:pPr>
            <w:r>
              <w:t>大厅保安对工资满意度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3、企业户籍档案数字化服务项目经费绩效目标表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13010726P00003810009C</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企业户籍档案数字化服务项目经费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5.00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5.00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用于支付企业户籍档案服务费用。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5.00</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1.通过使用企业户籍档案数字化，为企业提供带有签章和防伪水印的电子档案查询、拷贝服务，“一次拷贝，终生受用”，提升企业档案查询的实效性和便利度。</w:t>
              <w:tab/>
              <w:tab/>
              <w:tab/>
              <w:tab/>
              <w:tab/>
              <w:tab/>
            </w:r>
          </w:p>
          <w:p>
            <w:pPr>
              <w:pStyle w:val="20"/>
            </w:pP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电子化户籍数量</w:t>
            </w:r>
          </w:p>
        </w:tc>
        <w:tc>
          <w:tcPr>
            <w:tcW w:w="5386" w:type="dxa"/>
            <w:tcBorders>
              <w:left w:val="single" w:sz="6" w:space="0" w:color="000000"/>
            </w:tcBorders>
            <w:vAlign w:val="center"/>
          </w:tcPr>
          <w:p>
            <w:pPr>
              <w:pStyle w:val="20"/>
            </w:pPr>
            <w:r>
              <w:t>企业户籍电子化数量</w:t>
            </w:r>
          </w:p>
        </w:tc>
        <w:tc>
          <w:tcPr>
            <w:tcW w:w="2268" w:type="dxa"/>
            <w:tcBorders>
              <w:left w:val="single" w:sz="6" w:space="0" w:color="000000"/>
            </w:tcBorders>
            <w:vAlign w:val="center"/>
          </w:tcPr>
          <w:p>
            <w:pPr>
              <w:pStyle w:val="20"/>
            </w:pPr>
            <w:r>
              <w:t>≥100个</w:t>
            </w:r>
          </w:p>
        </w:tc>
        <w:tc>
          <w:tcPr>
            <w:tcW w:w="1276" w:type="dxa"/>
            <w:tcBorders>
              <w:left w:val="single" w:sz="6" w:space="0" w:color="000000"/>
            </w:tcBorders>
            <w:vAlign w:val="center"/>
          </w:tcPr>
          <w:p>
            <w:pPr>
              <w:pStyle w:val="20"/>
            </w:pPr>
            <w:r>
              <w:t>"2026年企业户籍档案数字化</w:t>
            </w:r>
          </w:p>
          <w:p>
            <w:pPr>
              <w:pStyle w:val="20"/>
            </w:pPr>
            <w:r>
              <w:t>服务工作计划"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系统故障率</w:t>
            </w:r>
          </w:p>
        </w:tc>
        <w:tc>
          <w:tcPr>
            <w:tcW w:w="5386" w:type="dxa"/>
            <w:tcBorders>
              <w:left w:val="single" w:sz="6" w:space="0" w:color="000000"/>
            </w:tcBorders>
            <w:vAlign w:val="center"/>
          </w:tcPr>
          <w:p>
            <w:pPr>
              <w:pStyle w:val="20"/>
            </w:pPr>
            <w:r>
              <w:t>系统使用过程中发生故障几率</w:t>
            </w:r>
          </w:p>
        </w:tc>
        <w:tc>
          <w:tcPr>
            <w:tcW w:w="2268" w:type="dxa"/>
            <w:tcBorders>
              <w:left w:val="single" w:sz="6" w:space="0" w:color="000000"/>
            </w:tcBorders>
            <w:vAlign w:val="center"/>
          </w:tcPr>
          <w:p>
            <w:pPr>
              <w:pStyle w:val="20"/>
            </w:pPr>
            <w:r>
              <w:t>≤5%</w:t>
            </w:r>
          </w:p>
        </w:tc>
        <w:tc>
          <w:tcPr>
            <w:tcW w:w="1276" w:type="dxa"/>
            <w:tcBorders>
              <w:left w:val="single" w:sz="6" w:space="0" w:color="000000"/>
            </w:tcBorders>
            <w:vAlign w:val="center"/>
          </w:tcPr>
          <w:p>
            <w:pPr>
              <w:pStyle w:val="20"/>
            </w:pPr>
            <w:r>
              <w:t>企业户籍档案数字化服务合同</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处理故障反应时间</w:t>
            </w:r>
          </w:p>
        </w:tc>
        <w:tc>
          <w:tcPr>
            <w:tcW w:w="5386" w:type="dxa"/>
            <w:tcBorders>
              <w:left w:val="single" w:sz="6" w:space="0" w:color="000000"/>
            </w:tcBorders>
            <w:vAlign w:val="center"/>
          </w:tcPr>
          <w:p>
            <w:pPr>
              <w:pStyle w:val="20"/>
            </w:pPr>
            <w:r>
              <w:t>发生故障后前往解决问题的反应时间</w:t>
            </w:r>
          </w:p>
        </w:tc>
        <w:tc>
          <w:tcPr>
            <w:tcW w:w="2268" w:type="dxa"/>
            <w:tcBorders>
              <w:left w:val="single" w:sz="6" w:space="0" w:color="000000"/>
            </w:tcBorders>
            <w:vAlign w:val="center"/>
          </w:tcPr>
          <w:p>
            <w:pPr>
              <w:pStyle w:val="20"/>
            </w:pPr>
            <w:r>
              <w:t>≤12小时</w:t>
            </w:r>
          </w:p>
        </w:tc>
        <w:tc>
          <w:tcPr>
            <w:tcW w:w="1276" w:type="dxa"/>
            <w:tcBorders>
              <w:left w:val="single" w:sz="6" w:space="0" w:color="000000"/>
            </w:tcBorders>
            <w:vAlign w:val="center"/>
          </w:tcPr>
          <w:p>
            <w:pPr>
              <w:pStyle w:val="20"/>
            </w:pPr>
            <w:r>
              <w:t>企业户籍档案数字化服务合同</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电子化费用</w:t>
            </w:r>
          </w:p>
        </w:tc>
        <w:tc>
          <w:tcPr>
            <w:tcW w:w="5386" w:type="dxa"/>
            <w:tcBorders>
              <w:left w:val="single" w:sz="6" w:space="0" w:color="000000"/>
            </w:tcBorders>
            <w:vAlign w:val="center"/>
          </w:tcPr>
          <w:p>
            <w:pPr>
              <w:pStyle w:val="20"/>
            </w:pPr>
            <w:r>
              <w:t>企业户籍电子化费用</w:t>
            </w:r>
          </w:p>
        </w:tc>
        <w:tc>
          <w:tcPr>
            <w:tcW w:w="2268" w:type="dxa"/>
            <w:tcBorders>
              <w:left w:val="single" w:sz="6" w:space="0" w:color="000000"/>
            </w:tcBorders>
            <w:vAlign w:val="center"/>
          </w:tcPr>
          <w:p>
            <w:pPr>
              <w:pStyle w:val="20"/>
            </w:pPr>
            <w:r>
              <w:t>≤5万元</w:t>
            </w:r>
          </w:p>
        </w:tc>
        <w:tc>
          <w:tcPr>
            <w:tcW w:w="1276" w:type="dxa"/>
            <w:tcBorders>
              <w:left w:val="single" w:sz="6" w:space="0" w:color="000000"/>
            </w:tcBorders>
            <w:vAlign w:val="center"/>
          </w:tcPr>
          <w:p>
            <w:pPr>
              <w:pStyle w:val="20"/>
            </w:pPr>
            <w:r>
              <w:t>企业户籍档案数字化服务合同</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提升企业档案查询的实效性和便利度</w:t>
            </w:r>
          </w:p>
        </w:tc>
        <w:tc>
          <w:tcPr>
            <w:tcW w:w="5386" w:type="dxa"/>
            <w:tcBorders>
              <w:left w:val="single" w:sz="6" w:space="0" w:color="000000"/>
            </w:tcBorders>
            <w:vAlign w:val="center"/>
          </w:tcPr>
          <w:p>
            <w:pPr>
              <w:pStyle w:val="20"/>
            </w:pPr>
            <w:r>
              <w:t>户籍电子化提升企业档案查询的实效性和便利度。</w:t>
            </w:r>
          </w:p>
        </w:tc>
        <w:tc>
          <w:tcPr>
            <w:tcW w:w="2268" w:type="dxa"/>
            <w:tcBorders>
              <w:left w:val="single" w:sz="6" w:space="0" w:color="000000"/>
            </w:tcBorders>
            <w:vAlign w:val="center"/>
          </w:tcPr>
          <w:p>
            <w:pPr>
              <w:pStyle w:val="20"/>
            </w:pPr>
            <w:r>
              <w:t>提升企业档案查询的实效性和便利度</w:t>
            </w:r>
          </w:p>
        </w:tc>
        <w:tc>
          <w:tcPr>
            <w:tcW w:w="1276" w:type="dxa"/>
            <w:tcBorders>
              <w:left w:val="single" w:sz="6" w:space="0" w:color="000000"/>
            </w:tcBorders>
            <w:vAlign w:val="center"/>
          </w:tcPr>
          <w:p>
            <w:pPr>
              <w:pStyle w:val="20"/>
            </w:pPr>
            <w:r>
              <w:t>2026年企业户籍档案数字化</w:t>
            </w:r>
          </w:p>
          <w:p>
            <w:pPr>
              <w:pStyle w:val="20"/>
            </w:pPr>
            <w:r>
              <w:t>服务工作计划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工作人员满意度</w:t>
            </w:r>
          </w:p>
        </w:tc>
        <w:tc>
          <w:tcPr>
            <w:tcW w:w="5386" w:type="dxa"/>
            <w:tcBorders>
              <w:left w:val="single" w:sz="6" w:space="0" w:color="000000"/>
            </w:tcBorders>
            <w:vAlign w:val="center"/>
          </w:tcPr>
          <w:p>
            <w:pPr>
              <w:pStyle w:val="20"/>
            </w:pPr>
            <w:r>
              <w:t>工作人员对户籍电子化满意度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4、项目评估评审费用绩效目标表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13010726P00003810011B</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项目评估评审费用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50.00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50.00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用于支付项目评估评审费。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50.00</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1.通过招投标，委托第三方评估机构，对审批项目进行评估评审，提高行政审批的准确性和实效性。</w:t>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评审评估项目完成率</w:t>
            </w:r>
          </w:p>
        </w:tc>
        <w:tc>
          <w:tcPr>
            <w:tcW w:w="5386" w:type="dxa"/>
            <w:tcBorders>
              <w:left w:val="single" w:sz="6" w:space="0" w:color="000000"/>
            </w:tcBorders>
            <w:vAlign w:val="center"/>
          </w:tcPr>
          <w:p>
            <w:pPr>
              <w:pStyle w:val="20"/>
            </w:pPr>
            <w:r>
              <w:t>评审评估项目数量占总评审评估项目数量*100%</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2026年项目评估评审工作计划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评审评估项目验收合格率</w:t>
            </w:r>
          </w:p>
        </w:tc>
        <w:tc>
          <w:tcPr>
            <w:tcW w:w="5386" w:type="dxa"/>
            <w:tcBorders>
              <w:left w:val="single" w:sz="6" w:space="0" w:color="000000"/>
            </w:tcBorders>
            <w:vAlign w:val="center"/>
          </w:tcPr>
          <w:p>
            <w:pPr>
              <w:pStyle w:val="20"/>
            </w:pPr>
            <w:r>
              <w:t>第三方评审评估项目验收合格率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2026年项目评估评审工作计划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工作完成的及时性</w:t>
            </w:r>
          </w:p>
        </w:tc>
        <w:tc>
          <w:tcPr>
            <w:tcW w:w="5386" w:type="dxa"/>
            <w:tcBorders>
              <w:left w:val="single" w:sz="6" w:space="0" w:color="000000"/>
            </w:tcBorders>
            <w:vAlign w:val="center"/>
          </w:tcPr>
          <w:p>
            <w:pPr>
              <w:pStyle w:val="20"/>
            </w:pPr>
            <w:r>
              <w:t>评估评审工作完成及时性</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2026年项目评估评审工作计划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评估费用</w:t>
            </w:r>
          </w:p>
        </w:tc>
        <w:tc>
          <w:tcPr>
            <w:tcW w:w="5386" w:type="dxa"/>
            <w:tcBorders>
              <w:left w:val="single" w:sz="6" w:space="0" w:color="000000"/>
            </w:tcBorders>
            <w:vAlign w:val="center"/>
          </w:tcPr>
          <w:p>
            <w:pPr>
              <w:pStyle w:val="20"/>
            </w:pPr>
            <w:r>
              <w:t>评审评估费用</w:t>
            </w:r>
          </w:p>
        </w:tc>
        <w:tc>
          <w:tcPr>
            <w:tcW w:w="2268" w:type="dxa"/>
            <w:tcBorders>
              <w:left w:val="single" w:sz="6" w:space="0" w:color="000000"/>
            </w:tcBorders>
            <w:vAlign w:val="center"/>
          </w:tcPr>
          <w:p>
            <w:pPr>
              <w:pStyle w:val="20"/>
            </w:pPr>
            <w:r>
              <w:t>≤50万元</w:t>
            </w:r>
          </w:p>
        </w:tc>
        <w:tc>
          <w:tcPr>
            <w:tcW w:w="1276" w:type="dxa"/>
            <w:tcBorders>
              <w:left w:val="single" w:sz="6" w:space="0" w:color="000000"/>
            </w:tcBorders>
            <w:vAlign w:val="center"/>
          </w:tcPr>
          <w:p>
            <w:pPr>
              <w:pStyle w:val="20"/>
            </w:pPr>
            <w:r>
              <w:t>2026年项目评估评审资金需求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提高行政审批的准确性和实效性。</w:t>
            </w:r>
          </w:p>
        </w:tc>
        <w:tc>
          <w:tcPr>
            <w:tcW w:w="5386" w:type="dxa"/>
            <w:tcBorders>
              <w:left w:val="single" w:sz="6" w:space="0" w:color="000000"/>
            </w:tcBorders>
            <w:vAlign w:val="center"/>
          </w:tcPr>
          <w:p>
            <w:pPr>
              <w:pStyle w:val="20"/>
            </w:pPr>
            <w:r>
              <w:t>对政府投资项目进行评估，提高行政审批的准确性和实效性。</w:t>
            </w:r>
          </w:p>
        </w:tc>
        <w:tc>
          <w:tcPr>
            <w:tcW w:w="2268" w:type="dxa"/>
            <w:tcBorders>
              <w:left w:val="single" w:sz="6" w:space="0" w:color="000000"/>
            </w:tcBorders>
            <w:vAlign w:val="center"/>
          </w:tcPr>
          <w:p>
            <w:pPr>
              <w:pStyle w:val="20"/>
            </w:pPr>
            <w:r>
              <w:t>对政府投资项目进行评估，提高行政审批的准确性和实效性。</w:t>
            </w:r>
          </w:p>
        </w:tc>
        <w:tc>
          <w:tcPr>
            <w:tcW w:w="1276" w:type="dxa"/>
            <w:tcBorders>
              <w:left w:val="single" w:sz="6" w:space="0" w:color="000000"/>
            </w:tcBorders>
            <w:vAlign w:val="center"/>
          </w:tcPr>
          <w:p>
            <w:pPr>
              <w:pStyle w:val="20"/>
            </w:pPr>
            <w:r>
              <w:t>2026年项目评估评审工作计划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机关单位满意度</w:t>
            </w:r>
          </w:p>
        </w:tc>
        <w:tc>
          <w:tcPr>
            <w:tcW w:w="5386" w:type="dxa"/>
            <w:tcBorders>
              <w:left w:val="single" w:sz="6" w:space="0" w:color="000000"/>
            </w:tcBorders>
            <w:vAlign w:val="center"/>
          </w:tcPr>
          <w:p>
            <w:pPr>
              <w:pStyle w:val="20"/>
            </w:pPr>
            <w:r>
              <w:t>机关单位对第三方评审满意度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5、新开办企业印章刻制费用绩效目标表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13010726P00003810010P</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新开办企业印章刻制费用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3.00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3.00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用于支付企业印章刻制费用。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3.00</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1.通过免费对新开办企业印章刻制工作，优化营商环境，减少企业开办成本，激发市场主体活力。</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印章刻制计划完成率</w:t>
            </w:r>
          </w:p>
        </w:tc>
        <w:tc>
          <w:tcPr>
            <w:tcW w:w="5386" w:type="dxa"/>
            <w:tcBorders>
              <w:left w:val="single" w:sz="6" w:space="0" w:color="000000"/>
            </w:tcBorders>
            <w:vAlign w:val="center"/>
          </w:tcPr>
          <w:p>
            <w:pPr>
              <w:pStyle w:val="20"/>
            </w:pPr>
            <w:r>
              <w:t>印章刻制实际完成量占需印章刻制总量的比例</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2026年度印章刻制工作计划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印章刻制合格率</w:t>
            </w:r>
          </w:p>
        </w:tc>
        <w:tc>
          <w:tcPr>
            <w:tcW w:w="5386" w:type="dxa"/>
            <w:tcBorders>
              <w:left w:val="single" w:sz="6" w:space="0" w:color="000000"/>
            </w:tcBorders>
            <w:vAlign w:val="center"/>
          </w:tcPr>
          <w:p>
            <w:pPr>
              <w:pStyle w:val="20"/>
            </w:pPr>
            <w:r>
              <w:t>印章刻制工作合格率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2026年度印章刻制工作计划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工作开展时间</w:t>
            </w:r>
          </w:p>
        </w:tc>
        <w:tc>
          <w:tcPr>
            <w:tcW w:w="5386" w:type="dxa"/>
            <w:tcBorders>
              <w:left w:val="single" w:sz="6" w:space="0" w:color="000000"/>
            </w:tcBorders>
            <w:vAlign w:val="center"/>
          </w:tcPr>
          <w:p>
            <w:pPr>
              <w:pStyle w:val="20"/>
            </w:pPr>
            <w:r>
              <w:t>新开办企业印章刻制开展时间</w:t>
            </w:r>
          </w:p>
        </w:tc>
        <w:tc>
          <w:tcPr>
            <w:tcW w:w="2268" w:type="dxa"/>
            <w:tcBorders>
              <w:left w:val="single" w:sz="6" w:space="0" w:color="000000"/>
            </w:tcBorders>
            <w:vAlign w:val="center"/>
          </w:tcPr>
          <w:p>
            <w:pPr>
              <w:pStyle w:val="20"/>
            </w:pPr>
            <w:r>
              <w:t>2026年全年</w:t>
            </w:r>
          </w:p>
        </w:tc>
        <w:tc>
          <w:tcPr>
            <w:tcW w:w="1276" w:type="dxa"/>
            <w:tcBorders>
              <w:left w:val="single" w:sz="6" w:space="0" w:color="000000"/>
            </w:tcBorders>
            <w:vAlign w:val="center"/>
          </w:tcPr>
          <w:p>
            <w:pPr>
              <w:pStyle w:val="20"/>
            </w:pPr>
            <w:r>
              <w:t>2026年度印章刻制工作计划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印章刻制每套成本</w:t>
            </w:r>
          </w:p>
        </w:tc>
        <w:tc>
          <w:tcPr>
            <w:tcW w:w="5386" w:type="dxa"/>
            <w:tcBorders>
              <w:left w:val="single" w:sz="6" w:space="0" w:color="000000"/>
            </w:tcBorders>
            <w:vAlign w:val="center"/>
          </w:tcPr>
          <w:p>
            <w:pPr>
              <w:pStyle w:val="20"/>
            </w:pPr>
            <w:r>
              <w:t>刻制一套印章平均成本</w:t>
            </w:r>
          </w:p>
        </w:tc>
        <w:tc>
          <w:tcPr>
            <w:tcW w:w="2268" w:type="dxa"/>
            <w:tcBorders>
              <w:left w:val="single" w:sz="6" w:space="0" w:color="000000"/>
            </w:tcBorders>
            <w:vAlign w:val="center"/>
          </w:tcPr>
          <w:p>
            <w:pPr>
              <w:pStyle w:val="20"/>
            </w:pPr>
            <w:r>
              <w:t>≤228元/套</w:t>
            </w:r>
          </w:p>
        </w:tc>
        <w:tc>
          <w:tcPr>
            <w:tcW w:w="1276" w:type="dxa"/>
            <w:tcBorders>
              <w:left w:val="single" w:sz="6" w:space="0" w:color="000000"/>
            </w:tcBorders>
            <w:vAlign w:val="center"/>
          </w:tcPr>
          <w:p>
            <w:pPr>
              <w:pStyle w:val="20"/>
            </w:pPr>
            <w:r>
              <w:t>2026年度印章刻制资金需求</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印章刻制预算成本</w:t>
            </w:r>
          </w:p>
        </w:tc>
        <w:tc>
          <w:tcPr>
            <w:tcW w:w="5386" w:type="dxa"/>
            <w:tcBorders>
              <w:left w:val="single" w:sz="6" w:space="0" w:color="000000"/>
            </w:tcBorders>
            <w:vAlign w:val="center"/>
          </w:tcPr>
          <w:p>
            <w:pPr>
              <w:pStyle w:val="20"/>
            </w:pPr>
            <w:r>
              <w:t>印章刻制成本</w:t>
            </w:r>
          </w:p>
        </w:tc>
        <w:tc>
          <w:tcPr>
            <w:tcW w:w="2268" w:type="dxa"/>
            <w:tcBorders>
              <w:left w:val="single" w:sz="6" w:space="0" w:color="000000"/>
            </w:tcBorders>
            <w:vAlign w:val="center"/>
          </w:tcPr>
          <w:p>
            <w:pPr>
              <w:pStyle w:val="20"/>
            </w:pPr>
            <w:r>
              <w:t>≤3万元</w:t>
            </w:r>
          </w:p>
        </w:tc>
        <w:tc>
          <w:tcPr>
            <w:tcW w:w="1276" w:type="dxa"/>
            <w:tcBorders>
              <w:left w:val="single" w:sz="6" w:space="0" w:color="000000"/>
            </w:tcBorders>
            <w:vAlign w:val="center"/>
          </w:tcPr>
          <w:p>
            <w:pPr>
              <w:pStyle w:val="20"/>
            </w:pPr>
            <w:r>
              <w:t>2026年度印章刻制资金需求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优化服务企业能力，为新企业提供便利，减少企业开办成本</w:t>
            </w:r>
          </w:p>
        </w:tc>
        <w:tc>
          <w:tcPr>
            <w:tcW w:w="5386" w:type="dxa"/>
            <w:tcBorders>
              <w:left w:val="single" w:sz="6" w:space="0" w:color="000000"/>
            </w:tcBorders>
            <w:vAlign w:val="center"/>
          </w:tcPr>
          <w:p>
            <w:pPr>
              <w:pStyle w:val="20"/>
            </w:pPr>
            <w:r>
              <w:t>优化服务企业能力，为新企业提供便利，减少企业开办成本。优化营商环境，激发市场主体活力</w:t>
            </w:r>
          </w:p>
        </w:tc>
        <w:tc>
          <w:tcPr>
            <w:tcW w:w="2268" w:type="dxa"/>
            <w:tcBorders>
              <w:left w:val="single" w:sz="6" w:space="0" w:color="000000"/>
            </w:tcBorders>
            <w:vAlign w:val="center"/>
          </w:tcPr>
          <w:p>
            <w:pPr>
              <w:pStyle w:val="20"/>
            </w:pPr>
            <w:r>
              <w:t>为新企业刻章提供便利</w:t>
            </w:r>
          </w:p>
        </w:tc>
        <w:tc>
          <w:tcPr>
            <w:tcW w:w="1276" w:type="dxa"/>
            <w:tcBorders>
              <w:left w:val="single" w:sz="6" w:space="0" w:color="000000"/>
            </w:tcBorders>
            <w:vAlign w:val="center"/>
          </w:tcPr>
          <w:p>
            <w:pPr>
              <w:pStyle w:val="20"/>
            </w:pPr>
            <w:r>
              <w:t>2026年度印章刻制工作计划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新开办企业满意度</w:t>
            </w:r>
          </w:p>
        </w:tc>
        <w:tc>
          <w:tcPr>
            <w:tcW w:w="5386" w:type="dxa"/>
            <w:tcBorders>
              <w:left w:val="single" w:sz="6" w:space="0" w:color="000000"/>
            </w:tcBorders>
            <w:vAlign w:val="center"/>
          </w:tcPr>
          <w:p>
            <w:pPr>
              <w:pStyle w:val="20"/>
            </w:pPr>
            <w:r>
              <w:t>新开办企业对免费印章刻制工作满意度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6、专项网络建设运维租赁经费绩效目标表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13010726P00002510058U</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专项网络建设运维租赁经费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5.00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5.00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"通过用于支付机关内部互联网、电视网络、云视频、政务外网、市场科专线网络费用。</w:t>
              <w:tab/>
              <w:tab/>
              <w:tab/>
              <w:tab/>
              <w:tab/>
              <w:tab/>
            </w:r>
          </w:p>
          <w:p>
            <w:pPr>
              <w:pStyle w:val="20"/>
            </w:pP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3.84</w:t>
            </w:r>
          </w:p>
        </w:tc>
        <w:tc>
          <w:tcPr>
            <w:tcW w:w="2551" w:type="dxa"/>
            <w:tcBorders>
              <w:left w:val="single" w:sz="6" w:space="0" w:color="000000"/>
            </w:tcBorders>
            <w:vAlign w:val="center"/>
          </w:tcPr>
          <w:p>
            <w:pPr>
              <w:pStyle w:val="21"/>
            </w:pPr>
            <w:r>
              <w:t>1.09</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1.通过对机关内部互联网、电视网络、云视频、政务外网、市场科专线进行网络运行进行维护和政务外网维保，保障机关单位正常运转。</w:t>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网络数量</w:t>
            </w:r>
          </w:p>
        </w:tc>
        <w:tc>
          <w:tcPr>
            <w:tcW w:w="5386" w:type="dxa"/>
            <w:tcBorders>
              <w:left w:val="single" w:sz="6" w:space="0" w:color="000000"/>
            </w:tcBorders>
            <w:vAlign w:val="center"/>
          </w:tcPr>
          <w:p>
            <w:pPr>
              <w:pStyle w:val="20"/>
            </w:pPr>
            <w:r>
              <w:t>数政局使用网络数量</w:t>
            </w:r>
          </w:p>
        </w:tc>
        <w:tc>
          <w:tcPr>
            <w:tcW w:w="2268" w:type="dxa"/>
            <w:tcBorders>
              <w:left w:val="single" w:sz="6" w:space="0" w:color="000000"/>
            </w:tcBorders>
            <w:vAlign w:val="center"/>
          </w:tcPr>
          <w:p>
            <w:pPr>
              <w:pStyle w:val="20"/>
            </w:pPr>
            <w:r>
              <w:t>5条</w:t>
            </w:r>
          </w:p>
        </w:tc>
        <w:tc>
          <w:tcPr>
            <w:tcW w:w="1276" w:type="dxa"/>
            <w:tcBorders>
              <w:left w:val="single" w:sz="6" w:space="0" w:color="000000"/>
            </w:tcBorders>
            <w:vAlign w:val="center"/>
          </w:tcPr>
          <w:p>
            <w:pPr>
              <w:pStyle w:val="20"/>
            </w:pPr>
            <w:r>
              <w:t>2025年数政局网络运行计划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正常使用率</w:t>
            </w:r>
          </w:p>
        </w:tc>
        <w:tc>
          <w:tcPr>
            <w:tcW w:w="5386" w:type="dxa"/>
            <w:tcBorders>
              <w:left w:val="single" w:sz="6" w:space="0" w:color="000000"/>
            </w:tcBorders>
            <w:vAlign w:val="center"/>
          </w:tcPr>
          <w:p>
            <w:pPr>
              <w:pStyle w:val="20"/>
            </w:pPr>
            <w:r>
              <w:t>机关网络正常使用率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2025年数政局网络运行计划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网络故障处理反应时间</w:t>
            </w:r>
          </w:p>
        </w:tc>
        <w:tc>
          <w:tcPr>
            <w:tcW w:w="5386" w:type="dxa"/>
            <w:tcBorders>
              <w:left w:val="single" w:sz="6" w:space="0" w:color="000000"/>
            </w:tcBorders>
            <w:vAlign w:val="center"/>
          </w:tcPr>
          <w:p>
            <w:pPr>
              <w:pStyle w:val="20"/>
            </w:pPr>
            <w:r>
              <w:t>机关网络故障处理反应时间</w:t>
            </w:r>
          </w:p>
        </w:tc>
        <w:tc>
          <w:tcPr>
            <w:tcW w:w="2268" w:type="dxa"/>
            <w:tcBorders>
              <w:left w:val="single" w:sz="6" w:space="0" w:color="000000"/>
            </w:tcBorders>
            <w:vAlign w:val="center"/>
          </w:tcPr>
          <w:p>
            <w:pPr>
              <w:pStyle w:val="20"/>
            </w:pPr>
            <w:r>
              <w:t>≤12小时</w:t>
            </w:r>
          </w:p>
        </w:tc>
        <w:tc>
          <w:tcPr>
            <w:tcW w:w="1276" w:type="dxa"/>
            <w:tcBorders>
              <w:left w:val="single" w:sz="6" w:space="0" w:color="000000"/>
            </w:tcBorders>
            <w:vAlign w:val="center"/>
          </w:tcPr>
          <w:p>
            <w:pPr>
              <w:pStyle w:val="20"/>
            </w:pPr>
            <w:r>
              <w:t>2025年数政局网络运行计划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平均费用</w:t>
            </w:r>
          </w:p>
        </w:tc>
        <w:tc>
          <w:tcPr>
            <w:tcW w:w="5386" w:type="dxa"/>
            <w:tcBorders>
              <w:left w:val="single" w:sz="6" w:space="0" w:color="000000"/>
            </w:tcBorders>
            <w:vAlign w:val="center"/>
          </w:tcPr>
          <w:p>
            <w:pPr>
              <w:pStyle w:val="20"/>
            </w:pPr>
            <w:r>
              <w:t>数政局使用网络平均费用</w:t>
            </w:r>
          </w:p>
        </w:tc>
        <w:tc>
          <w:tcPr>
            <w:tcW w:w="2268" w:type="dxa"/>
            <w:tcBorders>
              <w:left w:val="single" w:sz="6" w:space="0" w:color="000000"/>
            </w:tcBorders>
            <w:vAlign w:val="center"/>
          </w:tcPr>
          <w:p>
            <w:pPr>
              <w:pStyle w:val="20"/>
            </w:pPr>
            <w:r>
              <w:t>≤1万元/条</w:t>
            </w:r>
          </w:p>
        </w:tc>
        <w:tc>
          <w:tcPr>
            <w:tcW w:w="1276" w:type="dxa"/>
            <w:tcBorders>
              <w:left w:val="single" w:sz="6" w:space="0" w:color="000000"/>
            </w:tcBorders>
            <w:vAlign w:val="center"/>
          </w:tcPr>
          <w:p>
            <w:pPr>
              <w:pStyle w:val="20"/>
            </w:pPr>
            <w:r>
              <w:t>2025年数政局网络运行资金需求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保障机关单位正常运转</w:t>
            </w:r>
          </w:p>
        </w:tc>
        <w:tc>
          <w:tcPr>
            <w:tcW w:w="5386" w:type="dxa"/>
            <w:tcBorders>
              <w:left w:val="single" w:sz="6" w:space="0" w:color="000000"/>
            </w:tcBorders>
            <w:vAlign w:val="center"/>
          </w:tcPr>
          <w:p>
            <w:pPr>
              <w:pStyle w:val="20"/>
            </w:pPr>
            <w:r>
              <w:t>满足单位用网需求，不断保障机关单位正常运转</w:t>
            </w:r>
          </w:p>
        </w:tc>
        <w:tc>
          <w:tcPr>
            <w:tcW w:w="2268" w:type="dxa"/>
            <w:tcBorders>
              <w:left w:val="single" w:sz="6" w:space="0" w:color="000000"/>
            </w:tcBorders>
            <w:vAlign w:val="center"/>
          </w:tcPr>
          <w:p>
            <w:pPr>
              <w:pStyle w:val="20"/>
            </w:pPr>
            <w:r>
              <w:t>保障机关单位正常运转</w:t>
            </w:r>
          </w:p>
        </w:tc>
        <w:tc>
          <w:tcPr>
            <w:tcW w:w="1276" w:type="dxa"/>
            <w:tcBorders>
              <w:left w:val="single" w:sz="6" w:space="0" w:color="000000"/>
            </w:tcBorders>
            <w:vAlign w:val="center"/>
          </w:tcPr>
          <w:p>
            <w:pPr>
              <w:pStyle w:val="20"/>
            </w:pPr>
            <w:r>
              <w:t>2025年数政局网络运行计划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机关单位人员满意度</w:t>
            </w:r>
          </w:p>
        </w:tc>
        <w:tc>
          <w:tcPr>
            <w:tcW w:w="5386" w:type="dxa"/>
            <w:tcBorders>
              <w:left w:val="single" w:sz="6" w:space="0" w:color="000000"/>
            </w:tcBorders>
            <w:vAlign w:val="center"/>
          </w:tcPr>
          <w:p>
            <w:pPr>
              <w:pStyle w:val="20"/>
            </w:pPr>
            <w:r>
              <w:t>机关工作人员对网络使用的满意度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7、专项网络建设运维租赁经费绩效目标表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13010726P00002510059F</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专项网络建设运维租赁经费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2.00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2.00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用于支付大厅内部排污许可证专线、政法雪亮工程专线、互联网专线网络费用。</w:t>
              <w:tab/>
              <w:tab/>
              <w:tab/>
              <w:tab/>
              <w:tab/>
              <w:tab/>
            </w:r>
          </w:p>
          <w:p>
            <w:pPr>
              <w:pStyle w:val="20"/>
            </w:pP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1.18</w:t>
            </w:r>
          </w:p>
        </w:tc>
        <w:tc>
          <w:tcPr>
            <w:tcW w:w="2551" w:type="dxa"/>
            <w:tcBorders>
              <w:left w:val="single" w:sz="6" w:space="0" w:color="000000"/>
            </w:tcBorders>
            <w:vAlign w:val="center"/>
          </w:tcPr>
          <w:p>
            <w:pPr>
              <w:pStyle w:val="21"/>
            </w:pPr>
            <w:r>
              <w:t>0.82</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1.通过对大厅内部排污许可证专线、政法雪亮工程专线、互联网专线网络运行进行维护，保障大厅工作正常运转。</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网络数量</w:t>
            </w:r>
          </w:p>
        </w:tc>
        <w:tc>
          <w:tcPr>
            <w:tcW w:w="5386" w:type="dxa"/>
            <w:tcBorders>
              <w:left w:val="single" w:sz="6" w:space="0" w:color="000000"/>
            </w:tcBorders>
            <w:vAlign w:val="center"/>
          </w:tcPr>
          <w:p>
            <w:pPr>
              <w:pStyle w:val="20"/>
            </w:pPr>
            <w:r>
              <w:t>行政大厅使用网络数量</w:t>
            </w:r>
          </w:p>
        </w:tc>
        <w:tc>
          <w:tcPr>
            <w:tcW w:w="2268" w:type="dxa"/>
            <w:tcBorders>
              <w:left w:val="single" w:sz="6" w:space="0" w:color="000000"/>
            </w:tcBorders>
            <w:vAlign w:val="center"/>
          </w:tcPr>
          <w:p>
            <w:pPr>
              <w:pStyle w:val="20"/>
            </w:pPr>
            <w:r>
              <w:t>3条</w:t>
            </w:r>
          </w:p>
        </w:tc>
        <w:tc>
          <w:tcPr>
            <w:tcW w:w="1276" w:type="dxa"/>
            <w:tcBorders>
              <w:left w:val="single" w:sz="6" w:space="0" w:color="000000"/>
            </w:tcBorders>
            <w:vAlign w:val="center"/>
          </w:tcPr>
          <w:p>
            <w:pPr>
              <w:pStyle w:val="20"/>
            </w:pPr>
            <w:r>
              <w:t>2026年行政大厅网络运行计划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正常使用率</w:t>
            </w:r>
          </w:p>
        </w:tc>
        <w:tc>
          <w:tcPr>
            <w:tcW w:w="5386" w:type="dxa"/>
            <w:tcBorders>
              <w:left w:val="single" w:sz="6" w:space="0" w:color="000000"/>
            </w:tcBorders>
            <w:vAlign w:val="center"/>
          </w:tcPr>
          <w:p>
            <w:pPr>
              <w:pStyle w:val="20"/>
            </w:pPr>
            <w:r>
              <w:t>行政大厅网络正常使用率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2026年行政大厅网络运行计划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网络故障处理反应时间</w:t>
            </w:r>
          </w:p>
        </w:tc>
        <w:tc>
          <w:tcPr>
            <w:tcW w:w="5386" w:type="dxa"/>
            <w:tcBorders>
              <w:left w:val="single" w:sz="6" w:space="0" w:color="000000"/>
            </w:tcBorders>
            <w:vAlign w:val="center"/>
          </w:tcPr>
          <w:p>
            <w:pPr>
              <w:pStyle w:val="20"/>
            </w:pPr>
            <w:r>
              <w:t>行政大厅网络故障处理反应时间</w:t>
            </w:r>
          </w:p>
        </w:tc>
        <w:tc>
          <w:tcPr>
            <w:tcW w:w="2268" w:type="dxa"/>
            <w:tcBorders>
              <w:left w:val="single" w:sz="6" w:space="0" w:color="000000"/>
            </w:tcBorders>
            <w:vAlign w:val="center"/>
          </w:tcPr>
          <w:p>
            <w:pPr>
              <w:pStyle w:val="20"/>
            </w:pPr>
            <w:r>
              <w:t>≤12小时</w:t>
            </w:r>
          </w:p>
        </w:tc>
        <w:tc>
          <w:tcPr>
            <w:tcW w:w="1276" w:type="dxa"/>
            <w:tcBorders>
              <w:left w:val="single" w:sz="6" w:space="0" w:color="000000"/>
            </w:tcBorders>
            <w:vAlign w:val="center"/>
          </w:tcPr>
          <w:p>
            <w:pPr>
              <w:pStyle w:val="20"/>
            </w:pPr>
            <w:r>
              <w:t>2026年行政大厅网络运行计划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平均费用</w:t>
            </w:r>
          </w:p>
        </w:tc>
        <w:tc>
          <w:tcPr>
            <w:tcW w:w="5386" w:type="dxa"/>
            <w:tcBorders>
              <w:left w:val="single" w:sz="6" w:space="0" w:color="000000"/>
            </w:tcBorders>
            <w:vAlign w:val="center"/>
          </w:tcPr>
          <w:p>
            <w:pPr>
              <w:pStyle w:val="20"/>
            </w:pPr>
            <w:r>
              <w:t>行政大厅使用网络平均费用</w:t>
            </w:r>
          </w:p>
        </w:tc>
        <w:tc>
          <w:tcPr>
            <w:tcW w:w="2268" w:type="dxa"/>
            <w:tcBorders>
              <w:left w:val="single" w:sz="6" w:space="0" w:color="000000"/>
            </w:tcBorders>
            <w:vAlign w:val="center"/>
          </w:tcPr>
          <w:p>
            <w:pPr>
              <w:pStyle w:val="20"/>
            </w:pPr>
            <w:r>
              <w:t>≤0.67万元/条</w:t>
            </w:r>
          </w:p>
        </w:tc>
        <w:tc>
          <w:tcPr>
            <w:tcW w:w="1276" w:type="dxa"/>
            <w:tcBorders>
              <w:left w:val="single" w:sz="6" w:space="0" w:color="000000"/>
            </w:tcBorders>
            <w:vAlign w:val="center"/>
          </w:tcPr>
          <w:p>
            <w:pPr>
              <w:pStyle w:val="20"/>
            </w:pPr>
            <w:r>
              <w:t>2026年行政大厅网络运行资金需求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保障大厅正常运转</w:t>
            </w:r>
          </w:p>
        </w:tc>
        <w:tc>
          <w:tcPr>
            <w:tcW w:w="5386" w:type="dxa"/>
            <w:tcBorders>
              <w:left w:val="single" w:sz="6" w:space="0" w:color="000000"/>
            </w:tcBorders>
            <w:vAlign w:val="center"/>
          </w:tcPr>
          <w:p>
            <w:pPr>
              <w:pStyle w:val="20"/>
            </w:pPr>
            <w:r>
              <w:t>不断保障大厅正常运转</w:t>
            </w:r>
          </w:p>
        </w:tc>
        <w:tc>
          <w:tcPr>
            <w:tcW w:w="2268" w:type="dxa"/>
            <w:tcBorders>
              <w:left w:val="single" w:sz="6" w:space="0" w:color="000000"/>
            </w:tcBorders>
            <w:vAlign w:val="center"/>
          </w:tcPr>
          <w:p>
            <w:pPr>
              <w:pStyle w:val="20"/>
            </w:pPr>
            <w:r>
              <w:t>进一步保障大厅正常运转</w:t>
            </w:r>
          </w:p>
        </w:tc>
        <w:tc>
          <w:tcPr>
            <w:tcW w:w="1276" w:type="dxa"/>
            <w:tcBorders>
              <w:left w:val="single" w:sz="6" w:space="0" w:color="000000"/>
            </w:tcBorders>
            <w:vAlign w:val="center"/>
          </w:tcPr>
          <w:p>
            <w:pPr>
              <w:pStyle w:val="20"/>
            </w:pPr>
            <w:r>
              <w:t>2026年行政大厅网络运行计划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大厅人员满意度</w:t>
            </w:r>
          </w:p>
        </w:tc>
        <w:tc>
          <w:tcPr>
            <w:tcW w:w="5386" w:type="dxa"/>
            <w:tcBorders>
              <w:left w:val="single" w:sz="6" w:space="0" w:color="000000"/>
            </w:tcBorders>
            <w:vAlign w:val="center"/>
          </w:tcPr>
          <w:p>
            <w:pPr>
              <w:pStyle w:val="20"/>
            </w:pPr>
            <w:r>
              <w:t>大厅工作人员对网络使用满意度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8、远程异地评标设备绩效目标表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13010726P00003810008Q</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远程异地评标设备</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1.96</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1.96</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用于支付远程异地评标剩余费用。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1.96</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1.通过推行远程异地评标，实现全省范围内随机抽取评标专家，在当地交易中心通过远程评标系统在线评审。</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远程异地评标设备</w:t>
            </w:r>
          </w:p>
        </w:tc>
        <w:tc>
          <w:tcPr>
            <w:tcW w:w="5386" w:type="dxa"/>
            <w:tcBorders>
              <w:left w:val="single" w:sz="6" w:space="0" w:color="000000"/>
            </w:tcBorders>
            <w:vAlign w:val="center"/>
          </w:tcPr>
          <w:p>
            <w:pPr>
              <w:pStyle w:val="20"/>
            </w:pPr>
            <w:r>
              <w:t>远程异地评标终端设备</w:t>
            </w:r>
          </w:p>
        </w:tc>
        <w:tc>
          <w:tcPr>
            <w:tcW w:w="2268" w:type="dxa"/>
            <w:tcBorders>
              <w:left w:val="single" w:sz="6" w:space="0" w:color="000000"/>
            </w:tcBorders>
            <w:vAlign w:val="center"/>
          </w:tcPr>
          <w:p>
            <w:pPr>
              <w:pStyle w:val="20"/>
            </w:pPr>
            <w:r>
              <w:t>2个</w:t>
            </w:r>
          </w:p>
        </w:tc>
        <w:tc>
          <w:tcPr>
            <w:tcW w:w="1276" w:type="dxa"/>
            <w:tcBorders>
              <w:left w:val="single" w:sz="6" w:space="0" w:color="000000"/>
            </w:tcBorders>
            <w:vAlign w:val="center"/>
          </w:tcPr>
          <w:p>
            <w:pPr>
              <w:pStyle w:val="20"/>
            </w:pPr>
            <w:r>
              <w:t>2025年资源交易中心招投标工作计划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设备验收合格率</w:t>
            </w:r>
          </w:p>
        </w:tc>
        <w:tc>
          <w:tcPr>
            <w:tcW w:w="5386" w:type="dxa"/>
            <w:tcBorders>
              <w:left w:val="single" w:sz="6" w:space="0" w:color="000000"/>
            </w:tcBorders>
            <w:vAlign w:val="center"/>
          </w:tcPr>
          <w:p>
            <w:pPr>
              <w:pStyle w:val="20"/>
            </w:pPr>
            <w:r>
              <w:t>设备验收合格率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2025年资源交易中心招投标工作计划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工作完成时间</w:t>
            </w:r>
          </w:p>
        </w:tc>
        <w:tc>
          <w:tcPr>
            <w:tcW w:w="5386" w:type="dxa"/>
            <w:tcBorders>
              <w:left w:val="single" w:sz="6" w:space="0" w:color="000000"/>
            </w:tcBorders>
            <w:vAlign w:val="center"/>
          </w:tcPr>
          <w:p>
            <w:pPr>
              <w:pStyle w:val="20"/>
            </w:pPr>
            <w:r>
              <w:t>远程异地评标完成时间</w:t>
            </w:r>
          </w:p>
        </w:tc>
        <w:tc>
          <w:tcPr>
            <w:tcW w:w="2268" w:type="dxa"/>
            <w:tcBorders>
              <w:left w:val="single" w:sz="6" w:space="0" w:color="000000"/>
            </w:tcBorders>
            <w:vAlign w:val="center"/>
          </w:tcPr>
          <w:p>
            <w:pPr>
              <w:pStyle w:val="20"/>
            </w:pPr>
            <w:r>
              <w:t>2024年9月</w:t>
            </w:r>
          </w:p>
        </w:tc>
        <w:tc>
          <w:tcPr>
            <w:tcW w:w="1276" w:type="dxa"/>
            <w:tcBorders>
              <w:left w:val="single" w:sz="6" w:space="0" w:color="000000"/>
            </w:tcBorders>
            <w:vAlign w:val="center"/>
          </w:tcPr>
          <w:p>
            <w:pPr>
              <w:pStyle w:val="20"/>
            </w:pPr>
            <w:r>
              <w:t>2025年资源交易中心招投标工作计划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远程异地评标平均费用</w:t>
            </w:r>
          </w:p>
        </w:tc>
        <w:tc>
          <w:tcPr>
            <w:tcW w:w="5386" w:type="dxa"/>
            <w:tcBorders>
              <w:left w:val="single" w:sz="6" w:space="0" w:color="000000"/>
            </w:tcBorders>
            <w:vAlign w:val="center"/>
          </w:tcPr>
          <w:p>
            <w:pPr>
              <w:pStyle w:val="20"/>
            </w:pPr>
            <w:r>
              <w:t>远程异地评标平均费用</w:t>
            </w:r>
          </w:p>
        </w:tc>
        <w:tc>
          <w:tcPr>
            <w:tcW w:w="2268" w:type="dxa"/>
            <w:tcBorders>
              <w:left w:val="single" w:sz="6" w:space="0" w:color="000000"/>
            </w:tcBorders>
            <w:vAlign w:val="center"/>
          </w:tcPr>
          <w:p>
            <w:pPr>
              <w:pStyle w:val="20"/>
            </w:pPr>
            <w:r>
              <w:t>≤1.31万元/个</w:t>
            </w:r>
          </w:p>
          <w:p>
            <w:pPr>
              <w:pStyle w:val="20"/>
            </w:pPr>
          </w:p>
        </w:tc>
        <w:tc>
          <w:tcPr>
            <w:tcW w:w="1276" w:type="dxa"/>
            <w:tcBorders>
              <w:left w:val="single" w:sz="6" w:space="0" w:color="000000"/>
            </w:tcBorders>
            <w:vAlign w:val="center"/>
          </w:tcPr>
          <w:p>
            <w:pPr>
              <w:pStyle w:val="20"/>
            </w:pPr>
            <w:r>
              <w:t>2025年资源交易中心招投标资金需求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不断营造公平公正招投标环境</w:t>
            </w:r>
          </w:p>
        </w:tc>
        <w:tc>
          <w:tcPr>
            <w:tcW w:w="5386" w:type="dxa"/>
            <w:tcBorders>
              <w:left w:val="single" w:sz="6" w:space="0" w:color="000000"/>
            </w:tcBorders>
            <w:vAlign w:val="center"/>
          </w:tcPr>
          <w:p>
            <w:pPr>
              <w:pStyle w:val="20"/>
            </w:pPr>
            <w:r>
              <w:t>进一步提高招投标质量，不断营造公平公正招投标环境</w:t>
            </w:r>
          </w:p>
        </w:tc>
        <w:tc>
          <w:tcPr>
            <w:tcW w:w="2268" w:type="dxa"/>
            <w:tcBorders>
              <w:left w:val="single" w:sz="6" w:space="0" w:color="000000"/>
            </w:tcBorders>
            <w:vAlign w:val="center"/>
          </w:tcPr>
          <w:p>
            <w:pPr>
              <w:pStyle w:val="20"/>
            </w:pPr>
            <w:r>
              <w:t>进一步提高招投标质量，不断营造公平公正招投标环境</w:t>
            </w:r>
          </w:p>
        </w:tc>
        <w:tc>
          <w:tcPr>
            <w:tcW w:w="1276" w:type="dxa"/>
            <w:tcBorders>
              <w:left w:val="single" w:sz="6" w:space="0" w:color="000000"/>
            </w:tcBorders>
            <w:vAlign w:val="center"/>
          </w:tcPr>
          <w:p>
            <w:pPr>
              <w:pStyle w:val="20"/>
            </w:pPr>
            <w:r>
              <w:t>2025年资源交易中心招投标工作计划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项目单位对远程评标满意度</w:t>
            </w:r>
          </w:p>
        </w:tc>
        <w:tc>
          <w:tcPr>
            <w:tcW w:w="5386" w:type="dxa"/>
            <w:tcBorders>
              <w:left w:val="single" w:sz="6" w:space="0" w:color="000000"/>
            </w:tcBorders>
            <w:vAlign w:val="center"/>
          </w:tcPr>
          <w:p>
            <w:pPr>
              <w:pStyle w:val="20"/>
            </w:pPr>
            <w:r>
              <w:t>项目单位对远程评标满意度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color w:val="000000"/>
          <w:sz w:val="28"/>
        </w:rPr>
        <w:t>9、专项网络建设运维租赁经费绩效目标表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13010726P00002510060T</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专项网络建设运维租赁经费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1.92</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1.92</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用于支付资源交易中心互联网、政务外网进行网络费用。</w:t>
              <w:tab/>
              <w:tab/>
              <w:tab/>
              <w:tab/>
              <w:tab/>
              <w:tab/>
              <w:t>"</w:t>
              <w:tab/>
              <w:tab/>
              <w:tab/>
              <w:tab/>
              <w:tab/>
              <w:tab/>
            </w:r>
          </w:p>
          <w:p>
            <w:pPr>
              <w:pStyle w:val="20"/>
            </w:pP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1.92</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1.通过对资源交易中心互联网、政务外网进行网络运行进行维护，保障机关单位正常运转。</w:t>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网络数量</w:t>
            </w:r>
          </w:p>
        </w:tc>
        <w:tc>
          <w:tcPr>
            <w:tcW w:w="5386" w:type="dxa"/>
            <w:tcBorders>
              <w:left w:val="single" w:sz="6" w:space="0" w:color="000000"/>
            </w:tcBorders>
            <w:vAlign w:val="center"/>
          </w:tcPr>
          <w:p>
            <w:pPr>
              <w:pStyle w:val="20"/>
            </w:pPr>
            <w:r>
              <w:t>资源交易中心使用网络数量</w:t>
            </w:r>
          </w:p>
        </w:tc>
        <w:tc>
          <w:tcPr>
            <w:tcW w:w="2268" w:type="dxa"/>
            <w:tcBorders>
              <w:left w:val="single" w:sz="6" w:space="0" w:color="000000"/>
            </w:tcBorders>
            <w:vAlign w:val="center"/>
          </w:tcPr>
          <w:p>
            <w:pPr>
              <w:pStyle w:val="20"/>
            </w:pPr>
            <w:r>
              <w:t>2条</w:t>
            </w:r>
          </w:p>
        </w:tc>
        <w:tc>
          <w:tcPr>
            <w:tcW w:w="1276" w:type="dxa"/>
            <w:tcBorders>
              <w:left w:val="single" w:sz="6" w:space="0" w:color="000000"/>
            </w:tcBorders>
            <w:vAlign w:val="center"/>
          </w:tcPr>
          <w:p>
            <w:pPr>
              <w:pStyle w:val="20"/>
            </w:pPr>
            <w:r>
              <w:t>2025年资源交易中心网络运行计划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正常使用率</w:t>
            </w:r>
          </w:p>
        </w:tc>
        <w:tc>
          <w:tcPr>
            <w:tcW w:w="5386" w:type="dxa"/>
            <w:tcBorders>
              <w:left w:val="single" w:sz="6" w:space="0" w:color="000000"/>
            </w:tcBorders>
            <w:vAlign w:val="center"/>
          </w:tcPr>
          <w:p>
            <w:pPr>
              <w:pStyle w:val="20"/>
            </w:pPr>
            <w:r>
              <w:t>资源交易中心网络正常使用率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2025年资源交易中心网络运行计划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网络故障处理反应时间</w:t>
            </w:r>
          </w:p>
        </w:tc>
        <w:tc>
          <w:tcPr>
            <w:tcW w:w="5386" w:type="dxa"/>
            <w:tcBorders>
              <w:left w:val="single" w:sz="6" w:space="0" w:color="000000"/>
            </w:tcBorders>
            <w:vAlign w:val="center"/>
          </w:tcPr>
          <w:p>
            <w:pPr>
              <w:pStyle w:val="20"/>
            </w:pPr>
            <w:r>
              <w:t>资源交易中心网络故障处理反应时间</w:t>
            </w:r>
          </w:p>
        </w:tc>
        <w:tc>
          <w:tcPr>
            <w:tcW w:w="2268" w:type="dxa"/>
            <w:tcBorders>
              <w:left w:val="single" w:sz="6" w:space="0" w:color="000000"/>
            </w:tcBorders>
            <w:vAlign w:val="center"/>
          </w:tcPr>
          <w:p>
            <w:pPr>
              <w:pStyle w:val="20"/>
            </w:pPr>
            <w:r>
              <w:t>≤12小时</w:t>
            </w:r>
          </w:p>
        </w:tc>
        <w:tc>
          <w:tcPr>
            <w:tcW w:w="1276" w:type="dxa"/>
            <w:tcBorders>
              <w:left w:val="single" w:sz="6" w:space="0" w:color="000000"/>
            </w:tcBorders>
            <w:vAlign w:val="center"/>
          </w:tcPr>
          <w:p>
            <w:pPr>
              <w:pStyle w:val="20"/>
            </w:pPr>
            <w:r>
              <w:t>2025年资源交易中心网络运行计划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平均费用</w:t>
            </w:r>
          </w:p>
        </w:tc>
        <w:tc>
          <w:tcPr>
            <w:tcW w:w="5386" w:type="dxa"/>
            <w:tcBorders>
              <w:left w:val="single" w:sz="6" w:space="0" w:color="000000"/>
            </w:tcBorders>
            <w:vAlign w:val="center"/>
          </w:tcPr>
          <w:p>
            <w:pPr>
              <w:pStyle w:val="20"/>
            </w:pPr>
            <w:r>
              <w:t>资源交易中心使用网络平均费用</w:t>
            </w:r>
          </w:p>
        </w:tc>
        <w:tc>
          <w:tcPr>
            <w:tcW w:w="2268" w:type="dxa"/>
            <w:tcBorders>
              <w:left w:val="single" w:sz="6" w:space="0" w:color="000000"/>
            </w:tcBorders>
            <w:vAlign w:val="center"/>
          </w:tcPr>
          <w:p>
            <w:pPr>
              <w:pStyle w:val="20"/>
            </w:pPr>
            <w:r>
              <w:t>≤0.96万元/条</w:t>
            </w:r>
          </w:p>
        </w:tc>
        <w:tc>
          <w:tcPr>
            <w:tcW w:w="1276" w:type="dxa"/>
            <w:tcBorders>
              <w:left w:val="single" w:sz="6" w:space="0" w:color="000000"/>
            </w:tcBorders>
            <w:vAlign w:val="center"/>
          </w:tcPr>
          <w:p>
            <w:pPr>
              <w:pStyle w:val="20"/>
            </w:pPr>
            <w:r>
              <w:t>2025年资源交易中心网络运行资金需求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保障机关单位正常运转</w:t>
            </w:r>
          </w:p>
        </w:tc>
        <w:tc>
          <w:tcPr>
            <w:tcW w:w="5386" w:type="dxa"/>
            <w:tcBorders>
              <w:left w:val="single" w:sz="6" w:space="0" w:color="000000"/>
            </w:tcBorders>
            <w:vAlign w:val="center"/>
          </w:tcPr>
          <w:p>
            <w:pPr>
              <w:pStyle w:val="20"/>
            </w:pPr>
            <w:r>
              <w:t>满足单位用网需求，不断保障机关单位正常运转</w:t>
            </w:r>
          </w:p>
        </w:tc>
        <w:tc>
          <w:tcPr>
            <w:tcW w:w="2268" w:type="dxa"/>
            <w:tcBorders>
              <w:left w:val="single" w:sz="6" w:space="0" w:color="000000"/>
            </w:tcBorders>
            <w:vAlign w:val="center"/>
          </w:tcPr>
          <w:p>
            <w:pPr>
              <w:pStyle w:val="20"/>
            </w:pPr>
            <w:r>
              <w:t>不断保障机关单位正常运转</w:t>
            </w:r>
          </w:p>
        </w:tc>
        <w:tc>
          <w:tcPr>
            <w:tcW w:w="1276" w:type="dxa"/>
            <w:tcBorders>
              <w:left w:val="single" w:sz="6" w:space="0" w:color="000000"/>
            </w:tcBorders>
            <w:vAlign w:val="center"/>
          </w:tcPr>
          <w:p>
            <w:pPr>
              <w:pStyle w:val="20"/>
            </w:pPr>
            <w:r>
              <w:t>2025年资源交易中心网络运行计划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机关单位人员满意度</w:t>
            </w:r>
          </w:p>
        </w:tc>
        <w:tc>
          <w:tcPr>
            <w:tcW w:w="5386" w:type="dxa"/>
            <w:tcBorders>
              <w:left w:val="single" w:sz="6" w:space="0" w:color="000000"/>
            </w:tcBorders>
            <w:vAlign w:val="center"/>
          </w:tcPr>
          <w:p>
            <w:pPr>
              <w:pStyle w:val="20"/>
            </w:pPr>
            <w:r>
              <w:t>机关工作人员对网络使用的满意度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spacing w:before="10" w:after="10"/>
        <w:ind w:firstLine="640"/>
        <w:outlineLvl w:val="2"/>
      </w:pPr>
      <w:bookmarkStart w:id="17" w:name="_Toc_3_3_0000000017"/>
      <w:r>
        <w:rPr>
          <w:rFonts w:ascii="黑体" w:eastAsia="黑体" w:cs="黑体" w:hAnsi="黑体"/>
          <w:color w:val="000000"/>
          <w:sz w:val="32"/>
        </w:rPr>
        <w:t>八、政府采购预算情况</w:t>
      </w:r>
      <w:bookmarkEnd w:id="17"/>
    </w:p>
    <w:p>
      <w:pPr>
        <w:jc w:val="center"/>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2"/>
            </w:pPr>
            <w:r>
              <w:t>合  计</w:t>
            </w:r>
          </w:p>
        </w:tc>
        <w:tc>
          <w:tcPr>
            <w:tcW w:w="964" w:type="dxa"/>
            <w:tcBorders>
              <w:left w:val="single" w:sz="6" w:space="0" w:color="000000"/>
            </w:tcBorders>
            <w:vAlign w:val="center"/>
          </w:tcPr>
          <w:p>
            <w:pPr>
              <w:pStyle w:val="23"/>
            </w:pPr>
          </w:p>
        </w:tc>
        <w:tc>
          <w:tcPr>
            <w:tcW w:w="1134" w:type="dxa"/>
            <w:tcBorders>
              <w:left w:val="single" w:sz="6" w:space="0" w:color="000000"/>
            </w:tcBorders>
            <w:vAlign w:val="center"/>
          </w:tcPr>
          <w:p>
            <w:pPr>
              <w:pStyle w:val="24"/>
            </w:pPr>
          </w:p>
        </w:tc>
        <w:tc>
          <w:tcPr>
            <w:tcW w:w="1134" w:type="dxa"/>
            <w:tcBorders>
              <w:left w:val="single" w:sz="6" w:space="0" w:color="000000"/>
            </w:tcBorders>
            <w:vAlign w:val="center"/>
          </w:tcPr>
          <w:p>
            <w:pPr>
              <w:pStyle w:val="24"/>
            </w:pPr>
          </w:p>
        </w:tc>
        <w:tc>
          <w:tcPr>
            <w:tcW w:w="709"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51.50</w:t>
            </w:r>
          </w:p>
        </w:tc>
        <w:tc>
          <w:tcPr>
            <w:tcW w:w="964" w:type="dxa"/>
            <w:tcBorders>
              <w:left w:val="single" w:sz="6" w:space="0" w:color="000000"/>
            </w:tcBorders>
            <w:vAlign w:val="center"/>
          </w:tcPr>
          <w:p>
            <w:pPr>
              <w:pStyle w:val="23"/>
            </w:pPr>
            <w:r>
              <w:t>51.50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51.50</w:t>
            </w:r>
          </w:p>
        </w:tc>
      </w:tr>
      <w:tr>
        <w:tc>
          <w:tcPr>
            <w:tcW w:w="1701" w:type="dxa"/>
            <w:vAlign w:val="center"/>
          </w:tcPr>
          <w:p>
            <w:pPr>
              <w:pStyle w:val="22"/>
            </w:pPr>
            <w:r>
              <w:t>石家庄市井陉矿区数据和政务服务局小计</w:t>
            </w:r>
          </w:p>
        </w:tc>
        <w:tc>
          <w:tcPr>
            <w:tcW w:w="964" w:type="dxa"/>
            <w:tcBorders>
              <w:left w:val="single" w:sz="6" w:space="0" w:color="000000"/>
            </w:tcBorders>
            <w:vAlign w:val="center"/>
          </w:tcPr>
          <w:p>
            <w:pPr>
              <w:pStyle w:val="23"/>
            </w:pPr>
          </w:p>
        </w:tc>
        <w:tc>
          <w:tcPr>
            <w:tcW w:w="1134" w:type="dxa"/>
            <w:tcBorders>
              <w:left w:val="single" w:sz="6" w:space="0" w:color="000000"/>
            </w:tcBorders>
            <w:vAlign w:val="center"/>
          </w:tcPr>
          <w:p>
            <w:pPr>
              <w:pStyle w:val="24"/>
            </w:pPr>
          </w:p>
        </w:tc>
        <w:tc>
          <w:tcPr>
            <w:tcW w:w="1134" w:type="dxa"/>
            <w:tcBorders>
              <w:left w:val="single" w:sz="6" w:space="0" w:color="000000"/>
            </w:tcBorders>
            <w:vAlign w:val="center"/>
          </w:tcPr>
          <w:p>
            <w:pPr>
              <w:pStyle w:val="24"/>
            </w:pPr>
          </w:p>
        </w:tc>
        <w:tc>
          <w:tcPr>
            <w:tcW w:w="709"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51.50</w:t>
            </w:r>
          </w:p>
        </w:tc>
        <w:tc>
          <w:tcPr>
            <w:tcW w:w="964" w:type="dxa"/>
            <w:tcBorders>
              <w:left w:val="single" w:sz="6" w:space="0" w:color="000000"/>
            </w:tcBorders>
            <w:vAlign w:val="center"/>
          </w:tcPr>
          <w:p>
            <w:pPr>
              <w:pStyle w:val="23"/>
            </w:pPr>
            <w:r>
              <w:t>51.50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51.50</w:t>
            </w:r>
          </w:p>
        </w:tc>
      </w:tr>
      <w:tr>
        <w:tc>
          <w:tcPr>
            <w:tcW w:w="1701" w:type="dxa"/>
            <w:vAlign w:val="center"/>
          </w:tcPr>
          <w:p>
            <w:pPr>
              <w:pStyle w:val="20"/>
            </w:pPr>
            <w:r>
              <w:t>公用经费一</w:t>
            </w:r>
          </w:p>
        </w:tc>
        <w:tc>
          <w:tcPr>
            <w:tcW w:w="964" w:type="dxa"/>
            <w:tcBorders>
              <w:left w:val="single" w:sz="6" w:space="0" w:color="000000"/>
            </w:tcBorders>
            <w:vAlign w:val="center"/>
          </w:tcPr>
          <w:p>
            <w:pPr>
              <w:pStyle w:val="19"/>
            </w:pPr>
            <w:r>
              <w:t>3.22</w:t>
            </w:r>
          </w:p>
        </w:tc>
        <w:tc>
          <w:tcPr>
            <w:tcW w:w="1134" w:type="dxa"/>
            <w:tcBorders>
              <w:left w:val="single" w:sz="6" w:space="0" w:color="000000"/>
            </w:tcBorders>
            <w:vAlign w:val="center"/>
          </w:tcPr>
          <w:p>
            <w:pPr>
              <w:pStyle w:val="20"/>
            </w:pPr>
            <w:r>
              <w:t>车辆维修和保养服务</w:t>
            </w:r>
          </w:p>
        </w:tc>
        <w:tc>
          <w:tcPr>
            <w:tcW w:w="1134" w:type="dxa"/>
            <w:tcBorders>
              <w:left w:val="single" w:sz="6" w:space="0" w:color="000000"/>
            </w:tcBorders>
            <w:vAlign w:val="center"/>
          </w:tcPr>
          <w:p>
            <w:pPr>
              <w:pStyle w:val="20"/>
            </w:pPr>
            <w:r>
              <w:t>C23120301</w:t>
            </w:r>
          </w:p>
        </w:tc>
        <w:tc>
          <w:tcPr>
            <w:tcW w:w="709" w:type="dxa"/>
            <w:tcBorders>
              <w:left w:val="single" w:sz="6" w:space="0" w:color="000000"/>
            </w:tcBorders>
            <w:vAlign w:val="center"/>
          </w:tcPr>
          <w:p>
            <w:pPr>
              <w:pStyle w:val="21"/>
            </w:pPr>
            <w:r>
              <w:t>项</w:t>
            </w:r>
          </w:p>
        </w:tc>
        <w:tc>
          <w:tcPr>
            <w:tcW w:w="850" w:type="dxa"/>
            <w:tcBorders>
              <w:left w:val="single" w:sz="6" w:space="0" w:color="000000"/>
            </w:tcBorders>
            <w:vAlign w:val="center"/>
          </w:tcPr>
          <w:p>
            <w:pPr>
              <w:pStyle w:val="19"/>
            </w:pPr>
            <w:r>
              <w:t>1</w:t>
            </w:r>
          </w:p>
        </w:tc>
        <w:tc>
          <w:tcPr>
            <w:tcW w:w="850" w:type="dxa"/>
            <w:tcBorders>
              <w:left w:val="single" w:sz="6" w:space="0" w:color="000000"/>
            </w:tcBorders>
            <w:vAlign w:val="center"/>
          </w:tcPr>
          <w:p>
            <w:pPr>
              <w:pStyle w:val="19"/>
            </w:pPr>
            <w:r>
              <w:t>1.00</w:t>
            </w:r>
          </w:p>
        </w:tc>
        <w:tc>
          <w:tcPr>
            <w:tcW w:w="964" w:type="dxa"/>
            <w:tcBorders>
              <w:left w:val="single" w:sz="6" w:space="0" w:color="000000"/>
            </w:tcBorders>
            <w:vAlign w:val="center"/>
          </w:tcPr>
          <w:p>
            <w:pPr>
              <w:pStyle w:val="19"/>
            </w:pPr>
            <w:r>
              <w:t>1.00</w:t>
            </w:r>
          </w:p>
        </w:tc>
        <w:tc>
          <w:tcPr>
            <w:tcW w:w="964" w:type="dxa"/>
            <w:tcBorders>
              <w:left w:val="single" w:sz="6" w:space="0" w:color="000000"/>
            </w:tcBorders>
            <w:vAlign w:val="center"/>
          </w:tcPr>
          <w:p>
            <w:pPr>
              <w:pStyle w:val="19"/>
            </w:pPr>
            <w:r>
              <w:t>1.00</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1.00</w:t>
            </w:r>
          </w:p>
        </w:tc>
      </w:tr>
      <w:tr>
        <w:tc>
          <w:tcPr>
            <w:tcW w:w="1701" w:type="dxa"/>
            <w:vAlign w:val="center"/>
          </w:tcPr>
          <w:p>
            <w:pPr>
              <w:pStyle w:val="20"/>
            </w:pPr>
            <w:r>
              <w:t>公用经费一</w:t>
            </w:r>
          </w:p>
        </w:tc>
        <w:tc>
          <w:tcPr>
            <w:tcW w:w="964" w:type="dxa"/>
            <w:tcBorders>
              <w:left w:val="single" w:sz="6" w:space="0" w:color="000000"/>
            </w:tcBorders>
            <w:vAlign w:val="center"/>
          </w:tcPr>
          <w:p>
            <w:pPr>
              <w:pStyle w:val="19"/>
            </w:pPr>
            <w:r>
              <w:t>3.22</w:t>
            </w:r>
          </w:p>
        </w:tc>
        <w:tc>
          <w:tcPr>
            <w:tcW w:w="1134" w:type="dxa"/>
            <w:tcBorders>
              <w:left w:val="single" w:sz="6" w:space="0" w:color="000000"/>
            </w:tcBorders>
            <w:vAlign w:val="center"/>
          </w:tcPr>
          <w:p>
            <w:pPr>
              <w:pStyle w:val="20"/>
            </w:pPr>
            <w:r>
              <w:t>车辆加油、添加燃料服务</w:t>
            </w:r>
          </w:p>
        </w:tc>
        <w:tc>
          <w:tcPr>
            <w:tcW w:w="1134" w:type="dxa"/>
            <w:tcBorders>
              <w:left w:val="single" w:sz="6" w:space="0" w:color="000000"/>
            </w:tcBorders>
            <w:vAlign w:val="center"/>
          </w:tcPr>
          <w:p>
            <w:pPr>
              <w:pStyle w:val="20"/>
            </w:pPr>
            <w:r>
              <w:t>C23120302</w:t>
            </w:r>
          </w:p>
        </w:tc>
        <w:tc>
          <w:tcPr>
            <w:tcW w:w="709" w:type="dxa"/>
            <w:tcBorders>
              <w:left w:val="single" w:sz="6" w:space="0" w:color="000000"/>
            </w:tcBorders>
            <w:vAlign w:val="center"/>
          </w:tcPr>
          <w:p>
            <w:pPr>
              <w:pStyle w:val="21"/>
            </w:pPr>
            <w:r>
              <w:t>项</w:t>
            </w:r>
          </w:p>
        </w:tc>
        <w:tc>
          <w:tcPr>
            <w:tcW w:w="850" w:type="dxa"/>
            <w:tcBorders>
              <w:left w:val="single" w:sz="6" w:space="0" w:color="000000"/>
            </w:tcBorders>
            <w:vAlign w:val="center"/>
          </w:tcPr>
          <w:p>
            <w:pPr>
              <w:pStyle w:val="19"/>
            </w:pPr>
            <w:r>
              <w:t>1</w:t>
            </w:r>
          </w:p>
        </w:tc>
        <w:tc>
          <w:tcPr>
            <w:tcW w:w="850" w:type="dxa"/>
            <w:tcBorders>
              <w:left w:val="single" w:sz="6" w:space="0" w:color="000000"/>
            </w:tcBorders>
            <w:vAlign w:val="center"/>
          </w:tcPr>
          <w:p>
            <w:pPr>
              <w:pStyle w:val="19"/>
            </w:pPr>
            <w:r>
              <w:t>0.50</w:t>
            </w:r>
          </w:p>
        </w:tc>
        <w:tc>
          <w:tcPr>
            <w:tcW w:w="964" w:type="dxa"/>
            <w:tcBorders>
              <w:left w:val="single" w:sz="6" w:space="0" w:color="000000"/>
            </w:tcBorders>
            <w:vAlign w:val="center"/>
          </w:tcPr>
          <w:p>
            <w:pPr>
              <w:pStyle w:val="19"/>
            </w:pPr>
            <w:r>
              <w:t>0.50</w:t>
            </w:r>
          </w:p>
        </w:tc>
        <w:tc>
          <w:tcPr>
            <w:tcW w:w="964" w:type="dxa"/>
            <w:tcBorders>
              <w:left w:val="single" w:sz="6" w:space="0" w:color="000000"/>
            </w:tcBorders>
            <w:vAlign w:val="center"/>
          </w:tcPr>
          <w:p>
            <w:pPr>
              <w:pStyle w:val="19"/>
            </w:pPr>
            <w:r>
              <w:t>0.50</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0.50</w:t>
            </w:r>
          </w:p>
        </w:tc>
      </w:tr>
      <w:tr>
        <w:tc>
          <w:tcPr>
            <w:tcW w:w="1701" w:type="dxa"/>
            <w:vAlign w:val="center"/>
          </w:tcPr>
          <w:p>
            <w:pPr>
              <w:pStyle w:val="20"/>
            </w:pPr>
            <w:r>
              <w:t>项目评估评审费用</w:t>
            </w:r>
          </w:p>
        </w:tc>
        <w:tc>
          <w:tcPr>
            <w:tcW w:w="964" w:type="dxa"/>
            <w:tcBorders>
              <w:left w:val="single" w:sz="6" w:space="0" w:color="000000"/>
            </w:tcBorders>
            <w:vAlign w:val="center"/>
          </w:tcPr>
          <w:p>
            <w:pPr>
              <w:pStyle w:val="19"/>
            </w:pPr>
            <w:r>
              <w:t>50.00</w:t>
            </w:r>
          </w:p>
        </w:tc>
        <w:tc>
          <w:tcPr>
            <w:tcW w:w="1134" w:type="dxa"/>
            <w:tcBorders>
              <w:left w:val="single" w:sz="6" w:space="0" w:color="000000"/>
            </w:tcBorders>
            <w:vAlign w:val="center"/>
          </w:tcPr>
          <w:p>
            <w:pPr>
              <w:pStyle w:val="20"/>
            </w:pPr>
            <w:r>
              <w:t>评审咨询服务</w:t>
            </w:r>
          </w:p>
        </w:tc>
        <w:tc>
          <w:tcPr>
            <w:tcW w:w="1134" w:type="dxa"/>
            <w:tcBorders>
              <w:left w:val="single" w:sz="6" w:space="0" w:color="000000"/>
            </w:tcBorders>
            <w:vAlign w:val="center"/>
          </w:tcPr>
          <w:p>
            <w:pPr>
              <w:pStyle w:val="20"/>
            </w:pPr>
            <w:r>
              <w:t>C20030900</w:t>
            </w:r>
          </w:p>
        </w:tc>
        <w:tc>
          <w:tcPr>
            <w:tcW w:w="709" w:type="dxa"/>
            <w:tcBorders>
              <w:left w:val="single" w:sz="6" w:space="0" w:color="000000"/>
            </w:tcBorders>
            <w:vAlign w:val="center"/>
          </w:tcPr>
          <w:p>
            <w:pPr>
              <w:pStyle w:val="21"/>
            </w:pPr>
            <w:r>
              <w:t>项</w:t>
            </w:r>
          </w:p>
        </w:tc>
        <w:tc>
          <w:tcPr>
            <w:tcW w:w="850" w:type="dxa"/>
            <w:tcBorders>
              <w:left w:val="single" w:sz="6" w:space="0" w:color="000000"/>
            </w:tcBorders>
            <w:vAlign w:val="center"/>
          </w:tcPr>
          <w:p>
            <w:pPr>
              <w:pStyle w:val="19"/>
            </w:pPr>
            <w:r>
              <w:t>1</w:t>
            </w:r>
          </w:p>
        </w:tc>
        <w:tc>
          <w:tcPr>
            <w:tcW w:w="850" w:type="dxa"/>
            <w:tcBorders>
              <w:left w:val="single" w:sz="6" w:space="0" w:color="000000"/>
            </w:tcBorders>
            <w:vAlign w:val="center"/>
          </w:tcPr>
          <w:p>
            <w:pPr>
              <w:pStyle w:val="19"/>
            </w:pPr>
            <w:r>
              <w:t>50.00</w:t>
            </w:r>
          </w:p>
        </w:tc>
        <w:tc>
          <w:tcPr>
            <w:tcW w:w="964" w:type="dxa"/>
            <w:tcBorders>
              <w:left w:val="single" w:sz="6" w:space="0" w:color="000000"/>
            </w:tcBorders>
            <w:vAlign w:val="center"/>
          </w:tcPr>
          <w:p>
            <w:pPr>
              <w:pStyle w:val="19"/>
            </w:pPr>
            <w:r>
              <w:t>50.00</w:t>
            </w:r>
          </w:p>
        </w:tc>
        <w:tc>
          <w:tcPr>
            <w:tcW w:w="964" w:type="dxa"/>
            <w:tcBorders>
              <w:left w:val="single" w:sz="6" w:space="0" w:color="000000"/>
            </w:tcBorders>
            <w:vAlign w:val="center"/>
          </w:tcPr>
          <w:p>
            <w:pPr>
              <w:pStyle w:val="19"/>
            </w:pPr>
            <w:r>
              <w:t>50.00</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50.00</w:t>
            </w: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8" w:name="_Toc_3_3_0000000018"/>
      <w:r>
        <w:rPr>
          <w:rFonts w:ascii="黑体" w:eastAsia="黑体" w:cs="黑体" w:hAnsi="黑体"/>
          <w:color w:val="000000"/>
          <w:sz w:val="32"/>
        </w:rPr>
        <w:t>九、国有资产信息</w:t>
      </w:r>
      <w:bookmarkEnd w:id="18"/>
    </w:p>
    <w:p>
      <w:pPr>
        <w:spacing w:line="500" w:lineRule="exact"/>
        <w:ind w:firstLine="560"/>
      </w:pPr>
      <w:r>
        <w:rPr>
          <w:rFonts w:eastAsia="方正仿宋_GBK"/>
          <w:color w:val="000000"/>
          <w:sz w:val="28"/>
        </w:rPr>
        <w:t>石家庄市井陉矿区数据和政务服务局（含所属单位）上年末固定资产金额为336.25万元（详见下表）。本年度拟购置固定资产总额为0.00万元，已按要求列入政府采购预算，详见政府采购预算表。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432石家庄市井陉矿区数据和政务服务局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336.25</w:t>
            </w:r>
          </w:p>
        </w:tc>
      </w:tr>
      <w:tr>
        <w:tc>
          <w:tcPr>
            <w:tcW w:w="7370" w:type="dxa"/>
            <w:vAlign w:val="center"/>
          </w:tcPr>
          <w:p>
            <w:pPr>
              <w:pStyle w:val="20"/>
            </w:pPr>
            <w:r>
              <w:t>1、房屋（平方米）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tcBorders>
            <w:vAlign w:val="center"/>
          </w:tcPr>
          <w:p>
            <w:pPr>
              <w:pStyle w:val="21"/>
            </w:pPr>
            <w:r>
              <w:t>1</w:t>
            </w:r>
          </w:p>
        </w:tc>
        <w:tc>
          <w:tcPr>
            <w:tcW w:w="2835" w:type="dxa"/>
            <w:tcBorders>
              <w:left w:val="single" w:sz="6" w:space="0" w:color="000000"/>
            </w:tcBorders>
            <w:vAlign w:val="center"/>
          </w:tcPr>
          <w:p>
            <w:pPr>
              <w:pStyle w:val="19"/>
            </w:pPr>
            <w:r>
              <w:t>10.00</w:t>
            </w:r>
          </w:p>
        </w:tc>
      </w:tr>
      <w:tr>
        <w:tc>
          <w:tcPr>
            <w:tcW w:w="7370" w:type="dxa"/>
            <w:vAlign w:val="center"/>
          </w:tcPr>
          <w:p>
            <w:pPr>
              <w:pStyle w:val="20"/>
            </w:pPr>
            <w:r>
              <w:t>3、单价在20万元以上的设备</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tcBorders>
            <w:vAlign w:val="center"/>
          </w:tcPr>
          <w:p>
            <w:pPr>
              <w:pStyle w:val="21"/>
            </w:pPr>
            <w:r>
              <w:t>1115</w:t>
            </w:r>
          </w:p>
        </w:tc>
        <w:tc>
          <w:tcPr>
            <w:tcW w:w="2835" w:type="dxa"/>
            <w:tcBorders>
              <w:left w:val="single" w:sz="6" w:space="0" w:color="000000"/>
            </w:tcBorders>
            <w:vAlign w:val="center"/>
          </w:tcPr>
          <w:p>
            <w:pPr>
              <w:pStyle w:val="19"/>
            </w:pPr>
            <w:r>
              <w:t>326.25</w:t>
            </w:r>
          </w:p>
        </w:tc>
      </w:tr>
    </w:tbl>
    <w:p>
      <w:pPr>
        <w:ind w:firstLine="640"/>
      </w:pPr>
      <w:r>
        <w:rPr>
          <w:rFonts w:eastAsia="方正仿宋_GBK"/>
          <w:color w:val="000000"/>
          <w:sz w:val="32"/>
        </w:rPr>
        <w:t xml:space="preserve"> </w:t>
      </w:r>
    </w:p>
    <w:p>
      <w:pPr>
        <w:spacing w:before="10" w:after="10"/>
        <w:ind w:firstLine="640"/>
        <w:outlineLvl w:val="2"/>
      </w:pPr>
      <w:bookmarkStart w:id="19" w:name="_Toc_3_3_0000000019"/>
      <w:r>
        <w:rPr>
          <w:rFonts w:ascii="黑体" w:eastAsia="黑体" w:cs="黑体" w:hAnsi="黑体"/>
          <w:color w:val="000000"/>
          <w:sz w:val="32"/>
        </w:rPr>
        <w:t>十、名词解释</w:t>
      </w:r>
      <w:bookmarkEnd w:id="19"/>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20" w:name="_Toc_3_3_0000000020"/>
      <w:r>
        <w:rPr>
          <w:rFonts w:ascii="黑体" w:eastAsia="黑体" w:cs="黑体" w:hAnsi="黑体"/>
          <w:color w:val="000000"/>
          <w:sz w:val="32"/>
        </w:rPr>
        <w:t>十一、其他需要说明的事项</w:t>
      </w:r>
      <w:bookmarkEnd w:id="20"/>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SimHei"/>
    <w:panose1 w:val="02010609060101010101"/>
    <w:charset w:val="86"/>
    <w:family w:val="modern"/>
    <w:pitch w:val="variable"/>
    <w:sig w:usb0="800002BF" w:usb1="38CF7CFA" w:usb2="00000016" w:usb3="00000000" w:csb0="00040001" w:csb1="00000000"/>
  </w:font>
  <w:font w:name="方正楷体_GBK">
    <w:altName w:val="宋体"/>
    <w:panose1 w:val="00000000000000000000"/>
    <w:charset w:val="86"/>
    <w:family w:val="roman"/>
    <w:pitch w:val="variable"/>
  </w:font>
  <w:font w:name="方正小标宋_GBK">
    <w:altName w:val="宋体"/>
    <w:panose1 w:val="00000000000000000000"/>
    <w:charset w:val="86"/>
    <w:family w:val="roman"/>
    <w:pitch w:val="variable"/>
  </w:font>
  <w:font w:name="方正书宋_GBK">
    <w:altName w:val="宋体"/>
    <w:panose1 w:val="00000000000000000000"/>
    <w:charset w:val="86"/>
    <w:family w:val="roman"/>
    <w:pitch w:val="variable"/>
  </w:font>
  <w:font w:name="方正仿宋_GBK">
    <w:altName w:val="宋体"/>
    <w:panose1 w:val="00000000000000000000"/>
    <w:charset w:val="86"/>
    <w:family w:val="roman"/>
    <w:pitch w:val="variable"/>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38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Times New Roman"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jc w:val="right"/>
    </w:pPr>
    <w:rPr>
      <w:rFonts w:ascii="方正小标宋_GBK" w:eastAsia="方正小标宋_GBK" w:cs="方正小标宋_GBK" w:hAnsi="方正小标宋_GBK"/>
    </w:rPr>
  </w:style>
  <w:style w:type="paragraph" w:customStyle="1" w:styleId="16">
    <w:name w:val="单元格样式21"/>
    <w:qFormat/>
    <w:basedOn w:val="0"/>
    <w:pPr>
      <w:jc w:val="center"/>
    </w:pPr>
    <w:rPr>
      <w:rFonts w:ascii="方正小标宋_GBK" w:eastAsia="方正小标宋_GBK" w:cs="方正小标宋_GBK" w:hAnsi="方正小标宋_GBK"/>
    </w:rPr>
  </w:style>
  <w:style w:type="paragraph" w:customStyle="1" w:styleId="17">
    <w:name w:val="单元格样式20"/>
    <w:qFormat/>
    <w:basedOn w:val="0"/>
    <w:rPr>
      <w:rFonts w:ascii="方正小标宋_GBK" w:eastAsia="方正小标宋_GBK" w:cs="方正小标宋_GBK" w:hAnsi="方正小标宋_GBK"/>
    </w:rPr>
  </w:style>
  <w:style w:type="paragraph" w:customStyle="1" w:styleId="18">
    <w:name w:val="单元格样式1"/>
    <w:qFormat/>
    <w:basedOn w:val="0"/>
    <w:pPr>
      <w:jc w:val="center"/>
    </w:pPr>
    <w:rPr>
      <w:rFonts w:ascii="方正书宋_GBK" w:eastAsia="方正书宋_GBK" w:cs="方正书宋_GBK" w:hAnsi="方正书宋_GBK"/>
      <w:b/>
      <w:sz w:val="21"/>
    </w:rPr>
  </w:style>
  <w:style w:type="paragraph" w:customStyle="1" w:styleId="19">
    <w:name w:val="单元格样式4"/>
    <w:qFormat/>
    <w:basedOn w:val="0"/>
    <w:pPr>
      <w:jc w:val="right"/>
    </w:pPr>
    <w:rPr>
      <w:rFonts w:ascii="方正书宋_GBK" w:eastAsia="方正书宋_GBK" w:cs="方正书宋_GBK" w:hAnsi="方正书宋_GBK"/>
      <w:sz w:val="21"/>
    </w:rPr>
  </w:style>
  <w:style w:type="paragraph" w:customStyle="1" w:styleId="20">
    <w:name w:val="单元格样式2"/>
    <w:qFormat/>
    <w:basedOn w:val="0"/>
    <w:rPr>
      <w:rFonts w:ascii="方正书宋_GBK" w:eastAsia="方正书宋_GBK" w:cs="方正书宋_GBK" w:hAnsi="方正书宋_GBK"/>
      <w:sz w:val="21"/>
    </w:rPr>
  </w:style>
  <w:style w:type="paragraph" w:customStyle="1" w:styleId="21">
    <w:name w:val="单元格样式3"/>
    <w:qFormat/>
    <w:basedOn w:val="0"/>
    <w:pPr>
      <w:jc w:val="center"/>
    </w:pPr>
    <w:rPr>
      <w:rFonts w:ascii="方正书宋_GBK" w:eastAsia="方正书宋_GBK" w:cs="方正书宋_GBK" w:hAnsi="方正书宋_GBK"/>
      <w:sz w:val="21"/>
    </w:rPr>
  </w:style>
  <w:style w:type="paragraph" w:customStyle="1" w:styleId="22">
    <w:name w:val="单元格样式6"/>
    <w:qFormat/>
    <w:basedOn w:val="0"/>
    <w:pPr>
      <w:jc w:val="center"/>
    </w:pPr>
    <w:rPr>
      <w:rFonts w:ascii="方正书宋_GBK" w:eastAsia="方正书宋_GBK" w:cs="方正书宋_GBK" w:hAnsi="方正书宋_GBK"/>
      <w:b/>
      <w:sz w:val="21"/>
    </w:rPr>
  </w:style>
  <w:style w:type="paragraph" w:customStyle="1" w:styleId="23">
    <w:name w:val="单元格样式7"/>
    <w:qFormat/>
    <w:basedOn w:val="0"/>
    <w:pPr>
      <w:jc w:val="right"/>
    </w:pPr>
    <w:rPr>
      <w:rFonts w:ascii="方正书宋_GBK" w:eastAsia="方正书宋_GBK" w:cs="方正书宋_GBK" w:hAnsi="方正书宋_GBK"/>
      <w:b/>
      <w:sz w:val="21"/>
    </w:rPr>
  </w:style>
  <w:style w:type="paragraph" w:customStyle="1" w:styleId="24">
    <w:name w:val="单元格样式5"/>
    <w:qFormat/>
    <w:basedOn w:val="0"/>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line="500" w:lineRule="exact"/>
      <w:ind w:firstLine="560"/>
    </w:pPr>
    <w:rPr>
      <w:rFonts w:eastAsia="方正仿宋_GBK"/>
      <w:sz w:val="28"/>
    </w:rPr>
  </w:style>
  <w:style w:type="paragraph" w:customStyle="1" w:styleId="26">
    <w:name w:val="插入文本样式-插入预算公开部门预算安排的总体情况文件"/>
    <w:qFormat/>
    <w:basedOn w:val="0"/>
    <w:pPr>
      <w:spacing w:line="500" w:lineRule="exact"/>
      <w:ind w:firstLine="560"/>
    </w:pPr>
    <w:rPr>
      <w:rFonts w:eastAsia="方正仿宋_GBK"/>
      <w:sz w:val="28"/>
    </w:rPr>
  </w:style>
  <w:style w:type="paragraph" w:customStyle="1" w:styleId="27">
    <w:name w:val="插入文本样式-插入预算公开部门机关运行经费安排情况文件"/>
    <w:qFormat/>
    <w:basedOn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qFormat/>
    <w:basedOn w:val="0"/>
    <w:pPr>
      <w:spacing w:line="500" w:lineRule="exact"/>
      <w:ind w:firstLine="560"/>
    </w:pPr>
    <w:rPr>
      <w:rFonts w:eastAsia="方正仿宋_GBK"/>
      <w:sz w:val="28"/>
    </w:rPr>
  </w:style>
  <w:style w:type="paragraph" w:customStyle="1" w:styleId="29">
    <w:name w:val="插入文本样式-插入总体目标文件"/>
    <w:qFormat/>
    <w:basedOn w:val="0"/>
    <w:pPr>
      <w:spacing w:line="500" w:lineRule="exact"/>
      <w:ind w:firstLine="560"/>
    </w:pPr>
    <w:rPr>
      <w:rFonts w:eastAsia="方正仿宋_GBK"/>
      <w:sz w:val="28"/>
    </w:rPr>
  </w:style>
  <w:style w:type="paragraph" w:customStyle="1" w:styleId="30">
    <w:name w:val="插入文本样式-插入职责分类绩效目标文件"/>
    <w:qFormat/>
    <w:basedOn w:val="0"/>
    <w:pPr>
      <w:spacing w:line="500" w:lineRule="exact"/>
      <w:ind w:firstLine="560"/>
    </w:pPr>
    <w:rPr>
      <w:rFonts w:eastAsia="方正仿宋_GBK"/>
      <w:sz w:val="28"/>
    </w:rPr>
  </w:style>
  <w:style w:type="paragraph" w:customStyle="1" w:styleId="31">
    <w:name w:val="插入文本样式-插入实现年度发展规划目标的保障措施文件"/>
    <w:qFormat/>
    <w:basedOn w:val="0"/>
    <w:pPr>
      <w:spacing w:line="500" w:lineRule="exact"/>
      <w:ind w:firstLine="560"/>
    </w:pPr>
    <w:rPr>
      <w:rFonts w:eastAsia="方正仿宋_GBK"/>
      <w:sz w:val="28"/>
    </w:rPr>
  </w:style>
  <w:style w:type="paragraph" w:customStyle="1" w:styleId="32">
    <w:name w:val="单元格样式23"/>
    <w:qFormat/>
    <w:pPr>
      <w:jc w:val="right"/>
    </w:pPr>
    <w:rPr>
      <w:rFonts w:ascii="方正书宋_GBK" w:eastAsia="方正书宋_GBK" w:cs="方正书宋_GBK" w:hAnsi="方正书宋_GBK"/>
      <w:sz w:val="24"/>
      <w:szCs w:val="20"/>
      <w:lang w:val="en-US" w:eastAsia="zh-CN" w:bidi="ar-SA"/>
    </w:rPr>
  </w:style>
  <w:style w:type="paragraph" w:styleId="33">
    <w:name w:val="toc 2"/>
    <w:qFormat/>
    <w:basedOn w:val="0"/>
    <w:pPr>
      <w:ind w:left="240"/>
    </w:pPr>
  </w:style>
  <w:style w:type="paragraph" w:styleId="34">
    <w:name w:val="toc 3"/>
    <w:qFormat/>
    <w:basedOn w:val="0"/>
    <w:pPr>
      <w:ind w:left="480"/>
    </w:pPr>
  </w:style>
  <w:style w:type="paragraph" w:styleId="35">
    <w:name w:val="toc 1"/>
    <w:qFormat/>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DCCC018D-2239-4318-A8CC-62A6F07B2C7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10</TotalTime>
  <Application>Yozo_Office9.0.4819.102ZH</Application>
  <Pages>44</Pages>
  <Words>0</Words>
  <Characters>14483</Characters>
  <Lines>0</Lines>
  <Paragraphs>195</Paragraphs>
  <CharactersWithSpaces>19311</CharactersWithSpaces>
  <Company>微软中国</Company>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2</cp:revision>
  <dcterms:created xsi:type="dcterms:W3CDTF">2026-02-09T06:51:00Z</dcterms:created>
  <dcterms:modified xsi:type="dcterms:W3CDTF">2026-02-09T07:16:05Z</dcterms:modified>
</cp:coreProperties>
</file>