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711石家庄市井陉矿区总工会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188.58</w:t>
            </w:r>
          </w:p>
        </w:tc>
        <w:tc>
          <w:tcPr>
            <w:tcW w:w="4535" w:type="dxa"/>
            <w:vAlign w:val="center"/>
          </w:tcPr>
          <w:p>
            <w:pPr>
              <w:pStyle w:val="13"/>
            </w:pPr>
            <w:r>
              <w:t>一、一般公共服务支出</w:t>
            </w:r>
          </w:p>
        </w:tc>
        <w:tc>
          <w:tcPr>
            <w:tcW w:w="2126" w:type="dxa"/>
            <w:vAlign w:val="center"/>
          </w:tcPr>
          <w:p>
            <w:pPr>
              <w:pStyle w:val="12"/>
            </w:pPr>
            <w:r>
              <w:t>143.32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188.58</w:t>
            </w:r>
          </w:p>
        </w:tc>
        <w:tc>
          <w:tcPr>
            <w:tcW w:w="4535" w:type="dxa"/>
            <w:vAlign w:val="center"/>
          </w:tcPr>
          <w:p>
            <w:pPr>
              <w:pStyle w:val="15"/>
            </w:pPr>
            <w:r>
              <w:t>本年支出合计</w:t>
            </w:r>
          </w:p>
        </w:tc>
        <w:tc>
          <w:tcPr>
            <w:tcW w:w="2126" w:type="dxa"/>
            <w:vAlign w:val="center"/>
          </w:tcPr>
          <w:p>
            <w:pPr>
              <w:pStyle w:val="16"/>
            </w:pPr>
            <w:r>
              <w:t>188.58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188.58</w:t>
            </w:r>
          </w:p>
        </w:tc>
        <w:tc>
          <w:tcPr>
            <w:tcW w:w="4535" w:type="dxa"/>
            <w:vAlign w:val="center"/>
          </w:tcPr>
          <w:p>
            <w:pPr>
              <w:pStyle w:val="15"/>
            </w:pPr>
            <w:r>
              <w:t>支出总计</w:t>
            </w:r>
          </w:p>
        </w:tc>
        <w:tc>
          <w:tcPr>
            <w:tcW w:w="2126" w:type="dxa"/>
            <w:vAlign w:val="center"/>
          </w:tcPr>
          <w:p>
            <w:pPr>
              <w:pStyle w:val="16"/>
            </w:pPr>
            <w:r>
              <w:t>188.58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711石家庄市井陉矿区总工会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188.58</w:t>
            </w:r>
          </w:p>
        </w:tc>
        <w:tc>
          <w:tcPr>
            <w:tcW w:w="1134" w:type="dxa"/>
            <w:vAlign w:val="center"/>
          </w:tcPr>
          <w:p>
            <w:pPr>
              <w:pStyle w:val="16"/>
            </w:pPr>
            <w:r>
              <w:t>188.58</w:t>
            </w:r>
          </w:p>
        </w:tc>
        <w:tc>
          <w:tcPr>
            <w:tcW w:w="1134" w:type="dxa"/>
            <w:vAlign w:val="center"/>
          </w:tcPr>
          <w:p>
            <w:pPr>
              <w:pStyle w:val="16"/>
            </w:pPr>
            <w:r>
              <w:t>188.58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143.32</w:t>
            </w:r>
          </w:p>
        </w:tc>
        <w:tc>
          <w:tcPr>
            <w:tcW w:w="1134" w:type="dxa"/>
            <w:vAlign w:val="center"/>
          </w:tcPr>
          <w:p>
            <w:pPr>
              <w:pStyle w:val="12"/>
            </w:pPr>
            <w:r>
              <w:t>143.32</w:t>
            </w:r>
          </w:p>
        </w:tc>
        <w:tc>
          <w:tcPr>
            <w:tcW w:w="1134" w:type="dxa"/>
            <w:vAlign w:val="center"/>
          </w:tcPr>
          <w:p>
            <w:pPr>
              <w:pStyle w:val="12"/>
            </w:pPr>
            <w:r>
              <w:t>143.32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143.32</w:t>
            </w:r>
          </w:p>
        </w:tc>
        <w:tc>
          <w:tcPr>
            <w:tcW w:w="1134" w:type="dxa"/>
            <w:vAlign w:val="center"/>
          </w:tcPr>
          <w:p>
            <w:pPr>
              <w:pStyle w:val="12"/>
            </w:pPr>
            <w:r>
              <w:t>143.32</w:t>
            </w:r>
          </w:p>
        </w:tc>
        <w:tc>
          <w:tcPr>
            <w:tcW w:w="1134" w:type="dxa"/>
            <w:vAlign w:val="center"/>
          </w:tcPr>
          <w:p>
            <w:pPr>
              <w:pStyle w:val="12"/>
            </w:pPr>
            <w:r>
              <w:t>143.32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76.01</w:t>
            </w:r>
          </w:p>
        </w:tc>
        <w:tc>
          <w:tcPr>
            <w:tcW w:w="1134" w:type="dxa"/>
            <w:vAlign w:val="center"/>
          </w:tcPr>
          <w:p>
            <w:pPr>
              <w:pStyle w:val="12"/>
            </w:pPr>
            <w:r>
              <w:t>76.01</w:t>
            </w:r>
          </w:p>
        </w:tc>
        <w:tc>
          <w:tcPr>
            <w:tcW w:w="1134" w:type="dxa"/>
            <w:vAlign w:val="center"/>
          </w:tcPr>
          <w:p>
            <w:pPr>
              <w:pStyle w:val="12"/>
            </w:pPr>
            <w:r>
              <w:t>76.01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67.31</w:t>
            </w:r>
          </w:p>
        </w:tc>
        <w:tc>
          <w:tcPr>
            <w:tcW w:w="1134" w:type="dxa"/>
            <w:vAlign w:val="center"/>
          </w:tcPr>
          <w:p>
            <w:pPr>
              <w:pStyle w:val="12"/>
            </w:pPr>
            <w:r>
              <w:t>67.31</w:t>
            </w:r>
          </w:p>
        </w:tc>
        <w:tc>
          <w:tcPr>
            <w:tcW w:w="1134" w:type="dxa"/>
            <w:vAlign w:val="center"/>
          </w:tcPr>
          <w:p>
            <w:pPr>
              <w:pStyle w:val="12"/>
            </w:pPr>
            <w:r>
              <w:t>67.31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45.26</w:t>
            </w:r>
          </w:p>
        </w:tc>
        <w:tc>
          <w:tcPr>
            <w:tcW w:w="1134" w:type="dxa"/>
            <w:vAlign w:val="center"/>
          </w:tcPr>
          <w:p>
            <w:pPr>
              <w:pStyle w:val="12"/>
            </w:pPr>
            <w:r>
              <w:t>45.26</w:t>
            </w:r>
          </w:p>
        </w:tc>
        <w:tc>
          <w:tcPr>
            <w:tcW w:w="1134" w:type="dxa"/>
            <w:vAlign w:val="center"/>
          </w:tcPr>
          <w:p>
            <w:pPr>
              <w:pStyle w:val="12"/>
            </w:pPr>
            <w:r>
              <w:t>45.26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45.26</w:t>
            </w:r>
          </w:p>
        </w:tc>
        <w:tc>
          <w:tcPr>
            <w:tcW w:w="1134" w:type="dxa"/>
            <w:vAlign w:val="center"/>
          </w:tcPr>
          <w:p>
            <w:pPr>
              <w:pStyle w:val="12"/>
            </w:pPr>
            <w:r>
              <w:t>45.26</w:t>
            </w:r>
          </w:p>
        </w:tc>
        <w:tc>
          <w:tcPr>
            <w:tcW w:w="1134" w:type="dxa"/>
            <w:vAlign w:val="center"/>
          </w:tcPr>
          <w:p>
            <w:pPr>
              <w:pStyle w:val="12"/>
            </w:pPr>
            <w:r>
              <w:t>45.26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29.43</w:t>
            </w:r>
          </w:p>
        </w:tc>
        <w:tc>
          <w:tcPr>
            <w:tcW w:w="1134" w:type="dxa"/>
            <w:vAlign w:val="center"/>
          </w:tcPr>
          <w:p>
            <w:pPr>
              <w:pStyle w:val="12"/>
            </w:pPr>
            <w:r>
              <w:t>29.43</w:t>
            </w:r>
          </w:p>
        </w:tc>
        <w:tc>
          <w:tcPr>
            <w:tcW w:w="1134" w:type="dxa"/>
            <w:vAlign w:val="center"/>
          </w:tcPr>
          <w:p>
            <w:pPr>
              <w:pStyle w:val="12"/>
            </w:pPr>
            <w:r>
              <w:t>29.43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15.83</w:t>
            </w:r>
          </w:p>
        </w:tc>
        <w:tc>
          <w:tcPr>
            <w:tcW w:w="1134" w:type="dxa"/>
            <w:vAlign w:val="center"/>
          </w:tcPr>
          <w:p>
            <w:pPr>
              <w:pStyle w:val="12"/>
            </w:pPr>
            <w:r>
              <w:t>15.83</w:t>
            </w:r>
          </w:p>
        </w:tc>
        <w:tc>
          <w:tcPr>
            <w:tcW w:w="1134" w:type="dxa"/>
            <w:vAlign w:val="center"/>
          </w:tcPr>
          <w:p>
            <w:pPr>
              <w:pStyle w:val="12"/>
            </w:pPr>
            <w:r>
              <w:t>15.83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711石家庄市井陉矿区总工会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188.58</w:t>
            </w:r>
          </w:p>
        </w:tc>
        <w:tc>
          <w:tcPr>
            <w:tcW w:w="1361" w:type="dxa"/>
            <w:vAlign w:val="center"/>
          </w:tcPr>
          <w:p>
            <w:pPr>
              <w:pStyle w:val="16"/>
            </w:pPr>
            <w:r>
              <w:t>46.27</w:t>
            </w:r>
          </w:p>
        </w:tc>
        <w:tc>
          <w:tcPr>
            <w:tcW w:w="1361" w:type="dxa"/>
            <w:vAlign w:val="center"/>
          </w:tcPr>
          <w:p>
            <w:pPr>
              <w:pStyle w:val="16"/>
            </w:pPr>
            <w:r>
              <w:t>142.31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143.32</w:t>
            </w:r>
          </w:p>
        </w:tc>
        <w:tc>
          <w:tcPr>
            <w:tcW w:w="1361" w:type="dxa"/>
            <w:vAlign w:val="center"/>
          </w:tcPr>
          <w:p>
            <w:pPr>
              <w:pStyle w:val="12"/>
            </w:pPr>
            <w:r>
              <w:t>1.01</w:t>
            </w:r>
          </w:p>
        </w:tc>
        <w:tc>
          <w:tcPr>
            <w:tcW w:w="1361" w:type="dxa"/>
            <w:vAlign w:val="center"/>
          </w:tcPr>
          <w:p>
            <w:pPr>
              <w:pStyle w:val="12"/>
            </w:pPr>
            <w:r>
              <w:t>142.31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143.32</w:t>
            </w:r>
          </w:p>
        </w:tc>
        <w:tc>
          <w:tcPr>
            <w:tcW w:w="1361" w:type="dxa"/>
            <w:vAlign w:val="center"/>
          </w:tcPr>
          <w:p>
            <w:pPr>
              <w:pStyle w:val="12"/>
            </w:pPr>
            <w:r>
              <w:t>1.01</w:t>
            </w:r>
          </w:p>
        </w:tc>
        <w:tc>
          <w:tcPr>
            <w:tcW w:w="1361" w:type="dxa"/>
            <w:vAlign w:val="center"/>
          </w:tcPr>
          <w:p>
            <w:pPr>
              <w:pStyle w:val="12"/>
            </w:pPr>
            <w:r>
              <w:t>142.31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76.01</w:t>
            </w:r>
          </w:p>
        </w:tc>
        <w:tc>
          <w:tcPr>
            <w:tcW w:w="1361" w:type="dxa"/>
            <w:vAlign w:val="center"/>
          </w:tcPr>
          <w:p>
            <w:pPr>
              <w:pStyle w:val="12"/>
            </w:pPr>
            <w:r>
              <w:t>1.01</w:t>
            </w: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67.31</w:t>
            </w:r>
          </w:p>
        </w:tc>
        <w:tc>
          <w:tcPr>
            <w:tcW w:w="1361" w:type="dxa"/>
            <w:vAlign w:val="center"/>
          </w:tcPr>
          <w:p>
            <w:pPr>
              <w:pStyle w:val="12"/>
            </w:pPr>
          </w:p>
        </w:tc>
        <w:tc>
          <w:tcPr>
            <w:tcW w:w="1361" w:type="dxa"/>
            <w:vAlign w:val="center"/>
          </w:tcPr>
          <w:p>
            <w:pPr>
              <w:pStyle w:val="12"/>
            </w:pPr>
            <w:r>
              <w:t>67.31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45.26</w:t>
            </w:r>
          </w:p>
        </w:tc>
        <w:tc>
          <w:tcPr>
            <w:tcW w:w="1361" w:type="dxa"/>
            <w:vAlign w:val="center"/>
          </w:tcPr>
          <w:p>
            <w:pPr>
              <w:pStyle w:val="12"/>
            </w:pPr>
            <w:r>
              <w:t>45.26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45.26</w:t>
            </w:r>
          </w:p>
        </w:tc>
        <w:tc>
          <w:tcPr>
            <w:tcW w:w="1361" w:type="dxa"/>
            <w:vAlign w:val="center"/>
          </w:tcPr>
          <w:p>
            <w:pPr>
              <w:pStyle w:val="12"/>
            </w:pPr>
            <w:r>
              <w:t>45.26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29.43</w:t>
            </w:r>
          </w:p>
        </w:tc>
        <w:tc>
          <w:tcPr>
            <w:tcW w:w="1361" w:type="dxa"/>
            <w:vAlign w:val="center"/>
          </w:tcPr>
          <w:p>
            <w:pPr>
              <w:pStyle w:val="12"/>
            </w:pPr>
            <w:r>
              <w:t>29.43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15.83</w:t>
            </w:r>
          </w:p>
        </w:tc>
        <w:tc>
          <w:tcPr>
            <w:tcW w:w="1361" w:type="dxa"/>
            <w:vAlign w:val="center"/>
          </w:tcPr>
          <w:p>
            <w:pPr>
              <w:pStyle w:val="12"/>
            </w:pPr>
            <w:r>
              <w:t>15.83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711石家庄市井陉矿区总工会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188.58</w:t>
            </w:r>
          </w:p>
        </w:tc>
        <w:tc>
          <w:tcPr>
            <w:tcW w:w="3402" w:type="dxa"/>
            <w:vAlign w:val="center"/>
          </w:tcPr>
          <w:p>
            <w:pPr>
              <w:pStyle w:val="13"/>
            </w:pPr>
            <w:r>
              <w:t>一、一般公共服务支出</w:t>
            </w:r>
          </w:p>
        </w:tc>
        <w:tc>
          <w:tcPr>
            <w:tcW w:w="1474" w:type="dxa"/>
            <w:vAlign w:val="center"/>
          </w:tcPr>
          <w:p>
            <w:pPr>
              <w:pStyle w:val="12"/>
            </w:pPr>
            <w:r>
              <w:t>143.32</w:t>
            </w:r>
          </w:p>
        </w:tc>
        <w:tc>
          <w:tcPr>
            <w:tcW w:w="1474" w:type="dxa"/>
            <w:vAlign w:val="center"/>
          </w:tcPr>
          <w:p>
            <w:pPr>
              <w:pStyle w:val="12"/>
            </w:pPr>
            <w:r>
              <w:t>143.32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45.26</w:t>
            </w:r>
          </w:p>
        </w:tc>
        <w:tc>
          <w:tcPr>
            <w:tcW w:w="1474" w:type="dxa"/>
            <w:vAlign w:val="center"/>
          </w:tcPr>
          <w:p>
            <w:pPr>
              <w:pStyle w:val="12"/>
            </w:pPr>
            <w:r>
              <w:t>45.26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188.58</w:t>
            </w:r>
          </w:p>
        </w:tc>
        <w:tc>
          <w:tcPr>
            <w:tcW w:w="3402" w:type="dxa"/>
            <w:vAlign w:val="center"/>
          </w:tcPr>
          <w:p>
            <w:pPr>
              <w:pStyle w:val="15"/>
            </w:pPr>
            <w:r>
              <w:t>本年支出合计</w:t>
            </w:r>
          </w:p>
        </w:tc>
        <w:tc>
          <w:tcPr>
            <w:tcW w:w="1474" w:type="dxa"/>
            <w:vAlign w:val="center"/>
          </w:tcPr>
          <w:p>
            <w:pPr>
              <w:pStyle w:val="16"/>
            </w:pPr>
            <w:r>
              <w:t>188.58</w:t>
            </w:r>
          </w:p>
        </w:tc>
        <w:tc>
          <w:tcPr>
            <w:tcW w:w="1474" w:type="dxa"/>
            <w:vAlign w:val="center"/>
          </w:tcPr>
          <w:p>
            <w:pPr>
              <w:pStyle w:val="16"/>
            </w:pPr>
            <w:r>
              <w:t>188.58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188.58</w:t>
            </w:r>
          </w:p>
        </w:tc>
        <w:tc>
          <w:tcPr>
            <w:tcW w:w="3402" w:type="dxa"/>
            <w:vAlign w:val="center"/>
          </w:tcPr>
          <w:p>
            <w:pPr>
              <w:pStyle w:val="15"/>
            </w:pPr>
            <w:r>
              <w:t>支出总计</w:t>
            </w:r>
          </w:p>
        </w:tc>
        <w:tc>
          <w:tcPr>
            <w:tcW w:w="1474" w:type="dxa"/>
            <w:vAlign w:val="center"/>
          </w:tcPr>
          <w:p>
            <w:pPr>
              <w:pStyle w:val="16"/>
            </w:pPr>
            <w:r>
              <w:t>188.58</w:t>
            </w:r>
          </w:p>
        </w:tc>
        <w:tc>
          <w:tcPr>
            <w:tcW w:w="1474" w:type="dxa"/>
            <w:vAlign w:val="center"/>
          </w:tcPr>
          <w:p>
            <w:pPr>
              <w:pStyle w:val="16"/>
            </w:pPr>
            <w:r>
              <w:t>188.58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711石家庄市井陉矿区总工会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188.58</w:t>
            </w:r>
          </w:p>
        </w:tc>
        <w:tc>
          <w:tcPr>
            <w:tcW w:w="2551" w:type="dxa"/>
            <w:vAlign w:val="center"/>
          </w:tcPr>
          <w:p>
            <w:pPr>
              <w:pStyle w:val="16"/>
            </w:pPr>
            <w:r>
              <w:t>46.27</w:t>
            </w:r>
          </w:p>
        </w:tc>
        <w:tc>
          <w:tcPr>
            <w:tcW w:w="2551" w:type="dxa"/>
            <w:vAlign w:val="center"/>
          </w:tcPr>
          <w:p>
            <w:pPr>
              <w:pStyle w:val="16"/>
            </w:pPr>
            <w:r>
              <w:t>142.31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143.32</w:t>
            </w:r>
          </w:p>
        </w:tc>
        <w:tc>
          <w:tcPr>
            <w:tcW w:w="2551" w:type="dxa"/>
            <w:vAlign w:val="center"/>
          </w:tcPr>
          <w:p>
            <w:pPr>
              <w:pStyle w:val="12"/>
            </w:pPr>
            <w:r>
              <w:t>1.01</w:t>
            </w:r>
          </w:p>
        </w:tc>
        <w:tc>
          <w:tcPr>
            <w:tcW w:w="2551" w:type="dxa"/>
            <w:vAlign w:val="center"/>
          </w:tcPr>
          <w:p>
            <w:pPr>
              <w:pStyle w:val="12"/>
            </w:pPr>
            <w:r>
              <w:t>142.31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143.32</w:t>
            </w:r>
          </w:p>
        </w:tc>
        <w:tc>
          <w:tcPr>
            <w:tcW w:w="2551" w:type="dxa"/>
            <w:vAlign w:val="center"/>
          </w:tcPr>
          <w:p>
            <w:pPr>
              <w:pStyle w:val="12"/>
            </w:pPr>
            <w:r>
              <w:t>1.01</w:t>
            </w:r>
          </w:p>
        </w:tc>
        <w:tc>
          <w:tcPr>
            <w:tcW w:w="2551" w:type="dxa"/>
            <w:vAlign w:val="center"/>
          </w:tcPr>
          <w:p>
            <w:pPr>
              <w:pStyle w:val="12"/>
            </w:pPr>
            <w:r>
              <w:t>142.31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76.01</w:t>
            </w:r>
          </w:p>
        </w:tc>
        <w:tc>
          <w:tcPr>
            <w:tcW w:w="2551" w:type="dxa"/>
            <w:vAlign w:val="center"/>
          </w:tcPr>
          <w:p>
            <w:pPr>
              <w:pStyle w:val="12"/>
            </w:pPr>
            <w:r>
              <w:t>1.01</w:t>
            </w:r>
          </w:p>
        </w:tc>
        <w:tc>
          <w:tcPr>
            <w:tcW w:w="2551" w:type="dxa"/>
            <w:vAlign w:val="center"/>
          </w:tcPr>
          <w:p>
            <w:pPr>
              <w:pStyle w:val="12"/>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67.31</w:t>
            </w:r>
          </w:p>
        </w:tc>
        <w:tc>
          <w:tcPr>
            <w:tcW w:w="2551" w:type="dxa"/>
            <w:vAlign w:val="center"/>
          </w:tcPr>
          <w:p>
            <w:pPr>
              <w:pStyle w:val="12"/>
            </w:pPr>
          </w:p>
        </w:tc>
        <w:tc>
          <w:tcPr>
            <w:tcW w:w="2551" w:type="dxa"/>
            <w:vAlign w:val="center"/>
          </w:tcPr>
          <w:p>
            <w:pPr>
              <w:pStyle w:val="12"/>
            </w:pPr>
            <w:r>
              <w:t>67.31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45.26</w:t>
            </w:r>
          </w:p>
        </w:tc>
        <w:tc>
          <w:tcPr>
            <w:tcW w:w="2551" w:type="dxa"/>
            <w:vAlign w:val="center"/>
          </w:tcPr>
          <w:p>
            <w:pPr>
              <w:pStyle w:val="12"/>
            </w:pPr>
            <w:r>
              <w:t>45.26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45.26</w:t>
            </w:r>
          </w:p>
        </w:tc>
        <w:tc>
          <w:tcPr>
            <w:tcW w:w="2551" w:type="dxa"/>
            <w:vAlign w:val="center"/>
          </w:tcPr>
          <w:p>
            <w:pPr>
              <w:pStyle w:val="12"/>
            </w:pPr>
            <w:r>
              <w:t>45.26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29.43</w:t>
            </w:r>
          </w:p>
        </w:tc>
        <w:tc>
          <w:tcPr>
            <w:tcW w:w="2551" w:type="dxa"/>
            <w:vAlign w:val="center"/>
          </w:tcPr>
          <w:p>
            <w:pPr>
              <w:pStyle w:val="12"/>
            </w:pPr>
            <w:r>
              <w:t>29.43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15.83</w:t>
            </w:r>
          </w:p>
        </w:tc>
        <w:tc>
          <w:tcPr>
            <w:tcW w:w="2551" w:type="dxa"/>
            <w:vAlign w:val="center"/>
          </w:tcPr>
          <w:p>
            <w:pPr>
              <w:pStyle w:val="12"/>
            </w:pPr>
            <w:r>
              <w:t>15.83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711石家庄市井陉矿区总工会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46.27</w:t>
            </w:r>
          </w:p>
        </w:tc>
        <w:tc>
          <w:tcPr>
            <w:tcW w:w="2551" w:type="dxa"/>
            <w:vAlign w:val="center"/>
          </w:tcPr>
          <w:p>
            <w:pPr>
              <w:pStyle w:val="16"/>
            </w:pPr>
            <w:r>
              <w:t>45.26</w:t>
            </w:r>
          </w:p>
        </w:tc>
        <w:tc>
          <w:tcPr>
            <w:tcW w:w="2551" w:type="dxa"/>
            <w:vAlign w:val="center"/>
          </w:tcPr>
          <w:p>
            <w:pPr>
              <w:pStyle w:val="16"/>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15.83</w:t>
            </w:r>
          </w:p>
        </w:tc>
        <w:tc>
          <w:tcPr>
            <w:tcW w:w="2551" w:type="dxa"/>
            <w:vAlign w:val="center"/>
          </w:tcPr>
          <w:p>
            <w:pPr>
              <w:pStyle w:val="12"/>
            </w:pPr>
            <w:r>
              <w:t>15.83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15.83</w:t>
            </w:r>
          </w:p>
        </w:tc>
        <w:tc>
          <w:tcPr>
            <w:tcW w:w="2551" w:type="dxa"/>
            <w:vAlign w:val="center"/>
          </w:tcPr>
          <w:p>
            <w:pPr>
              <w:pStyle w:val="12"/>
            </w:pPr>
            <w:r>
              <w:t>15.83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1.01</w:t>
            </w:r>
          </w:p>
        </w:tc>
        <w:tc>
          <w:tcPr>
            <w:tcW w:w="2551" w:type="dxa"/>
            <w:vAlign w:val="center"/>
          </w:tcPr>
          <w:p>
            <w:pPr>
              <w:pStyle w:val="12"/>
            </w:pPr>
          </w:p>
        </w:tc>
        <w:tc>
          <w:tcPr>
            <w:tcW w:w="2551" w:type="dxa"/>
            <w:vAlign w:val="center"/>
          </w:tcPr>
          <w:p>
            <w:pPr>
              <w:pStyle w:val="12"/>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1.01</w:t>
            </w:r>
          </w:p>
        </w:tc>
        <w:tc>
          <w:tcPr>
            <w:tcW w:w="2551" w:type="dxa"/>
            <w:vAlign w:val="center"/>
          </w:tcPr>
          <w:p>
            <w:pPr>
              <w:pStyle w:val="12"/>
            </w:pPr>
          </w:p>
        </w:tc>
        <w:tc>
          <w:tcPr>
            <w:tcW w:w="2551" w:type="dxa"/>
            <w:vAlign w:val="center"/>
          </w:tcPr>
          <w:p>
            <w:pPr>
              <w:pStyle w:val="12"/>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29.43</w:t>
            </w:r>
          </w:p>
        </w:tc>
        <w:tc>
          <w:tcPr>
            <w:tcW w:w="2551" w:type="dxa"/>
            <w:vAlign w:val="center"/>
          </w:tcPr>
          <w:p>
            <w:pPr>
              <w:pStyle w:val="12"/>
            </w:pPr>
            <w:r>
              <w:t>29.43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29.43</w:t>
            </w:r>
          </w:p>
        </w:tc>
        <w:tc>
          <w:tcPr>
            <w:tcW w:w="2551" w:type="dxa"/>
            <w:vAlign w:val="center"/>
          </w:tcPr>
          <w:p>
            <w:pPr>
              <w:pStyle w:val="12"/>
            </w:pPr>
            <w:r>
              <w:t>29.43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711石家庄市井陉矿区总工会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711石家庄市井陉矿区总工会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711石家庄市井陉矿区总工会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石家庄市井陉矿区总工会2026年部门预算信息公开情况说明</w:t>
      </w:r>
    </w:p>
    <w:p>
      <w:pPr>
        <w:jc w:val="center"/>
      </w:pPr>
      <w:r>
        <w:rPr>
          <w:rFonts w:ascii="方正小标宋_GBK" w:hAnsi="方正小标宋_GBK" w:eastAsia="方正小标宋_GBK" w:cs="方正小标宋_GBK"/>
          <w:color w:val="000000"/>
          <w:sz w:val="44"/>
        </w:rPr>
        <w:t>石家庄市井陉矿区总工会2026年部门预算信息公开情况说明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按照《中华人民共和国预算法》、《地方预决算公开操作规程》和《关于进一步推进预算公开工作的实施意见》规定，现将石家庄市井陉矿区总工会2026年部门预算公开如下：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1、在区委的领导下，围绕党的中心工作，确定矿区工会的方针和任务，指导全区工会工作，负责工运理论政策的研究。</w:t>
      </w:r>
    </w:p>
    <w:p>
      <w:pPr>
        <w:pStyle w:val="18"/>
      </w:pPr>
      <w:r>
        <w:t>2、组织和指导各级工会履行基本职责，通过平等协商、集体合同制度以及职工代表大会制度两大维权手段来维护职工的合法权益，保护和调动职工主人翁的积极性。</w:t>
      </w:r>
    </w:p>
    <w:p>
      <w:pPr>
        <w:pStyle w:val="18"/>
      </w:pPr>
      <w:r>
        <w:t>3、认真贯彻落实上级工会组织制度的工作方针和任务。根据基层工会的意见要求，积极与有关部门协商解决有关问题。</w:t>
      </w:r>
    </w:p>
    <w:p>
      <w:pPr>
        <w:pStyle w:val="18"/>
      </w:pPr>
      <w:r>
        <w:t>4、依照《工会法》通过劳动关系三方协调机制，参与研究、解决劳动关系方面的重大问题。及时向区委、区政府反映职工群众的情绪、愿望和要求，并提出意见和建议，及时和有效参与制定涉及职工切身利益的有关政策、规章、制度的制定。</w:t>
      </w:r>
    </w:p>
    <w:p>
      <w:pPr>
        <w:pStyle w:val="18"/>
      </w:pPr>
      <w:r>
        <w:t>5、结合工作实际，帮助和指导企业职工组建工会女职工委员会组织，加强对女职工特殊权益的保护。</w:t>
      </w:r>
    </w:p>
    <w:p>
      <w:pPr>
        <w:pStyle w:val="18"/>
      </w:pPr>
      <w:r>
        <w:t>6、指导各级工会加强自身建设，确保《中华人民共和国劳动法》《中华人民共和国工会法》《河北省实施《工会法》办法》、《石家庄市实施《工会法》的办法，以及《中国工会章程》的各项规定得到贯彻落实。</w:t>
      </w:r>
    </w:p>
    <w:p>
      <w:pPr>
        <w:pStyle w:val="18"/>
      </w:pPr>
      <w:r>
        <w:t>7、协助各级党委搞好各级工会领导班子建设和工会干部管理，制定工会干部的培训计划，努力提高工会干部积极分子培训和教育工作。</w:t>
      </w:r>
    </w:p>
    <w:p>
      <w:pPr>
        <w:pStyle w:val="18"/>
      </w:pPr>
      <w:r>
        <w:t>8、根据政府委托，与有关部门共同做好全区劳动和先进生产（工作）者的推荐、评选、表彰、培养和选树工作。</w:t>
      </w:r>
    </w:p>
    <w:p>
      <w:pPr>
        <w:pStyle w:val="18"/>
      </w:pPr>
      <w:r>
        <w:t>9、负责指导各级工会的财务工作，负责工会经费管理、审查审计工作，负责工会企事业发展的指导协作。</w:t>
      </w:r>
    </w:p>
    <w:p>
      <w:pPr>
        <w:pStyle w:val="18"/>
      </w:pPr>
      <w:r>
        <w:t>10、代表我区职工开展对外经济、技术、文化交流。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石家庄市井陉矿区总工会</w:t>
            </w:r>
          </w:p>
        </w:tc>
        <w:tc>
          <w:tcPr>
            <w:tcW w:w="1843" w:type="dxa"/>
            <w:vAlign w:val="center"/>
          </w:tcPr>
          <w:p>
            <w:pPr>
              <w:pStyle w:val="14"/>
              <w:jc w:val="center"/>
              <w:rPr>
                <w:rFonts w:hint="eastAsia" w:eastAsia="方正书宋_GBK"/>
                <w:lang w:eastAsia="zh-CN"/>
              </w:rPr>
            </w:pPr>
            <w:bookmarkStart w:id="20" w:name="_GoBack"/>
            <w:r>
              <w:rPr>
                <w:rFonts w:hint="eastAsia"/>
                <w:lang w:eastAsia="zh-CN"/>
              </w:rPr>
              <w:t>行政</w:t>
            </w:r>
            <w:bookmarkEnd w:id="20"/>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按照预算管理有关规定，目前部门预算的编制实行综合预算管理，即全部收入和支出都反映在预算中。石家庄市井陉矿区总工会机关及所属事业单位的收支包含在部门预算中。</w:t>
      </w:r>
    </w:p>
    <w:p>
      <w:pPr>
        <w:pStyle w:val="19"/>
      </w:pPr>
      <w:r>
        <w:t>1、收入说明</w:t>
      </w:r>
    </w:p>
    <w:p>
      <w:pPr>
        <w:pStyle w:val="19"/>
      </w:pPr>
      <w:r>
        <w:t>反映本部门当年全部收入。202</w:t>
      </w:r>
      <w:r>
        <w:rPr>
          <w:rFonts w:hint="eastAsia"/>
          <w:lang w:val="en-US" w:eastAsia="zh-CN"/>
        </w:rPr>
        <w:t>6</w:t>
      </w:r>
      <w:r>
        <w:t>年预算收入</w:t>
      </w:r>
      <w:r>
        <w:rPr>
          <w:rFonts w:hint="eastAsia"/>
          <w:lang w:val="en-US" w:eastAsia="zh-CN"/>
        </w:rPr>
        <w:t>188.58</w:t>
      </w:r>
      <w:r>
        <w:t>万元，其中：一般公共预算收入</w:t>
      </w:r>
      <w:r>
        <w:rPr>
          <w:rFonts w:hint="eastAsia"/>
          <w:lang w:val="en-US" w:eastAsia="zh-CN"/>
        </w:rPr>
        <w:t>188.58</w:t>
      </w:r>
      <w:r>
        <w:t>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收支预算总表支出栏、基本支出表、项目支出表按经济分类和支出功能分类科目编制，反映石家庄市井陉矿区总工会年度部门预算中支出预算的总体情况。202</w:t>
      </w:r>
      <w:r>
        <w:rPr>
          <w:rFonts w:hint="eastAsia"/>
          <w:lang w:val="en-US" w:eastAsia="zh-CN"/>
        </w:rPr>
        <w:t>6</w:t>
      </w:r>
      <w:r>
        <w:t>年支出预算</w:t>
      </w:r>
      <w:r>
        <w:rPr>
          <w:rFonts w:hint="eastAsia"/>
          <w:lang w:val="en-US" w:eastAsia="zh-CN"/>
        </w:rPr>
        <w:t>188.58</w:t>
      </w:r>
      <w:r>
        <w:t>万元，其中基本支出</w:t>
      </w:r>
      <w:r>
        <w:rPr>
          <w:rFonts w:hint="eastAsia"/>
          <w:lang w:val="en-US" w:eastAsia="zh-CN"/>
        </w:rPr>
        <w:t>46.27</w:t>
      </w:r>
      <w:r>
        <w:t>万元，包括人员经费4</w:t>
      </w:r>
      <w:r>
        <w:rPr>
          <w:rFonts w:hint="eastAsia"/>
          <w:lang w:val="en-US" w:eastAsia="zh-CN"/>
        </w:rPr>
        <w:t>5.26</w:t>
      </w:r>
      <w:r>
        <w:t>万元和日常公用经费1.01万元；项目支出</w:t>
      </w:r>
      <w:r>
        <w:rPr>
          <w:rFonts w:hint="eastAsia"/>
          <w:lang w:val="en-US" w:eastAsia="zh-CN"/>
        </w:rPr>
        <w:t>142.31</w:t>
      </w:r>
      <w:r>
        <w:t>万元，主要为上解市工会工会经费，发放困难职工及劳模慰问金，发放在职人员工资及缴纳保险，支付残保金等。</w:t>
      </w:r>
    </w:p>
    <w:p>
      <w:pPr>
        <w:pStyle w:val="19"/>
      </w:pPr>
      <w:r>
        <w:t>3、比上年增减情况</w:t>
      </w:r>
    </w:p>
    <w:p>
      <w:pPr>
        <w:pStyle w:val="19"/>
        <w:rPr>
          <w:rFonts w:hint="eastAsia" w:eastAsia="方正仿宋_GBK"/>
          <w:lang w:eastAsia="zh-CN"/>
        </w:rPr>
      </w:pPr>
      <w:r>
        <w:t>202</w:t>
      </w:r>
      <w:r>
        <w:rPr>
          <w:rFonts w:hint="eastAsia"/>
          <w:lang w:val="en-US" w:eastAsia="zh-CN"/>
        </w:rPr>
        <w:t>6</w:t>
      </w:r>
      <w:r>
        <w:t>年预算收支安排</w:t>
      </w:r>
      <w:r>
        <w:rPr>
          <w:rFonts w:hint="eastAsia"/>
          <w:lang w:val="en-US" w:eastAsia="zh-CN"/>
        </w:rPr>
        <w:t>188.58</w:t>
      </w:r>
      <w:r>
        <w:t>万元，较202</w:t>
      </w:r>
      <w:r>
        <w:rPr>
          <w:rFonts w:hint="eastAsia"/>
          <w:lang w:val="en-US" w:eastAsia="zh-CN"/>
        </w:rPr>
        <w:t>5</w:t>
      </w:r>
      <w:r>
        <w:t>年预算</w:t>
      </w:r>
      <w:r>
        <w:rPr>
          <w:rFonts w:hint="eastAsia"/>
          <w:lang w:eastAsia="zh-CN"/>
        </w:rPr>
        <w:t>减少</w:t>
      </w:r>
      <w:r>
        <w:rPr>
          <w:rFonts w:hint="eastAsia"/>
          <w:lang w:val="en-US" w:eastAsia="zh-CN"/>
        </w:rPr>
        <w:t>17.44</w:t>
      </w:r>
      <w:r>
        <w:t>万元，其中：基本支出</w:t>
      </w:r>
      <w:r>
        <w:rPr>
          <w:rFonts w:hint="eastAsia"/>
          <w:lang w:eastAsia="zh-CN"/>
        </w:rPr>
        <w:t>增加</w:t>
      </w:r>
      <w:r>
        <w:rPr>
          <w:rFonts w:hint="eastAsia"/>
          <w:lang w:val="en-US" w:eastAsia="zh-CN"/>
        </w:rPr>
        <w:t>5.23</w:t>
      </w:r>
      <w:r>
        <w:t>万元，主要</w:t>
      </w:r>
      <w:r>
        <w:rPr>
          <w:rFonts w:hint="eastAsia"/>
          <w:lang w:eastAsia="zh-CN"/>
        </w:rPr>
        <w:t>本年度有在职转退休</w:t>
      </w:r>
      <w:r>
        <w:t>。项目支出</w:t>
      </w:r>
      <w:r>
        <w:rPr>
          <w:rFonts w:hint="eastAsia"/>
          <w:lang w:eastAsia="zh-CN"/>
        </w:rPr>
        <w:t>减少</w:t>
      </w:r>
      <w:r>
        <w:rPr>
          <w:rFonts w:hint="eastAsia"/>
          <w:lang w:val="en-US" w:eastAsia="zh-CN"/>
        </w:rPr>
        <w:t>22.67</w:t>
      </w:r>
      <w:r>
        <w:t>万元，主要为</w:t>
      </w:r>
      <w:r>
        <w:rPr>
          <w:rFonts w:hint="eastAsia"/>
          <w:lang w:eastAsia="zh-CN"/>
        </w:rPr>
        <w:t>本年度有在做转退休。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eastAsia="方正仿宋_GBK"/>
          <w:lang w:eastAsia="zh-CN"/>
        </w:rPr>
      </w:pPr>
      <w:r>
        <w:rPr>
          <w:rFonts w:hint="eastAsia"/>
          <w:lang w:eastAsia="zh-CN"/>
        </w:rPr>
        <w:t>无</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rPr>
          <w:rFonts w:hint="eastAsia"/>
          <w:lang w:eastAsia="zh-CN"/>
        </w:rPr>
        <w:t>无</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rPr>
          <w:rFonts w:hint="eastAsia"/>
        </w:rPr>
      </w:pPr>
      <w:r>
        <w:t>深入开展</w:t>
      </w:r>
      <w:r>
        <w:rPr>
          <w:rFonts w:hint="eastAsia"/>
        </w:rPr>
        <w:t>以习近平新时代中国特色社会主义思想为指导，深入学习贯彻党的二十大及二十届二中、三中全会精神，紧扣全区中心工作，聚焦主责主业、</w:t>
      </w:r>
      <w:r>
        <w:t>夯实</w:t>
      </w:r>
      <w:r>
        <w:rPr>
          <w:rFonts w:hint="eastAsia"/>
        </w:rPr>
        <w:t>推进各项任务，在重点项目建设、特色思政教育、维权服务保障等方面取得扎实成效</w:t>
      </w:r>
      <w:r>
        <w:rPr>
          <w:rFonts w:hint="eastAsia"/>
          <w:lang w:eastAsia="zh-CN"/>
        </w:rPr>
        <w:t>。</w:t>
      </w:r>
      <w:r>
        <w:rPr>
          <w:rFonts w:hint="eastAsia"/>
        </w:rPr>
        <w:t>工会经费主要用于开展工会各项活动，根据党在各个时期的中心任务和上级工会的指示精神，确保工作的指导思想和任务，围绕职工合法权益、开展职工活动。工会劳务费主要职工工资及保险费用缴纳。</w:t>
      </w:r>
    </w:p>
    <w:p>
      <w:pPr>
        <w:spacing w:line="500" w:lineRule="exact"/>
        <w:ind w:firstLine="560"/>
      </w:pPr>
      <w:r>
        <w:rPr>
          <w:rFonts w:eastAsia="方正仿宋_GBK"/>
          <w:color w:val="000000"/>
          <w:sz w:val="28"/>
        </w:rPr>
        <w:t>（二）分项绩效目标</w:t>
      </w:r>
    </w:p>
    <w:p>
      <w:pPr>
        <w:pStyle w:val="23"/>
      </w:pPr>
      <w:r>
        <w:t>1、加强基层工会组织建设。企业建会率、职工入会率达到98%以上，鼓励农民工入会，享受会员的各项优质服务。</w:t>
      </w:r>
    </w:p>
    <w:p>
      <w:pPr>
        <w:pStyle w:val="23"/>
      </w:pPr>
      <w:r>
        <w:t>2、确保经费足额收缴。严格按照省、市工会的要求，积极协调完成税务和财政划拨工会经费，按照标准上解市工会。</w:t>
      </w:r>
    </w:p>
    <w:p>
      <w:pPr>
        <w:pStyle w:val="23"/>
      </w:pPr>
      <w:r>
        <w:t>3、加强企业民主管理。实现全区建会企业厂务公开融入经营管理达到95%以上，建会非公有制职代会规范率达到95%以上。</w:t>
      </w:r>
    </w:p>
    <w:p>
      <w:pPr>
        <w:pStyle w:val="23"/>
      </w:pPr>
      <w:r>
        <w:t>4、开展岗位练兵活动，加强职工素质建设。</w:t>
      </w:r>
    </w:p>
    <w:p>
      <w:pPr>
        <w:pStyle w:val="23"/>
      </w:pPr>
      <w:r>
        <w:t>5、扩展普惠化服务。在“实惠卡”原有十大好处的基础上，延伸服务内容，让职工群众得到更大实惠。</w:t>
      </w:r>
    </w:p>
    <w:p>
      <w:pPr>
        <w:pStyle w:val="23"/>
      </w:pPr>
      <w:r>
        <w:t>6、“五一”、“国庆”、“春节”期间开展职工岗位练兵、劳动金竞赛以及丰富多彩的文体活动。</w:t>
      </w:r>
    </w:p>
    <w:p>
      <w:pPr>
        <w:spacing w:line="500" w:lineRule="exact"/>
        <w:ind w:firstLine="560"/>
      </w:pPr>
      <w:r>
        <w:rPr>
          <w:rFonts w:eastAsia="方正仿宋_GBK"/>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3、加强内部监督。加强内部监督制度建设，对绩效运行、重大支出项目、资产处置及其他重要经济业务事项决策和执行进行监督，定期开展财务内部审计，确保财政资金使用安全合规。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6、加强宣传培训。加强人员培训，加大宣传力度，强化预算绩效管理意识，促使预算绩效管理水平提升。</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spacing w:before="10" w:after="10" w:line="360" w:lineRule="auto"/>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1、2026年省级困难职工及劳模帮扶专项资金绩效目标表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13010726P000079100012</w:t>
            </w:r>
          </w:p>
        </w:tc>
        <w:tc>
          <w:tcPr>
            <w:tcW w:w="2835" w:type="dxa"/>
            <w:vAlign w:val="center"/>
          </w:tcPr>
          <w:p>
            <w:pPr>
              <w:pStyle w:val="11"/>
            </w:pPr>
            <w:r>
              <w:t>项目名称</w:t>
            </w:r>
          </w:p>
        </w:tc>
        <w:tc>
          <w:tcPr>
            <w:tcW w:w="6095" w:type="dxa"/>
            <w:gridSpan w:val="3"/>
            <w:vAlign w:val="center"/>
          </w:tcPr>
          <w:p>
            <w:pPr>
              <w:pStyle w:val="13"/>
            </w:pPr>
            <w:r>
              <w:t>2026年省级困难职工及劳模帮扶专项资金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3.41</w:t>
            </w:r>
          </w:p>
        </w:tc>
        <w:tc>
          <w:tcPr>
            <w:tcW w:w="2835" w:type="dxa"/>
            <w:vAlign w:val="center"/>
          </w:tcPr>
          <w:p>
            <w:pPr>
              <w:pStyle w:val="11"/>
            </w:pPr>
            <w:r>
              <w:t>其中：财政    资金</w:t>
            </w:r>
          </w:p>
        </w:tc>
        <w:tc>
          <w:tcPr>
            <w:tcW w:w="2551" w:type="dxa"/>
            <w:vAlign w:val="center"/>
          </w:tcPr>
          <w:p>
            <w:pPr>
              <w:pStyle w:val="13"/>
            </w:pPr>
            <w:r>
              <w:t>3.41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困难职工及困难劳模专项帮扶资金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1.对困难职工实施帮扶救助，降低生活必要成本支出，保障困难职工家庭生活水平在低保线以上，并结合本地区职工需求，规划特殊职工群体送温暖和提升职工生活品质项目。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本地需要帮扶的困难职工人数（含供养人口），此类职工因困难程度实施动态管理，实际执行项目时会有浮动</w:t>
            </w:r>
          </w:p>
        </w:tc>
        <w:tc>
          <w:tcPr>
            <w:tcW w:w="5386" w:type="dxa"/>
            <w:vAlign w:val="center"/>
          </w:tcPr>
          <w:p>
            <w:pPr>
              <w:pStyle w:val="13"/>
            </w:pPr>
            <w:r>
              <w:t>需要帮扶困难职工人数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巩固解困脱困成果类项目职工帮扶救助率</w:t>
            </w:r>
          </w:p>
        </w:tc>
        <w:tc>
          <w:tcPr>
            <w:tcW w:w="5386" w:type="dxa"/>
            <w:vAlign w:val="center"/>
          </w:tcPr>
          <w:p>
            <w:pPr>
              <w:pStyle w:val="13"/>
            </w:pPr>
            <w:r>
              <w:t>解困脱困职工帮扶救助率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巩固解困脱困成果类项目救助资金发放及时性</w:t>
            </w:r>
          </w:p>
        </w:tc>
        <w:tc>
          <w:tcPr>
            <w:tcW w:w="5386" w:type="dxa"/>
            <w:vAlign w:val="center"/>
          </w:tcPr>
          <w:p>
            <w:pPr>
              <w:pStyle w:val="13"/>
            </w:pPr>
            <w:r>
              <w:t xml:space="preserve">专项资金及时性 </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巩固解困脱困成果类项目救助标准</w:t>
            </w:r>
          </w:p>
        </w:tc>
        <w:tc>
          <w:tcPr>
            <w:tcW w:w="5386" w:type="dxa"/>
            <w:vAlign w:val="center"/>
          </w:tcPr>
          <w:p>
            <w:pPr>
              <w:pStyle w:val="13"/>
            </w:pPr>
            <w:r>
              <w:t>项目救助标准</w:t>
            </w:r>
          </w:p>
        </w:tc>
        <w:tc>
          <w:tcPr>
            <w:tcW w:w="2268" w:type="dxa"/>
            <w:vAlign w:val="center"/>
          </w:tcPr>
          <w:p>
            <w:pPr>
              <w:pStyle w:val="13"/>
            </w:pPr>
            <w:r>
              <w:t>3.41元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受帮扶救助职工，困难得到缓解、生活状况提高的比例</w:t>
            </w:r>
          </w:p>
        </w:tc>
        <w:tc>
          <w:tcPr>
            <w:tcW w:w="5386" w:type="dxa"/>
            <w:vAlign w:val="center"/>
          </w:tcPr>
          <w:p>
            <w:pPr>
              <w:pStyle w:val="13"/>
            </w:pPr>
            <w:r>
              <w:t>受助职工得到缓解、生活状况提高比例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受助职工对工会帮扶救助工作的满意度</w:t>
            </w:r>
          </w:p>
        </w:tc>
        <w:tc>
          <w:tcPr>
            <w:tcW w:w="5386" w:type="dxa"/>
            <w:vAlign w:val="center"/>
          </w:tcPr>
          <w:p>
            <w:pPr>
              <w:pStyle w:val="13"/>
            </w:pPr>
            <w:r>
              <w:t>职工对工会帮扶救助工作的满意度</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2、工会经费绩效目标表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13010726P00007910005G</w:t>
            </w:r>
          </w:p>
        </w:tc>
        <w:tc>
          <w:tcPr>
            <w:tcW w:w="2835" w:type="dxa"/>
            <w:vAlign w:val="center"/>
          </w:tcPr>
          <w:p>
            <w:pPr>
              <w:pStyle w:val="11"/>
            </w:pPr>
            <w:r>
              <w:t>项目名称</w:t>
            </w:r>
          </w:p>
        </w:tc>
        <w:tc>
          <w:tcPr>
            <w:tcW w:w="6095" w:type="dxa"/>
            <w:gridSpan w:val="3"/>
            <w:vAlign w:val="center"/>
          </w:tcPr>
          <w:p>
            <w:pPr>
              <w:pStyle w:val="13"/>
            </w:pPr>
            <w:r>
              <w:t>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用于开展职工活动、维护职工权益发放工资等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18.75</w:t>
            </w:r>
          </w:p>
        </w:tc>
        <w:tc>
          <w:tcPr>
            <w:tcW w:w="2835" w:type="dxa"/>
            <w:vAlign w:val="center"/>
          </w:tcPr>
          <w:p>
            <w:pPr>
              <w:pStyle w:val="14"/>
            </w:pPr>
            <w:r>
              <w:t>18.75</w:t>
            </w:r>
          </w:p>
        </w:tc>
        <w:tc>
          <w:tcPr>
            <w:tcW w:w="2551" w:type="dxa"/>
            <w:vAlign w:val="center"/>
          </w:tcPr>
          <w:p>
            <w:pPr>
              <w:pStyle w:val="14"/>
            </w:pPr>
            <w:r>
              <w:t>18.75</w:t>
            </w:r>
          </w:p>
        </w:tc>
        <w:tc>
          <w:tcPr>
            <w:tcW w:w="3544" w:type="dxa"/>
            <w:gridSpan w:val="2"/>
            <w:vAlign w:val="center"/>
          </w:tcPr>
          <w:p>
            <w:pPr>
              <w:pStyle w:val="14"/>
            </w:pPr>
            <w:r>
              <w:t>18.75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1.通过发放在职人员工资，保障职工合法权益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保障类型</w:t>
            </w:r>
          </w:p>
        </w:tc>
        <w:tc>
          <w:tcPr>
            <w:tcW w:w="5386" w:type="dxa"/>
            <w:vAlign w:val="center"/>
          </w:tcPr>
          <w:p>
            <w:pPr>
              <w:pStyle w:val="13"/>
            </w:pPr>
            <w:r>
              <w:t>费用保障类型数量</w:t>
            </w:r>
          </w:p>
        </w:tc>
        <w:tc>
          <w:tcPr>
            <w:tcW w:w="2268" w:type="dxa"/>
            <w:vAlign w:val="center"/>
          </w:tcPr>
          <w:p>
            <w:pPr>
              <w:pStyle w:val="13"/>
            </w:pPr>
            <w:r>
              <w:t>≤95%</w:t>
            </w:r>
          </w:p>
        </w:tc>
        <w:tc>
          <w:tcPr>
            <w:tcW w:w="1276" w:type="dxa"/>
            <w:vAlign w:val="center"/>
          </w:tcPr>
          <w:p>
            <w:pPr>
              <w:pStyle w:val="13"/>
            </w:pPr>
            <w:r>
              <w:t>工作依据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保障精准率</w:t>
            </w:r>
          </w:p>
        </w:tc>
        <w:tc>
          <w:tcPr>
            <w:tcW w:w="5386" w:type="dxa"/>
            <w:vAlign w:val="center"/>
          </w:tcPr>
          <w:p>
            <w:pPr>
              <w:pStyle w:val="13"/>
            </w:pPr>
            <w:r>
              <w:t>费用保障精准率</w:t>
            </w:r>
          </w:p>
        </w:tc>
        <w:tc>
          <w:tcPr>
            <w:tcW w:w="2268" w:type="dxa"/>
            <w:vAlign w:val="center"/>
          </w:tcPr>
          <w:p>
            <w:pPr>
              <w:pStyle w:val="13"/>
            </w:pPr>
            <w:r>
              <w:t>100%</w:t>
            </w:r>
          </w:p>
        </w:tc>
        <w:tc>
          <w:tcPr>
            <w:tcW w:w="1276" w:type="dxa"/>
            <w:vAlign w:val="center"/>
          </w:tcPr>
          <w:p>
            <w:pPr>
              <w:pStyle w:val="13"/>
            </w:pPr>
            <w:r>
              <w:t>工作依据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发放工资</w:t>
            </w:r>
          </w:p>
        </w:tc>
        <w:tc>
          <w:tcPr>
            <w:tcW w:w="5386" w:type="dxa"/>
            <w:vAlign w:val="center"/>
          </w:tcPr>
          <w:p>
            <w:pPr>
              <w:pStyle w:val="13"/>
            </w:pPr>
            <w:r>
              <w:t>发放时间</w:t>
            </w:r>
          </w:p>
        </w:tc>
        <w:tc>
          <w:tcPr>
            <w:tcW w:w="2268" w:type="dxa"/>
            <w:vAlign w:val="center"/>
          </w:tcPr>
          <w:p>
            <w:pPr>
              <w:pStyle w:val="13"/>
            </w:pPr>
            <w:r>
              <w:t>每月30日前</w:t>
            </w:r>
          </w:p>
        </w:tc>
        <w:tc>
          <w:tcPr>
            <w:tcW w:w="1276" w:type="dxa"/>
            <w:vAlign w:val="center"/>
          </w:tcPr>
          <w:p>
            <w:pPr>
              <w:pStyle w:val="13"/>
            </w:pPr>
            <w:r>
              <w:t>工作依据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工资成本</w:t>
            </w:r>
          </w:p>
        </w:tc>
        <w:tc>
          <w:tcPr>
            <w:tcW w:w="2268" w:type="dxa"/>
            <w:vAlign w:val="center"/>
          </w:tcPr>
          <w:p>
            <w:pPr>
              <w:pStyle w:val="13"/>
            </w:pPr>
            <w:r>
              <w:t>预算测算</w:t>
            </w:r>
          </w:p>
        </w:tc>
        <w:tc>
          <w:tcPr>
            <w:tcW w:w="1276" w:type="dxa"/>
            <w:vAlign w:val="center"/>
          </w:tcPr>
          <w:p>
            <w:pPr>
              <w:pStyle w:val="13"/>
            </w:pPr>
            <w:r>
              <w:t>工作依据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保障职工积极性</w:t>
            </w:r>
          </w:p>
        </w:tc>
        <w:tc>
          <w:tcPr>
            <w:tcW w:w="5386" w:type="dxa"/>
            <w:vAlign w:val="center"/>
          </w:tcPr>
          <w:p>
            <w:pPr>
              <w:pStyle w:val="13"/>
            </w:pPr>
            <w:r>
              <w:t>提高职工积极性</w:t>
            </w:r>
          </w:p>
        </w:tc>
        <w:tc>
          <w:tcPr>
            <w:tcW w:w="2268" w:type="dxa"/>
            <w:vAlign w:val="center"/>
          </w:tcPr>
          <w:p>
            <w:pPr>
              <w:pStyle w:val="13"/>
            </w:pPr>
            <w:r>
              <w:t>≥95%</w:t>
            </w:r>
          </w:p>
        </w:tc>
        <w:tc>
          <w:tcPr>
            <w:tcW w:w="1276"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职工对工作保障满意度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3、工会劳务费绩效目标表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13010726P000079100064</w:t>
            </w:r>
          </w:p>
        </w:tc>
        <w:tc>
          <w:tcPr>
            <w:tcW w:w="2835" w:type="dxa"/>
            <w:vAlign w:val="center"/>
          </w:tcPr>
          <w:p>
            <w:pPr>
              <w:pStyle w:val="11"/>
            </w:pPr>
            <w:r>
              <w:t>项目名称</w:t>
            </w:r>
          </w:p>
        </w:tc>
        <w:tc>
          <w:tcPr>
            <w:tcW w:w="6095" w:type="dxa"/>
            <w:gridSpan w:val="3"/>
            <w:vAlign w:val="center"/>
          </w:tcPr>
          <w:p>
            <w:pPr>
              <w:pStyle w:val="13"/>
            </w:pPr>
            <w:r>
              <w:t>工会劳务费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63.90</w:t>
            </w:r>
          </w:p>
        </w:tc>
        <w:tc>
          <w:tcPr>
            <w:tcW w:w="2835" w:type="dxa"/>
            <w:vAlign w:val="center"/>
          </w:tcPr>
          <w:p>
            <w:pPr>
              <w:pStyle w:val="11"/>
            </w:pPr>
            <w:r>
              <w:t>其中：财政    资金</w:t>
            </w:r>
          </w:p>
        </w:tc>
        <w:tc>
          <w:tcPr>
            <w:tcW w:w="2551" w:type="dxa"/>
            <w:vAlign w:val="center"/>
          </w:tcPr>
          <w:p>
            <w:pPr>
              <w:pStyle w:val="13"/>
            </w:pPr>
            <w:r>
              <w:t>63.90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用于缴纳保险发放工资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15.97</w:t>
            </w:r>
          </w:p>
        </w:tc>
        <w:tc>
          <w:tcPr>
            <w:tcW w:w="2835" w:type="dxa"/>
            <w:vAlign w:val="center"/>
          </w:tcPr>
          <w:p>
            <w:pPr>
              <w:pStyle w:val="14"/>
            </w:pPr>
            <w:r>
              <w:t>15.97</w:t>
            </w:r>
          </w:p>
        </w:tc>
        <w:tc>
          <w:tcPr>
            <w:tcW w:w="2551" w:type="dxa"/>
            <w:vAlign w:val="center"/>
          </w:tcPr>
          <w:p>
            <w:pPr>
              <w:pStyle w:val="14"/>
            </w:pPr>
            <w:r>
              <w:t>15.97</w:t>
            </w:r>
          </w:p>
        </w:tc>
        <w:tc>
          <w:tcPr>
            <w:tcW w:w="3544" w:type="dxa"/>
            <w:gridSpan w:val="2"/>
            <w:vAlign w:val="center"/>
          </w:tcPr>
          <w:p>
            <w:pPr>
              <w:pStyle w:val="14"/>
            </w:pPr>
            <w:r>
              <w:t>15.99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1.通过发放人员工资，保障职工合法权益。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工资发放人数</w:t>
            </w:r>
          </w:p>
        </w:tc>
        <w:tc>
          <w:tcPr>
            <w:tcW w:w="5386" w:type="dxa"/>
            <w:vAlign w:val="center"/>
          </w:tcPr>
          <w:p>
            <w:pPr>
              <w:pStyle w:val="13"/>
            </w:pPr>
            <w:r>
              <w:t>在职职工及社工发放总人数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发放精准率</w:t>
            </w:r>
          </w:p>
        </w:tc>
        <w:tc>
          <w:tcPr>
            <w:tcW w:w="5386" w:type="dxa"/>
            <w:vAlign w:val="center"/>
          </w:tcPr>
          <w:p>
            <w:pPr>
              <w:pStyle w:val="13"/>
            </w:pPr>
            <w:r>
              <w:t>工资发放精准程度无错发漏发</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及时拨付</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项目总成本</w:t>
            </w:r>
          </w:p>
        </w:tc>
        <w:tc>
          <w:tcPr>
            <w:tcW w:w="2268" w:type="dxa"/>
            <w:vAlign w:val="center"/>
          </w:tcPr>
          <w:p>
            <w:pPr>
              <w:pStyle w:val="13"/>
            </w:pPr>
            <w:r>
              <w:t>63.9万元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w:t>
            </w:r>
          </w:p>
        </w:tc>
        <w:tc>
          <w:tcPr>
            <w:tcW w:w="5386" w:type="dxa"/>
            <w:vAlign w:val="center"/>
          </w:tcPr>
          <w:p>
            <w:pPr>
              <w:pStyle w:val="13"/>
            </w:pPr>
            <w:r>
              <w:t>提高职工工作积极性保障职工合法权益</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通过沟通方式，调查满意度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711石家庄市井陉矿区总工会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石家庄市井陉矿区总工会（含所属单位）上年末固定资产金额为</w:t>
      </w:r>
      <w:r>
        <w:rPr>
          <w:rFonts w:hint="eastAsia" w:eastAsia="方正仿宋_GBK"/>
          <w:color w:val="000000"/>
          <w:sz w:val="28"/>
          <w:lang w:val="en-US" w:eastAsia="zh-CN"/>
        </w:rPr>
        <w:t>39.48</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p>
      <w:pPr>
        <w:ind w:firstLine="640"/>
      </w:pPr>
      <w:r>
        <w:rPr>
          <w:rFonts w:eastAsia="方正仿宋_GBK"/>
          <w:color w:val="000000"/>
          <w:sz w:val="32"/>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ind w:right="210"/>
              <w:jc w:val="center"/>
              <w:rPr>
                <w:rFonts w:hint="default" w:eastAsiaTheme="minorEastAsia"/>
                <w:lang w:val="en-US" w:eastAsia="zh-CN"/>
              </w:rPr>
            </w:pPr>
            <w:r>
              <w:rPr>
                <w:rFonts w:hint="eastAsia" w:eastAsiaTheme="minorEastAsia"/>
                <w:lang w:val="en-US" w:eastAsia="zh-CN"/>
              </w:rPr>
              <w:t xml:space="preserve"> </w:t>
            </w:r>
            <w:r>
              <w:rPr>
                <w:rFonts w:hint="eastAsia" w:eastAsiaTheme="minorEastAsia"/>
                <w:lang w:eastAsia="zh-CN"/>
              </w:rPr>
              <w:t>39.</w:t>
            </w:r>
            <w:r>
              <w:rPr>
                <w:rFonts w:hint="eastAsia" w:eastAsiaTheme="minorEastAsia"/>
                <w:lang w:val="en-US" w:eastAsia="zh-CN"/>
              </w:rPr>
              <w:t>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jc w:val="cente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pPr>
              <w:pStyle w:val="13"/>
            </w:pPr>
            <w:r>
              <w:t>　　其中：办公用房（平方米）</w:t>
            </w:r>
          </w:p>
        </w:tc>
        <w:tc>
          <w:tcPr>
            <w:tcW w:w="2835" w:type="dxa"/>
            <w:vAlign w:val="center"/>
          </w:tcPr>
          <w:p>
            <w:pPr>
              <w:pStyle w:val="14"/>
            </w:pPr>
            <w:r>
              <w:t>260</w:t>
            </w:r>
          </w:p>
        </w:tc>
        <w:tc>
          <w:tcPr>
            <w:tcW w:w="2835" w:type="dxa"/>
            <w:vAlign w:val="center"/>
          </w:tcPr>
          <w:p>
            <w:pPr>
              <w:pStyle w:val="12"/>
              <w:jc w:val="center"/>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rPr>
                <w:rFonts w:hint="eastAsia" w:asciiTheme="minorEastAsia" w:hAnsiTheme="minorEastAsia" w:eastAsiaTheme="minorEastAsia"/>
                <w:lang w:eastAsia="zh-CN"/>
              </w:rPr>
              <w:t>1</w:t>
            </w:r>
          </w:p>
        </w:tc>
        <w:tc>
          <w:tcPr>
            <w:tcW w:w="2835" w:type="dxa"/>
            <w:vAlign w:val="center"/>
          </w:tcPr>
          <w:p>
            <w:pPr>
              <w:pStyle w:val="12"/>
              <w:jc w:val="center"/>
            </w:pPr>
            <w:r>
              <w:rPr>
                <w:rFonts w:hint="eastAsia" w:asciiTheme="minorEastAsia" w:hAnsiTheme="minorEastAsia" w:eastAsiaTheme="minorEastAsia"/>
                <w:lang w:eastAsia="zh-CN"/>
              </w:rPr>
              <w:t>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rPr>
                <w:rFonts w:hint="eastAsia" w:eastAsiaTheme="minorEastAsia"/>
                <w:lang w:eastAsia="zh-CN"/>
              </w:rPr>
            </w:pPr>
          </w:p>
        </w:tc>
        <w:tc>
          <w:tcPr>
            <w:tcW w:w="2835" w:type="dxa"/>
            <w:vAlign w:val="center"/>
          </w:tcPr>
          <w:p>
            <w:pPr>
              <w:pStyle w:val="12"/>
              <w:ind w:right="1050"/>
              <w:jc w:val="center"/>
              <w:rPr>
                <w:rFonts w:hint="eastAsia" w:eastAsiaTheme="minorEastAsia"/>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jc w:val="center"/>
            </w:pPr>
            <w:r>
              <w:rPr>
                <w:rFonts w:hint="eastAsia" w:asciiTheme="minorEastAsia" w:hAnsiTheme="minorEastAsia" w:eastAsiaTheme="minorEastAsia"/>
                <w:lang w:eastAsia="zh-CN"/>
              </w:rPr>
              <w:t>17.38</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535"/>
    <w:rsid w:val="00474A43"/>
    <w:rsid w:val="00CC7C52"/>
    <w:rsid w:val="00D67535"/>
    <w:rsid w:val="04E93259"/>
    <w:rsid w:val="06F17970"/>
    <w:rsid w:val="306A49FB"/>
    <w:rsid w:val="45AA7D33"/>
    <w:rsid w:val="5EAA3F5C"/>
    <w:rsid w:val="7AFC285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24</Pages>
  <Words>1652</Words>
  <Characters>9419</Characters>
  <Lines>78</Lines>
  <Paragraphs>22</Paragraphs>
  <TotalTime>7</TotalTime>
  <ScaleCrop>false</ScaleCrop>
  <LinksUpToDate>false</LinksUpToDate>
  <CharactersWithSpaces>11049</CharactersWithSpaces>
  <Application>WPS Office_11.8.2.11739_F1E327BC-269C-435d-A152-05C5408002CA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2026-02-10T00:58:00Z</dcterms:created>
  <dc:creator>Administrator</dc:creator>
  <cp:lastModifiedBy>Administrator</cp:lastModifiedBy>
  <dcterms:modified xsi:type="dcterms:W3CDTF">2026-02-10T02:14:59Z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2052-11.8.2.11739</vt:lpwstr>
  </property>
  <property fmtid="{D5CDD505-2E9C-101B-9397-08002B2CF9AE}" pid="3" name="ICV">
    <vt:lpwstr>43DB0E3A78AC48D18B10C8F9A9004EA2</vt:lpwstr>
  </property>
</Properties>
</file>