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137.66</w:t>
            </w:r>
          </w:p>
        </w:tc>
        <w:tc>
          <w:tcPr>
            <w:tcW w:w="4535" w:type="dxa"/>
            <w:vAlign w:val="center"/>
          </w:tcPr>
          <w:p>
            <w:pPr>
              <w:pStyle w:val="13"/>
            </w:pPr>
            <w:r>
              <w:t>一、一般公共服务支出</w:t>
            </w:r>
          </w:p>
        </w:tc>
        <w:tc>
          <w:tcPr>
            <w:tcW w:w="2126" w:type="dxa"/>
            <w:vAlign w:val="center"/>
          </w:tcPr>
          <w:p>
            <w:pPr>
              <w:pStyle w:val="12"/>
            </w:pPr>
            <w:r>
              <w:t>137.66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137.66</w:t>
            </w:r>
          </w:p>
        </w:tc>
        <w:tc>
          <w:tcPr>
            <w:tcW w:w="4535" w:type="dxa"/>
            <w:vAlign w:val="center"/>
          </w:tcPr>
          <w:p>
            <w:pPr>
              <w:pStyle w:val="15"/>
            </w:pPr>
            <w:r>
              <w:t>本年支出合计</w:t>
            </w:r>
          </w:p>
        </w:tc>
        <w:tc>
          <w:tcPr>
            <w:tcW w:w="2126" w:type="dxa"/>
            <w:vAlign w:val="center"/>
          </w:tcPr>
          <w:p>
            <w:pPr>
              <w:pStyle w:val="16"/>
            </w:pPr>
            <w:r>
              <w:t>137.66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137.66</w:t>
            </w:r>
          </w:p>
        </w:tc>
        <w:tc>
          <w:tcPr>
            <w:tcW w:w="4535" w:type="dxa"/>
            <w:vAlign w:val="center"/>
          </w:tcPr>
          <w:p>
            <w:pPr>
              <w:pStyle w:val="15"/>
            </w:pPr>
            <w:r>
              <w:t>支出总计</w:t>
            </w:r>
          </w:p>
        </w:tc>
        <w:tc>
          <w:tcPr>
            <w:tcW w:w="2126" w:type="dxa"/>
            <w:vAlign w:val="center"/>
          </w:tcPr>
          <w:p>
            <w:pPr>
              <w:pStyle w:val="16"/>
            </w:pPr>
            <w:r>
              <w:t>137.66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137.66</w:t>
            </w:r>
          </w:p>
        </w:tc>
        <w:tc>
          <w:tcPr>
            <w:tcW w:w="1134" w:type="dxa"/>
            <w:vAlign w:val="center"/>
          </w:tcPr>
          <w:p>
            <w:pPr>
              <w:pStyle w:val="16"/>
            </w:pPr>
            <w:r>
              <w:t>137.66</w:t>
            </w:r>
          </w:p>
        </w:tc>
        <w:tc>
          <w:tcPr>
            <w:tcW w:w="1134" w:type="dxa"/>
            <w:vAlign w:val="center"/>
          </w:tcPr>
          <w:p>
            <w:pPr>
              <w:pStyle w:val="16"/>
            </w:pPr>
            <w:r>
              <w:t>137.66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137.66</w:t>
            </w:r>
          </w:p>
        </w:tc>
        <w:tc>
          <w:tcPr>
            <w:tcW w:w="1134" w:type="dxa"/>
            <w:vAlign w:val="center"/>
          </w:tcPr>
          <w:p>
            <w:pPr>
              <w:pStyle w:val="12"/>
            </w:pPr>
            <w:r>
              <w:t>137.66</w:t>
            </w:r>
          </w:p>
        </w:tc>
        <w:tc>
          <w:tcPr>
            <w:tcW w:w="1134" w:type="dxa"/>
            <w:vAlign w:val="center"/>
          </w:tcPr>
          <w:p>
            <w:pPr>
              <w:pStyle w:val="12"/>
            </w:pPr>
            <w:r>
              <w:t>137.66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137.66</w:t>
            </w:r>
          </w:p>
        </w:tc>
        <w:tc>
          <w:tcPr>
            <w:tcW w:w="1134" w:type="dxa"/>
            <w:vAlign w:val="center"/>
          </w:tcPr>
          <w:p>
            <w:pPr>
              <w:pStyle w:val="12"/>
            </w:pPr>
            <w:r>
              <w:t>137.66</w:t>
            </w:r>
          </w:p>
        </w:tc>
        <w:tc>
          <w:tcPr>
            <w:tcW w:w="1134" w:type="dxa"/>
            <w:vAlign w:val="center"/>
          </w:tcPr>
          <w:p>
            <w:pPr>
              <w:pStyle w:val="12"/>
            </w:pPr>
            <w:r>
              <w:t>137.66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129.86</w:t>
            </w:r>
          </w:p>
        </w:tc>
        <w:tc>
          <w:tcPr>
            <w:tcW w:w="1134" w:type="dxa"/>
            <w:vAlign w:val="center"/>
          </w:tcPr>
          <w:p>
            <w:pPr>
              <w:pStyle w:val="12"/>
            </w:pPr>
            <w:r>
              <w:t>129.86</w:t>
            </w:r>
          </w:p>
        </w:tc>
        <w:tc>
          <w:tcPr>
            <w:tcW w:w="1134" w:type="dxa"/>
            <w:vAlign w:val="center"/>
          </w:tcPr>
          <w:p>
            <w:pPr>
              <w:pStyle w:val="12"/>
            </w:pPr>
            <w:r>
              <w:t>129.86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1.27</w:t>
            </w:r>
          </w:p>
        </w:tc>
        <w:tc>
          <w:tcPr>
            <w:tcW w:w="1134" w:type="dxa"/>
            <w:vAlign w:val="center"/>
          </w:tcPr>
          <w:p>
            <w:pPr>
              <w:pStyle w:val="12"/>
            </w:pPr>
            <w:r>
              <w:t>1.27</w:t>
            </w:r>
          </w:p>
        </w:tc>
        <w:tc>
          <w:tcPr>
            <w:tcW w:w="1134" w:type="dxa"/>
            <w:vAlign w:val="center"/>
          </w:tcPr>
          <w:p>
            <w:pPr>
              <w:pStyle w:val="12"/>
            </w:pPr>
            <w:r>
              <w:t>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2013450</w:t>
            </w:r>
          </w:p>
        </w:tc>
        <w:tc>
          <w:tcPr>
            <w:tcW w:w="1559" w:type="dxa"/>
            <w:vAlign w:val="center"/>
          </w:tcPr>
          <w:p>
            <w:pPr>
              <w:pStyle w:val="13"/>
            </w:pPr>
            <w:r>
              <w:t>事业运行</w:t>
            </w:r>
          </w:p>
        </w:tc>
        <w:tc>
          <w:tcPr>
            <w:tcW w:w="1134" w:type="dxa"/>
            <w:vAlign w:val="center"/>
          </w:tcPr>
          <w:p>
            <w:pPr>
              <w:pStyle w:val="12"/>
            </w:pPr>
            <w:r>
              <w:t>6.53</w:t>
            </w:r>
          </w:p>
        </w:tc>
        <w:tc>
          <w:tcPr>
            <w:tcW w:w="1134" w:type="dxa"/>
            <w:vAlign w:val="center"/>
          </w:tcPr>
          <w:p>
            <w:pPr>
              <w:pStyle w:val="12"/>
            </w:pPr>
            <w:r>
              <w:t>6.53</w:t>
            </w:r>
          </w:p>
        </w:tc>
        <w:tc>
          <w:tcPr>
            <w:tcW w:w="1134" w:type="dxa"/>
            <w:vAlign w:val="center"/>
          </w:tcPr>
          <w:p>
            <w:pPr>
              <w:pStyle w:val="12"/>
            </w:pPr>
            <w:r>
              <w:t>6.53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137.66</w:t>
            </w:r>
          </w:p>
        </w:tc>
        <w:tc>
          <w:tcPr>
            <w:tcW w:w="1361" w:type="dxa"/>
            <w:vAlign w:val="center"/>
          </w:tcPr>
          <w:p>
            <w:pPr>
              <w:pStyle w:val="16"/>
            </w:pPr>
            <w:r>
              <w:t>136.39</w:t>
            </w:r>
          </w:p>
        </w:tc>
        <w:tc>
          <w:tcPr>
            <w:tcW w:w="1361" w:type="dxa"/>
            <w:vAlign w:val="center"/>
          </w:tcPr>
          <w:p>
            <w:pPr>
              <w:pStyle w:val="16"/>
            </w:pPr>
            <w:r>
              <w:t>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137.66</w:t>
            </w:r>
          </w:p>
        </w:tc>
        <w:tc>
          <w:tcPr>
            <w:tcW w:w="1361" w:type="dxa"/>
            <w:vAlign w:val="center"/>
          </w:tcPr>
          <w:p>
            <w:pPr>
              <w:pStyle w:val="12"/>
            </w:pPr>
            <w:r>
              <w:t>136.39</w:t>
            </w:r>
          </w:p>
        </w:tc>
        <w:tc>
          <w:tcPr>
            <w:tcW w:w="1361" w:type="dxa"/>
            <w:vAlign w:val="center"/>
          </w:tcPr>
          <w:p>
            <w:pPr>
              <w:pStyle w:val="12"/>
            </w:pPr>
            <w:r>
              <w:t>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137.66</w:t>
            </w:r>
          </w:p>
        </w:tc>
        <w:tc>
          <w:tcPr>
            <w:tcW w:w="1361" w:type="dxa"/>
            <w:vAlign w:val="center"/>
          </w:tcPr>
          <w:p>
            <w:pPr>
              <w:pStyle w:val="12"/>
            </w:pPr>
            <w:r>
              <w:t>136.39</w:t>
            </w:r>
          </w:p>
        </w:tc>
        <w:tc>
          <w:tcPr>
            <w:tcW w:w="1361" w:type="dxa"/>
            <w:vAlign w:val="center"/>
          </w:tcPr>
          <w:p>
            <w:pPr>
              <w:pStyle w:val="12"/>
            </w:pPr>
            <w:r>
              <w:t>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129.86</w:t>
            </w:r>
          </w:p>
        </w:tc>
        <w:tc>
          <w:tcPr>
            <w:tcW w:w="1361" w:type="dxa"/>
            <w:vAlign w:val="center"/>
          </w:tcPr>
          <w:p>
            <w:pPr>
              <w:pStyle w:val="12"/>
            </w:pPr>
            <w:r>
              <w:t>129.86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1.27</w:t>
            </w:r>
          </w:p>
        </w:tc>
        <w:tc>
          <w:tcPr>
            <w:tcW w:w="1361" w:type="dxa"/>
            <w:vAlign w:val="center"/>
          </w:tcPr>
          <w:p>
            <w:pPr>
              <w:pStyle w:val="12"/>
            </w:pPr>
          </w:p>
        </w:tc>
        <w:tc>
          <w:tcPr>
            <w:tcW w:w="1361" w:type="dxa"/>
            <w:vAlign w:val="center"/>
          </w:tcPr>
          <w:p>
            <w:pPr>
              <w:pStyle w:val="12"/>
            </w:pPr>
            <w:r>
              <w:t>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2013450</w:t>
            </w:r>
          </w:p>
        </w:tc>
        <w:tc>
          <w:tcPr>
            <w:tcW w:w="4535" w:type="dxa"/>
            <w:vAlign w:val="center"/>
          </w:tcPr>
          <w:p>
            <w:pPr>
              <w:pStyle w:val="13"/>
            </w:pPr>
            <w:r>
              <w:t>事业运行</w:t>
            </w:r>
          </w:p>
        </w:tc>
        <w:tc>
          <w:tcPr>
            <w:tcW w:w="1361" w:type="dxa"/>
            <w:vAlign w:val="center"/>
          </w:tcPr>
          <w:p>
            <w:pPr>
              <w:pStyle w:val="12"/>
            </w:pPr>
            <w:r>
              <w:t>6.53</w:t>
            </w:r>
          </w:p>
        </w:tc>
        <w:tc>
          <w:tcPr>
            <w:tcW w:w="1361" w:type="dxa"/>
            <w:vAlign w:val="center"/>
          </w:tcPr>
          <w:p>
            <w:pPr>
              <w:pStyle w:val="12"/>
            </w:pPr>
            <w:r>
              <w:t>6.53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137.66</w:t>
            </w:r>
          </w:p>
        </w:tc>
        <w:tc>
          <w:tcPr>
            <w:tcW w:w="3402" w:type="dxa"/>
            <w:vAlign w:val="center"/>
          </w:tcPr>
          <w:p>
            <w:pPr>
              <w:pStyle w:val="13"/>
            </w:pPr>
            <w:r>
              <w:t>一、一般公共服务支出</w:t>
            </w:r>
          </w:p>
        </w:tc>
        <w:tc>
          <w:tcPr>
            <w:tcW w:w="1474" w:type="dxa"/>
            <w:vAlign w:val="center"/>
          </w:tcPr>
          <w:p>
            <w:pPr>
              <w:pStyle w:val="12"/>
            </w:pPr>
            <w:r>
              <w:t>137.66</w:t>
            </w:r>
          </w:p>
        </w:tc>
        <w:tc>
          <w:tcPr>
            <w:tcW w:w="1474" w:type="dxa"/>
            <w:vAlign w:val="center"/>
          </w:tcPr>
          <w:p>
            <w:pPr>
              <w:pStyle w:val="12"/>
            </w:pPr>
            <w:r>
              <w:t>137.66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137.66</w:t>
            </w:r>
          </w:p>
        </w:tc>
        <w:tc>
          <w:tcPr>
            <w:tcW w:w="3402" w:type="dxa"/>
            <w:vAlign w:val="center"/>
          </w:tcPr>
          <w:p>
            <w:pPr>
              <w:pStyle w:val="15"/>
            </w:pPr>
            <w:r>
              <w:t>本年支出合计</w:t>
            </w:r>
          </w:p>
        </w:tc>
        <w:tc>
          <w:tcPr>
            <w:tcW w:w="1474" w:type="dxa"/>
            <w:vAlign w:val="center"/>
          </w:tcPr>
          <w:p>
            <w:pPr>
              <w:pStyle w:val="16"/>
            </w:pPr>
            <w:r>
              <w:t>137.66</w:t>
            </w:r>
          </w:p>
        </w:tc>
        <w:tc>
          <w:tcPr>
            <w:tcW w:w="1474" w:type="dxa"/>
            <w:vAlign w:val="center"/>
          </w:tcPr>
          <w:p>
            <w:pPr>
              <w:pStyle w:val="16"/>
            </w:pPr>
            <w:r>
              <w:t>137.66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137.66</w:t>
            </w:r>
          </w:p>
        </w:tc>
        <w:tc>
          <w:tcPr>
            <w:tcW w:w="3402" w:type="dxa"/>
            <w:vAlign w:val="center"/>
          </w:tcPr>
          <w:p>
            <w:pPr>
              <w:pStyle w:val="15"/>
            </w:pPr>
            <w:r>
              <w:t>支出总计</w:t>
            </w:r>
          </w:p>
        </w:tc>
        <w:tc>
          <w:tcPr>
            <w:tcW w:w="1474" w:type="dxa"/>
            <w:vAlign w:val="center"/>
          </w:tcPr>
          <w:p>
            <w:pPr>
              <w:pStyle w:val="16"/>
            </w:pPr>
            <w:r>
              <w:t>137.66</w:t>
            </w:r>
          </w:p>
        </w:tc>
        <w:tc>
          <w:tcPr>
            <w:tcW w:w="1474" w:type="dxa"/>
            <w:vAlign w:val="center"/>
          </w:tcPr>
          <w:p>
            <w:pPr>
              <w:pStyle w:val="16"/>
            </w:pPr>
            <w:r>
              <w:t>137.66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137.66</w:t>
            </w:r>
          </w:p>
        </w:tc>
        <w:tc>
          <w:tcPr>
            <w:tcW w:w="2551" w:type="dxa"/>
            <w:vAlign w:val="center"/>
          </w:tcPr>
          <w:p>
            <w:pPr>
              <w:pStyle w:val="16"/>
            </w:pPr>
            <w:r>
              <w:t>136.39</w:t>
            </w:r>
          </w:p>
        </w:tc>
        <w:tc>
          <w:tcPr>
            <w:tcW w:w="2551" w:type="dxa"/>
            <w:vAlign w:val="center"/>
          </w:tcPr>
          <w:p>
            <w:pPr>
              <w:pStyle w:val="16"/>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137.66</w:t>
            </w:r>
          </w:p>
        </w:tc>
        <w:tc>
          <w:tcPr>
            <w:tcW w:w="2551" w:type="dxa"/>
            <w:vAlign w:val="center"/>
          </w:tcPr>
          <w:p>
            <w:pPr>
              <w:pStyle w:val="12"/>
            </w:pPr>
            <w:r>
              <w:t>136.39</w:t>
            </w:r>
          </w:p>
        </w:tc>
        <w:tc>
          <w:tcPr>
            <w:tcW w:w="2551"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137.66</w:t>
            </w:r>
          </w:p>
        </w:tc>
        <w:tc>
          <w:tcPr>
            <w:tcW w:w="2551" w:type="dxa"/>
            <w:vAlign w:val="center"/>
          </w:tcPr>
          <w:p>
            <w:pPr>
              <w:pStyle w:val="12"/>
            </w:pPr>
            <w:r>
              <w:t>136.39</w:t>
            </w:r>
          </w:p>
        </w:tc>
        <w:tc>
          <w:tcPr>
            <w:tcW w:w="2551"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129.86</w:t>
            </w:r>
          </w:p>
        </w:tc>
        <w:tc>
          <w:tcPr>
            <w:tcW w:w="2551" w:type="dxa"/>
            <w:vAlign w:val="center"/>
          </w:tcPr>
          <w:p>
            <w:pPr>
              <w:pStyle w:val="12"/>
            </w:pPr>
            <w:r>
              <w:t>129.86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1.27</w:t>
            </w:r>
          </w:p>
        </w:tc>
        <w:tc>
          <w:tcPr>
            <w:tcW w:w="2551" w:type="dxa"/>
            <w:vAlign w:val="center"/>
          </w:tcPr>
          <w:p>
            <w:pPr>
              <w:pStyle w:val="12"/>
            </w:pPr>
          </w:p>
        </w:tc>
        <w:tc>
          <w:tcPr>
            <w:tcW w:w="2551"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2013450</w:t>
            </w:r>
          </w:p>
        </w:tc>
        <w:tc>
          <w:tcPr>
            <w:tcW w:w="4535" w:type="dxa"/>
            <w:vAlign w:val="center"/>
          </w:tcPr>
          <w:p>
            <w:pPr>
              <w:pStyle w:val="13"/>
            </w:pPr>
            <w:r>
              <w:t>事业运行</w:t>
            </w:r>
          </w:p>
        </w:tc>
        <w:tc>
          <w:tcPr>
            <w:tcW w:w="2551" w:type="dxa"/>
            <w:vAlign w:val="center"/>
          </w:tcPr>
          <w:p>
            <w:pPr>
              <w:pStyle w:val="12"/>
            </w:pPr>
            <w:r>
              <w:t>6.53</w:t>
            </w:r>
          </w:p>
        </w:tc>
        <w:tc>
          <w:tcPr>
            <w:tcW w:w="2551" w:type="dxa"/>
            <w:vAlign w:val="center"/>
          </w:tcPr>
          <w:p>
            <w:pPr>
              <w:pStyle w:val="12"/>
            </w:pPr>
            <w:r>
              <w:t>6.53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136.39</w:t>
            </w:r>
          </w:p>
        </w:tc>
        <w:tc>
          <w:tcPr>
            <w:tcW w:w="2551" w:type="dxa"/>
            <w:vAlign w:val="center"/>
          </w:tcPr>
          <w:p>
            <w:pPr>
              <w:pStyle w:val="16"/>
            </w:pPr>
            <w:r>
              <w:t>127.34</w:t>
            </w:r>
          </w:p>
        </w:tc>
        <w:tc>
          <w:tcPr>
            <w:tcW w:w="2551" w:type="dxa"/>
            <w:vAlign w:val="center"/>
          </w:tcPr>
          <w:p>
            <w:pPr>
              <w:pStyle w:val="16"/>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113.36</w:t>
            </w:r>
          </w:p>
        </w:tc>
        <w:tc>
          <w:tcPr>
            <w:tcW w:w="2551" w:type="dxa"/>
            <w:vAlign w:val="center"/>
          </w:tcPr>
          <w:p>
            <w:pPr>
              <w:pStyle w:val="12"/>
            </w:pPr>
            <w:r>
              <w:t>113.36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33.94</w:t>
            </w:r>
          </w:p>
        </w:tc>
        <w:tc>
          <w:tcPr>
            <w:tcW w:w="2551" w:type="dxa"/>
            <w:vAlign w:val="center"/>
          </w:tcPr>
          <w:p>
            <w:pPr>
              <w:pStyle w:val="12"/>
            </w:pPr>
            <w:r>
              <w:t>33.94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18.93</w:t>
            </w:r>
          </w:p>
        </w:tc>
        <w:tc>
          <w:tcPr>
            <w:tcW w:w="2551" w:type="dxa"/>
            <w:vAlign w:val="center"/>
          </w:tcPr>
          <w:p>
            <w:pPr>
              <w:pStyle w:val="12"/>
            </w:pPr>
            <w:r>
              <w:t>18.93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18.02</w:t>
            </w:r>
          </w:p>
        </w:tc>
        <w:tc>
          <w:tcPr>
            <w:tcW w:w="2551" w:type="dxa"/>
            <w:vAlign w:val="center"/>
          </w:tcPr>
          <w:p>
            <w:pPr>
              <w:pStyle w:val="12"/>
            </w:pPr>
            <w:r>
              <w:t>18.02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12.67</w:t>
            </w:r>
          </w:p>
        </w:tc>
        <w:tc>
          <w:tcPr>
            <w:tcW w:w="2551" w:type="dxa"/>
            <w:vAlign w:val="center"/>
          </w:tcPr>
          <w:p>
            <w:pPr>
              <w:pStyle w:val="12"/>
            </w:pPr>
            <w:r>
              <w:t>12.67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11.66</w:t>
            </w:r>
          </w:p>
        </w:tc>
        <w:tc>
          <w:tcPr>
            <w:tcW w:w="2551" w:type="dxa"/>
            <w:vAlign w:val="center"/>
          </w:tcPr>
          <w:p>
            <w:pPr>
              <w:pStyle w:val="12"/>
            </w:pPr>
            <w:r>
              <w:t>11.66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3.71</w:t>
            </w:r>
          </w:p>
        </w:tc>
        <w:tc>
          <w:tcPr>
            <w:tcW w:w="2551" w:type="dxa"/>
            <w:vAlign w:val="center"/>
          </w:tcPr>
          <w:p>
            <w:pPr>
              <w:pStyle w:val="12"/>
            </w:pPr>
            <w:r>
              <w:t>3.71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0.29</w:t>
            </w:r>
          </w:p>
        </w:tc>
        <w:tc>
          <w:tcPr>
            <w:tcW w:w="2551" w:type="dxa"/>
            <w:vAlign w:val="center"/>
          </w:tcPr>
          <w:p>
            <w:pPr>
              <w:pStyle w:val="12"/>
            </w:pPr>
            <w:r>
              <w:t>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9.34</w:t>
            </w:r>
          </w:p>
        </w:tc>
        <w:tc>
          <w:tcPr>
            <w:tcW w:w="2551" w:type="dxa"/>
            <w:vAlign w:val="center"/>
          </w:tcPr>
          <w:p>
            <w:pPr>
              <w:pStyle w:val="12"/>
            </w:pPr>
            <w:r>
              <w:t>9.34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9.05</w:t>
            </w:r>
          </w:p>
        </w:tc>
        <w:tc>
          <w:tcPr>
            <w:tcW w:w="2551" w:type="dxa"/>
            <w:vAlign w:val="center"/>
          </w:tcPr>
          <w:p>
            <w:pPr>
              <w:pStyle w:val="12"/>
            </w:pPr>
          </w:p>
        </w:tc>
        <w:tc>
          <w:tcPr>
            <w:tcW w:w="2551" w:type="dxa"/>
            <w:vAlign w:val="center"/>
          </w:tcPr>
          <w:p>
            <w:pPr>
              <w:pStyle w:val="12"/>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0.56</w:t>
            </w:r>
          </w:p>
        </w:tc>
        <w:tc>
          <w:tcPr>
            <w:tcW w:w="2551" w:type="dxa"/>
            <w:vAlign w:val="center"/>
          </w:tcPr>
          <w:p>
            <w:pPr>
              <w:pStyle w:val="12"/>
            </w:pPr>
          </w:p>
        </w:tc>
        <w:tc>
          <w:tcPr>
            <w:tcW w:w="2551" w:type="dxa"/>
            <w:vAlign w:val="center"/>
          </w:tcPr>
          <w:p>
            <w:pPr>
              <w:pStyle w:val="12"/>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3.66</w:t>
            </w:r>
          </w:p>
        </w:tc>
        <w:tc>
          <w:tcPr>
            <w:tcW w:w="2551" w:type="dxa"/>
            <w:vAlign w:val="center"/>
          </w:tcPr>
          <w:p>
            <w:pPr>
              <w:pStyle w:val="12"/>
            </w:pPr>
          </w:p>
        </w:tc>
        <w:tc>
          <w:tcPr>
            <w:tcW w:w="2551" w:type="dxa"/>
            <w:vAlign w:val="center"/>
          </w:tcPr>
          <w:p>
            <w:pPr>
              <w:pStyle w:val="12"/>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0.93</w:t>
            </w:r>
          </w:p>
        </w:tc>
        <w:tc>
          <w:tcPr>
            <w:tcW w:w="2551" w:type="dxa"/>
            <w:vAlign w:val="center"/>
          </w:tcPr>
          <w:p>
            <w:pPr>
              <w:pStyle w:val="12"/>
            </w:pPr>
          </w:p>
        </w:tc>
        <w:tc>
          <w:tcPr>
            <w:tcW w:w="2551" w:type="dxa"/>
            <w:vAlign w:val="center"/>
          </w:tcPr>
          <w:p>
            <w:pPr>
              <w:pStyle w:val="12"/>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13.98</w:t>
            </w:r>
          </w:p>
        </w:tc>
        <w:tc>
          <w:tcPr>
            <w:tcW w:w="2551" w:type="dxa"/>
            <w:vAlign w:val="center"/>
          </w:tcPr>
          <w:p>
            <w:pPr>
              <w:pStyle w:val="12"/>
            </w:pPr>
            <w:r>
              <w:t>13.98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13.98</w:t>
            </w:r>
          </w:p>
        </w:tc>
        <w:tc>
          <w:tcPr>
            <w:tcW w:w="2551" w:type="dxa"/>
            <w:vAlign w:val="center"/>
          </w:tcPr>
          <w:p>
            <w:pPr>
              <w:pStyle w:val="12"/>
            </w:pPr>
            <w:r>
              <w:t>13.98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3"/>
              <w:jc w:val="center"/>
              <w:rPr>
                <w:rFonts w:hint="eastAsia" w:eastAsia="方正书宋_GBK"/>
                <w:lang w:eastAsia="zh-CN"/>
              </w:rPr>
            </w:pPr>
            <w:r>
              <w:rPr>
                <w:rFonts w:hint="eastAsia"/>
                <w:lang w:eastAsia="zh-CN"/>
              </w:rPr>
              <w:t>合计</w:t>
            </w:r>
          </w:p>
        </w:tc>
        <w:tc>
          <w:tcPr>
            <w:tcW w:w="2381" w:type="dxa"/>
            <w:vAlign w:val="center"/>
          </w:tcPr>
          <w:p>
            <w:pPr>
              <w:pStyle w:val="12"/>
              <w:rPr>
                <w:rFonts w:hint="default" w:eastAsia="方正书宋_GBK"/>
                <w:lang w:val="en-US" w:eastAsia="zh-CN"/>
              </w:rPr>
            </w:pPr>
            <w:r>
              <w:rPr>
                <w:rFonts w:hint="eastAsia"/>
                <w:lang w:val="en-US" w:eastAsia="zh-CN"/>
              </w:rPr>
              <w:t>2.00</w:t>
            </w:r>
          </w:p>
        </w:tc>
        <w:tc>
          <w:tcPr>
            <w:tcW w:w="2381" w:type="dxa"/>
            <w:vAlign w:val="center"/>
          </w:tcPr>
          <w:p>
            <w:pPr>
              <w:pStyle w:val="12"/>
              <w:ind w:firstLine="0" w:firstLineChars="0"/>
            </w:pPr>
            <w:r>
              <w:rPr>
                <w:rFonts w:hint="eastAsia"/>
                <w:lang w:val="en-US" w:eastAsia="zh-CN"/>
              </w:rP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2</w:t>
            </w:r>
          </w:p>
        </w:tc>
        <w:tc>
          <w:tcPr>
            <w:tcW w:w="3798" w:type="dxa"/>
            <w:vAlign w:val="center"/>
          </w:tcPr>
          <w:p>
            <w:pPr>
              <w:pStyle w:val="13"/>
              <w:rPr>
                <w:rFonts w:hint="eastAsia" w:eastAsia="方正书宋_GBK"/>
                <w:lang w:eastAsia="zh-CN"/>
              </w:rPr>
            </w:pPr>
            <w:r>
              <w:rPr>
                <w:rFonts w:hint="eastAsia"/>
                <w:lang w:eastAsia="zh-CN"/>
              </w:rPr>
              <w:t>“三公”经费小计</w:t>
            </w:r>
          </w:p>
        </w:tc>
        <w:tc>
          <w:tcPr>
            <w:tcW w:w="2381" w:type="dxa"/>
            <w:vAlign w:val="center"/>
          </w:tcPr>
          <w:p>
            <w:pPr>
              <w:pStyle w:val="12"/>
              <w:rPr>
                <w:rFonts w:hint="default" w:eastAsia="方正书宋_GBK"/>
                <w:lang w:val="en-US" w:eastAsia="zh-CN"/>
              </w:rPr>
            </w:pPr>
            <w:r>
              <w:rPr>
                <w:rFonts w:hint="eastAsia"/>
                <w:lang w:val="en-US" w:eastAsia="zh-CN"/>
              </w:rPr>
              <w:t>2.00</w:t>
            </w:r>
          </w:p>
        </w:tc>
        <w:tc>
          <w:tcPr>
            <w:tcW w:w="2381" w:type="dxa"/>
            <w:vAlign w:val="center"/>
          </w:tcPr>
          <w:p>
            <w:pPr>
              <w:pStyle w:val="12"/>
              <w:ind w:firstLine="0" w:firstLineChars="0"/>
            </w:pPr>
            <w:r>
              <w:rPr>
                <w:rFonts w:hint="eastAsia"/>
                <w:lang w:val="en-US" w:eastAsia="zh-CN"/>
              </w:rP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3</w:t>
            </w:r>
          </w:p>
        </w:tc>
        <w:tc>
          <w:tcPr>
            <w:tcW w:w="3798" w:type="dxa"/>
            <w:vAlign w:val="center"/>
          </w:tcPr>
          <w:p>
            <w:pPr>
              <w:pStyle w:val="13"/>
              <w:rPr>
                <w:rFonts w:hint="eastAsia" w:eastAsia="方正书宋_GBK"/>
                <w:lang w:eastAsia="zh-CN"/>
              </w:rPr>
            </w:pPr>
            <w:r>
              <w:rPr>
                <w:rFonts w:hint="eastAsia"/>
                <w:lang w:eastAsia="zh-CN"/>
              </w:rPr>
              <w:t>一、因公出国（境）费</w:t>
            </w:r>
          </w:p>
        </w:tc>
        <w:tc>
          <w:tcPr>
            <w:tcW w:w="2381" w:type="dxa"/>
            <w:vAlign w:val="center"/>
          </w:tcPr>
          <w:p>
            <w:pPr>
              <w:pStyle w:val="12"/>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4</w:t>
            </w:r>
          </w:p>
        </w:tc>
        <w:tc>
          <w:tcPr>
            <w:tcW w:w="3798" w:type="dxa"/>
            <w:vAlign w:val="center"/>
          </w:tcPr>
          <w:p>
            <w:pPr>
              <w:pStyle w:val="13"/>
              <w:rPr>
                <w:rFonts w:hint="default" w:eastAsia="方正书宋_GBK"/>
                <w:lang w:val="en-US" w:eastAsia="zh-CN"/>
              </w:rPr>
            </w:pPr>
            <w:r>
              <w:rPr>
                <w:rFonts w:hint="eastAsia"/>
                <w:lang w:val="en-US" w:eastAsia="zh-CN"/>
              </w:rPr>
              <w:t xml:space="preserve">    其中：教学科研人员因公出（国）境费</w:t>
            </w:r>
          </w:p>
        </w:tc>
        <w:tc>
          <w:tcPr>
            <w:tcW w:w="2381" w:type="dxa"/>
            <w:vAlign w:val="center"/>
          </w:tcPr>
          <w:p>
            <w:pPr>
              <w:pStyle w:val="12"/>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5</w:t>
            </w:r>
          </w:p>
        </w:tc>
        <w:tc>
          <w:tcPr>
            <w:tcW w:w="3798" w:type="dxa"/>
            <w:vAlign w:val="center"/>
          </w:tcPr>
          <w:p>
            <w:pPr>
              <w:pStyle w:val="13"/>
              <w:rPr>
                <w:rFonts w:hint="default" w:eastAsia="方正书宋_GBK"/>
                <w:lang w:val="en-US" w:eastAsia="zh-CN"/>
              </w:rPr>
            </w:pPr>
            <w:r>
              <w:rPr>
                <w:rFonts w:hint="eastAsia"/>
                <w:lang w:val="en-US" w:eastAsia="zh-CN"/>
              </w:rPr>
              <w:t xml:space="preserve">        其他</w:t>
            </w:r>
            <w:r>
              <w:rPr>
                <w:rFonts w:hint="eastAsia"/>
                <w:lang w:eastAsia="zh-CN"/>
              </w:rPr>
              <w:t>因公出国（境）费</w:t>
            </w:r>
          </w:p>
        </w:tc>
        <w:tc>
          <w:tcPr>
            <w:tcW w:w="2381" w:type="dxa"/>
            <w:vAlign w:val="center"/>
          </w:tcPr>
          <w:p>
            <w:pPr>
              <w:pStyle w:val="12"/>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6</w:t>
            </w:r>
          </w:p>
        </w:tc>
        <w:tc>
          <w:tcPr>
            <w:tcW w:w="3798" w:type="dxa"/>
            <w:vAlign w:val="center"/>
          </w:tcPr>
          <w:p>
            <w:pPr>
              <w:pStyle w:val="13"/>
              <w:rPr>
                <w:rFonts w:hint="eastAsia" w:eastAsia="方正书宋_GBK"/>
                <w:lang w:eastAsia="zh-CN"/>
              </w:rPr>
            </w:pPr>
            <w:r>
              <w:rPr>
                <w:rFonts w:hint="eastAsia"/>
                <w:lang w:eastAsia="zh-CN"/>
              </w:rPr>
              <w:t>二、公务用车购置及运维费</w:t>
            </w:r>
          </w:p>
        </w:tc>
        <w:tc>
          <w:tcPr>
            <w:tcW w:w="2381" w:type="dxa"/>
            <w:vAlign w:val="center"/>
          </w:tcPr>
          <w:p>
            <w:pPr>
              <w:pStyle w:val="12"/>
              <w:rPr>
                <w:rFonts w:hint="default" w:eastAsia="方正书宋_GBK"/>
                <w:lang w:val="en-US" w:eastAsia="zh-CN"/>
              </w:rPr>
            </w:pPr>
            <w:r>
              <w:rPr>
                <w:rFonts w:hint="eastAsia"/>
                <w:lang w:val="en-US" w:eastAsia="zh-CN"/>
              </w:rPr>
              <w:t>2.00</w:t>
            </w:r>
          </w:p>
        </w:tc>
        <w:tc>
          <w:tcPr>
            <w:tcW w:w="2381" w:type="dxa"/>
            <w:vAlign w:val="center"/>
          </w:tcPr>
          <w:p>
            <w:pPr>
              <w:pStyle w:val="12"/>
              <w:ind w:firstLine="0" w:firstLineChars="0"/>
            </w:pPr>
            <w:r>
              <w:rPr>
                <w:rFonts w:hint="eastAsia"/>
                <w:lang w:val="en-US" w:eastAsia="zh-CN"/>
              </w:rP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default" w:eastAsia="方正书宋_GBK"/>
                <w:lang w:val="en-US" w:eastAsia="zh-CN"/>
              </w:rPr>
            </w:pPr>
            <w:r>
              <w:rPr>
                <w:rFonts w:hint="eastAsia"/>
                <w:lang w:val="en-US" w:eastAsia="zh-CN"/>
              </w:rPr>
              <w:t>7</w:t>
            </w:r>
          </w:p>
        </w:tc>
        <w:tc>
          <w:tcPr>
            <w:tcW w:w="3798" w:type="dxa"/>
            <w:vAlign w:val="center"/>
          </w:tcPr>
          <w:p>
            <w:pPr>
              <w:pStyle w:val="13"/>
              <w:rPr>
                <w:rFonts w:hint="default" w:eastAsia="方正书宋_GBK"/>
                <w:lang w:val="en-US" w:eastAsia="zh-CN"/>
              </w:rPr>
            </w:pPr>
            <w:r>
              <w:rPr>
                <w:rFonts w:hint="eastAsia"/>
                <w:lang w:val="en-US" w:eastAsia="zh-CN"/>
              </w:rPr>
              <w:t xml:space="preserve">    其中：公务用车购置费</w:t>
            </w:r>
          </w:p>
        </w:tc>
        <w:tc>
          <w:tcPr>
            <w:tcW w:w="2381" w:type="dxa"/>
            <w:vAlign w:val="center"/>
          </w:tcPr>
          <w:p>
            <w:pPr>
              <w:pStyle w:val="12"/>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8</w:t>
            </w:r>
          </w:p>
        </w:tc>
        <w:tc>
          <w:tcPr>
            <w:tcW w:w="3798" w:type="dxa"/>
            <w:vAlign w:val="center"/>
          </w:tcPr>
          <w:p>
            <w:pPr>
              <w:pStyle w:val="13"/>
              <w:rPr>
                <w:rFonts w:hint="default" w:eastAsia="方正书宋_GBK"/>
                <w:lang w:val="en-US" w:eastAsia="zh-CN"/>
              </w:rPr>
            </w:pPr>
            <w:r>
              <w:rPr>
                <w:rFonts w:hint="eastAsia"/>
                <w:lang w:val="en-US" w:eastAsia="zh-CN"/>
              </w:rPr>
              <w:t xml:space="preserve">              公务用车运行维护费</w:t>
            </w:r>
          </w:p>
        </w:tc>
        <w:tc>
          <w:tcPr>
            <w:tcW w:w="2381" w:type="dxa"/>
            <w:vAlign w:val="center"/>
          </w:tcPr>
          <w:p>
            <w:pPr>
              <w:pStyle w:val="12"/>
              <w:rPr>
                <w:rFonts w:hint="default" w:eastAsia="方正书宋_GBK"/>
                <w:lang w:val="en-US" w:eastAsia="zh-CN"/>
              </w:rPr>
            </w:pPr>
            <w:r>
              <w:rPr>
                <w:rFonts w:hint="eastAsia"/>
                <w:lang w:val="en-US" w:eastAsia="zh-CN"/>
              </w:rPr>
              <w:t>2.00</w:t>
            </w:r>
          </w:p>
        </w:tc>
        <w:tc>
          <w:tcPr>
            <w:tcW w:w="2381" w:type="dxa"/>
            <w:vAlign w:val="center"/>
          </w:tcPr>
          <w:p>
            <w:pPr>
              <w:pStyle w:val="12"/>
              <w:ind w:firstLine="0" w:firstLineChars="0"/>
            </w:pPr>
            <w:r>
              <w:rPr>
                <w:rFonts w:hint="eastAsia"/>
                <w:lang w:val="en-US" w:eastAsia="zh-CN"/>
              </w:rP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9</w:t>
            </w:r>
          </w:p>
        </w:tc>
        <w:tc>
          <w:tcPr>
            <w:tcW w:w="3798" w:type="dxa"/>
            <w:vAlign w:val="center"/>
          </w:tcPr>
          <w:p>
            <w:pPr>
              <w:pStyle w:val="13"/>
              <w:rPr>
                <w:rFonts w:hint="eastAsia" w:eastAsia="方正书宋_GBK"/>
                <w:lang w:eastAsia="zh-CN"/>
              </w:rPr>
            </w:pPr>
            <w:r>
              <w:rPr>
                <w:rFonts w:hint="eastAsia"/>
                <w:lang w:eastAsia="zh-CN"/>
              </w:rP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中共石家庄市井陉矿区委统战部2026年部门预算信息公开情况说明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中共石家庄市井陉矿区委统战部2026年部门预算信息公开情况说明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按照《中华人民共和国预算法》、《地方预决算公开操作规程》和《关于进一步推进预算公开工作的实施意见》规定，现将中共石家庄市井陉矿区委统战部2026年部门预算公开如下：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根据《中共井陉矿区委统战部职能配置、内设机构和人员编制规定》，统战部的主要职责是：</w:t>
      </w:r>
    </w:p>
    <w:p>
      <w:pPr>
        <w:pStyle w:val="18"/>
      </w:pPr>
      <w:r>
        <w:t>(一)贯彻落实加强党对统一战线工作集中统一领导的要求,发挥在区委统战工作方面的参谋机构、组织协调机构、具体执行机构、督促检查机构作用，了解情况、掌握政策、协调关系、安排人事、增进共识、加强团结，协调统一战线各方面关系,组织和落实中央、省委、市委、区委关于统一战线工作重大决策部署，巩固壮大最广泛的统一战线。</w:t>
      </w:r>
    </w:p>
    <w:p>
      <w:pPr>
        <w:pStyle w:val="18"/>
      </w:pPr>
      <w:r>
        <w:t>(二)开展统一战线理论研究，研究拟定统一战线工作的政策、地方性法规草案并推动落实,深入调查研究,及时向区委报告统一战线工作情况并提出建议,统筹协调和指导各街道（镇)、各部门各单位统一战线工作。</w:t>
      </w:r>
    </w:p>
    <w:p>
      <w:pPr>
        <w:pStyle w:val="18"/>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18"/>
      </w:pPr>
      <w:r>
        <w:t>(四)贯彻落实党的宣传工作方针,统筹推进全区统一战线宣传工作,拟订全区统一战线宣传工作规划并组织实施,研判涉及统一战线的舆情并协调有关部门应对处置。</w:t>
      </w:r>
    </w:p>
    <w:p>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(六)统一领导民族宗教工作,贯彻落实党的民族宗教工 作方针,拟订民族宗教工作的政策措施并督导落实,协调处理民族宗教工作中的重大问题,归口领导区民族宗教事务局，全面促进民族宗教事业发展,维护全区民族宗教领域和谐稳定。</w:t>
      </w:r>
    </w:p>
    <w:p>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高等学校、科研院所、国有企业等有关单位和社会组织开展党外知识分子和新的社会阶层人士统战工作。</w:t>
      </w:r>
    </w:p>
    <w:p>
      <w:pPr>
        <w:pStyle w:val="18"/>
      </w:pPr>
      <w:r>
        <w:t xml:space="preserve">(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8"/>
      </w:pPr>
      <w:r>
        <w:t>(九)统一领导全区海外统战工作,牵头开展港澳统战工 作。贯彻落实党的海外统战工作政策措施，并组织协调、督促检查落实,会同有关部门对香港、澳门地区统一战线工作进行调查研究并提出政策建议,联系香港、澳门有关党派、团体及代表人士,联系海外有关社团及代表人士。做好统一战线外事管理工作</w:t>
      </w:r>
    </w:p>
    <w:p>
      <w:pPr>
        <w:pStyle w:val="18"/>
      </w:pPr>
      <w:r>
        <w:t>(十)统一管理全区侨务工作,贯彻落实党的侨务工作方 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18"/>
      </w:pPr>
      <w:r>
        <w:t>(十一)负责全区涉台工作，贯彻执行党中央、国务院对台工作的方针政策。开展对台工作调查研究并结合我区实际提出对策和建议。组织、指导、管理、协调区委、区政府各部门和各乡镇（街道）的对台工作；检查了解各乡镇（街道）各部门对党中央、国务院和市委、市政府对台方针政策及区委、区政府有关对台工作指示贯彻落实情况。调查研究台湾形势和区台经贸之间交流往来动向,提出对策建议。会同有关部门统筹协调和指导对台经贸工作。统筹协调涉台法律事务。组织重要台商的投资活动，参与区政府对台大型招商活动。协调、指导全区涉台金融,文化、学术、教育、科技、体育、卫生等领域的交流与合作及区台人员往来工作。负责我区赴台交流事项的报批和赴台交流人员的行前指导及归后总结工作；负责对台湾上层重点人士的联络和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负责区委对台工作领导小组的日常工作。</w:t>
      </w:r>
    </w:p>
    <w:p>
      <w:pPr>
        <w:pStyle w:val="18"/>
      </w:pPr>
      <w:r>
        <w:t>(十二)指导乡镇（街道）党委（党工委）统一战线工作，协助管理乡镇（街道）统战委员，负责乡镇（街道）统战委员培训工作；协调政府有关部门统一战线工作；受区委委托，领导区工商联党组，指导区工商联工作；联系指导区侨联工作。做好统一战线有关单位和团体的管理工作。</w:t>
      </w:r>
    </w:p>
    <w:p>
      <w:pPr>
        <w:pStyle w:val="18"/>
      </w:pPr>
      <w:r>
        <w:t>(十三)完成区委交办的其他任务。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中共石家庄市井陉矿区委统战部</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按照预算管理有关规定，目前部门预算的编制实行综合预算管理，即全部收入和支出都反映在预算中。中共石家庄市井陉矿区委统战部机关及所属事业单位的收支包含在部门预算中。</w:t>
      </w:r>
    </w:p>
    <w:p>
      <w:pPr>
        <w:pStyle w:val="19"/>
      </w:pPr>
      <w:r>
        <w:t>1、收入说明</w:t>
      </w:r>
    </w:p>
    <w:p>
      <w:pPr>
        <w:pStyle w:val="19"/>
      </w:pPr>
      <w:r>
        <w:t>反映本部门当年全部收入。2026年预算收入137.66万元，其中：一般公共预算收入137.66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井陉矿区委统战部年度部门预算中支出预算的总体情况。2026年支出预算137.66万元，其中基本支出136.39万元，包括人员经费127.34万元和日常公用经费9.05万元；项目支出1.27万元，主要为云视频项目经费1.27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2026年预算收支安排137.66万元，较2025年预算减少7.54万元，其中：基本支出增加6.03万元，主要为增加一名退休人员。项目支出减少13.57万元，主要</w:t>
      </w:r>
      <w:r>
        <w:rPr>
          <w:rFonts w:hint="eastAsia"/>
          <w:lang w:eastAsia="zh-CN"/>
        </w:rPr>
        <w:t>是落实财政过“紧日子”要求，</w:t>
      </w:r>
      <w:r>
        <w:t>减去台办、侨联、统战工作费用、民族宗教工作专项费用</w:t>
      </w:r>
      <w:r>
        <w:rPr>
          <w:rFonts w:hint="eastAsia"/>
          <w:lang w:eastAsia="zh-CN"/>
        </w:rPr>
        <w:t>和</w:t>
      </w:r>
      <w:r>
        <w:t>劳务派遣经费。预计下年使用的单位资金结余增加0.00万元。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.00万元)；公务接待费0.00万元。与2025年相比减少</w:t>
      </w:r>
      <w:r>
        <w:rPr>
          <w:rFonts w:hint="eastAsia"/>
          <w:lang w:val="en-US" w:eastAsia="zh-CN"/>
        </w:rPr>
        <w:t>0</w:t>
      </w:r>
      <w:r>
        <w:t>.00万元。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总体效目标</w:t>
      </w:r>
    </w:p>
    <w:p>
      <w:pPr>
        <w:pStyle w:val="22"/>
      </w:pPr>
      <w:r>
        <w:t>2025年区委统战部始终以习近平新时代中国特色社会主义思想为指导，深入贯彻落实党中央关于统战工作的决策部署及省、市委工作要求，牢牢把握大团结大联合主题，聚焦思想政治引领主责主业，围绕加快建设现代化、国际化美丽省会城市目标，守正创新、善作善成，在凝聚人心、汇集力量上取得一定成效。2026年主要工作目标深化思想政治引领，巩固团结奋斗共同基础，持续深入学习习近平新时代中国特色社会主义思想及习近平总书记关于做好新时代党的统一战线工作的重要思想，分领域分层次开展学习研讨。丰富主题教育载体，拓展宣传引导阵地。聚焦服务发展大局，提升统战工作贡献力。助推民营经济高质量发展，深化新的社会阶层人士工作，拓展对外联络与侨务工作，抓实民族宗教工作，维护和谐稳定良好局面。加强党外人士队伍建设，激发履职活力，完善大统战格局，守正创新、担当作为，团结引领广大统一战线人士，为加快建设中国式</w:t>
      </w:r>
      <w:r>
        <w:rPr>
          <w:rFonts w:hint="eastAsia"/>
          <w:lang w:eastAsia="zh-CN"/>
        </w:rPr>
        <w:t>现代化</w:t>
      </w:r>
      <w:bookmarkStart w:id="20" w:name="_GoBack"/>
      <w:bookmarkEnd w:id="20"/>
      <w:r>
        <w:t>矿区做出新的更大贡献。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p>
    <w:p>
      <w:pPr>
        <w:pStyle w:val="23"/>
      </w:pPr>
      <w:r>
        <w:t xml:space="preserve">（一）强化理论武装常态化：持续深入学习习近平新时代中国特色社会主义思想及习近平总书记关于做好新时代党的统一战线工作的重要思想，分领域、分专题、分层次开展学习研讨和培训。计划举办“同心讲堂”不少于4期，覆盖各领域统战代表人士。 </w:t>
      </w:r>
    </w:p>
    <w:p>
      <w:pPr>
        <w:pStyle w:val="23"/>
      </w:pPr>
      <w:r>
        <w:t>（二）持续铸牢中华民族共同体意识：创新开展民族团结进步创建“十进”活动，打造特色示范点。加强少数民族流动人口服务管理，促进交往交流交融。防范化解民族领域风险隐患，健全部门联动处置机制。</w:t>
      </w:r>
    </w:p>
    <w:p>
      <w:pPr>
        <w:pStyle w:val="23"/>
      </w:pPr>
      <w:r>
        <w:t>（三）提升宗教事务治理法治化水平：持续巩固宗教领域排查整治成果，健全长效管理机制。严格落实“三级网络两级责任制”，加强宗教工作“三支队伍”建设。依法管理宗教活动，深入开展法治宣传教育，坚决抵御境外渗透和非法宗教活动，维护宗教领域长期和谐稳定。</w:t>
      </w:r>
    </w:p>
    <w:p>
      <w:pPr>
        <w:pStyle w:val="23"/>
      </w:pPr>
      <w:r>
        <w:t>（四）深化新的社会阶层人士工作：做强“正丰左岸”等实践创新基地品牌，推动其功能提升、活动提质、服务增效。探索建立新的社会阶层人士专业委员会或服务团，引导其在建言献策、社会治理、公益服务中发挥作用。计划组织专题调研或座谈不少于2次。</w:t>
      </w:r>
    </w:p>
    <w:p>
      <w:pPr>
        <w:pStyle w:val="23"/>
      </w:pPr>
      <w:r>
        <w:t>（五）助推民营经济高质量发展：深化“进园区、访企业、解难题”活动，完善与民营企业常态化沟通机制。探索搭建政策直通、融资对接、法律咨询等服务平台。鼓励引导民营企业投身科技创新、绿色发展。</w:t>
      </w:r>
    </w:p>
    <w:p>
      <w:pPr>
        <w:pStyle w:val="23"/>
      </w:pPr>
      <w:r>
        <w:t>（六）完善发现储备机制：加强与组织部门及相关单位的协作，动态更新完善党外代表人士信息库，注重在专业领域、基层一线发现优秀人才。有计划地安排党外人士参与重点课题调研、专项监督等工作。严格按照政策要求，配合做好人大代表、政协委员中党外人士的推荐提名工作。积极推动符合条件的优秀党外干部在政府工作部门、司法机关等担任领导职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1、坚持党的集中统一领导：始终将统战工作置于区委坚强领导之下，严格执行重大事项请示报告制度。充分发挥区委统一战线工作领导小组牵头抓总、统筹协调作用，定期召开会议研究解决重点难点问题。</w:t>
      </w:r>
    </w:p>
    <w:p>
      <w:pPr>
        <w:pStyle w:val="24"/>
      </w:pPr>
      <w:r>
        <w:t>2、落实主体责任：区委统战部切实履行主体责任，主要负责同志担负起第一责任人职责，班子成员落实“一岗双责”。制定年度任务分解方案，明确各项工作的责任科室、责任人和完成时限，形成层层抓落实的责任链条。</w:t>
      </w:r>
    </w:p>
    <w:p>
      <w:pPr>
        <w:pStyle w:val="24"/>
      </w:pPr>
      <w:r>
        <w:t>3、健全协同机制：加强与组织、宣传、政法、民宗、公安、教育、民政、工商联等部门及各街道（乡镇）的沟通协作，完善信息共享、情况通报、联动处置机制，构建党委统一领导、统战部门牵头协调、有关方面各负其责的大统战工作格局。</w:t>
      </w:r>
    </w:p>
    <w:p>
      <w:pPr>
        <w:pStyle w:val="24"/>
      </w:pPr>
      <w:r>
        <w:t>4、强化队伍保障：配齐配强统战工作力量，加大统战干部教育培训力度，通过专题培训、实践锻炼、交流轮岗等方式，提升干部的政治判断力、政治领悟力、政治执行力以及业务能力。</w:t>
      </w:r>
    </w:p>
    <w:p>
      <w:pPr>
        <w:pStyle w:val="24"/>
      </w:pPr>
      <w:r>
        <w:t>5、实施过程管理：对年度重点工作任务实行台账化管理，定期调度进展情况，及时研究解决推进中的问题。</w:t>
      </w:r>
    </w:p>
    <w:p>
      <w:pPr>
        <w:pStyle w:val="24"/>
      </w:pPr>
      <w:r>
        <w:t>6、落实经费保障：积极协调财政部门，将统战工作必要经费纳入年度预算，保障理论学习、教育培训、主题活动、阵地建设、走访慰问、课题调研等工作顺利开展。加强对经费使用的监督管理，提高资金使用效益。</w:t>
      </w:r>
    </w:p>
    <w:p>
      <w:pPr>
        <w:pStyle w:val="24"/>
      </w:pPr>
    </w:p>
    <w:p>
      <w:pPr>
        <w:pStyle w:val="24"/>
      </w:pP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1、云视频网费绩效目标表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13010726P00002510071A</w:t>
            </w:r>
          </w:p>
        </w:tc>
        <w:tc>
          <w:tcPr>
            <w:tcW w:w="2835" w:type="dxa"/>
            <w:vAlign w:val="center"/>
          </w:tcPr>
          <w:p>
            <w:pPr>
              <w:pStyle w:val="11"/>
            </w:pPr>
            <w:r>
              <w:t>项目名称</w:t>
            </w:r>
          </w:p>
        </w:tc>
        <w:tc>
          <w:tcPr>
            <w:tcW w:w="6095" w:type="dxa"/>
            <w:gridSpan w:val="3"/>
            <w:vAlign w:val="center"/>
          </w:tcPr>
          <w:p>
            <w:pPr>
              <w:pStyle w:val="13"/>
            </w:pPr>
            <w:r>
              <w:t>云视频网费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w:t>
            </w:r>
          </w:p>
        </w:tc>
        <w:tc>
          <w:tcPr>
            <w:tcW w:w="2835" w:type="dxa"/>
            <w:vAlign w:val="center"/>
          </w:tcPr>
          <w:p>
            <w:pPr>
              <w:pStyle w:val="11"/>
            </w:pPr>
            <w:r>
              <w:t>其中：财政    资金</w:t>
            </w:r>
          </w:p>
        </w:tc>
        <w:tc>
          <w:tcPr>
            <w:tcW w:w="2551" w:type="dxa"/>
            <w:vAlign w:val="center"/>
          </w:tcPr>
          <w:p>
            <w:pPr>
              <w:pStyle w:val="13"/>
            </w:pPr>
            <w:r>
              <w:t>1.27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用于支付云视频服务费和VPN电路费。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1.27</w:t>
            </w:r>
          </w:p>
        </w:tc>
        <w:tc>
          <w:tcPr>
            <w:tcW w:w="2835" w:type="dxa"/>
            <w:vAlign w:val="center"/>
          </w:tcPr>
          <w:p>
            <w:pPr>
              <w:pStyle w:val="14"/>
            </w:pPr>
            <w:r>
              <w:t>1.27</w:t>
            </w:r>
          </w:p>
        </w:tc>
        <w:tc>
          <w:tcPr>
            <w:tcW w:w="2551" w:type="dxa"/>
            <w:vAlign w:val="center"/>
          </w:tcPr>
          <w:p>
            <w:pPr>
              <w:pStyle w:val="14"/>
            </w:pPr>
            <w:r>
              <w:t>1.27</w:t>
            </w:r>
          </w:p>
        </w:tc>
        <w:tc>
          <w:tcPr>
            <w:tcW w:w="3544" w:type="dxa"/>
            <w:gridSpan w:val="2"/>
            <w:vAlign w:val="center"/>
          </w:tcPr>
          <w:p>
            <w:pPr>
              <w:pStyle w:val="14"/>
            </w:pPr>
            <w:r>
              <w:t>1.27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1.实现上下级之间网络贯通，满足日常非涉密视频会议需要。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购买系统数量</w:t>
            </w:r>
          </w:p>
        </w:tc>
        <w:tc>
          <w:tcPr>
            <w:tcW w:w="5386" w:type="dxa"/>
            <w:vAlign w:val="center"/>
          </w:tcPr>
          <w:p>
            <w:pPr>
              <w:pStyle w:val="13"/>
            </w:pPr>
            <w:r>
              <w:t>购买系统数量</w:t>
            </w:r>
          </w:p>
        </w:tc>
        <w:tc>
          <w:tcPr>
            <w:tcW w:w="2268" w:type="dxa"/>
            <w:vAlign w:val="center"/>
          </w:tcPr>
          <w:p>
            <w:pPr>
              <w:pStyle w:val="13"/>
            </w:pPr>
            <w:r>
              <w:t>1套</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系统运行率</w:t>
            </w:r>
          </w:p>
        </w:tc>
        <w:tc>
          <w:tcPr>
            <w:tcW w:w="5386" w:type="dxa"/>
            <w:vAlign w:val="center"/>
          </w:tcPr>
          <w:p>
            <w:pPr>
              <w:pStyle w:val="13"/>
            </w:pPr>
            <w:r>
              <w:t>系统运行率</w:t>
            </w:r>
          </w:p>
        </w:tc>
        <w:tc>
          <w:tcPr>
            <w:tcW w:w="2268" w:type="dxa"/>
            <w:vAlign w:val="center"/>
          </w:tcPr>
          <w:p>
            <w:pPr>
              <w:pStyle w:val="13"/>
            </w:pPr>
            <w:r>
              <w:t>100%</w:t>
            </w:r>
          </w:p>
        </w:tc>
        <w:tc>
          <w:tcPr>
            <w:tcW w:w="1276" w:type="dxa"/>
            <w:vAlign w:val="center"/>
          </w:tcPr>
          <w:p>
            <w:pPr>
              <w:pStyle w:val="13"/>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购买系统时长</w:t>
            </w:r>
          </w:p>
        </w:tc>
        <w:tc>
          <w:tcPr>
            <w:tcW w:w="5386" w:type="dxa"/>
            <w:vAlign w:val="center"/>
          </w:tcPr>
          <w:p>
            <w:pPr>
              <w:pStyle w:val="13"/>
            </w:pPr>
            <w:r>
              <w:t>购买系统时长</w:t>
            </w:r>
          </w:p>
        </w:tc>
        <w:tc>
          <w:tcPr>
            <w:tcW w:w="2268" w:type="dxa"/>
            <w:vAlign w:val="center"/>
          </w:tcPr>
          <w:p>
            <w:pPr>
              <w:pStyle w:val="13"/>
            </w:pPr>
            <w:r>
              <w:t>12个月</w:t>
            </w:r>
          </w:p>
        </w:tc>
        <w:tc>
          <w:tcPr>
            <w:tcW w:w="1276" w:type="dxa"/>
            <w:vAlign w:val="center"/>
          </w:tcPr>
          <w:p>
            <w:pPr>
              <w:pStyle w:val="13"/>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购买系统成本</w:t>
            </w:r>
          </w:p>
        </w:tc>
        <w:tc>
          <w:tcPr>
            <w:tcW w:w="5386" w:type="dxa"/>
            <w:vAlign w:val="center"/>
          </w:tcPr>
          <w:p>
            <w:pPr>
              <w:pStyle w:val="13"/>
            </w:pPr>
            <w:r>
              <w:t>购买系统成本</w:t>
            </w:r>
          </w:p>
        </w:tc>
        <w:tc>
          <w:tcPr>
            <w:tcW w:w="2268" w:type="dxa"/>
            <w:vAlign w:val="center"/>
          </w:tcPr>
          <w:p>
            <w:pPr>
              <w:pStyle w:val="13"/>
            </w:pPr>
            <w:r>
              <w:t>≤1.28万元</w:t>
            </w:r>
          </w:p>
        </w:tc>
        <w:tc>
          <w:tcPr>
            <w:tcW w:w="1276" w:type="dxa"/>
            <w:vAlign w:val="center"/>
          </w:tcPr>
          <w:p>
            <w:pPr>
              <w:pStyle w:val="13"/>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保障会议运行</w:t>
            </w:r>
          </w:p>
        </w:tc>
        <w:tc>
          <w:tcPr>
            <w:tcW w:w="5386" w:type="dxa"/>
            <w:vAlign w:val="center"/>
          </w:tcPr>
          <w:p>
            <w:pPr>
              <w:pStyle w:val="13"/>
            </w:pPr>
            <w:r>
              <w:t>保障会议运行</w:t>
            </w:r>
          </w:p>
        </w:tc>
        <w:tc>
          <w:tcPr>
            <w:tcW w:w="2268" w:type="dxa"/>
            <w:vAlign w:val="center"/>
          </w:tcPr>
          <w:p>
            <w:pPr>
              <w:pStyle w:val="13"/>
            </w:pPr>
            <w:r>
              <w:t>有效保障</w:t>
            </w:r>
          </w:p>
        </w:tc>
        <w:tc>
          <w:tcPr>
            <w:tcW w:w="1276" w:type="dxa"/>
            <w:vAlign w:val="center"/>
          </w:tcPr>
          <w:p>
            <w:pPr>
              <w:pStyle w:val="13"/>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≥99%</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1.88</w:t>
            </w:r>
          </w:p>
        </w:tc>
        <w:tc>
          <w:tcPr>
            <w:tcW w:w="964" w:type="dxa"/>
            <w:vAlign w:val="center"/>
          </w:tcPr>
          <w:p>
            <w:pPr>
              <w:pStyle w:val="16"/>
            </w:pPr>
            <w:r>
              <w:t>1.88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中共石家庄市井陉矿区委统战部小计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1.88</w:t>
            </w:r>
          </w:p>
        </w:tc>
        <w:tc>
          <w:tcPr>
            <w:tcW w:w="964" w:type="dxa"/>
            <w:vAlign w:val="center"/>
          </w:tcPr>
          <w:p>
            <w:pPr>
              <w:pStyle w:val="16"/>
            </w:pPr>
            <w:r>
              <w:t>1.88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3.26</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15</w:t>
            </w:r>
          </w:p>
        </w:tc>
        <w:tc>
          <w:tcPr>
            <w:tcW w:w="850" w:type="dxa"/>
            <w:vAlign w:val="center"/>
          </w:tcPr>
          <w:p>
            <w:pPr>
              <w:pStyle w:val="12"/>
            </w:pPr>
            <w:r>
              <w:t>0.01</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3.26</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3.26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31</w:t>
            </w:r>
          </w:p>
        </w:tc>
        <w:tc>
          <w:tcPr>
            <w:tcW w:w="850" w:type="dxa"/>
            <w:vAlign w:val="center"/>
          </w:tcPr>
          <w:p>
            <w:pPr>
              <w:pStyle w:val="12"/>
            </w:pPr>
            <w:r>
              <w:t>0.05</w:t>
            </w:r>
          </w:p>
        </w:tc>
        <w:tc>
          <w:tcPr>
            <w:tcW w:w="964" w:type="dxa"/>
            <w:vAlign w:val="center"/>
          </w:tcPr>
          <w:p>
            <w:pPr>
              <w:pStyle w:val="12"/>
            </w:pPr>
            <w:r>
              <w:t>1.55</w:t>
            </w:r>
          </w:p>
        </w:tc>
        <w:tc>
          <w:tcPr>
            <w:tcW w:w="964" w:type="dxa"/>
            <w:vAlign w:val="center"/>
          </w:tcPr>
          <w:p>
            <w:pPr>
              <w:pStyle w:val="12"/>
            </w:pPr>
            <w:r>
              <w:t>1.55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中共石家庄市井陉矿区委统战部（含所属单位）上年末固定资产金额为31.17万元（详见下表）。本年度拟购置固定资产总额为0.00万元，已按要求列入政府采购预算，详见政府采购预算表。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213中共石家庄市井陉矿区委统战部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59</w:t>
            </w:r>
          </w:p>
        </w:tc>
        <w:tc>
          <w:tcPr>
            <w:tcW w:w="2835" w:type="dxa"/>
            <w:vAlign w:val="center"/>
          </w:tcPr>
          <w:p>
            <w:pPr>
              <w:pStyle w:val="12"/>
            </w:pPr>
            <w:r>
              <w:t>9.81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D8D62A"/>
    <w:multiLevelType w:val="singleLevel"/>
    <w:tmpl w:val="61D8D62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58A41DB"/>
    <w:rsid w:val="3D881BB1"/>
    <w:rsid w:val="4A5209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1</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2026-02-09T17:00:00Z</dcterms:created>
  <dc:creator>Administrator</dc:creator>
  <cp:lastModifiedBy>Administrator</cp:lastModifiedBy>
  <dcterms:modified xsi:type="dcterms:W3CDTF">2026-02-09T09:41:32Z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