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一、中共石家庄市井陉矿区委统战部收支预算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一、中共石家庄市井陉矿区委统战部收支预算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137.66</w:t>
            </w:r>
          </w:p>
        </w:tc>
        <w:tc>
          <w:tcPr>
            <w:tcW w:w="4535" w:type="dxa"/>
            <w:vAlign w:val="center"/>
          </w:tcPr>
          <w:p>
            <w:pPr>
              <w:pStyle w:val="12"/>
            </w:pPr>
            <w:r>
              <w:t>一、一般公共服务支出</w:t>
            </w:r>
          </w:p>
        </w:tc>
        <w:tc>
          <w:tcPr>
            <w:tcW w:w="2126" w:type="dxa"/>
            <w:vAlign w:val="center"/>
          </w:tcPr>
          <w:p>
            <w:pPr>
              <w:pStyle w:val="11"/>
            </w:pPr>
            <w:r>
              <w:t>137.66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137.66</w:t>
            </w:r>
          </w:p>
        </w:tc>
        <w:tc>
          <w:tcPr>
            <w:tcW w:w="4535" w:type="dxa"/>
            <w:vAlign w:val="center"/>
          </w:tcPr>
          <w:p>
            <w:pPr>
              <w:pStyle w:val="14"/>
            </w:pPr>
            <w:r>
              <w:t>本年支出合计</w:t>
            </w:r>
          </w:p>
        </w:tc>
        <w:tc>
          <w:tcPr>
            <w:tcW w:w="2126" w:type="dxa"/>
            <w:vAlign w:val="center"/>
          </w:tcPr>
          <w:p>
            <w:pPr>
              <w:pStyle w:val="15"/>
            </w:pPr>
            <w:r>
              <w:t>137.66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137.66</w:t>
            </w:r>
          </w:p>
        </w:tc>
        <w:tc>
          <w:tcPr>
            <w:tcW w:w="4535" w:type="dxa"/>
            <w:vAlign w:val="center"/>
          </w:tcPr>
          <w:p>
            <w:pPr>
              <w:pStyle w:val="14"/>
            </w:pPr>
            <w:r>
              <w:t>支出总计</w:t>
            </w:r>
          </w:p>
        </w:tc>
        <w:tc>
          <w:tcPr>
            <w:tcW w:w="2126" w:type="dxa"/>
            <w:vAlign w:val="center"/>
          </w:tcPr>
          <w:p>
            <w:pPr>
              <w:pStyle w:val="15"/>
            </w:pPr>
            <w:r>
              <w:t>137.66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137.66</w:t>
            </w:r>
          </w:p>
        </w:tc>
        <w:tc>
          <w:tcPr>
            <w:tcW w:w="1134" w:type="dxa"/>
            <w:vAlign w:val="center"/>
          </w:tcPr>
          <w:p>
            <w:pPr>
              <w:pStyle w:val="15"/>
            </w:pPr>
            <w:r>
              <w:t>137.66</w:t>
            </w:r>
          </w:p>
        </w:tc>
        <w:tc>
          <w:tcPr>
            <w:tcW w:w="1134" w:type="dxa"/>
            <w:vAlign w:val="center"/>
          </w:tcPr>
          <w:p>
            <w:pPr>
              <w:pStyle w:val="15"/>
            </w:pPr>
            <w:r>
              <w:t>137.66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137.66</w:t>
            </w:r>
          </w:p>
        </w:tc>
        <w:tc>
          <w:tcPr>
            <w:tcW w:w="1134" w:type="dxa"/>
            <w:vAlign w:val="center"/>
          </w:tcPr>
          <w:p>
            <w:pPr>
              <w:pStyle w:val="11"/>
            </w:pPr>
            <w:r>
              <w:t>137.66</w:t>
            </w:r>
          </w:p>
        </w:tc>
        <w:tc>
          <w:tcPr>
            <w:tcW w:w="1134" w:type="dxa"/>
            <w:vAlign w:val="center"/>
          </w:tcPr>
          <w:p>
            <w:pPr>
              <w:pStyle w:val="11"/>
            </w:pPr>
            <w:r>
              <w:t>137.66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137.66</w:t>
            </w:r>
          </w:p>
        </w:tc>
        <w:tc>
          <w:tcPr>
            <w:tcW w:w="1134" w:type="dxa"/>
            <w:vAlign w:val="center"/>
          </w:tcPr>
          <w:p>
            <w:pPr>
              <w:pStyle w:val="11"/>
            </w:pPr>
            <w:r>
              <w:t>137.66</w:t>
            </w:r>
          </w:p>
        </w:tc>
        <w:tc>
          <w:tcPr>
            <w:tcW w:w="1134" w:type="dxa"/>
            <w:vAlign w:val="center"/>
          </w:tcPr>
          <w:p>
            <w:pPr>
              <w:pStyle w:val="11"/>
            </w:pPr>
            <w:r>
              <w:t>137.66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129.86</w:t>
            </w:r>
          </w:p>
        </w:tc>
        <w:tc>
          <w:tcPr>
            <w:tcW w:w="1134" w:type="dxa"/>
            <w:vAlign w:val="center"/>
          </w:tcPr>
          <w:p>
            <w:pPr>
              <w:pStyle w:val="11"/>
            </w:pPr>
            <w:r>
              <w:t>129.86</w:t>
            </w:r>
          </w:p>
        </w:tc>
        <w:tc>
          <w:tcPr>
            <w:tcW w:w="1134" w:type="dxa"/>
            <w:vAlign w:val="center"/>
          </w:tcPr>
          <w:p>
            <w:pPr>
              <w:pStyle w:val="11"/>
            </w:pPr>
            <w:r>
              <w:t>129.86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1.27</w:t>
            </w:r>
          </w:p>
        </w:tc>
        <w:tc>
          <w:tcPr>
            <w:tcW w:w="1134" w:type="dxa"/>
            <w:vAlign w:val="center"/>
          </w:tcPr>
          <w:p>
            <w:pPr>
              <w:pStyle w:val="11"/>
            </w:pPr>
            <w:r>
              <w:t>1.27</w:t>
            </w:r>
          </w:p>
        </w:tc>
        <w:tc>
          <w:tcPr>
            <w:tcW w:w="1134" w:type="dxa"/>
            <w:vAlign w:val="center"/>
          </w:tcPr>
          <w:p>
            <w:pPr>
              <w:pStyle w:val="11"/>
            </w:pPr>
            <w:r>
              <w:t>1.27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2013450</w:t>
            </w:r>
          </w:p>
        </w:tc>
        <w:tc>
          <w:tcPr>
            <w:tcW w:w="1559" w:type="dxa"/>
            <w:vAlign w:val="center"/>
          </w:tcPr>
          <w:p>
            <w:pPr>
              <w:pStyle w:val="12"/>
            </w:pPr>
            <w:r>
              <w:t>事业运行</w:t>
            </w:r>
          </w:p>
        </w:tc>
        <w:tc>
          <w:tcPr>
            <w:tcW w:w="1134" w:type="dxa"/>
            <w:vAlign w:val="center"/>
          </w:tcPr>
          <w:p>
            <w:pPr>
              <w:pStyle w:val="11"/>
            </w:pPr>
            <w:r>
              <w:t>6.53</w:t>
            </w:r>
          </w:p>
        </w:tc>
        <w:tc>
          <w:tcPr>
            <w:tcW w:w="1134" w:type="dxa"/>
            <w:vAlign w:val="center"/>
          </w:tcPr>
          <w:p>
            <w:pPr>
              <w:pStyle w:val="11"/>
            </w:pPr>
            <w:r>
              <w:t>6.53</w:t>
            </w:r>
          </w:p>
        </w:tc>
        <w:tc>
          <w:tcPr>
            <w:tcW w:w="1134" w:type="dxa"/>
            <w:vAlign w:val="center"/>
          </w:tcPr>
          <w:p>
            <w:pPr>
              <w:pStyle w:val="11"/>
            </w:pPr>
            <w:r>
              <w:t>6.53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137.66</w:t>
            </w:r>
          </w:p>
        </w:tc>
        <w:tc>
          <w:tcPr>
            <w:tcW w:w="1361" w:type="dxa"/>
            <w:vAlign w:val="center"/>
          </w:tcPr>
          <w:p>
            <w:pPr>
              <w:pStyle w:val="15"/>
            </w:pPr>
            <w:r>
              <w:t>136.39</w:t>
            </w:r>
          </w:p>
        </w:tc>
        <w:tc>
          <w:tcPr>
            <w:tcW w:w="1361" w:type="dxa"/>
            <w:vAlign w:val="center"/>
          </w:tcPr>
          <w:p>
            <w:pPr>
              <w:pStyle w:val="15"/>
            </w:pPr>
            <w:r>
              <w:t>1.27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137.66</w:t>
            </w:r>
          </w:p>
        </w:tc>
        <w:tc>
          <w:tcPr>
            <w:tcW w:w="1361" w:type="dxa"/>
            <w:vAlign w:val="center"/>
          </w:tcPr>
          <w:p>
            <w:pPr>
              <w:pStyle w:val="11"/>
            </w:pPr>
            <w:r>
              <w:t>136.39</w:t>
            </w:r>
          </w:p>
        </w:tc>
        <w:tc>
          <w:tcPr>
            <w:tcW w:w="1361" w:type="dxa"/>
            <w:vAlign w:val="center"/>
          </w:tcPr>
          <w:p>
            <w:pPr>
              <w:pStyle w:val="11"/>
            </w:pPr>
            <w:r>
              <w:t>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137.66</w:t>
            </w:r>
          </w:p>
        </w:tc>
        <w:tc>
          <w:tcPr>
            <w:tcW w:w="1361" w:type="dxa"/>
            <w:vAlign w:val="center"/>
          </w:tcPr>
          <w:p>
            <w:pPr>
              <w:pStyle w:val="11"/>
            </w:pPr>
            <w:r>
              <w:t>136.39</w:t>
            </w:r>
          </w:p>
        </w:tc>
        <w:tc>
          <w:tcPr>
            <w:tcW w:w="1361" w:type="dxa"/>
            <w:vAlign w:val="center"/>
          </w:tcPr>
          <w:p>
            <w:pPr>
              <w:pStyle w:val="11"/>
            </w:pPr>
            <w:r>
              <w:t>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129.86</w:t>
            </w:r>
          </w:p>
        </w:tc>
        <w:tc>
          <w:tcPr>
            <w:tcW w:w="1361" w:type="dxa"/>
            <w:vAlign w:val="center"/>
          </w:tcPr>
          <w:p>
            <w:pPr>
              <w:pStyle w:val="11"/>
            </w:pPr>
            <w:r>
              <w:t>129.86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1.27</w:t>
            </w:r>
          </w:p>
        </w:tc>
        <w:tc>
          <w:tcPr>
            <w:tcW w:w="1361" w:type="dxa"/>
            <w:vAlign w:val="center"/>
          </w:tcPr>
          <w:p>
            <w:pPr>
              <w:pStyle w:val="11"/>
            </w:pPr>
          </w:p>
        </w:tc>
        <w:tc>
          <w:tcPr>
            <w:tcW w:w="1361" w:type="dxa"/>
            <w:vAlign w:val="center"/>
          </w:tcPr>
          <w:p>
            <w:pPr>
              <w:pStyle w:val="11"/>
            </w:pPr>
            <w:r>
              <w:t>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2013450</w:t>
            </w:r>
          </w:p>
        </w:tc>
        <w:tc>
          <w:tcPr>
            <w:tcW w:w="4535" w:type="dxa"/>
            <w:vAlign w:val="center"/>
          </w:tcPr>
          <w:p>
            <w:pPr>
              <w:pStyle w:val="12"/>
            </w:pPr>
            <w:r>
              <w:t>事业运行</w:t>
            </w:r>
          </w:p>
        </w:tc>
        <w:tc>
          <w:tcPr>
            <w:tcW w:w="1361" w:type="dxa"/>
            <w:vAlign w:val="center"/>
          </w:tcPr>
          <w:p>
            <w:pPr>
              <w:pStyle w:val="11"/>
            </w:pPr>
            <w:r>
              <w:t>6.53</w:t>
            </w:r>
          </w:p>
        </w:tc>
        <w:tc>
          <w:tcPr>
            <w:tcW w:w="1361" w:type="dxa"/>
            <w:vAlign w:val="center"/>
          </w:tcPr>
          <w:p>
            <w:pPr>
              <w:pStyle w:val="11"/>
            </w:pPr>
            <w:r>
              <w:t>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137.66</w:t>
            </w:r>
          </w:p>
        </w:tc>
        <w:tc>
          <w:tcPr>
            <w:tcW w:w="3402" w:type="dxa"/>
            <w:vAlign w:val="center"/>
          </w:tcPr>
          <w:p>
            <w:pPr>
              <w:pStyle w:val="12"/>
            </w:pPr>
            <w:r>
              <w:t>一、一般公共服务支出</w:t>
            </w:r>
          </w:p>
        </w:tc>
        <w:tc>
          <w:tcPr>
            <w:tcW w:w="1474" w:type="dxa"/>
            <w:vAlign w:val="center"/>
          </w:tcPr>
          <w:p>
            <w:pPr>
              <w:pStyle w:val="11"/>
            </w:pPr>
            <w:r>
              <w:t>137.66</w:t>
            </w:r>
          </w:p>
        </w:tc>
        <w:tc>
          <w:tcPr>
            <w:tcW w:w="1474" w:type="dxa"/>
            <w:vAlign w:val="center"/>
          </w:tcPr>
          <w:p>
            <w:pPr>
              <w:pStyle w:val="11"/>
            </w:pPr>
            <w:r>
              <w:t>137.66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137.66</w:t>
            </w:r>
          </w:p>
        </w:tc>
        <w:tc>
          <w:tcPr>
            <w:tcW w:w="3402" w:type="dxa"/>
            <w:vAlign w:val="center"/>
          </w:tcPr>
          <w:p>
            <w:pPr>
              <w:pStyle w:val="14"/>
            </w:pPr>
            <w:r>
              <w:t>本年支出合计</w:t>
            </w:r>
          </w:p>
        </w:tc>
        <w:tc>
          <w:tcPr>
            <w:tcW w:w="1474" w:type="dxa"/>
            <w:vAlign w:val="center"/>
          </w:tcPr>
          <w:p>
            <w:pPr>
              <w:pStyle w:val="15"/>
            </w:pPr>
            <w:r>
              <w:t>137.66</w:t>
            </w:r>
          </w:p>
        </w:tc>
        <w:tc>
          <w:tcPr>
            <w:tcW w:w="1474" w:type="dxa"/>
            <w:vAlign w:val="center"/>
          </w:tcPr>
          <w:p>
            <w:pPr>
              <w:pStyle w:val="15"/>
            </w:pPr>
            <w:r>
              <w:t>137.66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137.66</w:t>
            </w:r>
          </w:p>
        </w:tc>
        <w:tc>
          <w:tcPr>
            <w:tcW w:w="3402" w:type="dxa"/>
            <w:vAlign w:val="center"/>
          </w:tcPr>
          <w:p>
            <w:pPr>
              <w:pStyle w:val="14"/>
            </w:pPr>
            <w:r>
              <w:t>支出总计</w:t>
            </w:r>
          </w:p>
        </w:tc>
        <w:tc>
          <w:tcPr>
            <w:tcW w:w="1474" w:type="dxa"/>
            <w:vAlign w:val="center"/>
          </w:tcPr>
          <w:p>
            <w:pPr>
              <w:pStyle w:val="15"/>
            </w:pPr>
            <w:r>
              <w:t>137.66</w:t>
            </w:r>
          </w:p>
        </w:tc>
        <w:tc>
          <w:tcPr>
            <w:tcW w:w="1474" w:type="dxa"/>
            <w:vAlign w:val="center"/>
          </w:tcPr>
          <w:p>
            <w:pPr>
              <w:pStyle w:val="15"/>
            </w:pPr>
            <w:r>
              <w:t>137.66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137.66</w:t>
            </w:r>
          </w:p>
        </w:tc>
        <w:tc>
          <w:tcPr>
            <w:tcW w:w="2551" w:type="dxa"/>
            <w:vAlign w:val="center"/>
          </w:tcPr>
          <w:p>
            <w:pPr>
              <w:pStyle w:val="15"/>
            </w:pPr>
            <w:r>
              <w:t>136.39</w:t>
            </w:r>
          </w:p>
        </w:tc>
        <w:tc>
          <w:tcPr>
            <w:tcW w:w="2551" w:type="dxa"/>
            <w:vAlign w:val="center"/>
          </w:tcPr>
          <w:p>
            <w:pPr>
              <w:pStyle w:val="15"/>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137.66</w:t>
            </w:r>
          </w:p>
        </w:tc>
        <w:tc>
          <w:tcPr>
            <w:tcW w:w="2551" w:type="dxa"/>
            <w:vAlign w:val="center"/>
          </w:tcPr>
          <w:p>
            <w:pPr>
              <w:pStyle w:val="11"/>
            </w:pPr>
            <w:r>
              <w:t>136.39</w:t>
            </w:r>
          </w:p>
        </w:tc>
        <w:tc>
          <w:tcPr>
            <w:tcW w:w="2551" w:type="dxa"/>
            <w:vAlign w:val="center"/>
          </w:tcPr>
          <w:p>
            <w:pPr>
              <w:pStyle w:val="11"/>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137.66</w:t>
            </w:r>
          </w:p>
        </w:tc>
        <w:tc>
          <w:tcPr>
            <w:tcW w:w="2551" w:type="dxa"/>
            <w:vAlign w:val="center"/>
          </w:tcPr>
          <w:p>
            <w:pPr>
              <w:pStyle w:val="11"/>
            </w:pPr>
            <w:r>
              <w:t>136.39</w:t>
            </w:r>
          </w:p>
        </w:tc>
        <w:tc>
          <w:tcPr>
            <w:tcW w:w="2551" w:type="dxa"/>
            <w:vAlign w:val="center"/>
          </w:tcPr>
          <w:p>
            <w:pPr>
              <w:pStyle w:val="11"/>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129.86</w:t>
            </w:r>
          </w:p>
        </w:tc>
        <w:tc>
          <w:tcPr>
            <w:tcW w:w="2551" w:type="dxa"/>
            <w:vAlign w:val="center"/>
          </w:tcPr>
          <w:p>
            <w:pPr>
              <w:pStyle w:val="11"/>
            </w:pPr>
            <w:r>
              <w:t>129.86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1.27</w:t>
            </w:r>
          </w:p>
        </w:tc>
        <w:tc>
          <w:tcPr>
            <w:tcW w:w="2551" w:type="dxa"/>
            <w:vAlign w:val="center"/>
          </w:tcPr>
          <w:p>
            <w:pPr>
              <w:pStyle w:val="11"/>
            </w:pPr>
          </w:p>
        </w:tc>
        <w:tc>
          <w:tcPr>
            <w:tcW w:w="2551" w:type="dxa"/>
            <w:vAlign w:val="center"/>
          </w:tcPr>
          <w:p>
            <w:pPr>
              <w:pStyle w:val="11"/>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2013450</w:t>
            </w:r>
          </w:p>
        </w:tc>
        <w:tc>
          <w:tcPr>
            <w:tcW w:w="4535" w:type="dxa"/>
            <w:vAlign w:val="center"/>
          </w:tcPr>
          <w:p>
            <w:pPr>
              <w:pStyle w:val="12"/>
            </w:pPr>
            <w:r>
              <w:t>事业运行</w:t>
            </w:r>
          </w:p>
        </w:tc>
        <w:tc>
          <w:tcPr>
            <w:tcW w:w="2551" w:type="dxa"/>
            <w:vAlign w:val="center"/>
          </w:tcPr>
          <w:p>
            <w:pPr>
              <w:pStyle w:val="11"/>
            </w:pPr>
            <w:r>
              <w:t>6.53</w:t>
            </w:r>
          </w:p>
        </w:tc>
        <w:tc>
          <w:tcPr>
            <w:tcW w:w="2551" w:type="dxa"/>
            <w:vAlign w:val="center"/>
          </w:tcPr>
          <w:p>
            <w:pPr>
              <w:pStyle w:val="11"/>
            </w:pPr>
            <w:r>
              <w:t>6.53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136.39</w:t>
            </w:r>
          </w:p>
        </w:tc>
        <w:tc>
          <w:tcPr>
            <w:tcW w:w="2551" w:type="dxa"/>
            <w:vAlign w:val="center"/>
          </w:tcPr>
          <w:p>
            <w:pPr>
              <w:pStyle w:val="15"/>
            </w:pPr>
            <w:r>
              <w:t>127.34</w:t>
            </w:r>
          </w:p>
        </w:tc>
        <w:tc>
          <w:tcPr>
            <w:tcW w:w="2551" w:type="dxa"/>
            <w:vAlign w:val="center"/>
          </w:tcPr>
          <w:p>
            <w:pPr>
              <w:pStyle w:val="15"/>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113.36</w:t>
            </w:r>
          </w:p>
        </w:tc>
        <w:tc>
          <w:tcPr>
            <w:tcW w:w="2551" w:type="dxa"/>
            <w:vAlign w:val="center"/>
          </w:tcPr>
          <w:p>
            <w:pPr>
              <w:pStyle w:val="11"/>
            </w:pPr>
            <w:r>
              <w:t>113.36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33.94</w:t>
            </w:r>
          </w:p>
        </w:tc>
        <w:tc>
          <w:tcPr>
            <w:tcW w:w="2551" w:type="dxa"/>
            <w:vAlign w:val="center"/>
          </w:tcPr>
          <w:p>
            <w:pPr>
              <w:pStyle w:val="11"/>
            </w:pPr>
            <w:r>
              <w:t>33.94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18.93</w:t>
            </w:r>
          </w:p>
        </w:tc>
        <w:tc>
          <w:tcPr>
            <w:tcW w:w="2551" w:type="dxa"/>
            <w:vAlign w:val="center"/>
          </w:tcPr>
          <w:p>
            <w:pPr>
              <w:pStyle w:val="11"/>
            </w:pPr>
            <w:r>
              <w:t>18.93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18.02</w:t>
            </w:r>
          </w:p>
        </w:tc>
        <w:tc>
          <w:tcPr>
            <w:tcW w:w="2551" w:type="dxa"/>
            <w:vAlign w:val="center"/>
          </w:tcPr>
          <w:p>
            <w:pPr>
              <w:pStyle w:val="11"/>
            </w:pPr>
            <w:r>
              <w:t>18.02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12.67</w:t>
            </w:r>
          </w:p>
        </w:tc>
        <w:tc>
          <w:tcPr>
            <w:tcW w:w="2551" w:type="dxa"/>
            <w:vAlign w:val="center"/>
          </w:tcPr>
          <w:p>
            <w:pPr>
              <w:pStyle w:val="11"/>
            </w:pPr>
            <w:r>
              <w:t>12.67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11.66</w:t>
            </w:r>
          </w:p>
        </w:tc>
        <w:tc>
          <w:tcPr>
            <w:tcW w:w="2551" w:type="dxa"/>
            <w:vAlign w:val="center"/>
          </w:tcPr>
          <w:p>
            <w:pPr>
              <w:pStyle w:val="11"/>
            </w:pPr>
            <w:r>
              <w:t>11.66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0.29</w:t>
            </w:r>
          </w:p>
        </w:tc>
        <w:tc>
          <w:tcPr>
            <w:tcW w:w="2551" w:type="dxa"/>
            <w:vAlign w:val="center"/>
          </w:tcPr>
          <w:p>
            <w:pPr>
              <w:pStyle w:val="11"/>
            </w:pPr>
            <w:r>
              <w:t>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9.34</w:t>
            </w:r>
          </w:p>
        </w:tc>
        <w:tc>
          <w:tcPr>
            <w:tcW w:w="2551" w:type="dxa"/>
            <w:vAlign w:val="center"/>
          </w:tcPr>
          <w:p>
            <w:pPr>
              <w:pStyle w:val="11"/>
            </w:pPr>
            <w:r>
              <w:t>9.34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9.05</w:t>
            </w:r>
          </w:p>
        </w:tc>
        <w:tc>
          <w:tcPr>
            <w:tcW w:w="2551" w:type="dxa"/>
            <w:vAlign w:val="center"/>
          </w:tcPr>
          <w:p>
            <w:pPr>
              <w:pStyle w:val="11"/>
            </w:pPr>
          </w:p>
        </w:tc>
        <w:tc>
          <w:tcPr>
            <w:tcW w:w="2551" w:type="dxa"/>
            <w:vAlign w:val="center"/>
          </w:tcPr>
          <w:p>
            <w:pPr>
              <w:pStyle w:val="11"/>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0.56</w:t>
            </w:r>
          </w:p>
        </w:tc>
        <w:tc>
          <w:tcPr>
            <w:tcW w:w="2551" w:type="dxa"/>
            <w:vAlign w:val="center"/>
          </w:tcPr>
          <w:p>
            <w:pPr>
              <w:pStyle w:val="11"/>
            </w:pPr>
          </w:p>
        </w:tc>
        <w:tc>
          <w:tcPr>
            <w:tcW w:w="2551"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3.66</w:t>
            </w:r>
          </w:p>
        </w:tc>
        <w:tc>
          <w:tcPr>
            <w:tcW w:w="2551" w:type="dxa"/>
            <w:vAlign w:val="center"/>
          </w:tcPr>
          <w:p>
            <w:pPr>
              <w:pStyle w:val="11"/>
            </w:pPr>
          </w:p>
        </w:tc>
        <w:tc>
          <w:tcPr>
            <w:tcW w:w="2551" w:type="dxa"/>
            <w:vAlign w:val="center"/>
          </w:tcPr>
          <w:p>
            <w:pPr>
              <w:pStyle w:val="11"/>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0.93</w:t>
            </w:r>
          </w:p>
        </w:tc>
        <w:tc>
          <w:tcPr>
            <w:tcW w:w="2551" w:type="dxa"/>
            <w:vAlign w:val="center"/>
          </w:tcPr>
          <w:p>
            <w:pPr>
              <w:pStyle w:val="11"/>
            </w:pPr>
          </w:p>
        </w:tc>
        <w:tc>
          <w:tcPr>
            <w:tcW w:w="2551" w:type="dxa"/>
            <w:vAlign w:val="center"/>
          </w:tcPr>
          <w:p>
            <w:pPr>
              <w:pStyle w:val="11"/>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13.98</w:t>
            </w:r>
          </w:p>
        </w:tc>
        <w:tc>
          <w:tcPr>
            <w:tcW w:w="2551" w:type="dxa"/>
            <w:vAlign w:val="center"/>
          </w:tcPr>
          <w:p>
            <w:pPr>
              <w:pStyle w:val="11"/>
            </w:pPr>
            <w:r>
              <w:t>13.98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13.98</w:t>
            </w:r>
          </w:p>
        </w:tc>
        <w:tc>
          <w:tcPr>
            <w:tcW w:w="2551" w:type="dxa"/>
            <w:vAlign w:val="center"/>
          </w:tcPr>
          <w:p>
            <w:pPr>
              <w:pStyle w:val="11"/>
            </w:pPr>
            <w:r>
              <w:t>13.98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1</w:t>
            </w:r>
          </w:p>
        </w:tc>
        <w:tc>
          <w:tcPr>
            <w:tcW w:w="3798" w:type="dxa"/>
            <w:vAlign w:val="center"/>
          </w:tcPr>
          <w:p>
            <w:pPr>
              <w:pStyle w:val="12"/>
              <w:ind w:firstLine="0" w:firstLineChars="0"/>
              <w:jc w:val="center"/>
            </w:pPr>
            <w:r>
              <w:rPr>
                <w:rFonts w:hint="eastAsia"/>
                <w:lang w:eastAsia="zh-CN"/>
              </w:rPr>
              <w:t>合计</w:t>
            </w:r>
          </w:p>
        </w:tc>
        <w:tc>
          <w:tcPr>
            <w:tcW w:w="2381" w:type="dxa"/>
            <w:vAlign w:val="center"/>
          </w:tcPr>
          <w:p>
            <w:pPr>
              <w:pStyle w:val="11"/>
              <w:ind w:firstLine="0" w:firstLineChars="0"/>
            </w:pPr>
            <w:r>
              <w:rPr>
                <w:rFonts w:hint="eastAsia"/>
                <w:lang w:val="en-US" w:eastAsia="zh-CN"/>
              </w:rPr>
              <w:t>2.00</w:t>
            </w:r>
          </w:p>
        </w:tc>
        <w:tc>
          <w:tcPr>
            <w:tcW w:w="2381" w:type="dxa"/>
            <w:vAlign w:val="center"/>
          </w:tcPr>
          <w:p>
            <w:pPr>
              <w:pStyle w:val="11"/>
              <w:ind w:firstLine="0" w:firstLineChars="0"/>
            </w:pPr>
            <w:r>
              <w:rPr>
                <w:rFonts w:hint="eastAsia"/>
                <w:lang w:val="en-US" w:eastAsia="zh-CN"/>
              </w:rPr>
              <w:t>2.00</w:t>
            </w:r>
          </w:p>
        </w:tc>
        <w:tc>
          <w:tcPr>
            <w:tcW w:w="2381" w:type="dxa"/>
            <w:vAlign w:val="center"/>
          </w:tcPr>
          <w:p>
            <w:pPr>
              <w:pStyle w:val="11"/>
              <w:ind w:firstLine="0" w:firstLineChars="0"/>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2</w:t>
            </w:r>
          </w:p>
        </w:tc>
        <w:tc>
          <w:tcPr>
            <w:tcW w:w="3798" w:type="dxa"/>
            <w:vAlign w:val="center"/>
          </w:tcPr>
          <w:p>
            <w:pPr>
              <w:pStyle w:val="12"/>
              <w:ind w:firstLine="0" w:firstLineChars="0"/>
            </w:pPr>
            <w:r>
              <w:rPr>
                <w:rFonts w:hint="eastAsia"/>
                <w:lang w:eastAsia="zh-CN"/>
              </w:rPr>
              <w:t>“三公”经费小计</w:t>
            </w:r>
          </w:p>
        </w:tc>
        <w:tc>
          <w:tcPr>
            <w:tcW w:w="2381" w:type="dxa"/>
            <w:vAlign w:val="center"/>
          </w:tcPr>
          <w:p>
            <w:pPr>
              <w:pStyle w:val="11"/>
              <w:ind w:firstLine="0" w:firstLineChars="0"/>
            </w:pPr>
            <w:r>
              <w:rPr>
                <w:rFonts w:hint="eastAsia"/>
                <w:lang w:val="en-US" w:eastAsia="zh-CN"/>
              </w:rPr>
              <w:t>2.00</w:t>
            </w:r>
          </w:p>
        </w:tc>
        <w:tc>
          <w:tcPr>
            <w:tcW w:w="2381" w:type="dxa"/>
            <w:vAlign w:val="center"/>
          </w:tcPr>
          <w:p>
            <w:pPr>
              <w:pStyle w:val="11"/>
              <w:ind w:firstLine="0" w:firstLineChars="0"/>
            </w:pPr>
            <w:r>
              <w:rPr>
                <w:rFonts w:hint="eastAsia"/>
                <w:lang w:val="en-US" w:eastAsia="zh-CN"/>
              </w:rPr>
              <w:t>2.00</w:t>
            </w:r>
          </w:p>
        </w:tc>
        <w:tc>
          <w:tcPr>
            <w:tcW w:w="2381" w:type="dxa"/>
            <w:vAlign w:val="center"/>
          </w:tcPr>
          <w:p>
            <w:pPr>
              <w:pStyle w:val="11"/>
              <w:ind w:firstLine="0" w:firstLineChars="0"/>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3</w:t>
            </w:r>
          </w:p>
        </w:tc>
        <w:tc>
          <w:tcPr>
            <w:tcW w:w="3798" w:type="dxa"/>
            <w:vAlign w:val="center"/>
          </w:tcPr>
          <w:p>
            <w:pPr>
              <w:pStyle w:val="12"/>
              <w:ind w:firstLine="0" w:firstLineChars="0"/>
            </w:pPr>
            <w:r>
              <w:rPr>
                <w:rFonts w:hint="eastAsia"/>
                <w:lang w:eastAsia="zh-CN"/>
              </w:rPr>
              <w:t>一、因公出国（境）费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4</w:t>
            </w:r>
          </w:p>
        </w:tc>
        <w:tc>
          <w:tcPr>
            <w:tcW w:w="3798" w:type="dxa"/>
            <w:vAlign w:val="center"/>
          </w:tcPr>
          <w:p>
            <w:pPr>
              <w:pStyle w:val="12"/>
              <w:ind w:firstLine="0" w:firstLineChars="0"/>
            </w:pPr>
            <w:r>
              <w:rPr>
                <w:rFonts w:hint="eastAsia"/>
                <w:lang w:val="en-US" w:eastAsia="zh-CN"/>
              </w:rPr>
              <w:t xml:space="preserve">    其中：教学科研人员因公出（国）境费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5</w:t>
            </w:r>
          </w:p>
        </w:tc>
        <w:tc>
          <w:tcPr>
            <w:tcW w:w="3798" w:type="dxa"/>
            <w:vAlign w:val="center"/>
          </w:tcPr>
          <w:p>
            <w:pPr>
              <w:pStyle w:val="12"/>
              <w:ind w:firstLine="0" w:firstLineChars="0"/>
            </w:pPr>
            <w:r>
              <w:rPr>
                <w:rFonts w:hint="eastAsia"/>
                <w:lang w:val="en-US" w:eastAsia="zh-CN"/>
              </w:rPr>
              <w:t xml:space="preserve">        其他</w:t>
            </w:r>
            <w:r>
              <w:rPr>
                <w:rFonts w:hint="eastAsia"/>
                <w:lang w:eastAsia="zh-CN"/>
              </w:rPr>
              <w:t>因公出国（境）费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6</w:t>
            </w:r>
          </w:p>
        </w:tc>
        <w:tc>
          <w:tcPr>
            <w:tcW w:w="3798" w:type="dxa"/>
            <w:vAlign w:val="center"/>
          </w:tcPr>
          <w:p>
            <w:pPr>
              <w:pStyle w:val="12"/>
              <w:ind w:firstLine="0" w:firstLineChars="0"/>
            </w:pPr>
            <w:r>
              <w:rPr>
                <w:rFonts w:hint="eastAsia"/>
                <w:lang w:eastAsia="zh-CN"/>
              </w:rPr>
              <w:t>二、公务用车购置及运维费</w:t>
            </w:r>
          </w:p>
        </w:tc>
        <w:tc>
          <w:tcPr>
            <w:tcW w:w="2381" w:type="dxa"/>
            <w:vAlign w:val="center"/>
          </w:tcPr>
          <w:p>
            <w:pPr>
              <w:pStyle w:val="11"/>
              <w:ind w:firstLine="0" w:firstLineChars="0"/>
            </w:pPr>
            <w:r>
              <w:rPr>
                <w:rFonts w:hint="eastAsia"/>
                <w:lang w:val="en-US" w:eastAsia="zh-CN"/>
              </w:rPr>
              <w:t>2.00</w:t>
            </w:r>
          </w:p>
        </w:tc>
        <w:tc>
          <w:tcPr>
            <w:tcW w:w="2381" w:type="dxa"/>
            <w:vAlign w:val="center"/>
          </w:tcPr>
          <w:p>
            <w:pPr>
              <w:pStyle w:val="11"/>
              <w:ind w:firstLine="0" w:firstLineChars="0"/>
            </w:pPr>
            <w:r>
              <w:rPr>
                <w:rFonts w:hint="eastAsia"/>
                <w:lang w:val="en-US" w:eastAsia="zh-CN"/>
              </w:rPr>
              <w:t>2.00</w:t>
            </w:r>
          </w:p>
        </w:tc>
        <w:tc>
          <w:tcPr>
            <w:tcW w:w="2381" w:type="dxa"/>
            <w:vAlign w:val="center"/>
          </w:tcPr>
          <w:p>
            <w:pPr>
              <w:pStyle w:val="11"/>
              <w:ind w:firstLine="0" w:firstLineChars="0"/>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7</w:t>
            </w:r>
          </w:p>
        </w:tc>
        <w:tc>
          <w:tcPr>
            <w:tcW w:w="3798" w:type="dxa"/>
            <w:vAlign w:val="center"/>
          </w:tcPr>
          <w:p>
            <w:pPr>
              <w:pStyle w:val="12"/>
              <w:ind w:firstLine="0" w:firstLineChars="0"/>
            </w:pPr>
            <w:r>
              <w:rPr>
                <w:rFonts w:hint="eastAsia"/>
                <w:lang w:val="en-US" w:eastAsia="zh-CN"/>
              </w:rPr>
              <w:t xml:space="preserve">    其中：公务用车购置费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8</w:t>
            </w:r>
          </w:p>
        </w:tc>
        <w:tc>
          <w:tcPr>
            <w:tcW w:w="3798" w:type="dxa"/>
            <w:vAlign w:val="center"/>
          </w:tcPr>
          <w:p>
            <w:pPr>
              <w:pStyle w:val="12"/>
              <w:ind w:firstLine="0" w:firstLineChars="0"/>
            </w:pPr>
            <w:r>
              <w:rPr>
                <w:rFonts w:hint="eastAsia"/>
                <w:lang w:val="en-US" w:eastAsia="zh-CN"/>
              </w:rPr>
              <w:t xml:space="preserve">              公务用车运行维护费</w:t>
            </w:r>
          </w:p>
        </w:tc>
        <w:tc>
          <w:tcPr>
            <w:tcW w:w="2381" w:type="dxa"/>
            <w:vAlign w:val="center"/>
          </w:tcPr>
          <w:p>
            <w:pPr>
              <w:pStyle w:val="11"/>
              <w:ind w:firstLine="0" w:firstLineChars="0"/>
            </w:pPr>
            <w:r>
              <w:rPr>
                <w:rFonts w:hint="eastAsia"/>
                <w:lang w:val="en-US" w:eastAsia="zh-CN"/>
              </w:rPr>
              <w:t>2.00</w:t>
            </w:r>
          </w:p>
        </w:tc>
        <w:tc>
          <w:tcPr>
            <w:tcW w:w="2381" w:type="dxa"/>
            <w:vAlign w:val="center"/>
          </w:tcPr>
          <w:p>
            <w:pPr>
              <w:pStyle w:val="11"/>
              <w:ind w:firstLine="0" w:firstLineChars="0"/>
            </w:pPr>
            <w:r>
              <w:rPr>
                <w:rFonts w:hint="eastAsia"/>
                <w:lang w:val="en-US" w:eastAsia="zh-CN"/>
              </w:rPr>
              <w:t>2.00</w:t>
            </w:r>
          </w:p>
        </w:tc>
        <w:tc>
          <w:tcPr>
            <w:tcW w:w="2381" w:type="dxa"/>
            <w:vAlign w:val="center"/>
          </w:tcPr>
          <w:p>
            <w:pPr>
              <w:pStyle w:val="11"/>
              <w:ind w:firstLine="0" w:firstLineChars="0"/>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rPr>
                <w:rFonts w:hint="eastAsia"/>
                <w:lang w:val="en-US" w:eastAsia="zh-CN"/>
              </w:rPr>
              <w:t>9</w:t>
            </w:r>
          </w:p>
        </w:tc>
        <w:tc>
          <w:tcPr>
            <w:tcW w:w="3798" w:type="dxa"/>
            <w:vAlign w:val="center"/>
          </w:tcPr>
          <w:p>
            <w:pPr>
              <w:pStyle w:val="12"/>
              <w:ind w:firstLine="0" w:firstLineChars="0"/>
            </w:pPr>
            <w:r>
              <w:rPr>
                <w:rFonts w:hint="eastAsia"/>
                <w:lang w:eastAsia="zh-CN"/>
              </w:rPr>
              <w:t>三、公务接待费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bookmarkStart w:id="1" w:name="_GoBack"/>
      <w:bookmarkEnd w:id="1"/>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中共石家庄市井陉矿区委统战部2026年单位预算信息公开情况说明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按照《中华人民共和国预算法》、《地方预决算公开操作规程》和《关于进一步推进预算公开工作的实施意见》规定，现将中共石家庄市井陉矿区委统战部2026年单位预算公开如下：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 职责</w:t>
      </w:r>
    </w:p>
    <w:p>
      <w:pPr>
        <w:pStyle w:val="17"/>
      </w:pPr>
      <w:r>
        <w:t>根据《中共井陉矿区委统战部职能配置、内设机构和人员编制规定》，统战部的主要职责是：</w:t>
      </w:r>
    </w:p>
    <w:p>
      <w:pPr>
        <w:pStyle w:val="17"/>
      </w:pPr>
      <w:r>
        <w:t>(一)贯彻落实加强党对统一战线工作集中统一领导的要求,发挥在区委统战工作方面的参谋机构、组织协调机构、具体执行机构、督促检查机构作用，了解情况、掌握政策、协调关系、安排人事、增进共识、加强团结，协调统一战线各方面关系,组织和落实中央、省委、市委、区委关于统一战线工作重大决策部署，巩固壮大最广泛的统一战线。</w:t>
      </w:r>
    </w:p>
    <w:p>
      <w:pPr>
        <w:pStyle w:val="17"/>
      </w:pPr>
      <w:r>
        <w:t>(二)开展统一战线理论研究，研究拟定统一战线工作的政策、地方性法规草案并推动落实,深入调查研究,及时向区委报告统一战线工作情况并提出建议,统筹协调和指导各街道（镇)、各部门各单位统一战线工作。</w:t>
      </w:r>
    </w:p>
    <w:p>
      <w:pPr>
        <w:pStyle w:val="17"/>
      </w:pPr>
      <w: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pStyle w:val="17"/>
      </w:pPr>
      <w:r>
        <w:t>(四)贯彻落实党的宣传工作方针,统筹推进全区统一战线宣传工作,拟订全区统一战线宣传工作规划并组织实施,研判涉及统一战线的舆情并协调有关部门应对处置。</w:t>
      </w:r>
    </w:p>
    <w:p>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(六)统一领导民族宗教工作,贯彻落实党的民族宗教工  作方针,拟订民族宗教工作的政策措施并督导落实,协调处理民族宗教工作中的重大问题,归口领导区民族宗教事务局，全面促进民族宗教事业发展,维护全区民族宗教领域和谐稳定。</w:t>
      </w:r>
    </w:p>
    <w:p>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高等学校、科研院所、国有企业等有关单位和社会组织开展党外知识分子和新的社会阶层人士统战工作。</w:t>
      </w:r>
    </w:p>
    <w:p>
      <w:pPr>
        <w:pStyle w:val="17"/>
      </w:pPr>
      <w:r>
        <w:t xml:space="preserve">(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 </w:t>
      </w:r>
    </w:p>
    <w:p>
      <w:pPr>
        <w:pStyle w:val="17"/>
      </w:pPr>
      <w:r>
        <w:t>(九)统一领导全区海外统战工作,牵头开展港澳统战工  作。贯彻落实党的海外统战工作政策措施，并组织协调、督促检查落实,会同有关部门对香港、澳门地区统一战线工作进行调查研究并提出政策建议,联系香港、澳门有关党派、团体及代表人士,联系海外有关社团及代表人士。做好统一战线外事管理工作</w:t>
      </w:r>
    </w:p>
    <w:p>
      <w:pPr>
        <w:pStyle w:val="17"/>
      </w:pPr>
      <w:r>
        <w:t>(十)统一管理全区侨务工作,贯彻落实党的侨务工作方  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pStyle w:val="17"/>
      </w:pPr>
      <w:r>
        <w:t>(十一)负责全区涉台工作，贯彻执行党中央、国务院对台工作的方针政策。开展对台工作调查研究并结合我区实际提出对策和建议。组织、指导、管理、协调区委、区政府各部门和各乡镇（街道）的对台工作；检查了解各乡镇（街道）各部门对党中央、国务院和市委、市政府对台方针政策及区委、区政府有关对台工作指示贯彻落实情况。调查研究台湾形势和区台经贸之间交流往来动向,提出对策建议。会同有关部门统筹协调和指导对台经贸工作。统筹协调涉台法律事务。组织重要台商的投资活动，参与区政府对台大型招商活动。协调、指导全区涉台金融,文化、学术、教育、科技、体育、卫生等领域的交流与合作及区台人员往来工作。负责我区赴台交流事项的报批和赴台交流人员的行前指导及归后总结工作；负责对台湾上层重点人士的联络和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负责区委对台工作领导小组的日常工作。</w:t>
      </w:r>
    </w:p>
    <w:p>
      <w:pPr>
        <w:pStyle w:val="17"/>
      </w:pPr>
      <w:r>
        <w:t>(十二)指导乡镇（街道）党委（党工委）统一战线工作，协助管理乡镇（街道）统战委员，负责乡镇（街道）统战委员培训工作；协调政府有关部门统一战线工作；受区委委托，领导区工商联党组，指导区工商联工作；联系指导区侨联工作。做好统一战线有关单位和团体的管理工作。</w:t>
      </w:r>
    </w:p>
    <w:p>
      <w:pPr>
        <w:pStyle w:val="17"/>
      </w:pPr>
      <w:r>
        <w:t>(十三)完成区委交办的其他任务。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中共石家庄市井陉矿区委统战部</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137.66万元，其中：一般公共预算收入137.66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井陉矿区委统战部年度单位预算中支出预算的总体情况。2026年支出预算137.66万元，其中基本支出136.39万元，包括人员经费127.34万元和日常公用经费9.05万元；项目支出1.27万元，主要为云视频经费1.27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2026年预算收支安排137.66万元，较2025年预算减少7.54万元，其中：基本支出增加6.03万元，主要为增加一名退休人员。项目支出减少13.57万元，主要</w:t>
      </w:r>
      <w:r>
        <w:rPr>
          <w:rFonts w:hint="eastAsia"/>
          <w:lang w:eastAsia="zh-CN"/>
        </w:rPr>
        <w:t>是落实财政过“紧日子”要求，</w:t>
      </w:r>
      <w:r>
        <w:t>减去台办、侨联、统战工作费用、民族宗教工作专项费用</w:t>
      </w:r>
      <w:r>
        <w:rPr>
          <w:rFonts w:hint="eastAsia"/>
          <w:lang w:eastAsia="zh-CN"/>
        </w:rPr>
        <w:t>和</w:t>
      </w:r>
      <w:r>
        <w:t>劳务派遣经费。预计下年使用的单位资金结余增加0.00万元。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2026年，我单位机关运行经费共计安排9.05万元，主要用于日常维修、办公用房水电费、办公用房取暖费、办公用房物业管理费等日常运行支出。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.00万元)；公务接待费0.00万元。与2025年相比减少</w:t>
      </w:r>
      <w:r>
        <w:rPr>
          <w:rFonts w:hint="eastAsia"/>
          <w:lang w:val="en-US" w:eastAsia="zh-CN"/>
        </w:rPr>
        <w:t>0</w:t>
      </w:r>
      <w:r>
        <w:t>.00万元。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1、云视频网费绩效目标表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13010726P00002510071A</w:t>
            </w:r>
          </w:p>
        </w:tc>
        <w:tc>
          <w:tcPr>
            <w:tcW w:w="2835" w:type="dxa"/>
            <w:vAlign w:val="center"/>
          </w:tcPr>
          <w:p>
            <w:pPr>
              <w:pStyle w:val="10"/>
            </w:pPr>
            <w:r>
              <w:t>项目名称</w:t>
            </w:r>
          </w:p>
        </w:tc>
        <w:tc>
          <w:tcPr>
            <w:tcW w:w="6095" w:type="dxa"/>
            <w:gridSpan w:val="3"/>
            <w:vAlign w:val="center"/>
          </w:tcPr>
          <w:p>
            <w:pPr>
              <w:pStyle w:val="12"/>
            </w:pPr>
            <w:r>
              <w:t>云视频网费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w:t>
            </w:r>
          </w:p>
        </w:tc>
        <w:tc>
          <w:tcPr>
            <w:tcW w:w="2835" w:type="dxa"/>
            <w:vAlign w:val="center"/>
          </w:tcPr>
          <w:p>
            <w:pPr>
              <w:pStyle w:val="10"/>
            </w:pPr>
            <w:r>
              <w:t>其中：财政    资金</w:t>
            </w:r>
          </w:p>
        </w:tc>
        <w:tc>
          <w:tcPr>
            <w:tcW w:w="2551" w:type="dxa"/>
            <w:vAlign w:val="center"/>
          </w:tcPr>
          <w:p>
            <w:pPr>
              <w:pStyle w:val="12"/>
            </w:pPr>
            <w:r>
              <w:t>1.27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用于支付云视频服务费和VPN电路费。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1.27</w:t>
            </w:r>
          </w:p>
        </w:tc>
        <w:tc>
          <w:tcPr>
            <w:tcW w:w="2835" w:type="dxa"/>
            <w:vAlign w:val="center"/>
          </w:tcPr>
          <w:p>
            <w:pPr>
              <w:pStyle w:val="13"/>
            </w:pPr>
            <w:r>
              <w:t>1.27</w:t>
            </w:r>
          </w:p>
        </w:tc>
        <w:tc>
          <w:tcPr>
            <w:tcW w:w="2551" w:type="dxa"/>
            <w:vAlign w:val="center"/>
          </w:tcPr>
          <w:p>
            <w:pPr>
              <w:pStyle w:val="13"/>
            </w:pPr>
            <w:r>
              <w:t>1.27</w:t>
            </w:r>
          </w:p>
        </w:tc>
        <w:tc>
          <w:tcPr>
            <w:tcW w:w="3544" w:type="dxa"/>
            <w:gridSpan w:val="2"/>
            <w:vAlign w:val="center"/>
          </w:tcPr>
          <w:p>
            <w:pPr>
              <w:pStyle w:val="13"/>
            </w:pPr>
            <w:r>
              <w:t>1.27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1.实现上下级之间网络贯通，满足日常非涉密视频会议需要。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购买系统数量</w:t>
            </w:r>
          </w:p>
        </w:tc>
        <w:tc>
          <w:tcPr>
            <w:tcW w:w="5386" w:type="dxa"/>
            <w:vAlign w:val="center"/>
          </w:tcPr>
          <w:p>
            <w:pPr>
              <w:pStyle w:val="12"/>
            </w:pPr>
            <w:r>
              <w:t>购买系统数量</w:t>
            </w:r>
          </w:p>
        </w:tc>
        <w:tc>
          <w:tcPr>
            <w:tcW w:w="2268" w:type="dxa"/>
            <w:vAlign w:val="center"/>
          </w:tcPr>
          <w:p>
            <w:pPr>
              <w:pStyle w:val="12"/>
            </w:pPr>
            <w:r>
              <w:t>1套</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系统运行率</w:t>
            </w:r>
          </w:p>
        </w:tc>
        <w:tc>
          <w:tcPr>
            <w:tcW w:w="5386" w:type="dxa"/>
            <w:vAlign w:val="center"/>
          </w:tcPr>
          <w:p>
            <w:pPr>
              <w:pStyle w:val="12"/>
            </w:pPr>
            <w:r>
              <w:t>系统运行率</w:t>
            </w:r>
          </w:p>
        </w:tc>
        <w:tc>
          <w:tcPr>
            <w:tcW w:w="2268" w:type="dxa"/>
            <w:vAlign w:val="center"/>
          </w:tcPr>
          <w:p>
            <w:pPr>
              <w:pStyle w:val="12"/>
            </w:pPr>
            <w:r>
              <w:t>100%</w:t>
            </w:r>
          </w:p>
        </w:tc>
        <w:tc>
          <w:tcPr>
            <w:tcW w:w="1276" w:type="dxa"/>
            <w:vAlign w:val="center"/>
          </w:tcPr>
          <w:p>
            <w:pPr>
              <w:pStyle w:val="12"/>
            </w:pPr>
            <w:r>
              <w:t>合同条款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购买系统时长</w:t>
            </w:r>
          </w:p>
        </w:tc>
        <w:tc>
          <w:tcPr>
            <w:tcW w:w="5386" w:type="dxa"/>
            <w:vAlign w:val="center"/>
          </w:tcPr>
          <w:p>
            <w:pPr>
              <w:pStyle w:val="12"/>
            </w:pPr>
            <w:r>
              <w:t>购买系统时长</w:t>
            </w:r>
          </w:p>
        </w:tc>
        <w:tc>
          <w:tcPr>
            <w:tcW w:w="2268" w:type="dxa"/>
            <w:vAlign w:val="center"/>
          </w:tcPr>
          <w:p>
            <w:pPr>
              <w:pStyle w:val="12"/>
            </w:pPr>
            <w:r>
              <w:t>12个月</w:t>
            </w:r>
          </w:p>
        </w:tc>
        <w:tc>
          <w:tcPr>
            <w:tcW w:w="1276" w:type="dxa"/>
            <w:vAlign w:val="center"/>
          </w:tcPr>
          <w:p>
            <w:pPr>
              <w:pStyle w:val="12"/>
            </w:pPr>
            <w:r>
              <w:t>合同条款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购买系统成本</w:t>
            </w:r>
          </w:p>
        </w:tc>
        <w:tc>
          <w:tcPr>
            <w:tcW w:w="5386" w:type="dxa"/>
            <w:vAlign w:val="center"/>
          </w:tcPr>
          <w:p>
            <w:pPr>
              <w:pStyle w:val="12"/>
            </w:pPr>
            <w:r>
              <w:t>购买系统成本</w:t>
            </w:r>
          </w:p>
        </w:tc>
        <w:tc>
          <w:tcPr>
            <w:tcW w:w="2268" w:type="dxa"/>
            <w:vAlign w:val="center"/>
          </w:tcPr>
          <w:p>
            <w:pPr>
              <w:pStyle w:val="12"/>
            </w:pPr>
            <w:r>
              <w:t>≤1.28万元</w:t>
            </w:r>
          </w:p>
        </w:tc>
        <w:tc>
          <w:tcPr>
            <w:tcW w:w="1276" w:type="dxa"/>
            <w:vAlign w:val="center"/>
          </w:tcPr>
          <w:p>
            <w:pPr>
              <w:pStyle w:val="12"/>
            </w:pPr>
            <w:r>
              <w:t>合同条款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保障会议运行</w:t>
            </w:r>
          </w:p>
        </w:tc>
        <w:tc>
          <w:tcPr>
            <w:tcW w:w="5386" w:type="dxa"/>
            <w:vAlign w:val="center"/>
          </w:tcPr>
          <w:p>
            <w:pPr>
              <w:pStyle w:val="12"/>
            </w:pPr>
            <w:r>
              <w:t>保障会议运行</w:t>
            </w:r>
          </w:p>
        </w:tc>
        <w:tc>
          <w:tcPr>
            <w:tcW w:w="2268" w:type="dxa"/>
            <w:vAlign w:val="center"/>
          </w:tcPr>
          <w:p>
            <w:pPr>
              <w:pStyle w:val="12"/>
            </w:pPr>
            <w:r>
              <w:t>有效保障</w:t>
            </w:r>
          </w:p>
        </w:tc>
        <w:tc>
          <w:tcPr>
            <w:tcW w:w="1276" w:type="dxa"/>
            <w:vAlign w:val="center"/>
          </w:tcPr>
          <w:p>
            <w:pPr>
              <w:pStyle w:val="12"/>
            </w:pPr>
            <w:r>
              <w:t>合同条款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≥99%</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1.88</w:t>
            </w:r>
          </w:p>
        </w:tc>
        <w:tc>
          <w:tcPr>
            <w:tcW w:w="964" w:type="dxa"/>
            <w:vAlign w:val="center"/>
          </w:tcPr>
          <w:p>
            <w:pPr>
              <w:pStyle w:val="15"/>
            </w:pPr>
            <w:r>
              <w:t>1.88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中共石家庄市井陉矿区委统战部小计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1.88</w:t>
            </w:r>
          </w:p>
        </w:tc>
        <w:tc>
          <w:tcPr>
            <w:tcW w:w="964" w:type="dxa"/>
            <w:vAlign w:val="center"/>
          </w:tcPr>
          <w:p>
            <w:pPr>
              <w:pStyle w:val="15"/>
            </w:pPr>
            <w:r>
              <w:t>1.88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3.26</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个</w:t>
            </w:r>
          </w:p>
        </w:tc>
        <w:tc>
          <w:tcPr>
            <w:tcW w:w="850" w:type="dxa"/>
            <w:vAlign w:val="center"/>
          </w:tcPr>
          <w:p>
            <w:pPr>
              <w:pStyle w:val="11"/>
            </w:pPr>
            <w:r>
              <w:t>15</w:t>
            </w:r>
          </w:p>
        </w:tc>
        <w:tc>
          <w:tcPr>
            <w:tcW w:w="850" w:type="dxa"/>
            <w:vAlign w:val="center"/>
          </w:tcPr>
          <w:p>
            <w:pPr>
              <w:pStyle w:val="11"/>
            </w:pPr>
            <w:r>
              <w:t>0.01</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3.26</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3.26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31</w:t>
            </w:r>
          </w:p>
        </w:tc>
        <w:tc>
          <w:tcPr>
            <w:tcW w:w="850" w:type="dxa"/>
            <w:vAlign w:val="center"/>
          </w:tcPr>
          <w:p>
            <w:pPr>
              <w:pStyle w:val="11"/>
            </w:pPr>
            <w:r>
              <w:t>0.05</w:t>
            </w:r>
          </w:p>
        </w:tc>
        <w:tc>
          <w:tcPr>
            <w:tcW w:w="964" w:type="dxa"/>
            <w:vAlign w:val="center"/>
          </w:tcPr>
          <w:p>
            <w:pPr>
              <w:pStyle w:val="11"/>
            </w:pPr>
            <w:r>
              <w:t>1.55</w:t>
            </w:r>
          </w:p>
        </w:tc>
        <w:tc>
          <w:tcPr>
            <w:tcW w:w="964" w:type="dxa"/>
            <w:vAlign w:val="center"/>
          </w:tcPr>
          <w:p>
            <w:pPr>
              <w:pStyle w:val="11"/>
            </w:pPr>
            <w:r>
              <w:t>1.55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中共石家庄市井陉矿区委统战部上年末固定资产金额为31.17万元（详见下表）。本年度拟购置固定资产总额为0.00万元，已按要求列入政府采购预算，详见政府采购预算表。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213002中共石家庄市井陉矿区委统战部</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59</w:t>
            </w:r>
          </w:p>
        </w:tc>
        <w:tc>
          <w:tcPr>
            <w:tcW w:w="2835" w:type="dxa"/>
            <w:vAlign w:val="center"/>
          </w:tcPr>
          <w:p>
            <w:pPr>
              <w:pStyle w:val="11"/>
            </w:pPr>
            <w:r>
              <w:t>9.81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F24AF2"/>
    <w:rsid w:val="2F9413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TotalTime>0</TotalTime>
  <ScaleCrop>false</ScaleCrop>
  <LinksUpToDate>false</LinksUpToDate>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2026-02-09T17:02:00Z</dcterms:created>
  <dc:creator>Administrator</dc:creator>
  <cp:lastModifiedBy>Administrator</cp:lastModifiedBy>
  <dcterms:modified xsi:type="dcterms:W3CDTF">2026-02-09T09:38:46Z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