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一、井陉矿区大气污染防治服务保障中心收支预算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一、井陉矿区大气污染防治服务保障中心收支预算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318.15</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56.63</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8.09</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5.64</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r>
              <w:t>249.49</w:t>
            </w: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4.90</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318.15</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324.76</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r>
              <w:t>6.60</w:t>
            </w: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324.76</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324.76</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324.76</w:t>
            </w:r>
          </w:p>
        </w:tc>
        <w:tc>
          <w:tcPr>
            <w:tcW w:w="1134" w:type="dxa"/>
            <w:tcBorders>
              <w:left w:val="single" w:sz="6" w:space="0" w:color="000000"/>
            </w:tcBorders>
            <w:vAlign w:val="center"/>
          </w:tcPr>
          <w:p>
            <w:pPr>
              <w:pStyle w:val="23"/>
            </w:pPr>
            <w:r>
              <w:t>318.15</w:t>
            </w:r>
          </w:p>
        </w:tc>
        <w:tc>
          <w:tcPr>
            <w:tcW w:w="1134" w:type="dxa"/>
            <w:tcBorders>
              <w:left w:val="single" w:sz="6" w:space="0" w:color="000000"/>
            </w:tcBorders>
            <w:vAlign w:val="center"/>
          </w:tcPr>
          <w:p>
            <w:pPr>
              <w:pStyle w:val="23"/>
            </w:pPr>
            <w:r>
              <w:t>318.15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r>
              <w:t>6.60</w:t>
            </w: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20103</w:t>
            </w:r>
          </w:p>
        </w:tc>
        <w:tc>
          <w:tcPr>
            <w:tcW w:w="1559" w:type="dxa"/>
            <w:tcBorders>
              <w:left w:val="single" w:sz="6" w:space="0" w:color="000000"/>
            </w:tcBorders>
            <w:vAlign w:val="center"/>
          </w:tcPr>
          <w:p>
            <w:pPr>
              <w:pStyle w:val="20"/>
            </w:pPr>
            <w:r>
              <w:t>政府办公厅（室）及相关机构事务</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2010350</w:t>
            </w:r>
          </w:p>
        </w:tc>
        <w:tc>
          <w:tcPr>
            <w:tcW w:w="1559" w:type="dxa"/>
            <w:tcBorders>
              <w:left w:val="single" w:sz="6" w:space="0" w:color="000000"/>
            </w:tcBorders>
            <w:vAlign w:val="center"/>
          </w:tcPr>
          <w:p>
            <w:pPr>
              <w:pStyle w:val="20"/>
            </w:pPr>
            <w:r>
              <w:t>事业运行</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8.09</w:t>
            </w:r>
          </w:p>
        </w:tc>
        <w:tc>
          <w:tcPr>
            <w:tcW w:w="1134" w:type="dxa"/>
            <w:tcBorders>
              <w:left w:val="single" w:sz="6" w:space="0" w:color="000000"/>
            </w:tcBorders>
            <w:vAlign w:val="center"/>
          </w:tcPr>
          <w:p>
            <w:pPr>
              <w:pStyle w:val="19"/>
            </w:pPr>
            <w:r>
              <w:t>8.09</w:t>
            </w:r>
          </w:p>
        </w:tc>
        <w:tc>
          <w:tcPr>
            <w:tcW w:w="1134" w:type="dxa"/>
            <w:tcBorders>
              <w:left w:val="single" w:sz="6" w:space="0" w:color="000000"/>
            </w:tcBorders>
            <w:vAlign w:val="center"/>
          </w:tcPr>
          <w:p>
            <w:pPr>
              <w:pStyle w:val="19"/>
            </w:pPr>
            <w:r>
              <w:t>8.09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20899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2089999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2101102</w:t>
            </w:r>
          </w:p>
        </w:tc>
        <w:tc>
          <w:tcPr>
            <w:tcW w:w="1559" w:type="dxa"/>
            <w:tcBorders>
              <w:left w:val="single" w:sz="6" w:space="0" w:color="000000"/>
            </w:tcBorders>
            <w:vAlign w:val="center"/>
          </w:tcPr>
          <w:p>
            <w:pPr>
              <w:pStyle w:val="20"/>
            </w:pPr>
            <w:r>
              <w:t>事业单位医疗</w:t>
            </w:r>
          </w:p>
        </w:tc>
        <w:tc>
          <w:tcPr>
            <w:tcW w:w="1134" w:type="dxa"/>
            <w:tcBorders>
              <w:left w:val="single" w:sz="6" w:space="0" w:color="000000"/>
            </w:tcBorders>
            <w:vAlign w:val="center"/>
          </w:tcPr>
          <w:p>
            <w:pPr>
              <w:pStyle w:val="19"/>
            </w:pPr>
            <w:r>
              <w:t>3.20</w:t>
            </w:r>
          </w:p>
        </w:tc>
        <w:tc>
          <w:tcPr>
            <w:tcW w:w="1134" w:type="dxa"/>
            <w:tcBorders>
              <w:left w:val="single" w:sz="6" w:space="0" w:color="000000"/>
            </w:tcBorders>
            <w:vAlign w:val="center"/>
          </w:tcPr>
          <w:p>
            <w:pPr>
              <w:pStyle w:val="19"/>
            </w:pPr>
            <w:r>
              <w:t>3.20</w:t>
            </w:r>
          </w:p>
        </w:tc>
        <w:tc>
          <w:tcPr>
            <w:tcW w:w="1134" w:type="dxa"/>
            <w:tcBorders>
              <w:left w:val="single" w:sz="6" w:space="0" w:color="000000"/>
            </w:tcBorders>
            <w:vAlign w:val="center"/>
          </w:tcPr>
          <w:p>
            <w:pPr>
              <w:pStyle w:val="19"/>
            </w:pPr>
            <w:r>
              <w:t>3.20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2101103</w:t>
            </w:r>
          </w:p>
        </w:tc>
        <w:tc>
          <w:tcPr>
            <w:tcW w:w="1559" w:type="dxa"/>
            <w:tcBorders>
              <w:left w:val="single" w:sz="6" w:space="0" w:color="000000"/>
            </w:tcBorders>
            <w:vAlign w:val="center"/>
          </w:tcPr>
          <w:p>
            <w:pPr>
              <w:pStyle w:val="20"/>
            </w:pPr>
            <w:r>
              <w:t>公务员医疗补助</w:t>
            </w:r>
          </w:p>
        </w:tc>
        <w:tc>
          <w:tcPr>
            <w:tcW w:w="1134" w:type="dxa"/>
            <w:tcBorders>
              <w:left w:val="single" w:sz="6" w:space="0" w:color="000000"/>
            </w:tcBorders>
            <w:vAlign w:val="center"/>
          </w:tcPr>
          <w:p>
            <w:pPr>
              <w:pStyle w:val="19"/>
            </w:pPr>
            <w:r>
              <w:t>2.44</w:t>
            </w:r>
          </w:p>
        </w:tc>
        <w:tc>
          <w:tcPr>
            <w:tcW w:w="1134" w:type="dxa"/>
            <w:tcBorders>
              <w:left w:val="single" w:sz="6" w:space="0" w:color="000000"/>
            </w:tcBorders>
            <w:vAlign w:val="center"/>
          </w:tcPr>
          <w:p>
            <w:pPr>
              <w:pStyle w:val="19"/>
            </w:pPr>
            <w:r>
              <w:t>2.44</w:t>
            </w:r>
          </w:p>
        </w:tc>
        <w:tc>
          <w:tcPr>
            <w:tcW w:w="1134" w:type="dxa"/>
            <w:tcBorders>
              <w:left w:val="single" w:sz="6" w:space="0" w:color="000000"/>
            </w:tcBorders>
            <w:vAlign w:val="center"/>
          </w:tcPr>
          <w:p>
            <w:pPr>
              <w:pStyle w:val="19"/>
            </w:pPr>
            <w:r>
              <w:t>2.44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211</w:t>
            </w:r>
          </w:p>
        </w:tc>
        <w:tc>
          <w:tcPr>
            <w:tcW w:w="1559" w:type="dxa"/>
            <w:tcBorders>
              <w:left w:val="single" w:sz="6" w:space="0" w:color="000000"/>
            </w:tcBorders>
            <w:vAlign w:val="center"/>
          </w:tcPr>
          <w:p>
            <w:pPr>
              <w:pStyle w:val="20"/>
            </w:pPr>
            <w:r>
              <w:t>节能环保支出</w:t>
            </w:r>
          </w:p>
        </w:tc>
        <w:tc>
          <w:tcPr>
            <w:tcW w:w="1134" w:type="dxa"/>
            <w:tcBorders>
              <w:left w:val="single" w:sz="6" w:space="0" w:color="000000"/>
            </w:tcBorders>
            <w:vAlign w:val="center"/>
          </w:tcPr>
          <w:p>
            <w:pPr>
              <w:pStyle w:val="19"/>
            </w:pPr>
            <w:r>
              <w:t>249.49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6.60</w:t>
            </w: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21103</w:t>
            </w:r>
          </w:p>
        </w:tc>
        <w:tc>
          <w:tcPr>
            <w:tcW w:w="1559" w:type="dxa"/>
            <w:tcBorders>
              <w:left w:val="single" w:sz="6" w:space="0" w:color="000000"/>
            </w:tcBorders>
            <w:vAlign w:val="center"/>
          </w:tcPr>
          <w:p>
            <w:pPr>
              <w:pStyle w:val="20"/>
            </w:pPr>
            <w:r>
              <w:t>污染防治</w:t>
            </w:r>
          </w:p>
        </w:tc>
        <w:tc>
          <w:tcPr>
            <w:tcW w:w="1134" w:type="dxa"/>
            <w:tcBorders>
              <w:left w:val="single" w:sz="6" w:space="0" w:color="000000"/>
            </w:tcBorders>
            <w:vAlign w:val="center"/>
          </w:tcPr>
          <w:p>
            <w:pPr>
              <w:pStyle w:val="19"/>
            </w:pPr>
            <w:r>
              <w:t>249.49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6.60</w:t>
            </w: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2110301</w:t>
            </w:r>
          </w:p>
        </w:tc>
        <w:tc>
          <w:tcPr>
            <w:tcW w:w="1559" w:type="dxa"/>
            <w:tcBorders>
              <w:left w:val="single" w:sz="6" w:space="0" w:color="000000"/>
            </w:tcBorders>
            <w:vAlign w:val="center"/>
          </w:tcPr>
          <w:p>
            <w:pPr>
              <w:pStyle w:val="20"/>
            </w:pPr>
            <w:r>
              <w:t>大气</w:t>
            </w:r>
          </w:p>
        </w:tc>
        <w:tc>
          <w:tcPr>
            <w:tcW w:w="1134" w:type="dxa"/>
            <w:tcBorders>
              <w:left w:val="single" w:sz="6" w:space="0" w:color="000000"/>
            </w:tcBorders>
            <w:vAlign w:val="center"/>
          </w:tcPr>
          <w:p>
            <w:pPr>
              <w:pStyle w:val="19"/>
            </w:pPr>
            <w:r>
              <w:t>249.49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6.60</w:t>
            </w: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324.76</w:t>
            </w:r>
          </w:p>
        </w:tc>
        <w:tc>
          <w:tcPr>
            <w:tcW w:w="1361" w:type="dxa"/>
            <w:tcBorders>
              <w:left w:val="single" w:sz="6" w:space="0" w:color="000000"/>
            </w:tcBorders>
            <w:vAlign w:val="center"/>
          </w:tcPr>
          <w:p>
            <w:pPr>
              <w:pStyle w:val="23"/>
            </w:pPr>
            <w:r>
              <w:t>75.26</w:t>
            </w:r>
          </w:p>
        </w:tc>
        <w:tc>
          <w:tcPr>
            <w:tcW w:w="1361" w:type="dxa"/>
            <w:tcBorders>
              <w:left w:val="single" w:sz="6" w:space="0" w:color="000000"/>
            </w:tcBorders>
            <w:vAlign w:val="center"/>
          </w:tcPr>
          <w:p>
            <w:pPr>
              <w:pStyle w:val="23"/>
            </w:pPr>
            <w:r>
              <w:t>249.49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8.09</w:t>
            </w:r>
          </w:p>
        </w:tc>
        <w:tc>
          <w:tcPr>
            <w:tcW w:w="1361" w:type="dxa"/>
            <w:tcBorders>
              <w:left w:val="single" w:sz="6" w:space="0" w:color="000000"/>
            </w:tcBorders>
            <w:vAlign w:val="center"/>
          </w:tcPr>
          <w:p>
            <w:pPr>
              <w:pStyle w:val="19"/>
            </w:pPr>
            <w:r>
              <w:t>8.09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7.60</w:t>
            </w:r>
          </w:p>
        </w:tc>
        <w:tc>
          <w:tcPr>
            <w:tcW w:w="1361" w:type="dxa"/>
            <w:tcBorders>
              <w:left w:val="single" w:sz="6" w:space="0" w:color="000000"/>
            </w:tcBorders>
            <w:vAlign w:val="center"/>
          </w:tcPr>
          <w:p>
            <w:pPr>
              <w:pStyle w:val="19"/>
            </w:pPr>
            <w:r>
              <w:t>7.60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7.60</w:t>
            </w:r>
          </w:p>
        </w:tc>
        <w:tc>
          <w:tcPr>
            <w:tcW w:w="1361" w:type="dxa"/>
            <w:tcBorders>
              <w:left w:val="single" w:sz="6" w:space="0" w:color="000000"/>
            </w:tcBorders>
            <w:vAlign w:val="center"/>
          </w:tcPr>
          <w:p>
            <w:pPr>
              <w:pStyle w:val="19"/>
            </w:pPr>
            <w:r>
              <w:t>7.60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0.49</w:t>
            </w:r>
          </w:p>
        </w:tc>
        <w:tc>
          <w:tcPr>
            <w:tcW w:w="1361" w:type="dxa"/>
            <w:tcBorders>
              <w:left w:val="single" w:sz="6" w:space="0" w:color="000000"/>
            </w:tcBorders>
            <w:vAlign w:val="center"/>
          </w:tcPr>
          <w:p>
            <w:pPr>
              <w:pStyle w:val="19"/>
            </w:pPr>
            <w:r>
              <w:t>0.49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0.49</w:t>
            </w:r>
          </w:p>
        </w:tc>
        <w:tc>
          <w:tcPr>
            <w:tcW w:w="1361" w:type="dxa"/>
            <w:tcBorders>
              <w:left w:val="single" w:sz="6" w:space="0" w:color="000000"/>
            </w:tcBorders>
            <w:vAlign w:val="center"/>
          </w:tcPr>
          <w:p>
            <w:pPr>
              <w:pStyle w:val="19"/>
            </w:pPr>
            <w:r>
              <w:t>0.49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5.64</w:t>
            </w:r>
          </w:p>
        </w:tc>
        <w:tc>
          <w:tcPr>
            <w:tcW w:w="1361" w:type="dxa"/>
            <w:tcBorders>
              <w:left w:val="single" w:sz="6" w:space="0" w:color="000000"/>
            </w:tcBorders>
            <w:vAlign w:val="center"/>
          </w:tcPr>
          <w:p>
            <w:pPr>
              <w:pStyle w:val="19"/>
            </w:pPr>
            <w:r>
              <w:t>5.64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5.64</w:t>
            </w:r>
          </w:p>
        </w:tc>
        <w:tc>
          <w:tcPr>
            <w:tcW w:w="1361" w:type="dxa"/>
            <w:tcBorders>
              <w:left w:val="single" w:sz="6" w:space="0" w:color="000000"/>
            </w:tcBorders>
            <w:vAlign w:val="center"/>
          </w:tcPr>
          <w:p>
            <w:pPr>
              <w:pStyle w:val="19"/>
            </w:pPr>
            <w:r>
              <w:t>5.64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1361" w:type="dxa"/>
            <w:tcBorders>
              <w:left w:val="single" w:sz="6" w:space="0" w:color="000000"/>
            </w:tcBorders>
            <w:vAlign w:val="center"/>
          </w:tcPr>
          <w:p>
            <w:pPr>
              <w:pStyle w:val="19"/>
            </w:pPr>
            <w:r>
              <w:t>3.20</w:t>
            </w:r>
          </w:p>
        </w:tc>
        <w:tc>
          <w:tcPr>
            <w:tcW w:w="1361" w:type="dxa"/>
            <w:tcBorders>
              <w:left w:val="single" w:sz="6" w:space="0" w:color="000000"/>
            </w:tcBorders>
            <w:vAlign w:val="center"/>
          </w:tcPr>
          <w:p>
            <w:pPr>
              <w:pStyle w:val="19"/>
            </w:pPr>
            <w:r>
              <w:t>3.20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1361" w:type="dxa"/>
            <w:tcBorders>
              <w:left w:val="single" w:sz="6" w:space="0" w:color="000000"/>
            </w:tcBorders>
            <w:vAlign w:val="center"/>
          </w:tcPr>
          <w:p>
            <w:pPr>
              <w:pStyle w:val="19"/>
            </w:pPr>
            <w:r>
              <w:t>2.44</w:t>
            </w:r>
          </w:p>
        </w:tc>
        <w:tc>
          <w:tcPr>
            <w:tcW w:w="1361" w:type="dxa"/>
            <w:tcBorders>
              <w:left w:val="single" w:sz="6" w:space="0" w:color="000000"/>
            </w:tcBorders>
            <w:vAlign w:val="center"/>
          </w:tcPr>
          <w:p>
            <w:pPr>
              <w:pStyle w:val="19"/>
            </w:pPr>
            <w:r>
              <w:t>2.44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211</w:t>
            </w:r>
          </w:p>
        </w:tc>
        <w:tc>
          <w:tcPr>
            <w:tcW w:w="4535" w:type="dxa"/>
            <w:tcBorders>
              <w:left w:val="single" w:sz="6" w:space="0" w:color="000000"/>
            </w:tcBorders>
            <w:vAlign w:val="center"/>
          </w:tcPr>
          <w:p>
            <w:pPr>
              <w:pStyle w:val="20"/>
            </w:pPr>
            <w:r>
              <w:t>节能环保支出</w:t>
            </w: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21103</w:t>
            </w:r>
          </w:p>
        </w:tc>
        <w:tc>
          <w:tcPr>
            <w:tcW w:w="4535" w:type="dxa"/>
            <w:tcBorders>
              <w:left w:val="single" w:sz="6" w:space="0" w:color="000000"/>
            </w:tcBorders>
            <w:vAlign w:val="center"/>
          </w:tcPr>
          <w:p>
            <w:pPr>
              <w:pStyle w:val="20"/>
            </w:pPr>
            <w:r>
              <w:t>污染防治</w:t>
            </w: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2110301</w:t>
            </w:r>
          </w:p>
        </w:tc>
        <w:tc>
          <w:tcPr>
            <w:tcW w:w="4535" w:type="dxa"/>
            <w:tcBorders>
              <w:left w:val="single" w:sz="6" w:space="0" w:color="000000"/>
            </w:tcBorders>
            <w:vAlign w:val="center"/>
          </w:tcPr>
          <w:p>
            <w:pPr>
              <w:pStyle w:val="20"/>
            </w:pPr>
            <w:r>
              <w:t>大气</w:t>
            </w: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318.15</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56.63</w:t>
            </w:r>
          </w:p>
        </w:tc>
        <w:tc>
          <w:tcPr>
            <w:tcW w:w="1474" w:type="dxa"/>
            <w:tcBorders>
              <w:left w:val="single" w:sz="6" w:space="0" w:color="000000"/>
            </w:tcBorders>
            <w:vAlign w:val="center"/>
          </w:tcPr>
          <w:p>
            <w:pPr>
              <w:pStyle w:val="19"/>
            </w:pPr>
            <w:r>
              <w:t>56.63</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8.09</w:t>
            </w:r>
          </w:p>
        </w:tc>
        <w:tc>
          <w:tcPr>
            <w:tcW w:w="1474" w:type="dxa"/>
            <w:tcBorders>
              <w:left w:val="single" w:sz="6" w:space="0" w:color="000000"/>
            </w:tcBorders>
            <w:vAlign w:val="center"/>
          </w:tcPr>
          <w:p>
            <w:pPr>
              <w:pStyle w:val="19"/>
            </w:pPr>
            <w:r>
              <w:t>8.09</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5.64</w:t>
            </w:r>
          </w:p>
        </w:tc>
        <w:tc>
          <w:tcPr>
            <w:tcW w:w="1474" w:type="dxa"/>
            <w:tcBorders>
              <w:left w:val="single" w:sz="6" w:space="0" w:color="000000"/>
            </w:tcBorders>
            <w:vAlign w:val="center"/>
          </w:tcPr>
          <w:p>
            <w:pPr>
              <w:pStyle w:val="19"/>
            </w:pPr>
            <w:r>
              <w:t>5.64</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r>
              <w:t>249.49</w:t>
            </w:r>
          </w:p>
        </w:tc>
        <w:tc>
          <w:tcPr>
            <w:tcW w:w="1474" w:type="dxa"/>
            <w:tcBorders>
              <w:left w:val="single" w:sz="6" w:space="0" w:color="000000"/>
            </w:tcBorders>
            <w:vAlign w:val="center"/>
          </w:tcPr>
          <w:p>
            <w:pPr>
              <w:pStyle w:val="19"/>
            </w:pPr>
            <w:r>
              <w:t>249.49</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4.90</w:t>
            </w:r>
          </w:p>
        </w:tc>
        <w:tc>
          <w:tcPr>
            <w:tcW w:w="1474" w:type="dxa"/>
            <w:tcBorders>
              <w:left w:val="single" w:sz="6" w:space="0" w:color="000000"/>
            </w:tcBorders>
            <w:vAlign w:val="center"/>
          </w:tcPr>
          <w:p>
            <w:pPr>
              <w:pStyle w:val="19"/>
            </w:pPr>
            <w:r>
              <w:t>4.90</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318.15</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324.76</w:t>
            </w:r>
          </w:p>
        </w:tc>
        <w:tc>
          <w:tcPr>
            <w:tcW w:w="1474" w:type="dxa"/>
            <w:tcBorders>
              <w:left w:val="single" w:sz="6" w:space="0" w:color="000000"/>
            </w:tcBorders>
            <w:vAlign w:val="center"/>
          </w:tcPr>
          <w:p>
            <w:pPr>
              <w:pStyle w:val="23"/>
            </w:pPr>
            <w:r>
              <w:t>324.76</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r>
              <w:t>6.60</w:t>
            </w: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6.60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324.76</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324.76</w:t>
            </w:r>
          </w:p>
        </w:tc>
        <w:tc>
          <w:tcPr>
            <w:tcW w:w="1474" w:type="dxa"/>
            <w:tcBorders>
              <w:left w:val="single" w:sz="6" w:space="0" w:color="000000"/>
            </w:tcBorders>
            <w:vAlign w:val="center"/>
          </w:tcPr>
          <w:p>
            <w:pPr>
              <w:pStyle w:val="23"/>
            </w:pPr>
            <w:r>
              <w:t>324.76</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324.76</w:t>
            </w:r>
          </w:p>
        </w:tc>
        <w:tc>
          <w:tcPr>
            <w:tcW w:w="2551" w:type="dxa"/>
            <w:tcBorders>
              <w:left w:val="single" w:sz="6" w:space="0" w:color="000000"/>
            </w:tcBorders>
            <w:vAlign w:val="center"/>
          </w:tcPr>
          <w:p>
            <w:pPr>
              <w:pStyle w:val="23"/>
            </w:pPr>
            <w:r>
              <w:t>75.26</w:t>
            </w:r>
          </w:p>
        </w:tc>
        <w:tc>
          <w:tcPr>
            <w:tcW w:w="2551" w:type="dxa"/>
            <w:tcBorders>
              <w:left w:val="single" w:sz="6" w:space="0" w:color="000000"/>
            </w:tcBorders>
            <w:vAlign w:val="center"/>
          </w:tcPr>
          <w:p>
            <w:pPr>
              <w:pStyle w:val="23"/>
            </w:pPr>
            <w:r>
              <w:t>249.49</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8.09</w:t>
            </w:r>
          </w:p>
        </w:tc>
        <w:tc>
          <w:tcPr>
            <w:tcW w:w="2551" w:type="dxa"/>
            <w:tcBorders>
              <w:left w:val="single" w:sz="6" w:space="0" w:color="000000"/>
            </w:tcBorders>
            <w:vAlign w:val="center"/>
          </w:tcPr>
          <w:p>
            <w:pPr>
              <w:pStyle w:val="19"/>
            </w:pPr>
            <w:r>
              <w:t>8.09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5.64</w:t>
            </w:r>
          </w:p>
        </w:tc>
        <w:tc>
          <w:tcPr>
            <w:tcW w:w="2551" w:type="dxa"/>
            <w:tcBorders>
              <w:left w:val="single" w:sz="6" w:space="0" w:color="000000"/>
            </w:tcBorders>
            <w:vAlign w:val="center"/>
          </w:tcPr>
          <w:p>
            <w:pPr>
              <w:pStyle w:val="19"/>
            </w:pPr>
            <w:r>
              <w:t>5.64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5.64</w:t>
            </w:r>
          </w:p>
        </w:tc>
        <w:tc>
          <w:tcPr>
            <w:tcW w:w="2551" w:type="dxa"/>
            <w:tcBorders>
              <w:left w:val="single" w:sz="6" w:space="0" w:color="000000"/>
            </w:tcBorders>
            <w:vAlign w:val="center"/>
          </w:tcPr>
          <w:p>
            <w:pPr>
              <w:pStyle w:val="19"/>
            </w:pPr>
            <w:r>
              <w:t>5.64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2551" w:type="dxa"/>
            <w:tcBorders>
              <w:left w:val="single" w:sz="6" w:space="0" w:color="000000"/>
            </w:tcBorders>
            <w:vAlign w:val="center"/>
          </w:tcPr>
          <w:p>
            <w:pPr>
              <w:pStyle w:val="19"/>
            </w:pPr>
            <w:r>
              <w:t>3.20</w:t>
            </w:r>
          </w:p>
        </w:tc>
        <w:tc>
          <w:tcPr>
            <w:tcW w:w="2551" w:type="dxa"/>
            <w:tcBorders>
              <w:left w:val="single" w:sz="6" w:space="0" w:color="000000"/>
            </w:tcBorders>
            <w:vAlign w:val="center"/>
          </w:tcPr>
          <w:p>
            <w:pPr>
              <w:pStyle w:val="19"/>
            </w:pPr>
            <w:r>
              <w:t>3.20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2551" w:type="dxa"/>
            <w:tcBorders>
              <w:left w:val="single" w:sz="6" w:space="0" w:color="000000"/>
            </w:tcBorders>
            <w:vAlign w:val="center"/>
          </w:tcPr>
          <w:p>
            <w:pPr>
              <w:pStyle w:val="19"/>
            </w:pPr>
            <w:r>
              <w:t>2.44</w:t>
            </w:r>
          </w:p>
        </w:tc>
        <w:tc>
          <w:tcPr>
            <w:tcW w:w="2551" w:type="dxa"/>
            <w:tcBorders>
              <w:left w:val="single" w:sz="6" w:space="0" w:color="000000"/>
            </w:tcBorders>
            <w:vAlign w:val="center"/>
          </w:tcPr>
          <w:p>
            <w:pPr>
              <w:pStyle w:val="19"/>
            </w:pPr>
            <w:r>
              <w:t>2.44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211</w:t>
            </w:r>
          </w:p>
        </w:tc>
        <w:tc>
          <w:tcPr>
            <w:tcW w:w="4535" w:type="dxa"/>
            <w:tcBorders>
              <w:left w:val="single" w:sz="6" w:space="0" w:color="000000"/>
            </w:tcBorders>
            <w:vAlign w:val="center"/>
          </w:tcPr>
          <w:p>
            <w:pPr>
              <w:pStyle w:val="20"/>
            </w:pPr>
            <w:r>
              <w:t>节能环保支出</w:t>
            </w:r>
          </w:p>
        </w:tc>
        <w:tc>
          <w:tcPr>
            <w:tcW w:w="2551" w:type="dxa"/>
            <w:tcBorders>
              <w:left w:val="single" w:sz="6" w:space="0" w:color="000000"/>
            </w:tcBorders>
            <w:vAlign w:val="center"/>
          </w:tcPr>
          <w:p>
            <w:pPr>
              <w:pStyle w:val="19"/>
            </w:pPr>
            <w:r>
              <w:t>249.49</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249.49</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21103</w:t>
            </w:r>
          </w:p>
        </w:tc>
        <w:tc>
          <w:tcPr>
            <w:tcW w:w="4535" w:type="dxa"/>
            <w:tcBorders>
              <w:left w:val="single" w:sz="6" w:space="0" w:color="000000"/>
            </w:tcBorders>
            <w:vAlign w:val="center"/>
          </w:tcPr>
          <w:p>
            <w:pPr>
              <w:pStyle w:val="20"/>
            </w:pPr>
            <w:r>
              <w:t>污染防治</w:t>
            </w:r>
          </w:p>
        </w:tc>
        <w:tc>
          <w:tcPr>
            <w:tcW w:w="2551" w:type="dxa"/>
            <w:tcBorders>
              <w:left w:val="single" w:sz="6" w:space="0" w:color="000000"/>
            </w:tcBorders>
            <w:vAlign w:val="center"/>
          </w:tcPr>
          <w:p>
            <w:pPr>
              <w:pStyle w:val="19"/>
            </w:pPr>
            <w:r>
              <w:t>249.49</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249.49</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2110301</w:t>
            </w:r>
          </w:p>
        </w:tc>
        <w:tc>
          <w:tcPr>
            <w:tcW w:w="4535" w:type="dxa"/>
            <w:tcBorders>
              <w:left w:val="single" w:sz="6" w:space="0" w:color="000000"/>
            </w:tcBorders>
            <w:vAlign w:val="center"/>
          </w:tcPr>
          <w:p>
            <w:pPr>
              <w:pStyle w:val="20"/>
            </w:pPr>
            <w:r>
              <w:t>大气</w:t>
            </w:r>
          </w:p>
        </w:tc>
        <w:tc>
          <w:tcPr>
            <w:tcW w:w="2551" w:type="dxa"/>
            <w:tcBorders>
              <w:left w:val="single" w:sz="6" w:space="0" w:color="000000"/>
            </w:tcBorders>
            <w:vAlign w:val="center"/>
          </w:tcPr>
          <w:p>
            <w:pPr>
              <w:pStyle w:val="19"/>
            </w:pPr>
            <w:r>
              <w:t>249.49</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249.49</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75.26</w:t>
            </w:r>
          </w:p>
        </w:tc>
        <w:tc>
          <w:tcPr>
            <w:tcW w:w="2551" w:type="dxa"/>
            <w:tcBorders>
              <w:left w:val="single" w:sz="6" w:space="0" w:color="000000"/>
            </w:tcBorders>
            <w:vAlign w:val="center"/>
          </w:tcPr>
          <w:p>
            <w:pPr>
              <w:pStyle w:val="23"/>
            </w:pPr>
            <w:r>
              <w:t>72.98</w:t>
            </w:r>
          </w:p>
        </w:tc>
        <w:tc>
          <w:tcPr>
            <w:tcW w:w="2551" w:type="dxa"/>
            <w:tcBorders>
              <w:left w:val="single" w:sz="6" w:space="0" w:color="000000"/>
            </w:tcBorders>
            <w:vAlign w:val="center"/>
          </w:tcPr>
          <w:p>
            <w:pPr>
              <w:pStyle w:val="23"/>
            </w:pPr>
            <w:r>
              <w:t>2.28</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72.98</w:t>
            </w:r>
          </w:p>
        </w:tc>
        <w:tc>
          <w:tcPr>
            <w:tcW w:w="2551" w:type="dxa"/>
            <w:tcBorders>
              <w:left w:val="single" w:sz="6" w:space="0" w:color="000000"/>
            </w:tcBorders>
            <w:vAlign w:val="center"/>
          </w:tcPr>
          <w:p>
            <w:pPr>
              <w:pStyle w:val="19"/>
            </w:pPr>
            <w:r>
              <w:t>72.98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20.03</w:t>
            </w:r>
          </w:p>
        </w:tc>
        <w:tc>
          <w:tcPr>
            <w:tcW w:w="2551" w:type="dxa"/>
            <w:tcBorders>
              <w:left w:val="single" w:sz="6" w:space="0" w:color="000000"/>
            </w:tcBorders>
            <w:vAlign w:val="center"/>
          </w:tcPr>
          <w:p>
            <w:pPr>
              <w:pStyle w:val="19"/>
            </w:pPr>
            <w:r>
              <w:t>20.03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2.57</w:t>
            </w:r>
          </w:p>
        </w:tc>
        <w:tc>
          <w:tcPr>
            <w:tcW w:w="2551" w:type="dxa"/>
            <w:tcBorders>
              <w:left w:val="single" w:sz="6" w:space="0" w:color="000000"/>
            </w:tcBorders>
            <w:vAlign w:val="center"/>
          </w:tcPr>
          <w:p>
            <w:pPr>
              <w:pStyle w:val="19"/>
            </w:pPr>
            <w:r>
              <w:t>2.57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31.75</w:t>
            </w:r>
          </w:p>
        </w:tc>
        <w:tc>
          <w:tcPr>
            <w:tcW w:w="2551" w:type="dxa"/>
            <w:tcBorders>
              <w:left w:val="single" w:sz="6" w:space="0" w:color="000000"/>
            </w:tcBorders>
            <w:vAlign w:val="center"/>
          </w:tcPr>
          <w:p>
            <w:pPr>
              <w:pStyle w:val="19"/>
            </w:pPr>
            <w:r>
              <w:t>31.75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3.20</w:t>
            </w:r>
          </w:p>
        </w:tc>
        <w:tc>
          <w:tcPr>
            <w:tcW w:w="2551" w:type="dxa"/>
            <w:tcBorders>
              <w:left w:val="single" w:sz="6" w:space="0" w:color="000000"/>
            </w:tcBorders>
            <w:vAlign w:val="center"/>
          </w:tcPr>
          <w:p>
            <w:pPr>
              <w:pStyle w:val="19"/>
            </w:pPr>
            <w:r>
              <w:t>3.20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30111</w:t>
            </w:r>
          </w:p>
        </w:tc>
        <w:tc>
          <w:tcPr>
            <w:tcW w:w="4535" w:type="dxa"/>
            <w:tcBorders>
              <w:left w:val="single" w:sz="6" w:space="0" w:color="000000"/>
            </w:tcBorders>
            <w:vAlign w:val="center"/>
          </w:tcPr>
          <w:p>
            <w:pPr>
              <w:pStyle w:val="20"/>
            </w:pPr>
            <w:r>
              <w:t>公务员医疗补助缴费</w:t>
            </w:r>
          </w:p>
        </w:tc>
        <w:tc>
          <w:tcPr>
            <w:tcW w:w="2551" w:type="dxa"/>
            <w:tcBorders>
              <w:left w:val="single" w:sz="6" w:space="0" w:color="000000"/>
            </w:tcBorders>
            <w:vAlign w:val="center"/>
          </w:tcPr>
          <w:p>
            <w:pPr>
              <w:pStyle w:val="19"/>
            </w:pPr>
            <w:r>
              <w:t>2.44</w:t>
            </w:r>
          </w:p>
        </w:tc>
        <w:tc>
          <w:tcPr>
            <w:tcW w:w="2551" w:type="dxa"/>
            <w:tcBorders>
              <w:left w:val="single" w:sz="6" w:space="0" w:color="000000"/>
            </w:tcBorders>
            <w:vAlign w:val="center"/>
          </w:tcPr>
          <w:p>
            <w:pPr>
              <w:pStyle w:val="19"/>
            </w:pPr>
            <w:r>
              <w:t>2.44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2.28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2.28</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0.50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0.50</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30211</w:t>
            </w:r>
          </w:p>
        </w:tc>
        <w:tc>
          <w:tcPr>
            <w:tcW w:w="4535" w:type="dxa"/>
            <w:tcBorders>
              <w:left w:val="single" w:sz="6" w:space="0" w:color="000000"/>
            </w:tcBorders>
            <w:vAlign w:val="center"/>
          </w:tcPr>
          <w:p>
            <w:pPr>
              <w:pStyle w:val="20"/>
            </w:pPr>
            <w:r>
              <w:t>差旅费</w:t>
            </w:r>
          </w:p>
        </w:tc>
        <w:tc>
          <w:tcPr>
            <w:tcW w:w="2551" w:type="dxa"/>
            <w:tcBorders>
              <w:left w:val="single" w:sz="6" w:space="0" w:color="000000"/>
            </w:tcBorders>
            <w:vAlign w:val="center"/>
          </w:tcPr>
          <w:p>
            <w:pPr>
              <w:pStyle w:val="19"/>
            </w:pPr>
            <w:r>
              <w:t>0.40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0.40</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1.38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1.38</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井陉矿区大气污染防治服务保障中心2026年单位预算信息公开情况说明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按照《中华人民共和国预算法》、《地方预决算公开操作规程》和《关于进一步推进预算公开工作的实施意见》规定，现将井陉矿区大气污染防治服务保障中心2026年单位预算公开如下：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(1）负责贯彻落实区委、区政府关于大气污染防治有关工作安排，负责全区大气污染防治相关数据统计、分析论证，提出大气污染防治合理化建议，为全区大气污染防治提供技术支持和服务保障等相关工作。</w:t>
      </w:r>
    </w:p>
    <w:p>
      <w:pPr>
        <w:pStyle w:val="25"/>
      </w:pPr>
      <w:r>
        <w:t>（2）组织对全区大气污染防治工作进行综合检查。对道路、工地、农村面源污染进行督导检查，稳控扬尘污染。对全区主要道路扬尘控制进行远程视频和在线监控，减少污染物排放。建立健全全区重污染天气应急预警体系，督促各级各部门落实应急预警措施。</w:t>
      </w:r>
    </w:p>
    <w:p>
      <w:pPr>
        <w:pStyle w:val="25"/>
      </w:pPr>
      <w:r>
        <w:t>（3）牵头开展市政府对我区大气污染综合治理考核工作，力争考核名次位列全市中上游。组织相关部门开展大气污染综合治理联合执法工作。</w:t>
      </w:r>
    </w:p>
    <w:p>
      <w:pPr>
        <w:pStyle w:val="25"/>
      </w:pPr>
      <w:r>
        <w:t>(4）积极做好生态环境部、省环保厅、省大气中心、市大气中心等各级环保督察工作。</w:t>
      </w:r>
    </w:p>
    <w:p>
      <w:pPr>
        <w:pStyle w:val="25"/>
      </w:pPr>
      <w:r>
        <w:t>（5）负责大气污染防治综合业务管理和机关综合事务管理。</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井陉矿区大气污染防治服务保障中心</w:t>
            </w:r>
          </w:p>
        </w:tc>
        <w:tc>
          <w:tcPr>
            <w:tcW w:w="1843" w:type="dxa"/>
            <w:tcBorders>
              <w:left w:val="single" w:sz="6" w:space="0" w:color="000000"/>
            </w:tcBorders>
            <w:vAlign w:val="center"/>
          </w:tcPr>
          <w:p>
            <w:pPr>
              <w:pStyle w:val="21"/>
            </w:pPr>
            <w:r>
              <w:t>事业</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324.76万元，其中：一般公共预算收入318.15万元，基金预算收入0.00万元，国有资本经营预算收入0.00万元，财政专户核拨收入0.00万元，单位资金收入0.00万元，上年结转结余6.60万元。</w:t>
      </w:r>
    </w:p>
    <w:p>
      <w:pPr>
        <w:pStyle w:val="26"/>
      </w:pPr>
      <w:r>
        <w:t>2、支出说明</w:t>
      </w:r>
    </w:p>
    <w:p>
      <w:pPr>
        <w:pStyle w:val="26"/>
      </w:pPr>
      <w:r>
        <w:t>收支预算总表支出栏、基本支出表、项目支出表按经济分类和支出功能分类科目编制，反映井陉矿区大气污染防治服务保障中心年度单位预算中支出预算的总体情况。2026年支出预算324.76万元，其中基本支出75.26万元，包括人员经费72.98万元和日常公用经费2.28万元；项目支出249.49万元，主要为车辆运行维护费80万元、14楼监控中心运行维护费6.8万元、监测站点及周边设施维护运行费5万元、2026年第三方技术服务费29万元、井陉矿区国控空气站优化调整项目83.21万元、石家庄市财政局关于提前下达2026年重点区域扬尘污染防治网格工作经费预算的通知38.88万元、关于提前下达2025年重点区域扬尘污染防治网格工作经费预算的通知6.6万元。；预计下年使用的单位资金结余0.00万元。委托业务费共计安排204.01万元，主要用于因技术原因确需对外委托的辅助性工作和确有必要对外委托开展咨询、评审、规划等工作。</w:t>
      </w:r>
    </w:p>
    <w:p>
      <w:pPr>
        <w:pStyle w:val="26"/>
      </w:pPr>
      <w:r>
        <w:t>3、比上年增减情况</w:t>
      </w:r>
    </w:p>
    <w:p>
      <w:pPr>
        <w:pStyle w:val="26"/>
      </w:pPr>
      <w:r>
        <w:t>2026年预算收支安排324.76万元，较2025年预算减少422.62万元，其中：基本支出增加75.26万元，主要为本年度预算项目减少，去年本单位无在编人员无基本支出项目。项目支出减少497.89万元，主要为本年度预算项目减少，预算项目年初预算减少。。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我单位无机关运行经费。</w:t>
      </w:r>
      <w:bookmarkStart w:id="1" w:name="_GoBack"/>
      <w:bookmarkEnd w:id="1"/>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预算。</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1、14楼监控中心运行维护费绩效目标表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13010726P00002510070N</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14楼监控中心运行维护费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6.80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6.80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用于14楼监控中心运行设备维护经费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6.80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1.用于14楼监控中心运行维护费，保障监控中心工作正常开展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网络数量</w:t>
            </w:r>
          </w:p>
        </w:tc>
        <w:tc>
          <w:tcPr>
            <w:tcW w:w="5386" w:type="dxa"/>
            <w:tcBorders>
              <w:left w:val="single" w:sz="6" w:space="0" w:color="000000"/>
            </w:tcBorders>
            <w:vAlign w:val="center"/>
          </w:tcPr>
          <w:p>
            <w:pPr>
              <w:pStyle w:val="20"/>
            </w:pPr>
            <w:r>
              <w:t>网络数量</w:t>
            </w:r>
          </w:p>
        </w:tc>
        <w:tc>
          <w:tcPr>
            <w:tcW w:w="2268" w:type="dxa"/>
            <w:tcBorders>
              <w:left w:val="single" w:sz="6" w:space="0" w:color="000000"/>
            </w:tcBorders>
            <w:vAlign w:val="center"/>
          </w:tcPr>
          <w:p>
            <w:pPr>
              <w:pStyle w:val="20"/>
            </w:pPr>
            <w:r>
              <w:t>3条</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≤6.8万元</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可持续影响率</w:t>
            </w:r>
          </w:p>
        </w:tc>
        <w:tc>
          <w:tcPr>
            <w:tcW w:w="5386" w:type="dxa"/>
            <w:tcBorders>
              <w:left w:val="single" w:sz="6" w:space="0" w:color="000000"/>
            </w:tcBorders>
            <w:vAlign w:val="center"/>
          </w:tcPr>
          <w:p>
            <w:pPr>
              <w:pStyle w:val="20"/>
            </w:pPr>
            <w:r>
              <w:t>可持续影响率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2、2026年第三方技术服务费绩效目标表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13010726P00020910053H</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2026年第三方技术服务费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29.00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29.00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用于第三方技术服务经费，保障大气污染防治工作顺利开展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29.00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1.用于第三方技术服务经费，保障大气污染防治工作顺利开展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第三方服务公司</w:t>
            </w:r>
          </w:p>
        </w:tc>
        <w:tc>
          <w:tcPr>
            <w:tcW w:w="5386" w:type="dxa"/>
            <w:tcBorders>
              <w:left w:val="single" w:sz="6" w:space="0" w:color="000000"/>
            </w:tcBorders>
            <w:vAlign w:val="center"/>
          </w:tcPr>
          <w:p>
            <w:pPr>
              <w:pStyle w:val="20"/>
            </w:pPr>
            <w:r>
              <w:t>第三方服务公司</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≤29万元</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可持续影响率</w:t>
            </w:r>
          </w:p>
        </w:tc>
        <w:tc>
          <w:tcPr>
            <w:tcW w:w="5386" w:type="dxa"/>
            <w:tcBorders>
              <w:left w:val="single" w:sz="6" w:space="0" w:color="000000"/>
            </w:tcBorders>
            <w:vAlign w:val="center"/>
          </w:tcPr>
          <w:p>
            <w:pPr>
              <w:pStyle w:val="20"/>
            </w:pPr>
            <w:r>
              <w:t>可持续影响率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3、车辆运行维护费绩效目标表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13010726P00020910050N</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车辆运行维护费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80.00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80.00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用于车辆及设施运行经费，保障大气污染防治工作正确开展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80.00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1.用于车辆及设施运行经费，保障大气污染防治工作正确开展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车辆数量</w:t>
            </w:r>
          </w:p>
        </w:tc>
        <w:tc>
          <w:tcPr>
            <w:tcW w:w="5386" w:type="dxa"/>
            <w:tcBorders>
              <w:left w:val="single" w:sz="6" w:space="0" w:color="000000"/>
            </w:tcBorders>
            <w:vAlign w:val="center"/>
          </w:tcPr>
          <w:p>
            <w:pPr>
              <w:pStyle w:val="20"/>
            </w:pPr>
            <w:r>
              <w:t>车辆数量</w:t>
            </w:r>
          </w:p>
        </w:tc>
        <w:tc>
          <w:tcPr>
            <w:tcW w:w="2268" w:type="dxa"/>
            <w:tcBorders>
              <w:left w:val="single" w:sz="6" w:space="0" w:color="000000"/>
            </w:tcBorders>
            <w:vAlign w:val="center"/>
          </w:tcPr>
          <w:p>
            <w:pPr>
              <w:pStyle w:val="20"/>
            </w:pPr>
            <w:r>
              <w:t>6辆</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≤80万元</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可持续影响率</w:t>
            </w:r>
          </w:p>
        </w:tc>
        <w:tc>
          <w:tcPr>
            <w:tcW w:w="5386" w:type="dxa"/>
            <w:tcBorders>
              <w:left w:val="single" w:sz="6" w:space="0" w:color="000000"/>
            </w:tcBorders>
            <w:vAlign w:val="center"/>
          </w:tcPr>
          <w:p>
            <w:pPr>
              <w:pStyle w:val="20"/>
            </w:pPr>
            <w:r>
              <w:t>可持续影响率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4、关于提前下达2025年重点区域扬尘污染防治网格工作经费预算的通知绩效目标表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13010725P00020910027X</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关于提前下达2025年重点区域扬尘污染防治网格工作经费预算的通知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6.60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6.60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重点区域扬尘网格管理工作经费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6.60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1.关于提前下达2025年重点区域扬尘污染防治网格工作经费预算</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专款项目数</w:t>
            </w:r>
          </w:p>
        </w:tc>
        <w:tc>
          <w:tcPr>
            <w:tcW w:w="5386" w:type="dxa"/>
            <w:tcBorders>
              <w:left w:val="single" w:sz="6" w:space="0" w:color="000000"/>
            </w:tcBorders>
            <w:vAlign w:val="center"/>
          </w:tcPr>
          <w:p>
            <w:pPr>
              <w:pStyle w:val="20"/>
            </w:pPr>
            <w:r>
              <w:t>专款项目数</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石财建【2024】110号</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工作完成效率</w:t>
            </w:r>
          </w:p>
        </w:tc>
        <w:tc>
          <w:tcPr>
            <w:tcW w:w="5386" w:type="dxa"/>
            <w:tcBorders>
              <w:left w:val="single" w:sz="6" w:space="0" w:color="000000"/>
            </w:tcBorders>
            <w:vAlign w:val="center"/>
          </w:tcPr>
          <w:p>
            <w:pPr>
              <w:pStyle w:val="20"/>
            </w:pPr>
            <w:r>
              <w:t>工作完成效率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石财建【2024】110号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石财建【2024】110号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≤6.6万元</w:t>
            </w:r>
          </w:p>
        </w:tc>
        <w:tc>
          <w:tcPr>
            <w:tcW w:w="1276" w:type="dxa"/>
            <w:tcBorders>
              <w:left w:val="single" w:sz="6" w:space="0" w:color="000000"/>
            </w:tcBorders>
            <w:vAlign w:val="center"/>
          </w:tcPr>
          <w:p>
            <w:pPr>
              <w:pStyle w:val="20"/>
            </w:pPr>
            <w:r>
              <w:t>石财建【2024】110号</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生态效益指标</w:t>
            </w:r>
          </w:p>
        </w:tc>
        <w:tc>
          <w:tcPr>
            <w:tcW w:w="2835" w:type="dxa"/>
            <w:tcBorders>
              <w:left w:val="single" w:sz="6" w:space="0" w:color="000000"/>
            </w:tcBorders>
            <w:vAlign w:val="center"/>
          </w:tcPr>
          <w:p>
            <w:pPr>
              <w:pStyle w:val="20"/>
            </w:pPr>
            <w:r>
              <w:t>生态环境改善率</w:t>
            </w:r>
          </w:p>
        </w:tc>
        <w:tc>
          <w:tcPr>
            <w:tcW w:w="5386" w:type="dxa"/>
            <w:tcBorders>
              <w:left w:val="single" w:sz="6" w:space="0" w:color="000000"/>
            </w:tcBorders>
            <w:vAlign w:val="center"/>
          </w:tcPr>
          <w:p>
            <w:pPr>
              <w:pStyle w:val="20"/>
            </w:pPr>
            <w:r>
              <w:t>生态环境改善率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石财建【2024】110号</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服务对象满意率</w:t>
            </w:r>
          </w:p>
        </w:tc>
        <w:tc>
          <w:tcPr>
            <w:tcW w:w="5386" w:type="dxa"/>
            <w:tcBorders>
              <w:left w:val="single" w:sz="6" w:space="0" w:color="000000"/>
            </w:tcBorders>
            <w:vAlign w:val="center"/>
          </w:tcPr>
          <w:p>
            <w:pPr>
              <w:pStyle w:val="20"/>
            </w:pPr>
            <w:r>
              <w:t>服务对象满意率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石财建【2024】110号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5、监测站点及周边设施维护运行费绩效目标表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13010726P00020910052X</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监测站点及周边设施维护运行费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5.00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5.00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用于监测站点及周边设施运行维护经费，保障监测站点正常运行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5.00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1.用于监测站点及周边设施运行维护经费，保障监测站点正常运行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监测站点数量</w:t>
            </w:r>
          </w:p>
        </w:tc>
        <w:tc>
          <w:tcPr>
            <w:tcW w:w="5386" w:type="dxa"/>
            <w:tcBorders>
              <w:left w:val="single" w:sz="6" w:space="0" w:color="000000"/>
            </w:tcBorders>
            <w:vAlign w:val="center"/>
          </w:tcPr>
          <w:p>
            <w:pPr>
              <w:pStyle w:val="20"/>
            </w:pPr>
            <w:r>
              <w:t>监测站点数量</w:t>
            </w:r>
          </w:p>
        </w:tc>
        <w:tc>
          <w:tcPr>
            <w:tcW w:w="2268" w:type="dxa"/>
            <w:tcBorders>
              <w:left w:val="single" w:sz="6" w:space="0" w:color="000000"/>
            </w:tcBorders>
            <w:vAlign w:val="center"/>
          </w:tcPr>
          <w:p>
            <w:pPr>
              <w:pStyle w:val="20"/>
            </w:pPr>
            <w:r>
              <w:t>2个</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≤5万元</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可持续性影响率</w:t>
            </w:r>
          </w:p>
        </w:tc>
        <w:tc>
          <w:tcPr>
            <w:tcW w:w="5386" w:type="dxa"/>
            <w:tcBorders>
              <w:left w:val="single" w:sz="6" w:space="0" w:color="000000"/>
            </w:tcBorders>
            <w:vAlign w:val="center"/>
          </w:tcPr>
          <w:p>
            <w:pPr>
              <w:pStyle w:val="20"/>
            </w:pPr>
            <w:r>
              <w:t>可持续性影响率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6、井陉矿区国控空气站优化调整项目绩效目标表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13010726P00020910051A</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井陉矿区国控空气站优化调整项目</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83.21</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83.21</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用于国控空气站优化调整项目，保障空气监测站点正常运行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83.21</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1.用于国控空气站优化调整项目，保障空气监测站点正常运行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监测站点数量</w:t>
            </w:r>
          </w:p>
        </w:tc>
        <w:tc>
          <w:tcPr>
            <w:tcW w:w="5386" w:type="dxa"/>
            <w:tcBorders>
              <w:left w:val="single" w:sz="6" w:space="0" w:color="000000"/>
            </w:tcBorders>
            <w:vAlign w:val="center"/>
          </w:tcPr>
          <w:p>
            <w:pPr>
              <w:pStyle w:val="20"/>
            </w:pPr>
            <w:r>
              <w:t>监测站点数量</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相关文件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≤83.21万元</w:t>
            </w:r>
          </w:p>
        </w:tc>
        <w:tc>
          <w:tcPr>
            <w:tcW w:w="1276" w:type="dxa"/>
            <w:tcBorders>
              <w:left w:val="single" w:sz="6" w:space="0" w:color="000000"/>
            </w:tcBorders>
            <w:vAlign w:val="center"/>
          </w:tcPr>
          <w:p>
            <w:pPr>
              <w:pStyle w:val="20"/>
            </w:pPr>
            <w:r>
              <w:t>相关文件</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可持续影响率</w:t>
            </w:r>
          </w:p>
        </w:tc>
        <w:tc>
          <w:tcPr>
            <w:tcW w:w="5386" w:type="dxa"/>
            <w:tcBorders>
              <w:left w:val="single" w:sz="6" w:space="0" w:color="000000"/>
            </w:tcBorders>
            <w:vAlign w:val="center"/>
          </w:tcPr>
          <w:p>
            <w:pPr>
              <w:pStyle w:val="20"/>
            </w:pPr>
            <w:r>
              <w:t>可持续影响率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相关文件</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相关文件</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7、石家庄市财政局关于提前下达2026年重点区域扬尘污染防治网格工作经费预算的通知绩效目标表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13010726P000209100474</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石家庄市财政局关于提前下达2026年重点区域扬尘污染防治网格工作经费预算的通知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38.88</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38.88</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用于2026年重点区域扬尘污染防治网格工作，保障网格工作正常运转</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9.72</w:t>
            </w:r>
          </w:p>
        </w:tc>
        <w:tc>
          <w:tcPr>
            <w:tcW w:w="2835" w:type="dxa"/>
            <w:tcBorders>
              <w:left w:val="single" w:sz="6" w:space="0" w:color="000000"/>
            </w:tcBorders>
            <w:vAlign w:val="center"/>
          </w:tcPr>
          <w:p>
            <w:pPr>
              <w:pStyle w:val="21"/>
            </w:pPr>
            <w:r>
              <w:t>19.44</w:t>
            </w:r>
          </w:p>
        </w:tc>
        <w:tc>
          <w:tcPr>
            <w:tcW w:w="2551" w:type="dxa"/>
            <w:tcBorders>
              <w:left w:val="single" w:sz="6" w:space="0" w:color="000000"/>
            </w:tcBorders>
            <w:vAlign w:val="center"/>
          </w:tcPr>
          <w:p>
            <w:pPr>
              <w:pStyle w:val="21"/>
            </w:pPr>
            <w:r>
              <w:t>29.16</w:t>
            </w:r>
          </w:p>
        </w:tc>
        <w:tc>
          <w:tcPr>
            <w:tcW w:w="3544" w:type="dxa"/>
            <w:gridSpan w:val="2"/>
            <w:tcBorders>
              <w:left w:val="single" w:sz="6" w:space="0" w:color="000000"/>
            </w:tcBorders>
            <w:vAlign w:val="center"/>
          </w:tcPr>
          <w:p>
            <w:pPr>
              <w:pStyle w:val="21"/>
            </w:pPr>
            <w:r>
              <w:t>38.88</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1.用于2026年重点区域扬尘污染防治网格工作经费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网格项目</w:t>
            </w:r>
          </w:p>
        </w:tc>
        <w:tc>
          <w:tcPr>
            <w:tcW w:w="5386" w:type="dxa"/>
            <w:tcBorders>
              <w:left w:val="single" w:sz="6" w:space="0" w:color="000000"/>
            </w:tcBorders>
            <w:vAlign w:val="center"/>
          </w:tcPr>
          <w:p>
            <w:pPr>
              <w:pStyle w:val="20"/>
            </w:pPr>
            <w:r>
              <w:t>网格项目</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石财建[2025]73号</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石财建[2025]73号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石财建[2025]73号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≤38.88万元</w:t>
            </w:r>
          </w:p>
        </w:tc>
        <w:tc>
          <w:tcPr>
            <w:tcW w:w="1276" w:type="dxa"/>
            <w:tcBorders>
              <w:left w:val="single" w:sz="6" w:space="0" w:color="000000"/>
            </w:tcBorders>
            <w:vAlign w:val="center"/>
          </w:tcPr>
          <w:p>
            <w:pPr>
              <w:pStyle w:val="20"/>
            </w:pPr>
            <w:r>
              <w:t>石财建[2025]73号</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生态效益指标</w:t>
            </w:r>
          </w:p>
        </w:tc>
        <w:tc>
          <w:tcPr>
            <w:tcW w:w="2835" w:type="dxa"/>
            <w:tcBorders>
              <w:left w:val="single" w:sz="6" w:space="0" w:color="000000"/>
            </w:tcBorders>
            <w:vAlign w:val="center"/>
          </w:tcPr>
          <w:p>
            <w:pPr>
              <w:pStyle w:val="20"/>
            </w:pPr>
            <w:r>
              <w:t>生态环境影响率</w:t>
            </w:r>
          </w:p>
        </w:tc>
        <w:tc>
          <w:tcPr>
            <w:tcW w:w="5386" w:type="dxa"/>
            <w:tcBorders>
              <w:left w:val="single" w:sz="6" w:space="0" w:color="000000"/>
            </w:tcBorders>
            <w:vAlign w:val="center"/>
          </w:tcPr>
          <w:p>
            <w:pPr>
              <w:pStyle w:val="20"/>
            </w:pPr>
            <w:r>
              <w:t>生态环境影响率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石财建[2025]73号</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服务单位满意率</w:t>
            </w:r>
          </w:p>
        </w:tc>
        <w:tc>
          <w:tcPr>
            <w:tcW w:w="5386" w:type="dxa"/>
            <w:tcBorders>
              <w:left w:val="single" w:sz="6" w:space="0" w:color="000000"/>
            </w:tcBorders>
            <w:vAlign w:val="center"/>
          </w:tcPr>
          <w:p>
            <w:pPr>
              <w:pStyle w:val="20"/>
            </w:pPr>
            <w:r>
              <w:t>服务单位满意率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石财建[2025]73号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tcBorders>
            <w:vAlign w:val="center"/>
          </w:tcPr>
          <w:p>
            <w:pPr>
              <w:pStyle w:val="19"/>
            </w:pPr>
          </w:p>
        </w:tc>
        <w:tc>
          <w:tcPr>
            <w:tcW w:w="1134" w:type="dxa"/>
            <w:tcBorders>
              <w:left w:val="single" w:sz="6" w:space="0" w:color="000000"/>
            </w:tcBorders>
            <w:vAlign w:val="center"/>
          </w:tcPr>
          <w:p>
            <w:pPr>
              <w:pStyle w:val="20"/>
            </w:pPr>
          </w:p>
        </w:tc>
        <w:tc>
          <w:tcPr>
            <w:tcW w:w="1134" w:type="dxa"/>
            <w:tcBorders>
              <w:left w:val="single" w:sz="6" w:space="0" w:color="000000"/>
            </w:tcBorders>
            <w:vAlign w:val="center"/>
          </w:tcPr>
          <w:p>
            <w:pPr>
              <w:pStyle w:val="20"/>
            </w:pPr>
          </w:p>
        </w:tc>
        <w:tc>
          <w:tcPr>
            <w:tcW w:w="709" w:type="dxa"/>
            <w:tcBorders>
              <w:left w:val="single" w:sz="6" w:space="0" w:color="000000"/>
            </w:tcBorders>
            <w:vAlign w:val="center"/>
          </w:tcPr>
          <w:p>
            <w:pPr>
              <w:pStyle w:val="21"/>
            </w:pPr>
          </w:p>
        </w:tc>
        <w:tc>
          <w:tcPr>
            <w:tcW w:w="850" w:type="dxa"/>
            <w:tcBorders>
              <w:left w:val="single" w:sz="6" w:space="0" w:color="000000"/>
            </w:tcBorders>
            <w:vAlign w:val="center"/>
          </w:tcPr>
          <w:p>
            <w:pPr>
              <w:pStyle w:val="19"/>
            </w:pPr>
          </w:p>
        </w:tc>
        <w:tc>
          <w:tcPr>
            <w:tcW w:w="85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井陉矿区大气污染防治服务保障中心上年末固定资产金额为659.75万元（详见下表）。本年度拟购置固定资产总额为0.00万元，已按要求列入政府采购预算，详见政府采购预算表。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302001井陉矿区大气污染防治服务保障中心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固定资产</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659.75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qFormat/>
    <w:basedOn w:val="0"/>
    <w:pPr>
      <w:ind w:left="720"/>
    </w:pPr>
  </w:style>
  <w:style w:type="paragraph" w:customStyle="1"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A49D1948-E6F6-41BA-8A53-D6887E60C05E}">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Yozo_Office9.0.4819.102ZH</Application>
  <Pages>30</Pages>
  <Words>0</Words>
  <Characters>8856</Characters>
  <Lines>0</Lines>
  <Paragraphs>116</Paragraphs>
  <CharactersWithSpaces>11809</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2026-02-09T15:52:06Z</dcterms:created>
  <dcterms:modified xsi:type="dcterms:W3CDTF">2026-02-09T08:16:41Z</dcterms:modified>
</cp:coreProperties>
</file>