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7143.94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60.55</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7095.12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7204.49</w:t>
            </w:r>
          </w:p>
        </w:tc>
        <w:tc>
          <w:tcPr>
            <w:tcW w:w="4535" w:type="dxa"/>
            <w:vAlign w:val="center"/>
          </w:tcPr>
          <w:p>
            <w:pPr>
              <w:pStyle w:val="15"/>
            </w:pPr>
            <w:r>
              <w:t>本年支出合计</w:t>
            </w:r>
          </w:p>
        </w:tc>
        <w:tc>
          <w:tcPr>
            <w:tcW w:w="2126" w:type="dxa"/>
            <w:vAlign w:val="center"/>
          </w:tcPr>
          <w:p>
            <w:pPr>
              <w:pStyle w:val="16"/>
            </w:pPr>
            <w:r>
              <w:t>7204.49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7204.49</w:t>
            </w:r>
          </w:p>
        </w:tc>
        <w:tc>
          <w:tcPr>
            <w:tcW w:w="4535" w:type="dxa"/>
            <w:vAlign w:val="center"/>
          </w:tcPr>
          <w:p>
            <w:pPr>
              <w:pStyle w:val="15"/>
            </w:pPr>
            <w:r>
              <w:t>支出总计</w:t>
            </w:r>
          </w:p>
        </w:tc>
        <w:tc>
          <w:tcPr>
            <w:tcW w:w="2126" w:type="dxa"/>
            <w:vAlign w:val="center"/>
          </w:tcPr>
          <w:p>
            <w:pPr>
              <w:pStyle w:val="16"/>
            </w:pPr>
            <w:r>
              <w:t>7204.49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7204.49</w:t>
            </w:r>
          </w:p>
        </w:tc>
        <w:tc>
          <w:tcPr>
            <w:tcW w:w="1134" w:type="dxa"/>
            <w:vAlign w:val="center"/>
          </w:tcPr>
          <w:p>
            <w:pPr>
              <w:pStyle w:val="16"/>
            </w:pPr>
            <w:r>
              <w:t>7204.49</w:t>
            </w:r>
          </w:p>
        </w:tc>
        <w:tc>
          <w:tcPr>
            <w:tcW w:w="1134" w:type="dxa"/>
            <w:vAlign w:val="center"/>
          </w:tcPr>
          <w:p>
            <w:pPr>
              <w:pStyle w:val="16"/>
            </w:pPr>
            <w:r>
              <w:t>7204.49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44.39</w:t>
            </w:r>
          </w:p>
        </w:tc>
        <w:tc>
          <w:tcPr>
            <w:tcW w:w="1134" w:type="dxa"/>
            <w:vAlign w:val="center"/>
          </w:tcPr>
          <w:p>
            <w:pPr>
              <w:pStyle w:val="12"/>
            </w:pPr>
            <w:r>
              <w:t>44.39</w:t>
            </w:r>
          </w:p>
        </w:tc>
        <w:tc>
          <w:tcPr>
            <w:tcW w:w="1134" w:type="dxa"/>
            <w:vAlign w:val="center"/>
          </w:tcPr>
          <w:p>
            <w:pPr>
              <w:pStyle w:val="12"/>
            </w:pPr>
            <w:r>
              <w:t>44.39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42.06</w:t>
            </w:r>
          </w:p>
        </w:tc>
        <w:tc>
          <w:tcPr>
            <w:tcW w:w="1134" w:type="dxa"/>
            <w:vAlign w:val="center"/>
          </w:tcPr>
          <w:p>
            <w:pPr>
              <w:pStyle w:val="12"/>
            </w:pPr>
            <w:r>
              <w:t>42.06</w:t>
            </w:r>
          </w:p>
        </w:tc>
        <w:tc>
          <w:tcPr>
            <w:tcW w:w="1134" w:type="dxa"/>
            <w:vAlign w:val="center"/>
          </w:tcPr>
          <w:p>
            <w:pPr>
              <w:pStyle w:val="12"/>
            </w:pPr>
            <w:r>
              <w:t>42.06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42.06</w:t>
            </w:r>
          </w:p>
        </w:tc>
        <w:tc>
          <w:tcPr>
            <w:tcW w:w="1134" w:type="dxa"/>
            <w:vAlign w:val="center"/>
          </w:tcPr>
          <w:p>
            <w:pPr>
              <w:pStyle w:val="12"/>
            </w:pPr>
            <w:r>
              <w:t>42.06</w:t>
            </w:r>
          </w:p>
        </w:tc>
        <w:tc>
          <w:tcPr>
            <w:tcW w:w="1134" w:type="dxa"/>
            <w:vAlign w:val="center"/>
          </w:tcPr>
          <w:p>
            <w:pPr>
              <w:pStyle w:val="12"/>
            </w:pPr>
            <w:r>
              <w:t>42.06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r>
              <w:t>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30.24</w:t>
            </w:r>
          </w:p>
        </w:tc>
        <w:tc>
          <w:tcPr>
            <w:tcW w:w="1134" w:type="dxa"/>
            <w:vAlign w:val="center"/>
          </w:tcPr>
          <w:p>
            <w:pPr>
              <w:pStyle w:val="12"/>
            </w:pPr>
            <w:r>
              <w:t>30.24</w:t>
            </w:r>
          </w:p>
        </w:tc>
        <w:tc>
          <w:tcPr>
            <w:tcW w:w="1134" w:type="dxa"/>
            <w:vAlign w:val="center"/>
          </w:tcPr>
          <w:p>
            <w:pPr>
              <w:pStyle w:val="12"/>
            </w:pPr>
            <w:r>
              <w:t>30.24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30.24</w:t>
            </w:r>
          </w:p>
        </w:tc>
        <w:tc>
          <w:tcPr>
            <w:tcW w:w="1134" w:type="dxa"/>
            <w:vAlign w:val="center"/>
          </w:tcPr>
          <w:p>
            <w:pPr>
              <w:pStyle w:val="12"/>
            </w:pPr>
            <w:r>
              <w:t>30.24</w:t>
            </w:r>
          </w:p>
        </w:tc>
        <w:tc>
          <w:tcPr>
            <w:tcW w:w="1134" w:type="dxa"/>
            <w:vAlign w:val="center"/>
          </w:tcPr>
          <w:p>
            <w:pPr>
              <w:pStyle w:val="12"/>
            </w:pPr>
            <w:r>
              <w:t>30.24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17.05</w:t>
            </w:r>
          </w:p>
        </w:tc>
        <w:tc>
          <w:tcPr>
            <w:tcW w:w="1134" w:type="dxa"/>
            <w:vAlign w:val="center"/>
          </w:tcPr>
          <w:p>
            <w:pPr>
              <w:pStyle w:val="12"/>
            </w:pPr>
            <w:r>
              <w:t>17.05</w:t>
            </w:r>
          </w:p>
        </w:tc>
        <w:tc>
          <w:tcPr>
            <w:tcW w:w="1134" w:type="dxa"/>
            <w:vAlign w:val="center"/>
          </w:tcPr>
          <w:p>
            <w:pPr>
              <w:pStyle w:val="12"/>
            </w:pPr>
            <w:r>
              <w:t>17.05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13.19</w:t>
            </w:r>
          </w:p>
        </w:tc>
        <w:tc>
          <w:tcPr>
            <w:tcW w:w="1134" w:type="dxa"/>
            <w:vAlign w:val="center"/>
          </w:tcPr>
          <w:p>
            <w:pPr>
              <w:pStyle w:val="12"/>
            </w:pPr>
            <w:r>
              <w:t>13.19</w:t>
            </w:r>
          </w:p>
        </w:tc>
        <w:tc>
          <w:tcPr>
            <w:tcW w:w="1134" w:type="dxa"/>
            <w:vAlign w:val="center"/>
          </w:tcPr>
          <w:p>
            <w:pPr>
              <w:pStyle w:val="12"/>
            </w:pPr>
            <w:r>
              <w:t>13.19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7095.12</w:t>
            </w:r>
          </w:p>
        </w:tc>
        <w:tc>
          <w:tcPr>
            <w:tcW w:w="1134" w:type="dxa"/>
            <w:vAlign w:val="center"/>
          </w:tcPr>
          <w:p>
            <w:pPr>
              <w:pStyle w:val="12"/>
            </w:pPr>
            <w:r>
              <w:t>7095.12</w:t>
            </w:r>
          </w:p>
        </w:tc>
        <w:tc>
          <w:tcPr>
            <w:tcW w:w="1134" w:type="dxa"/>
            <w:vAlign w:val="center"/>
          </w:tcPr>
          <w:p>
            <w:pPr>
              <w:pStyle w:val="12"/>
            </w:pPr>
            <w:r>
              <w:t>7095.12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518.55</w:t>
            </w:r>
          </w:p>
        </w:tc>
        <w:tc>
          <w:tcPr>
            <w:tcW w:w="1134" w:type="dxa"/>
            <w:vAlign w:val="center"/>
          </w:tcPr>
          <w:p>
            <w:pPr>
              <w:pStyle w:val="12"/>
            </w:pPr>
            <w:r>
              <w:t>518.55</w:t>
            </w:r>
          </w:p>
        </w:tc>
        <w:tc>
          <w:tcPr>
            <w:tcW w:w="1134" w:type="dxa"/>
            <w:vAlign w:val="center"/>
          </w:tcPr>
          <w:p>
            <w:pPr>
              <w:pStyle w:val="12"/>
            </w:pPr>
            <w:r>
              <w:t>518.55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134.63</w:t>
            </w:r>
          </w:p>
        </w:tc>
        <w:tc>
          <w:tcPr>
            <w:tcW w:w="1134" w:type="dxa"/>
            <w:vAlign w:val="center"/>
          </w:tcPr>
          <w:p>
            <w:pPr>
              <w:pStyle w:val="12"/>
            </w:pPr>
            <w:r>
              <w:t>134.63</w:t>
            </w:r>
          </w:p>
        </w:tc>
        <w:tc>
          <w:tcPr>
            <w:tcW w:w="1134" w:type="dxa"/>
            <w:vAlign w:val="center"/>
          </w:tcPr>
          <w:p>
            <w:pPr>
              <w:pStyle w:val="12"/>
            </w:pPr>
            <w:r>
              <w:t>134.63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364.08</w:t>
            </w:r>
          </w:p>
        </w:tc>
        <w:tc>
          <w:tcPr>
            <w:tcW w:w="1134" w:type="dxa"/>
            <w:vAlign w:val="center"/>
          </w:tcPr>
          <w:p>
            <w:pPr>
              <w:pStyle w:val="12"/>
            </w:pPr>
            <w:r>
              <w:t>364.08</w:t>
            </w:r>
          </w:p>
        </w:tc>
        <w:tc>
          <w:tcPr>
            <w:tcW w:w="1134" w:type="dxa"/>
            <w:vAlign w:val="center"/>
          </w:tcPr>
          <w:p>
            <w:pPr>
              <w:pStyle w:val="12"/>
            </w:pPr>
            <w:r>
              <w:t>364.08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2120104</w:t>
            </w:r>
          </w:p>
        </w:tc>
        <w:tc>
          <w:tcPr>
            <w:tcW w:w="1559" w:type="dxa"/>
            <w:vAlign w:val="center"/>
          </w:tcPr>
          <w:p>
            <w:pPr>
              <w:pStyle w:val="13"/>
            </w:pPr>
            <w:r>
              <w:t>城管执法</w:t>
            </w:r>
          </w:p>
        </w:tc>
        <w:tc>
          <w:tcPr>
            <w:tcW w:w="1134" w:type="dxa"/>
            <w:vAlign w:val="center"/>
          </w:tcPr>
          <w:p>
            <w:pPr>
              <w:pStyle w:val="12"/>
            </w:pPr>
            <w:r>
              <w:t>19.84</w:t>
            </w:r>
          </w:p>
        </w:tc>
        <w:tc>
          <w:tcPr>
            <w:tcW w:w="1134" w:type="dxa"/>
            <w:vAlign w:val="center"/>
          </w:tcPr>
          <w:p>
            <w:pPr>
              <w:pStyle w:val="12"/>
            </w:pPr>
            <w:r>
              <w:t>19.84</w:t>
            </w:r>
          </w:p>
        </w:tc>
        <w:tc>
          <w:tcPr>
            <w:tcW w:w="1134" w:type="dxa"/>
            <w:vAlign w:val="center"/>
          </w:tcPr>
          <w:p>
            <w:pPr>
              <w:pStyle w:val="12"/>
            </w:pPr>
            <w:r>
              <w:t>19.84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3518.11</w:t>
            </w:r>
          </w:p>
        </w:tc>
        <w:tc>
          <w:tcPr>
            <w:tcW w:w="1134" w:type="dxa"/>
            <w:vAlign w:val="center"/>
          </w:tcPr>
          <w:p>
            <w:pPr>
              <w:pStyle w:val="12"/>
            </w:pPr>
            <w:r>
              <w:t>3518.11</w:t>
            </w:r>
          </w:p>
        </w:tc>
        <w:tc>
          <w:tcPr>
            <w:tcW w:w="1134" w:type="dxa"/>
            <w:vAlign w:val="center"/>
          </w:tcPr>
          <w:p>
            <w:pPr>
              <w:pStyle w:val="12"/>
            </w:pPr>
            <w:r>
              <w:t>3518.11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1543.11</w:t>
            </w:r>
          </w:p>
        </w:tc>
        <w:tc>
          <w:tcPr>
            <w:tcW w:w="1134" w:type="dxa"/>
            <w:vAlign w:val="center"/>
          </w:tcPr>
          <w:p>
            <w:pPr>
              <w:pStyle w:val="12"/>
            </w:pPr>
            <w:r>
              <w:t>1543.11</w:t>
            </w:r>
          </w:p>
        </w:tc>
        <w:tc>
          <w:tcPr>
            <w:tcW w:w="1134" w:type="dxa"/>
            <w:vAlign w:val="center"/>
          </w:tcPr>
          <w:p>
            <w:pPr>
              <w:pStyle w:val="12"/>
            </w:pPr>
            <w:r>
              <w:t>1543.11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1975.00</w:t>
            </w:r>
          </w:p>
        </w:tc>
        <w:tc>
          <w:tcPr>
            <w:tcW w:w="1134" w:type="dxa"/>
            <w:vAlign w:val="center"/>
          </w:tcPr>
          <w:p>
            <w:pPr>
              <w:pStyle w:val="12"/>
            </w:pPr>
            <w:r>
              <w:t>1975.00</w:t>
            </w:r>
          </w:p>
        </w:tc>
        <w:tc>
          <w:tcPr>
            <w:tcW w:w="1134" w:type="dxa"/>
            <w:vAlign w:val="center"/>
          </w:tcPr>
          <w:p>
            <w:pPr>
              <w:pStyle w:val="12"/>
            </w:pPr>
            <w:r>
              <w:t>1975.00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2997.91</w:t>
            </w:r>
          </w:p>
        </w:tc>
        <w:tc>
          <w:tcPr>
            <w:tcW w:w="1134" w:type="dxa"/>
            <w:vAlign w:val="center"/>
          </w:tcPr>
          <w:p>
            <w:pPr>
              <w:pStyle w:val="12"/>
            </w:pPr>
            <w:r>
              <w:t>2997.91</w:t>
            </w:r>
          </w:p>
        </w:tc>
        <w:tc>
          <w:tcPr>
            <w:tcW w:w="1134" w:type="dxa"/>
            <w:vAlign w:val="center"/>
          </w:tcPr>
          <w:p>
            <w:pPr>
              <w:pStyle w:val="12"/>
            </w:pPr>
            <w:r>
              <w:t>2997.91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2997.91</w:t>
            </w:r>
          </w:p>
        </w:tc>
        <w:tc>
          <w:tcPr>
            <w:tcW w:w="1134" w:type="dxa"/>
            <w:vAlign w:val="center"/>
          </w:tcPr>
          <w:p>
            <w:pPr>
              <w:pStyle w:val="12"/>
            </w:pPr>
            <w:r>
              <w:t>2997.91</w:t>
            </w:r>
          </w:p>
        </w:tc>
        <w:tc>
          <w:tcPr>
            <w:tcW w:w="1134" w:type="dxa"/>
            <w:vAlign w:val="center"/>
          </w:tcPr>
          <w:p>
            <w:pPr>
              <w:pStyle w:val="12"/>
            </w:pPr>
            <w:r>
              <w:t>2997.91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r>
              <w:t>60.55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r>
              <w:t>34.74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7204.49</w:t>
            </w:r>
          </w:p>
        </w:tc>
        <w:tc>
          <w:tcPr>
            <w:tcW w:w="1361" w:type="dxa"/>
            <w:vAlign w:val="center"/>
          </w:tcPr>
          <w:p>
            <w:pPr>
              <w:pStyle w:val="16"/>
            </w:pPr>
            <w:r>
              <w:t>614.08</w:t>
            </w:r>
          </w:p>
        </w:tc>
        <w:tc>
          <w:tcPr>
            <w:tcW w:w="1361" w:type="dxa"/>
            <w:vAlign w:val="center"/>
          </w:tcPr>
          <w:p>
            <w:pPr>
              <w:pStyle w:val="16"/>
            </w:pPr>
            <w:r>
              <w:t>6590.41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44.39</w:t>
            </w:r>
          </w:p>
        </w:tc>
        <w:tc>
          <w:tcPr>
            <w:tcW w:w="1361" w:type="dxa"/>
            <w:vAlign w:val="center"/>
          </w:tcPr>
          <w:p>
            <w:pPr>
              <w:pStyle w:val="12"/>
            </w:pPr>
            <w:r>
              <w:t>44.39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42.06</w:t>
            </w:r>
          </w:p>
        </w:tc>
        <w:tc>
          <w:tcPr>
            <w:tcW w:w="1361" w:type="dxa"/>
            <w:vAlign w:val="center"/>
          </w:tcPr>
          <w:p>
            <w:pPr>
              <w:pStyle w:val="12"/>
            </w:pPr>
            <w:r>
              <w:t>42.06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42.06</w:t>
            </w:r>
          </w:p>
        </w:tc>
        <w:tc>
          <w:tcPr>
            <w:tcW w:w="1361" w:type="dxa"/>
            <w:vAlign w:val="center"/>
          </w:tcPr>
          <w:p>
            <w:pPr>
              <w:pStyle w:val="12"/>
            </w:pPr>
            <w:r>
              <w:t>42.06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2.33</w:t>
            </w:r>
          </w:p>
        </w:tc>
        <w:tc>
          <w:tcPr>
            <w:tcW w:w="1361" w:type="dxa"/>
            <w:vAlign w:val="center"/>
          </w:tcPr>
          <w:p>
            <w:pPr>
              <w:pStyle w:val="12"/>
            </w:pPr>
            <w:r>
              <w:t>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2.33</w:t>
            </w:r>
          </w:p>
        </w:tc>
        <w:tc>
          <w:tcPr>
            <w:tcW w:w="1361" w:type="dxa"/>
            <w:vAlign w:val="center"/>
          </w:tcPr>
          <w:p>
            <w:pPr>
              <w:pStyle w:val="12"/>
            </w:pPr>
            <w:r>
              <w:t>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30.24</w:t>
            </w:r>
          </w:p>
        </w:tc>
        <w:tc>
          <w:tcPr>
            <w:tcW w:w="1361" w:type="dxa"/>
            <w:vAlign w:val="center"/>
          </w:tcPr>
          <w:p>
            <w:pPr>
              <w:pStyle w:val="12"/>
            </w:pPr>
            <w:r>
              <w:t>30.24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30.24</w:t>
            </w:r>
          </w:p>
        </w:tc>
        <w:tc>
          <w:tcPr>
            <w:tcW w:w="1361" w:type="dxa"/>
            <w:vAlign w:val="center"/>
          </w:tcPr>
          <w:p>
            <w:pPr>
              <w:pStyle w:val="12"/>
            </w:pPr>
            <w:r>
              <w:t>30.24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17.05</w:t>
            </w:r>
          </w:p>
        </w:tc>
        <w:tc>
          <w:tcPr>
            <w:tcW w:w="1361" w:type="dxa"/>
            <w:vAlign w:val="center"/>
          </w:tcPr>
          <w:p>
            <w:pPr>
              <w:pStyle w:val="12"/>
            </w:pPr>
            <w:r>
              <w:t>17.05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13.19</w:t>
            </w:r>
          </w:p>
        </w:tc>
        <w:tc>
          <w:tcPr>
            <w:tcW w:w="1361" w:type="dxa"/>
            <w:vAlign w:val="center"/>
          </w:tcPr>
          <w:p>
            <w:pPr>
              <w:pStyle w:val="12"/>
            </w:pPr>
            <w:r>
              <w:t>13.19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7095.12</w:t>
            </w:r>
          </w:p>
        </w:tc>
        <w:tc>
          <w:tcPr>
            <w:tcW w:w="1361" w:type="dxa"/>
            <w:vAlign w:val="center"/>
          </w:tcPr>
          <w:p>
            <w:pPr>
              <w:pStyle w:val="12"/>
            </w:pPr>
            <w:r>
              <w:t>504.71</w:t>
            </w:r>
          </w:p>
        </w:tc>
        <w:tc>
          <w:tcPr>
            <w:tcW w:w="1361" w:type="dxa"/>
            <w:vAlign w:val="center"/>
          </w:tcPr>
          <w:p>
            <w:pPr>
              <w:pStyle w:val="12"/>
            </w:pPr>
            <w:r>
              <w:t>6590.41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518.55</w:t>
            </w:r>
          </w:p>
        </w:tc>
        <w:tc>
          <w:tcPr>
            <w:tcW w:w="1361" w:type="dxa"/>
            <w:vAlign w:val="center"/>
          </w:tcPr>
          <w:p>
            <w:pPr>
              <w:pStyle w:val="12"/>
            </w:pPr>
            <w:r>
              <w:t>504.71</w:t>
            </w:r>
          </w:p>
        </w:tc>
        <w:tc>
          <w:tcPr>
            <w:tcW w:w="1361" w:type="dxa"/>
            <w:vAlign w:val="center"/>
          </w:tcPr>
          <w:p>
            <w:pPr>
              <w:pStyle w:val="12"/>
            </w:pPr>
            <w:r>
              <w:t>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134.63</w:t>
            </w:r>
          </w:p>
        </w:tc>
        <w:tc>
          <w:tcPr>
            <w:tcW w:w="1361" w:type="dxa"/>
            <w:vAlign w:val="center"/>
          </w:tcPr>
          <w:p>
            <w:pPr>
              <w:pStyle w:val="12"/>
            </w:pPr>
            <w:r>
              <w:t>134.63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364.08</w:t>
            </w:r>
          </w:p>
        </w:tc>
        <w:tc>
          <w:tcPr>
            <w:tcW w:w="1361" w:type="dxa"/>
            <w:vAlign w:val="center"/>
          </w:tcPr>
          <w:p>
            <w:pPr>
              <w:pStyle w:val="12"/>
            </w:pPr>
            <w:r>
              <w:t>364.08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2120104</w:t>
            </w:r>
          </w:p>
        </w:tc>
        <w:tc>
          <w:tcPr>
            <w:tcW w:w="4535" w:type="dxa"/>
            <w:vAlign w:val="center"/>
          </w:tcPr>
          <w:p>
            <w:pPr>
              <w:pStyle w:val="13"/>
            </w:pPr>
            <w:r>
              <w:t>城管执法</w:t>
            </w:r>
          </w:p>
        </w:tc>
        <w:tc>
          <w:tcPr>
            <w:tcW w:w="1361" w:type="dxa"/>
            <w:vAlign w:val="center"/>
          </w:tcPr>
          <w:p>
            <w:pPr>
              <w:pStyle w:val="12"/>
            </w:pPr>
            <w:r>
              <w:t>19.84</w:t>
            </w:r>
          </w:p>
        </w:tc>
        <w:tc>
          <w:tcPr>
            <w:tcW w:w="1361" w:type="dxa"/>
            <w:vAlign w:val="center"/>
          </w:tcPr>
          <w:p>
            <w:pPr>
              <w:pStyle w:val="12"/>
            </w:pPr>
            <w:r>
              <w:t>6.00</w:t>
            </w:r>
          </w:p>
        </w:tc>
        <w:tc>
          <w:tcPr>
            <w:tcW w:w="1361" w:type="dxa"/>
            <w:vAlign w:val="center"/>
          </w:tcPr>
          <w:p>
            <w:pPr>
              <w:pStyle w:val="12"/>
            </w:pPr>
            <w:r>
              <w:t>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3518.11</w:t>
            </w:r>
          </w:p>
        </w:tc>
        <w:tc>
          <w:tcPr>
            <w:tcW w:w="1361" w:type="dxa"/>
            <w:vAlign w:val="center"/>
          </w:tcPr>
          <w:p>
            <w:pPr>
              <w:pStyle w:val="12"/>
            </w:pPr>
          </w:p>
        </w:tc>
        <w:tc>
          <w:tcPr>
            <w:tcW w:w="1361" w:type="dxa"/>
            <w:vAlign w:val="center"/>
          </w:tcPr>
          <w:p>
            <w:pPr>
              <w:pStyle w:val="12"/>
            </w:pPr>
            <w:r>
              <w:t>3518.11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1543.11</w:t>
            </w:r>
          </w:p>
        </w:tc>
        <w:tc>
          <w:tcPr>
            <w:tcW w:w="1361" w:type="dxa"/>
            <w:vAlign w:val="center"/>
          </w:tcPr>
          <w:p>
            <w:pPr>
              <w:pStyle w:val="12"/>
            </w:pPr>
          </w:p>
        </w:tc>
        <w:tc>
          <w:tcPr>
            <w:tcW w:w="1361" w:type="dxa"/>
            <w:vAlign w:val="center"/>
          </w:tcPr>
          <w:p>
            <w:pPr>
              <w:pStyle w:val="12"/>
            </w:pPr>
            <w:r>
              <w:t>1543.11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1975.00</w:t>
            </w:r>
          </w:p>
        </w:tc>
        <w:tc>
          <w:tcPr>
            <w:tcW w:w="1361" w:type="dxa"/>
            <w:vAlign w:val="center"/>
          </w:tcPr>
          <w:p>
            <w:pPr>
              <w:pStyle w:val="12"/>
            </w:pPr>
          </w:p>
        </w:tc>
        <w:tc>
          <w:tcPr>
            <w:tcW w:w="1361" w:type="dxa"/>
            <w:vAlign w:val="center"/>
          </w:tcPr>
          <w:p>
            <w:pPr>
              <w:pStyle w:val="12"/>
            </w:pPr>
            <w:r>
              <w:t>1975.00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2997.91</w:t>
            </w:r>
          </w:p>
        </w:tc>
        <w:tc>
          <w:tcPr>
            <w:tcW w:w="1361" w:type="dxa"/>
            <w:vAlign w:val="center"/>
          </w:tcPr>
          <w:p>
            <w:pPr>
              <w:pStyle w:val="12"/>
            </w:pPr>
          </w:p>
        </w:tc>
        <w:tc>
          <w:tcPr>
            <w:tcW w:w="1361" w:type="dxa"/>
            <w:vAlign w:val="center"/>
          </w:tcPr>
          <w:p>
            <w:pPr>
              <w:pStyle w:val="12"/>
            </w:pPr>
            <w:r>
              <w:t>2997.91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2997.91</w:t>
            </w:r>
          </w:p>
        </w:tc>
        <w:tc>
          <w:tcPr>
            <w:tcW w:w="1361" w:type="dxa"/>
            <w:vAlign w:val="center"/>
          </w:tcPr>
          <w:p>
            <w:pPr>
              <w:pStyle w:val="12"/>
            </w:pPr>
          </w:p>
        </w:tc>
        <w:tc>
          <w:tcPr>
            <w:tcW w:w="1361" w:type="dxa"/>
            <w:vAlign w:val="center"/>
          </w:tcPr>
          <w:p>
            <w:pPr>
              <w:pStyle w:val="12"/>
            </w:pPr>
            <w:r>
              <w:t>2997.91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r>
              <w:t>60.55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34.74</w:t>
            </w:r>
          </w:p>
        </w:tc>
        <w:tc>
          <w:tcPr>
            <w:tcW w:w="1361" w:type="dxa"/>
            <w:vAlign w:val="center"/>
          </w:tcPr>
          <w:p>
            <w:pPr>
              <w:pStyle w:val="12"/>
            </w:pPr>
            <w:r>
              <w:t>34.74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34.74</w:t>
            </w:r>
          </w:p>
        </w:tc>
        <w:tc>
          <w:tcPr>
            <w:tcW w:w="1361" w:type="dxa"/>
            <w:vAlign w:val="center"/>
          </w:tcPr>
          <w:p>
            <w:pPr>
              <w:pStyle w:val="12"/>
            </w:pPr>
            <w:r>
              <w:t>34.74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34.74</w:t>
            </w:r>
          </w:p>
        </w:tc>
        <w:tc>
          <w:tcPr>
            <w:tcW w:w="1361" w:type="dxa"/>
            <w:vAlign w:val="center"/>
          </w:tcPr>
          <w:p>
            <w:pPr>
              <w:pStyle w:val="12"/>
            </w:pPr>
            <w:r>
              <w:t>34.74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7143.94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60.55</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44.39</w:t>
            </w:r>
          </w:p>
        </w:tc>
        <w:tc>
          <w:tcPr>
            <w:tcW w:w="1474" w:type="dxa"/>
            <w:vAlign w:val="center"/>
          </w:tcPr>
          <w:p>
            <w:pPr>
              <w:pStyle w:val="12"/>
            </w:pPr>
            <w:r>
              <w:t>44.39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30.24</w:t>
            </w:r>
          </w:p>
        </w:tc>
        <w:tc>
          <w:tcPr>
            <w:tcW w:w="1474" w:type="dxa"/>
            <w:vAlign w:val="center"/>
          </w:tcPr>
          <w:p>
            <w:pPr>
              <w:pStyle w:val="12"/>
            </w:pPr>
            <w:r>
              <w:t>30.24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7095.12</w:t>
            </w:r>
          </w:p>
        </w:tc>
        <w:tc>
          <w:tcPr>
            <w:tcW w:w="1474" w:type="dxa"/>
            <w:vAlign w:val="center"/>
          </w:tcPr>
          <w:p>
            <w:pPr>
              <w:pStyle w:val="12"/>
            </w:pPr>
            <w:r>
              <w:t>7034.57</w:t>
            </w:r>
          </w:p>
        </w:tc>
        <w:tc>
          <w:tcPr>
            <w:tcW w:w="1474" w:type="dxa"/>
            <w:vAlign w:val="center"/>
          </w:tcPr>
          <w:p>
            <w:pPr>
              <w:pStyle w:val="12"/>
            </w:pPr>
            <w:r>
              <w:t>60.55</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34.74</w:t>
            </w:r>
          </w:p>
        </w:tc>
        <w:tc>
          <w:tcPr>
            <w:tcW w:w="1474" w:type="dxa"/>
            <w:vAlign w:val="center"/>
          </w:tcPr>
          <w:p>
            <w:pPr>
              <w:pStyle w:val="12"/>
            </w:pPr>
            <w:r>
              <w:t>34.74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7204.49</w:t>
            </w:r>
          </w:p>
        </w:tc>
        <w:tc>
          <w:tcPr>
            <w:tcW w:w="3402" w:type="dxa"/>
            <w:vAlign w:val="center"/>
          </w:tcPr>
          <w:p>
            <w:pPr>
              <w:pStyle w:val="15"/>
            </w:pPr>
            <w:r>
              <w:t>本年支出合计</w:t>
            </w:r>
          </w:p>
        </w:tc>
        <w:tc>
          <w:tcPr>
            <w:tcW w:w="1474" w:type="dxa"/>
            <w:vAlign w:val="center"/>
          </w:tcPr>
          <w:p>
            <w:pPr>
              <w:pStyle w:val="16"/>
            </w:pPr>
            <w:r>
              <w:t>7204.49</w:t>
            </w:r>
          </w:p>
        </w:tc>
        <w:tc>
          <w:tcPr>
            <w:tcW w:w="1474" w:type="dxa"/>
            <w:vAlign w:val="center"/>
          </w:tcPr>
          <w:p>
            <w:pPr>
              <w:pStyle w:val="16"/>
            </w:pPr>
            <w:r>
              <w:t>7143.94</w:t>
            </w:r>
          </w:p>
        </w:tc>
        <w:tc>
          <w:tcPr>
            <w:tcW w:w="1474" w:type="dxa"/>
            <w:vAlign w:val="center"/>
          </w:tcPr>
          <w:p>
            <w:pPr>
              <w:pStyle w:val="16"/>
            </w:pPr>
            <w:r>
              <w:t>60.55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7204.49</w:t>
            </w:r>
          </w:p>
        </w:tc>
        <w:tc>
          <w:tcPr>
            <w:tcW w:w="3402" w:type="dxa"/>
            <w:vAlign w:val="center"/>
          </w:tcPr>
          <w:p>
            <w:pPr>
              <w:pStyle w:val="15"/>
            </w:pPr>
            <w:r>
              <w:t>支出总计</w:t>
            </w:r>
          </w:p>
        </w:tc>
        <w:tc>
          <w:tcPr>
            <w:tcW w:w="1474" w:type="dxa"/>
            <w:vAlign w:val="center"/>
          </w:tcPr>
          <w:p>
            <w:pPr>
              <w:pStyle w:val="16"/>
            </w:pPr>
            <w:r>
              <w:t>7204.49</w:t>
            </w:r>
          </w:p>
        </w:tc>
        <w:tc>
          <w:tcPr>
            <w:tcW w:w="1474" w:type="dxa"/>
            <w:vAlign w:val="center"/>
          </w:tcPr>
          <w:p>
            <w:pPr>
              <w:pStyle w:val="16"/>
            </w:pPr>
            <w:r>
              <w:t>7143.94</w:t>
            </w:r>
          </w:p>
        </w:tc>
        <w:tc>
          <w:tcPr>
            <w:tcW w:w="1474" w:type="dxa"/>
            <w:vAlign w:val="center"/>
          </w:tcPr>
          <w:p>
            <w:pPr>
              <w:pStyle w:val="16"/>
            </w:pPr>
            <w:r>
              <w:t>60.55</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7143.94</w:t>
            </w:r>
          </w:p>
        </w:tc>
        <w:tc>
          <w:tcPr>
            <w:tcW w:w="2551" w:type="dxa"/>
            <w:vAlign w:val="center"/>
          </w:tcPr>
          <w:p>
            <w:pPr>
              <w:pStyle w:val="16"/>
            </w:pPr>
            <w:r>
              <w:t>614.08</w:t>
            </w:r>
          </w:p>
        </w:tc>
        <w:tc>
          <w:tcPr>
            <w:tcW w:w="2551" w:type="dxa"/>
            <w:vAlign w:val="center"/>
          </w:tcPr>
          <w:p>
            <w:pPr>
              <w:pStyle w:val="16"/>
            </w:pPr>
            <w:r>
              <w:t>6529.86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44.39</w:t>
            </w:r>
          </w:p>
        </w:tc>
        <w:tc>
          <w:tcPr>
            <w:tcW w:w="2551" w:type="dxa"/>
            <w:vAlign w:val="center"/>
          </w:tcPr>
          <w:p>
            <w:pPr>
              <w:pStyle w:val="12"/>
            </w:pPr>
            <w:r>
              <w:t>44.39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42.06</w:t>
            </w:r>
          </w:p>
        </w:tc>
        <w:tc>
          <w:tcPr>
            <w:tcW w:w="2551" w:type="dxa"/>
            <w:vAlign w:val="center"/>
          </w:tcPr>
          <w:p>
            <w:pPr>
              <w:pStyle w:val="12"/>
            </w:pPr>
            <w:r>
              <w:t>42.06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42.06</w:t>
            </w:r>
          </w:p>
        </w:tc>
        <w:tc>
          <w:tcPr>
            <w:tcW w:w="2551" w:type="dxa"/>
            <w:vAlign w:val="center"/>
          </w:tcPr>
          <w:p>
            <w:pPr>
              <w:pStyle w:val="12"/>
            </w:pPr>
            <w:r>
              <w:t>42.06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30.24</w:t>
            </w:r>
          </w:p>
        </w:tc>
        <w:tc>
          <w:tcPr>
            <w:tcW w:w="2551" w:type="dxa"/>
            <w:vAlign w:val="center"/>
          </w:tcPr>
          <w:p>
            <w:pPr>
              <w:pStyle w:val="12"/>
            </w:pPr>
            <w:r>
              <w:t>30.24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30.24</w:t>
            </w:r>
          </w:p>
        </w:tc>
        <w:tc>
          <w:tcPr>
            <w:tcW w:w="2551" w:type="dxa"/>
            <w:vAlign w:val="center"/>
          </w:tcPr>
          <w:p>
            <w:pPr>
              <w:pStyle w:val="12"/>
            </w:pPr>
            <w:r>
              <w:t>30.24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17.05</w:t>
            </w:r>
          </w:p>
        </w:tc>
        <w:tc>
          <w:tcPr>
            <w:tcW w:w="2551" w:type="dxa"/>
            <w:vAlign w:val="center"/>
          </w:tcPr>
          <w:p>
            <w:pPr>
              <w:pStyle w:val="12"/>
            </w:pPr>
            <w:r>
              <w:t>17.05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13.19</w:t>
            </w:r>
          </w:p>
        </w:tc>
        <w:tc>
          <w:tcPr>
            <w:tcW w:w="2551" w:type="dxa"/>
            <w:vAlign w:val="center"/>
          </w:tcPr>
          <w:p>
            <w:pPr>
              <w:pStyle w:val="12"/>
            </w:pPr>
            <w:r>
              <w:t>13.19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7034.57</w:t>
            </w:r>
          </w:p>
        </w:tc>
        <w:tc>
          <w:tcPr>
            <w:tcW w:w="2551" w:type="dxa"/>
            <w:vAlign w:val="center"/>
          </w:tcPr>
          <w:p>
            <w:pPr>
              <w:pStyle w:val="12"/>
            </w:pPr>
            <w:r>
              <w:t>504.71</w:t>
            </w:r>
          </w:p>
        </w:tc>
        <w:tc>
          <w:tcPr>
            <w:tcW w:w="2551" w:type="dxa"/>
            <w:vAlign w:val="center"/>
          </w:tcPr>
          <w:p>
            <w:pPr>
              <w:pStyle w:val="12"/>
            </w:pPr>
            <w:r>
              <w:t>6529.86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518.55</w:t>
            </w:r>
          </w:p>
        </w:tc>
        <w:tc>
          <w:tcPr>
            <w:tcW w:w="2551" w:type="dxa"/>
            <w:vAlign w:val="center"/>
          </w:tcPr>
          <w:p>
            <w:pPr>
              <w:pStyle w:val="12"/>
            </w:pPr>
            <w:r>
              <w:t>504.71</w:t>
            </w:r>
          </w:p>
        </w:tc>
        <w:tc>
          <w:tcPr>
            <w:tcW w:w="2551" w:type="dxa"/>
            <w:vAlign w:val="center"/>
          </w:tcPr>
          <w:p>
            <w:pPr>
              <w:pStyle w:val="12"/>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134.63</w:t>
            </w:r>
          </w:p>
        </w:tc>
        <w:tc>
          <w:tcPr>
            <w:tcW w:w="2551" w:type="dxa"/>
            <w:vAlign w:val="center"/>
          </w:tcPr>
          <w:p>
            <w:pPr>
              <w:pStyle w:val="12"/>
            </w:pPr>
            <w:r>
              <w:t>134.63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364.08</w:t>
            </w:r>
          </w:p>
        </w:tc>
        <w:tc>
          <w:tcPr>
            <w:tcW w:w="2551" w:type="dxa"/>
            <w:vAlign w:val="center"/>
          </w:tcPr>
          <w:p>
            <w:pPr>
              <w:pStyle w:val="12"/>
            </w:pPr>
            <w:r>
              <w:t>364.08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2120104</w:t>
            </w:r>
          </w:p>
        </w:tc>
        <w:tc>
          <w:tcPr>
            <w:tcW w:w="4535" w:type="dxa"/>
            <w:vAlign w:val="center"/>
          </w:tcPr>
          <w:p>
            <w:pPr>
              <w:pStyle w:val="13"/>
            </w:pPr>
            <w:r>
              <w:t>城管执法</w:t>
            </w:r>
          </w:p>
        </w:tc>
        <w:tc>
          <w:tcPr>
            <w:tcW w:w="2551" w:type="dxa"/>
            <w:vAlign w:val="center"/>
          </w:tcPr>
          <w:p>
            <w:pPr>
              <w:pStyle w:val="12"/>
            </w:pPr>
            <w:r>
              <w:t>19.84</w:t>
            </w:r>
          </w:p>
        </w:tc>
        <w:tc>
          <w:tcPr>
            <w:tcW w:w="2551" w:type="dxa"/>
            <w:vAlign w:val="center"/>
          </w:tcPr>
          <w:p>
            <w:pPr>
              <w:pStyle w:val="12"/>
            </w:pPr>
            <w:r>
              <w:t>6.00</w:t>
            </w:r>
          </w:p>
        </w:tc>
        <w:tc>
          <w:tcPr>
            <w:tcW w:w="2551" w:type="dxa"/>
            <w:vAlign w:val="center"/>
          </w:tcPr>
          <w:p>
            <w:pPr>
              <w:pStyle w:val="12"/>
            </w:pPr>
            <w:r>
              <w:t>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3518.11</w:t>
            </w:r>
          </w:p>
        </w:tc>
        <w:tc>
          <w:tcPr>
            <w:tcW w:w="2551" w:type="dxa"/>
            <w:vAlign w:val="center"/>
          </w:tcPr>
          <w:p>
            <w:pPr>
              <w:pStyle w:val="12"/>
            </w:pPr>
          </w:p>
        </w:tc>
        <w:tc>
          <w:tcPr>
            <w:tcW w:w="2551" w:type="dxa"/>
            <w:vAlign w:val="center"/>
          </w:tcPr>
          <w:p>
            <w:pPr>
              <w:pStyle w:val="12"/>
            </w:pPr>
            <w:r>
              <w:t>3518.11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1543.11</w:t>
            </w:r>
          </w:p>
        </w:tc>
        <w:tc>
          <w:tcPr>
            <w:tcW w:w="2551" w:type="dxa"/>
            <w:vAlign w:val="center"/>
          </w:tcPr>
          <w:p>
            <w:pPr>
              <w:pStyle w:val="12"/>
            </w:pPr>
          </w:p>
        </w:tc>
        <w:tc>
          <w:tcPr>
            <w:tcW w:w="2551" w:type="dxa"/>
            <w:vAlign w:val="center"/>
          </w:tcPr>
          <w:p>
            <w:pPr>
              <w:pStyle w:val="12"/>
            </w:pPr>
            <w:r>
              <w:t>1543.11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1975.00</w:t>
            </w:r>
          </w:p>
        </w:tc>
        <w:tc>
          <w:tcPr>
            <w:tcW w:w="2551" w:type="dxa"/>
            <w:vAlign w:val="center"/>
          </w:tcPr>
          <w:p>
            <w:pPr>
              <w:pStyle w:val="12"/>
            </w:pPr>
          </w:p>
        </w:tc>
        <w:tc>
          <w:tcPr>
            <w:tcW w:w="2551" w:type="dxa"/>
            <w:vAlign w:val="center"/>
          </w:tcPr>
          <w:p>
            <w:pPr>
              <w:pStyle w:val="12"/>
            </w:pPr>
            <w:r>
              <w:t>1975.00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2997.91</w:t>
            </w:r>
          </w:p>
        </w:tc>
        <w:tc>
          <w:tcPr>
            <w:tcW w:w="2551" w:type="dxa"/>
            <w:vAlign w:val="center"/>
          </w:tcPr>
          <w:p>
            <w:pPr>
              <w:pStyle w:val="12"/>
            </w:pPr>
          </w:p>
        </w:tc>
        <w:tc>
          <w:tcPr>
            <w:tcW w:w="2551" w:type="dxa"/>
            <w:vAlign w:val="center"/>
          </w:tcPr>
          <w:p>
            <w:pPr>
              <w:pStyle w:val="12"/>
            </w:pPr>
            <w:r>
              <w:t>2997.91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2997.91</w:t>
            </w:r>
          </w:p>
        </w:tc>
        <w:tc>
          <w:tcPr>
            <w:tcW w:w="2551" w:type="dxa"/>
            <w:vAlign w:val="center"/>
          </w:tcPr>
          <w:p>
            <w:pPr>
              <w:pStyle w:val="12"/>
            </w:pPr>
          </w:p>
        </w:tc>
        <w:tc>
          <w:tcPr>
            <w:tcW w:w="2551" w:type="dxa"/>
            <w:vAlign w:val="center"/>
          </w:tcPr>
          <w:p>
            <w:pPr>
              <w:pStyle w:val="12"/>
            </w:pPr>
            <w:r>
              <w:t>2997.91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34.74</w:t>
            </w:r>
          </w:p>
        </w:tc>
        <w:tc>
          <w:tcPr>
            <w:tcW w:w="2551" w:type="dxa"/>
            <w:vAlign w:val="center"/>
          </w:tcPr>
          <w:p>
            <w:pPr>
              <w:pStyle w:val="12"/>
            </w:pPr>
            <w:r>
              <w:t>34.74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34.74</w:t>
            </w:r>
          </w:p>
        </w:tc>
        <w:tc>
          <w:tcPr>
            <w:tcW w:w="2551" w:type="dxa"/>
            <w:vAlign w:val="center"/>
          </w:tcPr>
          <w:p>
            <w:pPr>
              <w:pStyle w:val="12"/>
            </w:pPr>
            <w:r>
              <w:t>34.74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34.74</w:t>
            </w:r>
          </w:p>
        </w:tc>
        <w:tc>
          <w:tcPr>
            <w:tcW w:w="2551" w:type="dxa"/>
            <w:vAlign w:val="center"/>
          </w:tcPr>
          <w:p>
            <w:pPr>
              <w:pStyle w:val="12"/>
            </w:pPr>
            <w:r>
              <w:t>34.74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614.08</w:t>
            </w:r>
          </w:p>
        </w:tc>
        <w:tc>
          <w:tcPr>
            <w:tcW w:w="2551" w:type="dxa"/>
            <w:vAlign w:val="center"/>
          </w:tcPr>
          <w:p>
            <w:pPr>
              <w:pStyle w:val="16"/>
            </w:pPr>
            <w:r>
              <w:t>590.61</w:t>
            </w:r>
          </w:p>
        </w:tc>
        <w:tc>
          <w:tcPr>
            <w:tcW w:w="2551" w:type="dxa"/>
            <w:vAlign w:val="center"/>
          </w:tcPr>
          <w:p>
            <w:pPr>
              <w:pStyle w:val="16"/>
            </w:pPr>
            <w:r>
              <w:t>23.47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412.60</w:t>
            </w:r>
          </w:p>
        </w:tc>
        <w:tc>
          <w:tcPr>
            <w:tcW w:w="2551" w:type="dxa"/>
            <w:vAlign w:val="center"/>
          </w:tcPr>
          <w:p>
            <w:pPr>
              <w:pStyle w:val="12"/>
            </w:pPr>
            <w:r>
              <w:t>412.60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112.88</w:t>
            </w:r>
          </w:p>
        </w:tc>
        <w:tc>
          <w:tcPr>
            <w:tcW w:w="2551" w:type="dxa"/>
            <w:vAlign w:val="center"/>
          </w:tcPr>
          <w:p>
            <w:pPr>
              <w:pStyle w:val="12"/>
            </w:pPr>
            <w:r>
              <w:t>112.88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24.86</w:t>
            </w:r>
          </w:p>
        </w:tc>
        <w:tc>
          <w:tcPr>
            <w:tcW w:w="2551" w:type="dxa"/>
            <w:vAlign w:val="center"/>
          </w:tcPr>
          <w:p>
            <w:pPr>
              <w:pStyle w:val="12"/>
            </w:pPr>
            <w:r>
              <w:t>24.86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13.80</w:t>
            </w:r>
          </w:p>
        </w:tc>
        <w:tc>
          <w:tcPr>
            <w:tcW w:w="2551" w:type="dxa"/>
            <w:vAlign w:val="center"/>
          </w:tcPr>
          <w:p>
            <w:pPr>
              <w:pStyle w:val="12"/>
            </w:pPr>
            <w:r>
              <w:t>13.80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151.69</w:t>
            </w:r>
          </w:p>
        </w:tc>
        <w:tc>
          <w:tcPr>
            <w:tcW w:w="2551" w:type="dxa"/>
            <w:vAlign w:val="center"/>
          </w:tcPr>
          <w:p>
            <w:pPr>
              <w:pStyle w:val="12"/>
            </w:pPr>
            <w:r>
              <w:t>151.69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42.06</w:t>
            </w:r>
          </w:p>
        </w:tc>
        <w:tc>
          <w:tcPr>
            <w:tcW w:w="2551" w:type="dxa"/>
            <w:vAlign w:val="center"/>
          </w:tcPr>
          <w:p>
            <w:pPr>
              <w:pStyle w:val="12"/>
            </w:pPr>
            <w:r>
              <w:t>42.06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17.05</w:t>
            </w:r>
          </w:p>
        </w:tc>
        <w:tc>
          <w:tcPr>
            <w:tcW w:w="2551" w:type="dxa"/>
            <w:vAlign w:val="center"/>
          </w:tcPr>
          <w:p>
            <w:pPr>
              <w:pStyle w:val="12"/>
            </w:pPr>
            <w:r>
              <w:t>17.05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13.19</w:t>
            </w:r>
          </w:p>
        </w:tc>
        <w:tc>
          <w:tcPr>
            <w:tcW w:w="2551" w:type="dxa"/>
            <w:vAlign w:val="center"/>
          </w:tcPr>
          <w:p>
            <w:pPr>
              <w:pStyle w:val="12"/>
            </w:pPr>
            <w:r>
              <w:t>13.19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34.74</w:t>
            </w:r>
          </w:p>
        </w:tc>
        <w:tc>
          <w:tcPr>
            <w:tcW w:w="2551" w:type="dxa"/>
            <w:vAlign w:val="center"/>
          </w:tcPr>
          <w:p>
            <w:pPr>
              <w:pStyle w:val="12"/>
            </w:pPr>
            <w:r>
              <w:t>34.74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23.47</w:t>
            </w:r>
          </w:p>
        </w:tc>
        <w:tc>
          <w:tcPr>
            <w:tcW w:w="2551" w:type="dxa"/>
            <w:vAlign w:val="center"/>
          </w:tcPr>
          <w:p>
            <w:pPr>
              <w:pStyle w:val="12"/>
            </w:pPr>
          </w:p>
        </w:tc>
        <w:tc>
          <w:tcPr>
            <w:tcW w:w="2551" w:type="dxa"/>
            <w:vAlign w:val="center"/>
          </w:tcPr>
          <w:p>
            <w:pPr>
              <w:pStyle w:val="12"/>
            </w:pPr>
            <w:r>
              <w:t>23.47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2.20</w:t>
            </w:r>
          </w:p>
        </w:tc>
        <w:tc>
          <w:tcPr>
            <w:tcW w:w="2551" w:type="dxa"/>
            <w:vAlign w:val="center"/>
          </w:tcPr>
          <w:p>
            <w:pPr>
              <w:pStyle w:val="12"/>
            </w:pPr>
          </w:p>
        </w:tc>
        <w:tc>
          <w:tcPr>
            <w:tcW w:w="2551" w:type="dxa"/>
            <w:vAlign w:val="center"/>
          </w:tcPr>
          <w:p>
            <w:pPr>
              <w:pStyle w:val="12"/>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2.46</w:t>
            </w:r>
          </w:p>
        </w:tc>
        <w:tc>
          <w:tcPr>
            <w:tcW w:w="2551" w:type="dxa"/>
            <w:vAlign w:val="center"/>
          </w:tcPr>
          <w:p>
            <w:pPr>
              <w:pStyle w:val="12"/>
            </w:pPr>
          </w:p>
        </w:tc>
        <w:tc>
          <w:tcPr>
            <w:tcW w:w="2551" w:type="dxa"/>
            <w:vAlign w:val="center"/>
          </w:tcPr>
          <w:p>
            <w:pPr>
              <w:pStyle w:val="12"/>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4.44</w:t>
            </w:r>
          </w:p>
        </w:tc>
        <w:tc>
          <w:tcPr>
            <w:tcW w:w="2551" w:type="dxa"/>
            <w:vAlign w:val="center"/>
          </w:tcPr>
          <w:p>
            <w:pPr>
              <w:pStyle w:val="12"/>
            </w:pPr>
          </w:p>
        </w:tc>
        <w:tc>
          <w:tcPr>
            <w:tcW w:w="2551" w:type="dxa"/>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4.29</w:t>
            </w:r>
          </w:p>
        </w:tc>
        <w:tc>
          <w:tcPr>
            <w:tcW w:w="2551" w:type="dxa"/>
            <w:vAlign w:val="center"/>
          </w:tcPr>
          <w:p>
            <w:pPr>
              <w:pStyle w:val="12"/>
            </w:pPr>
          </w:p>
        </w:tc>
        <w:tc>
          <w:tcPr>
            <w:tcW w:w="2551" w:type="dxa"/>
            <w:vAlign w:val="center"/>
          </w:tcPr>
          <w:p>
            <w:pPr>
              <w:pStyle w:val="12"/>
            </w:pPr>
            <w:r>
              <w:t>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178.01</w:t>
            </w:r>
          </w:p>
        </w:tc>
        <w:tc>
          <w:tcPr>
            <w:tcW w:w="2551" w:type="dxa"/>
            <w:vAlign w:val="center"/>
          </w:tcPr>
          <w:p>
            <w:pPr>
              <w:pStyle w:val="12"/>
            </w:pPr>
            <w:r>
              <w:t>178.01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175.94</w:t>
            </w:r>
          </w:p>
        </w:tc>
        <w:tc>
          <w:tcPr>
            <w:tcW w:w="2551" w:type="dxa"/>
            <w:vAlign w:val="center"/>
          </w:tcPr>
          <w:p>
            <w:pPr>
              <w:pStyle w:val="12"/>
            </w:pPr>
            <w:r>
              <w:t>175.94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2.07</w:t>
            </w:r>
          </w:p>
        </w:tc>
        <w:tc>
          <w:tcPr>
            <w:tcW w:w="2551" w:type="dxa"/>
            <w:vAlign w:val="center"/>
          </w:tcPr>
          <w:p>
            <w:pPr>
              <w:pStyle w:val="12"/>
            </w:pPr>
            <w:r>
              <w:t>2.07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60.55</w:t>
            </w:r>
          </w:p>
        </w:tc>
        <w:tc>
          <w:tcPr>
            <w:tcW w:w="2551" w:type="dxa"/>
            <w:vAlign w:val="center"/>
          </w:tcPr>
          <w:p>
            <w:pPr>
              <w:pStyle w:val="16"/>
            </w:pPr>
          </w:p>
        </w:tc>
        <w:tc>
          <w:tcPr>
            <w:tcW w:w="2551" w:type="dxa"/>
            <w:vAlign w:val="center"/>
          </w:tcPr>
          <w:p>
            <w:pPr>
              <w:pStyle w:val="16"/>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60.55</w:t>
            </w:r>
          </w:p>
        </w:tc>
        <w:tc>
          <w:tcPr>
            <w:tcW w:w="2551" w:type="dxa"/>
            <w:vAlign w:val="center"/>
          </w:tcPr>
          <w:p>
            <w:pPr>
              <w:pStyle w:val="12"/>
            </w:pPr>
          </w:p>
        </w:tc>
        <w:tc>
          <w:tcPr>
            <w:tcW w:w="2551" w:type="dxa"/>
            <w:vAlign w:val="center"/>
          </w:tcPr>
          <w:p>
            <w:pPr>
              <w:pStyle w:val="12"/>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60.55</w:t>
            </w:r>
          </w:p>
        </w:tc>
        <w:tc>
          <w:tcPr>
            <w:tcW w:w="2551" w:type="dxa"/>
            <w:vAlign w:val="center"/>
          </w:tcPr>
          <w:p>
            <w:pPr>
              <w:pStyle w:val="12"/>
            </w:pPr>
          </w:p>
        </w:tc>
        <w:tc>
          <w:tcPr>
            <w:tcW w:w="2551" w:type="dxa"/>
            <w:vAlign w:val="center"/>
          </w:tcPr>
          <w:p>
            <w:pPr>
              <w:pStyle w:val="12"/>
            </w:pPr>
            <w:r>
              <w:t>60.55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60.55</w:t>
            </w:r>
          </w:p>
        </w:tc>
        <w:tc>
          <w:tcPr>
            <w:tcW w:w="2551" w:type="dxa"/>
            <w:vAlign w:val="center"/>
          </w:tcPr>
          <w:p>
            <w:pPr>
              <w:pStyle w:val="12"/>
            </w:pPr>
          </w:p>
        </w:tc>
        <w:tc>
          <w:tcPr>
            <w:tcW w:w="2551" w:type="dxa"/>
            <w:vAlign w:val="center"/>
          </w:tcPr>
          <w:p>
            <w:pPr>
              <w:pStyle w:val="12"/>
            </w:pPr>
            <w:r>
              <w:t>60.55</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石家庄市井陉矿区城市管理综合行政执法局2026年部门预算信息公开情况说明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石家庄市井陉矿区城市管理综合行政执法局2026年部门预算信息公开情况说明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按照《中华人民共和国预算法》、《地方预决算公开操作规程》和《关于进一步推进预算公开工作的实施意见》规定，现将石家庄市井陉矿区城市管理综合行政执法局2026年部门预算公开如下：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根据《矿区城管局职能配置、内设机构和人员编制规定》，矿区城管局的主要职责是：</w:t>
      </w:r>
    </w:p>
    <w:p>
      <w:pPr>
        <w:pStyle w:val="18"/>
      </w:pPr>
      <w:r>
        <w:t>开展城市管理综合执法，集中行使城乡规划、住房和城乡建设管理方面法律法规、规章规定的全部行政处罚权。环境保护管理方面、工商管理方面、交通管理方面、水务管理方面、食品药品监管方面的部分行政处罚权。</w:t>
      </w:r>
    </w:p>
    <w:p>
      <w:pPr>
        <w:pStyle w:val="18"/>
      </w:pPr>
      <w:r>
        <w:t>1、城市管理行政执法</w:t>
      </w:r>
    </w:p>
    <w:p>
      <w:pPr>
        <w:pStyle w:val="18"/>
      </w:pPr>
      <w:r>
        <w:t>负责拟定城市管理综合执法发展规划年度计划并组织实施；负责城管系统普法教育和政策法规宣传工作；负责涉及城市管理综合执法的行政复议、行政诉讼、应诉工作；组织城市管理重大执法活动；组织开展城市管理综合执法监督检查工作；负责贯彻执行国家及省、市、区有关城市管理园林绿化等方面的方针、政策、法律、法规、规章;做好其他工作，确保行城管执法工作高效运转。</w:t>
      </w:r>
    </w:p>
    <w:p>
      <w:pPr>
        <w:pStyle w:val="18"/>
      </w:pPr>
      <w:r>
        <w:t>2、市政设施建设维护管理</w:t>
      </w:r>
    </w:p>
    <w:p>
      <w:pPr>
        <w:pStyle w:val="18"/>
      </w:pPr>
      <w:r>
        <w:t>负责数字化城管设施、护栏、限高、红绿灯、环卫设施、公园绿地、环境综合整治;负责编制城区道路、桥梁、排水、照明设施的改造、整修计划并组织实施;负责城区排水管理工作及城市排水、中水的水质监测及监督管理;等方面的市政基础设施日常管护作业并组织实施；负责城区供水、节水、污水处理工作;负责城区供热、燃气行业管理工作。</w:t>
      </w:r>
    </w:p>
    <w:p>
      <w:pPr>
        <w:pStyle w:val="18"/>
      </w:pPr>
      <w:r>
        <w:t>3、城管政务管理</w:t>
      </w:r>
    </w:p>
    <w:p>
      <w:pPr>
        <w:pStyle w:val="18"/>
      </w:pPr>
      <w:r>
        <w:t>负责机关标准化建设、行政后勤、人事、党务、纪检监察、老干部、财务和资产管理等工作。</w:t>
      </w:r>
    </w:p>
    <w:p>
      <w:pPr>
        <w:pStyle w:val="18"/>
      </w:pPr>
    </w:p>
    <w:p>
      <w:pPr>
        <w:pStyle w:val="18"/>
      </w:pPr>
      <w:r>
        <w:t>4、园林工程建设</w:t>
      </w:r>
    </w:p>
    <w:p>
      <w:pPr>
        <w:pStyle w:val="18"/>
      </w:pPr>
      <w:r>
        <w:t>实施重要道路绿地、公园广场、有关防护林区的规划设计和建设管理；组织道路绿地和公园广场的种花摆花工作；负责公园广场经营项目活动的审批实施。</w:t>
      </w:r>
    </w:p>
    <w:p>
      <w:pPr>
        <w:pStyle w:val="18"/>
      </w:pPr>
      <w:r>
        <w:t>5、园林政务管理</w:t>
      </w:r>
    </w:p>
    <w:p>
      <w:pPr>
        <w:pStyle w:val="18"/>
      </w:pPr>
      <w:r>
        <w:t>古树名木进行保护管理，制定园林绿化科技发展规划、科研计划并组织重点科研项目试验研究；组织科研项目申报和推广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石家庄市井陉矿区城市管理综合行政执法局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石家庄市井陉矿区市政绿化管理所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按照预算管理有关规定，目前部门预算的编制实行综合预算管理，即全部收入和支出都反映在预算中。石家庄市井陉矿区城市管理综合行政执法局机关及所属事业单位的收支包含在部门预算中。</w:t>
      </w:r>
    </w:p>
    <w:p>
      <w:pPr>
        <w:pStyle w:val="19"/>
      </w:pPr>
      <w:r>
        <w:t>1、收入说明</w:t>
      </w:r>
    </w:p>
    <w:p>
      <w:pPr>
        <w:pStyle w:val="19"/>
      </w:pPr>
      <w:r>
        <w:t>反映本部门当年全部收入。2026年预算收入7204.49万元，其中：一般公共预算收入7143.94万元，基金预算收入60.55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井陉矿区城市管理综合行政执法局年度部门预算中支出预算的总体情况。2026年支出预算7204.49万元，其中基本支出614.08万元，包括人员经费590.61万元和日常公用经费23.47万元；项目支出6590.41万元，主要为环卫经费、园林绿化管护费、供暖应急保障项目经费、井陉矿区杏花沟全民健身中心项目EPC总承包、供热管道提升改造工程等；预计下年使用的单位资金结余0.00万元。委托业务费共计安排4389.61万元，主要用于因技术原因确需对外委托的辅助性工作和确有必要对外委托开展咨询、评审、规划等工作。</w:t>
      </w:r>
    </w:p>
    <w:p>
      <w:pPr>
        <w:pStyle w:val="19"/>
      </w:pPr>
      <w:r>
        <w:t>3、比上年增减情况</w:t>
      </w:r>
    </w:p>
    <w:p>
      <w:pPr>
        <w:pStyle w:val="19"/>
      </w:pPr>
      <w:r>
        <w:t>2026年预算收支安排7204.49万元，较2025年预算减少328.09万元，其中：基本支出增加51.80万元，主要为劳务派遣工资由人事局填列。项目支出减少379.89万元，主要为承建项目减少</w:t>
      </w:r>
    </w:p>
    <w:p>
      <w:pPr>
        <w:pStyle w:val="19"/>
      </w:pP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2026年，我部门机关运行经费共计安排23.47万元，主要用于日常维修、办公用房水电费、办公用房取暖费、办公用房物业管理费等日常运行支出。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numId w:val="0"/>
        </w:numPr>
        <w:spacing w:before="10" w:after="10" w:line="360" w:lineRule="auto"/>
        <w:ind w:firstLine="560" w:firstLineChars="200"/>
        <w:jc w:val="left"/>
        <w:outlineLvl w:val="2"/>
        <w:rPr>
          <w:rFonts w:hint="eastAsia" w:ascii="Times New Roman" w:hAnsi="Times New Roman" w:eastAsia="方正仿宋_GBK" w:cs="Times New Roman"/>
          <w:sz w:val="28"/>
          <w:szCs w:val="22"/>
          <w:lang w:val="en-US" w:eastAsia="zh-CN"/>
        </w:rPr>
      </w:pPr>
      <w:r>
        <w:rPr>
          <w:rFonts w:ascii="Times New Roman" w:hAnsi="Times New Roman" w:eastAsia="方正仿宋_GBK" w:cs="Times New Roman"/>
          <w:sz w:val="28"/>
          <w:szCs w:val="22"/>
        </w:rPr>
        <w:t>2026年，我部门财政拨款“三公”经费预算安排</w:t>
      </w:r>
      <w:r>
        <w:rPr>
          <w:rFonts w:hint="eastAsia" w:cs="Times New Roman"/>
          <w:sz w:val="28"/>
          <w:szCs w:val="22"/>
          <w:lang w:val="en-US" w:eastAsia="zh-CN"/>
        </w:rPr>
        <w:t>6</w:t>
      </w:r>
      <w:r>
        <w:rPr>
          <w:rFonts w:hint="eastAsia" w:ascii="Times New Roman" w:hAnsi="Times New Roman" w:eastAsia="方正仿宋_GBK" w:cs="Times New Roman"/>
          <w:sz w:val="28"/>
          <w:szCs w:val="22"/>
        </w:rPr>
        <w:t>万元，其中因公出国（境）费0.00万元； 公务用车购置及运维费</w:t>
      </w:r>
      <w:r>
        <w:rPr>
          <w:rFonts w:hint="eastAsia" w:cs="Times New Roman"/>
          <w:sz w:val="28"/>
          <w:szCs w:val="22"/>
          <w:lang w:val="en-US" w:eastAsia="zh-CN"/>
        </w:rPr>
        <w:t>6</w:t>
      </w:r>
      <w:r>
        <w:rPr>
          <w:rFonts w:hint="eastAsia" w:ascii="Times New Roman" w:hAnsi="Times New Roman" w:eastAsia="方正仿宋_GBK" w:cs="Times New Roman"/>
          <w:sz w:val="28"/>
          <w:szCs w:val="22"/>
        </w:rPr>
        <w:t>万元（其中：公务用车购置费为0.00万元，公务用车运维费</w:t>
      </w:r>
      <w:r>
        <w:rPr>
          <w:rFonts w:hint="eastAsia" w:cs="Times New Roman"/>
          <w:sz w:val="28"/>
          <w:szCs w:val="22"/>
          <w:lang w:val="en-US" w:eastAsia="zh-CN"/>
        </w:rPr>
        <w:t>6</w:t>
      </w:r>
      <w:r>
        <w:rPr>
          <w:rFonts w:hint="eastAsia" w:ascii="Times New Roman" w:hAnsi="Times New Roman" w:eastAsia="方正仿宋_GBK" w:cs="Times New Roman"/>
          <w:sz w:val="28"/>
          <w:szCs w:val="22"/>
        </w:rPr>
        <w:t>万元)； 公务接待费0.00万元。与2025年</w:t>
      </w:r>
      <w:r>
        <w:rPr>
          <w:rFonts w:hint="eastAsia" w:cs="Times New Roman"/>
          <w:sz w:val="28"/>
          <w:szCs w:val="22"/>
          <w:lang w:eastAsia="zh-CN"/>
        </w:rPr>
        <w:t>预算持平。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加大重点区域管控，提高市容秩序标准，为卫生城市文明建设营造良好的外围环境和舆论氛围。加强队伍建设，塑造全新城管队伍形象，为提升城市管理水平夯实基础。积极配合相关部门，完成县城执法体制改革。围绕服务之美，提升民生保障能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目标1：保障人员支出金额单位正常运转</w:t>
      </w:r>
    </w:p>
    <w:p>
      <w:pPr>
        <w:pStyle w:val="23"/>
      </w:pPr>
      <w:r>
        <w:t>目标2：认真贯彻执行党的基本路线、方针政策和上级组织的决议、知识、命令</w:t>
      </w:r>
    </w:p>
    <w:p>
      <w:pPr>
        <w:pStyle w:val="23"/>
      </w:pPr>
      <w:r>
        <w:t>目标3：对单位的重大问题进行决策。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一、狠抓班子建设，提高行政能力</w:t>
      </w:r>
    </w:p>
    <w:p>
      <w:pPr>
        <w:pStyle w:val="24"/>
      </w:pPr>
      <w:r>
        <w:t>1、加强理论学习；2、坚持贯彻民主集中制；3、实行领导分工负责制。</w:t>
      </w:r>
    </w:p>
    <w:p>
      <w:pPr>
        <w:pStyle w:val="24"/>
        <w:sectPr>
          <w:pgSz w:w="16840" w:h="11900" w:orient="landscape"/>
          <w:pgMar w:top="1361" w:right="1020" w:bottom="1361" w:left="1020" w:header="720" w:footer="720" w:gutter="0"/>
        </w:sectPr>
      </w:pPr>
      <w:r>
        <w:t>二、加强队伍建设，提高干部素质，理顺管理机制，夯实工作基础。</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1、城管网络运行经费绩效目标表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13010726P00002510092M</w:t>
            </w:r>
          </w:p>
        </w:tc>
        <w:tc>
          <w:tcPr>
            <w:tcW w:w="2835" w:type="dxa"/>
            <w:vAlign w:val="center"/>
          </w:tcPr>
          <w:p>
            <w:pPr>
              <w:pStyle w:val="11"/>
            </w:pPr>
            <w:r>
              <w:t>项目名称</w:t>
            </w:r>
          </w:p>
        </w:tc>
        <w:tc>
          <w:tcPr>
            <w:tcW w:w="6095" w:type="dxa"/>
            <w:gridSpan w:val="3"/>
            <w:vAlign w:val="center"/>
          </w:tcPr>
          <w:p>
            <w:pPr>
              <w:pStyle w:val="13"/>
            </w:pPr>
            <w:r>
              <w:t>城管网络运行经费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5.84</w:t>
            </w:r>
          </w:p>
        </w:tc>
        <w:tc>
          <w:tcPr>
            <w:tcW w:w="2835" w:type="dxa"/>
            <w:vAlign w:val="center"/>
          </w:tcPr>
          <w:p>
            <w:pPr>
              <w:pStyle w:val="11"/>
            </w:pPr>
            <w:r>
              <w:t>其中：财政    资金</w:t>
            </w:r>
          </w:p>
        </w:tc>
        <w:tc>
          <w:tcPr>
            <w:tcW w:w="2551" w:type="dxa"/>
            <w:vAlign w:val="center"/>
          </w:tcPr>
          <w:p>
            <w:pPr>
              <w:pStyle w:val="13"/>
            </w:pPr>
            <w:r>
              <w:t>5.84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工作计划</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1.46</w:t>
            </w:r>
          </w:p>
        </w:tc>
        <w:tc>
          <w:tcPr>
            <w:tcW w:w="2835" w:type="dxa"/>
            <w:vAlign w:val="center"/>
          </w:tcPr>
          <w:p>
            <w:pPr>
              <w:pStyle w:val="14"/>
            </w:pPr>
            <w:r>
              <w:t>2.92</w:t>
            </w:r>
          </w:p>
        </w:tc>
        <w:tc>
          <w:tcPr>
            <w:tcW w:w="2551" w:type="dxa"/>
            <w:vAlign w:val="center"/>
          </w:tcPr>
          <w:p>
            <w:pPr>
              <w:pStyle w:val="14"/>
            </w:pPr>
            <w:r>
              <w:t>4.38</w:t>
            </w:r>
          </w:p>
        </w:tc>
        <w:tc>
          <w:tcPr>
            <w:tcW w:w="3544" w:type="dxa"/>
            <w:gridSpan w:val="2"/>
            <w:vAlign w:val="center"/>
          </w:tcPr>
          <w:p>
            <w:pPr>
              <w:pStyle w:val="14"/>
            </w:pPr>
            <w:r>
              <w:t>5.84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1.通过支网费，提升城管信息化水平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网线数量</w:t>
            </w:r>
          </w:p>
        </w:tc>
        <w:tc>
          <w:tcPr>
            <w:tcW w:w="5386" w:type="dxa"/>
            <w:vAlign w:val="center"/>
          </w:tcPr>
          <w:p>
            <w:pPr>
              <w:pStyle w:val="13"/>
            </w:pPr>
            <w:r>
              <w:t>4M VPN网线数量</w:t>
            </w:r>
          </w:p>
        </w:tc>
        <w:tc>
          <w:tcPr>
            <w:tcW w:w="2268" w:type="dxa"/>
            <w:vAlign w:val="center"/>
          </w:tcPr>
          <w:p>
            <w:pPr>
              <w:pStyle w:val="13"/>
            </w:pPr>
            <w:r>
              <w:t>≥1条</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网速质量</w:t>
            </w:r>
          </w:p>
        </w:tc>
        <w:tc>
          <w:tcPr>
            <w:tcW w:w="5386" w:type="dxa"/>
            <w:vAlign w:val="center"/>
          </w:tcPr>
          <w:p>
            <w:pPr>
              <w:pStyle w:val="13"/>
            </w:pPr>
            <w:r>
              <w:t>VPN网线保持4M网速</w:t>
            </w:r>
          </w:p>
        </w:tc>
        <w:tc>
          <w:tcPr>
            <w:tcW w:w="2268" w:type="dxa"/>
            <w:vAlign w:val="center"/>
          </w:tcPr>
          <w:p>
            <w:pPr>
              <w:pStyle w:val="13"/>
            </w:pPr>
            <w:r>
              <w:t>M</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运行时间</w:t>
            </w:r>
          </w:p>
        </w:tc>
        <w:tc>
          <w:tcPr>
            <w:tcW w:w="5386" w:type="dxa"/>
            <w:vAlign w:val="center"/>
          </w:tcPr>
          <w:p>
            <w:pPr>
              <w:pStyle w:val="13"/>
            </w:pPr>
            <w:r>
              <w:t>网线为我局服务的时间</w:t>
            </w:r>
          </w:p>
        </w:tc>
        <w:tc>
          <w:tcPr>
            <w:tcW w:w="2268" w:type="dxa"/>
            <w:vAlign w:val="center"/>
          </w:tcPr>
          <w:p>
            <w:pPr>
              <w:pStyle w:val="13"/>
            </w:pPr>
            <w:r>
              <w:t>≥365天</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全年项目成本为5.84万元</w:t>
            </w:r>
          </w:p>
        </w:tc>
        <w:tc>
          <w:tcPr>
            <w:tcW w:w="2268" w:type="dxa"/>
            <w:vAlign w:val="center"/>
          </w:tcPr>
          <w:p>
            <w:pPr>
              <w:pStyle w:val="13"/>
            </w:pPr>
            <w:r>
              <w:t>≤5.84万元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项目对乙方单位的经济效益提升比值</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间接社会影响力</w:t>
            </w:r>
          </w:p>
        </w:tc>
        <w:tc>
          <w:tcPr>
            <w:tcW w:w="5386" w:type="dxa"/>
            <w:vAlign w:val="center"/>
          </w:tcPr>
          <w:p>
            <w:pPr>
              <w:pStyle w:val="13"/>
            </w:pPr>
            <w:r>
              <w:t>反映项目实施后在社会在城管形象的提升率</w:t>
            </w:r>
          </w:p>
        </w:tc>
        <w:tc>
          <w:tcPr>
            <w:tcW w:w="2268" w:type="dxa"/>
            <w:vAlign w:val="center"/>
          </w:tcPr>
          <w:p>
            <w:pPr>
              <w:pStyle w:val="13"/>
            </w:pPr>
            <w:r>
              <w:t>≥95%</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长期保障工作平稳进行。</w:t>
            </w:r>
          </w:p>
        </w:tc>
        <w:tc>
          <w:tcPr>
            <w:tcW w:w="5386" w:type="dxa"/>
            <w:vAlign w:val="center"/>
          </w:tcPr>
          <w:p>
            <w:pPr>
              <w:pStyle w:val="13"/>
            </w:pPr>
            <w:r>
              <w:t>保持系统运行稳定、畅通。</w:t>
            </w:r>
          </w:p>
        </w:tc>
        <w:tc>
          <w:tcPr>
            <w:tcW w:w="2268" w:type="dxa"/>
            <w:vAlign w:val="center"/>
          </w:tcPr>
          <w:p>
            <w:pPr>
              <w:pStyle w:val="13"/>
            </w:pPr>
            <w:r>
              <w:t>全年稳定运行</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w:t>
            </w:r>
          </w:p>
        </w:tc>
        <w:tc>
          <w:tcPr>
            <w:tcW w:w="5386" w:type="dxa"/>
            <w:vAlign w:val="center"/>
          </w:tcPr>
          <w:p>
            <w:pPr>
              <w:pStyle w:val="13"/>
            </w:pPr>
            <w:r>
              <w:t>项目单位满意度</w:t>
            </w:r>
          </w:p>
        </w:tc>
        <w:tc>
          <w:tcPr>
            <w:tcW w:w="2268" w:type="dxa"/>
            <w:vAlign w:val="center"/>
          </w:tcPr>
          <w:p>
            <w:pPr>
              <w:pStyle w:val="13"/>
            </w:pPr>
            <w:r>
              <w:t>≥100%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2、城管执法运行经费绩效目标表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13010726P00025010165Y</w:t>
            </w:r>
          </w:p>
        </w:tc>
        <w:tc>
          <w:tcPr>
            <w:tcW w:w="2835" w:type="dxa"/>
            <w:vAlign w:val="center"/>
          </w:tcPr>
          <w:p>
            <w:pPr>
              <w:pStyle w:val="11"/>
            </w:pPr>
            <w:r>
              <w:t>项目名称</w:t>
            </w:r>
          </w:p>
        </w:tc>
        <w:tc>
          <w:tcPr>
            <w:tcW w:w="6095" w:type="dxa"/>
            <w:gridSpan w:val="3"/>
            <w:vAlign w:val="center"/>
          </w:tcPr>
          <w:p>
            <w:pPr>
              <w:pStyle w:val="13"/>
            </w:pPr>
            <w:r>
              <w:t>城管执法运行经费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1.按时支出公用经费，确保单位正常运转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对外联络服务水平</w:t>
            </w:r>
          </w:p>
        </w:tc>
        <w:tc>
          <w:tcPr>
            <w:tcW w:w="5386" w:type="dxa"/>
            <w:vAlign w:val="center"/>
          </w:tcPr>
          <w:p>
            <w:pPr>
              <w:pStyle w:val="13"/>
            </w:pPr>
            <w:r>
              <w:t>反映服务水平</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各项补贴支付的及时率</w:t>
            </w:r>
          </w:p>
        </w:tc>
        <w:tc>
          <w:tcPr>
            <w:tcW w:w="5386" w:type="dxa"/>
            <w:vAlign w:val="center"/>
          </w:tcPr>
          <w:p>
            <w:pPr>
              <w:pStyle w:val="13"/>
            </w:pPr>
            <w:r>
              <w:t>各项补贴支付的及时率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部门公用经费支出控制金额</w:t>
            </w:r>
          </w:p>
        </w:tc>
        <w:tc>
          <w:tcPr>
            <w:tcW w:w="5386" w:type="dxa"/>
            <w:vAlign w:val="center"/>
          </w:tcPr>
          <w:p>
            <w:pPr>
              <w:pStyle w:val="13"/>
            </w:pPr>
            <w:r>
              <w:t>部门公用经费支出控制金额</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部门正常运转率</w:t>
            </w:r>
          </w:p>
        </w:tc>
        <w:tc>
          <w:tcPr>
            <w:tcW w:w="5386" w:type="dxa"/>
            <w:vAlign w:val="center"/>
          </w:tcPr>
          <w:p>
            <w:pPr>
              <w:pStyle w:val="13"/>
            </w:pPr>
            <w:r>
              <w:t>部门正常运转率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对部门履职的保障力度</w:t>
            </w:r>
          </w:p>
        </w:tc>
        <w:tc>
          <w:tcPr>
            <w:tcW w:w="5386" w:type="dxa"/>
            <w:vAlign w:val="center"/>
          </w:tcPr>
          <w:p>
            <w:pPr>
              <w:pStyle w:val="13"/>
            </w:pPr>
            <w:r>
              <w:t>对部门履职的保障力度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领导满意率</w:t>
            </w:r>
          </w:p>
        </w:tc>
        <w:tc>
          <w:tcPr>
            <w:tcW w:w="2268" w:type="dxa"/>
            <w:vAlign w:val="center"/>
          </w:tcPr>
          <w:p>
            <w:pPr>
              <w:pStyle w:val="13"/>
            </w:pPr>
            <w:r>
              <w:t>≥100%</w:t>
            </w:r>
          </w:p>
        </w:tc>
        <w:tc>
          <w:tcPr>
            <w:tcW w:w="1276" w:type="dxa"/>
            <w:vAlign w:val="center"/>
          </w:tcPr>
          <w:p>
            <w:pPr>
              <w:pStyle w:val="13"/>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3、城市运转水电费绩效目标表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13010726P00008010002R</w:t>
            </w:r>
          </w:p>
        </w:tc>
        <w:tc>
          <w:tcPr>
            <w:tcW w:w="2835" w:type="dxa"/>
            <w:vAlign w:val="center"/>
          </w:tcPr>
          <w:p>
            <w:pPr>
              <w:pStyle w:val="11"/>
            </w:pPr>
            <w:r>
              <w:t>项目名称</w:t>
            </w:r>
          </w:p>
        </w:tc>
        <w:tc>
          <w:tcPr>
            <w:tcW w:w="6095" w:type="dxa"/>
            <w:gridSpan w:val="3"/>
            <w:vAlign w:val="center"/>
          </w:tcPr>
          <w:p>
            <w:pPr>
              <w:pStyle w:val="13"/>
            </w:pPr>
            <w:r>
              <w:t>城市运转水电费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通过支付电费，保障我局负责的公共用电设施正常运转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80.00</w:t>
            </w:r>
          </w:p>
        </w:tc>
        <w:tc>
          <w:tcPr>
            <w:tcW w:w="2551" w:type="dxa"/>
            <w:vAlign w:val="center"/>
          </w:tcPr>
          <w:p>
            <w:pPr>
              <w:pStyle w:val="14"/>
            </w:pPr>
            <w:r>
              <w:t>100.00</w:t>
            </w:r>
          </w:p>
        </w:tc>
        <w:tc>
          <w:tcPr>
            <w:tcW w:w="3544" w:type="dxa"/>
            <w:gridSpan w:val="2"/>
            <w:vAlign w:val="center"/>
          </w:tcPr>
          <w:p>
            <w:pPr>
              <w:pStyle w:val="14"/>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1.通过支付电费，保障我局负责的电设施正常运转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缴费次数</w:t>
            </w:r>
          </w:p>
        </w:tc>
        <w:tc>
          <w:tcPr>
            <w:tcW w:w="5386" w:type="dxa"/>
            <w:vAlign w:val="center"/>
          </w:tcPr>
          <w:p>
            <w:pPr>
              <w:pStyle w:val="13"/>
            </w:pPr>
            <w:r>
              <w:t>电费全年缴纳次数</w:t>
            </w:r>
          </w:p>
        </w:tc>
        <w:tc>
          <w:tcPr>
            <w:tcW w:w="2268" w:type="dxa"/>
            <w:vAlign w:val="center"/>
          </w:tcPr>
          <w:p>
            <w:pPr>
              <w:pStyle w:val="13"/>
            </w:pPr>
            <w:r>
              <w:t>≤12次/年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景观效果</w:t>
            </w:r>
          </w:p>
        </w:tc>
        <w:tc>
          <w:tcPr>
            <w:tcW w:w="5386" w:type="dxa"/>
            <w:vAlign w:val="center"/>
          </w:tcPr>
          <w:p>
            <w:pPr>
              <w:pStyle w:val="13"/>
            </w:pPr>
            <w:r>
              <w:t>灯光景观正常运转率</w:t>
            </w:r>
          </w:p>
        </w:tc>
        <w:tc>
          <w:tcPr>
            <w:tcW w:w="2268" w:type="dxa"/>
            <w:vAlign w:val="center"/>
          </w:tcPr>
          <w:p>
            <w:pPr>
              <w:pStyle w:val="13"/>
            </w:pPr>
            <w:r>
              <w:t>≥98%</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及时缴纳电费</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项目控制数</w:t>
            </w:r>
          </w:p>
        </w:tc>
        <w:tc>
          <w:tcPr>
            <w:tcW w:w="5386" w:type="dxa"/>
            <w:vAlign w:val="center"/>
          </w:tcPr>
          <w:p>
            <w:pPr>
              <w:pStyle w:val="13"/>
            </w:pPr>
            <w:r>
              <w:t>支出控制数</w:t>
            </w:r>
          </w:p>
        </w:tc>
        <w:tc>
          <w:tcPr>
            <w:tcW w:w="2268" w:type="dxa"/>
            <w:vAlign w:val="center"/>
          </w:tcPr>
          <w:p>
            <w:pPr>
              <w:pStyle w:val="13"/>
            </w:pPr>
            <w:r>
              <w:t>≤150万元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安全意识</w:t>
            </w:r>
          </w:p>
        </w:tc>
        <w:tc>
          <w:tcPr>
            <w:tcW w:w="5386" w:type="dxa"/>
            <w:vAlign w:val="center"/>
          </w:tcPr>
          <w:p>
            <w:pPr>
              <w:pStyle w:val="13"/>
            </w:pPr>
            <w:r>
              <w:t>反映群众对用电设施的安全意识情况</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w:t>
            </w:r>
          </w:p>
        </w:tc>
        <w:tc>
          <w:tcPr>
            <w:tcW w:w="5386" w:type="dxa"/>
            <w:vAlign w:val="center"/>
          </w:tcPr>
          <w:p>
            <w:pPr>
              <w:pStyle w:val="13"/>
            </w:pPr>
            <w:r>
              <w:t>反映节约用电情况</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服务保障</w:t>
            </w:r>
          </w:p>
        </w:tc>
        <w:tc>
          <w:tcPr>
            <w:tcW w:w="5386" w:type="dxa"/>
            <w:vAlign w:val="center"/>
          </w:tcPr>
          <w:p>
            <w:pPr>
              <w:pStyle w:val="13"/>
            </w:pPr>
            <w:r>
              <w:t>综合服务保障提质增效明显</w:t>
            </w:r>
          </w:p>
        </w:tc>
        <w:tc>
          <w:tcPr>
            <w:tcW w:w="2268" w:type="dxa"/>
            <w:vAlign w:val="center"/>
          </w:tcPr>
          <w:p>
            <w:pPr>
              <w:pStyle w:val="13"/>
            </w:pPr>
            <w:r>
              <w:t>较上年提升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4、城外环卫服务市场化运营项目绩效目标表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13010726P00004210021C</w:t>
            </w:r>
          </w:p>
        </w:tc>
        <w:tc>
          <w:tcPr>
            <w:tcW w:w="2835" w:type="dxa"/>
            <w:vAlign w:val="center"/>
          </w:tcPr>
          <w:p>
            <w:pPr>
              <w:pStyle w:val="11"/>
            </w:pPr>
            <w:r>
              <w:t>项目名称</w:t>
            </w:r>
          </w:p>
        </w:tc>
        <w:tc>
          <w:tcPr>
            <w:tcW w:w="6095" w:type="dxa"/>
            <w:gridSpan w:val="3"/>
            <w:vAlign w:val="center"/>
          </w:tcPr>
          <w:p>
            <w:pPr>
              <w:pStyle w:val="13"/>
            </w:pPr>
            <w:r>
              <w:t>城外环卫服务市场化运营项目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760.00</w:t>
            </w:r>
          </w:p>
        </w:tc>
        <w:tc>
          <w:tcPr>
            <w:tcW w:w="2835" w:type="dxa"/>
            <w:vAlign w:val="center"/>
          </w:tcPr>
          <w:p>
            <w:pPr>
              <w:pStyle w:val="11"/>
            </w:pPr>
            <w:r>
              <w:t>其中：财政    资金</w:t>
            </w:r>
          </w:p>
        </w:tc>
        <w:tc>
          <w:tcPr>
            <w:tcW w:w="2551" w:type="dxa"/>
            <w:vAlign w:val="center"/>
          </w:tcPr>
          <w:p>
            <w:pPr>
              <w:pStyle w:val="13"/>
            </w:pPr>
            <w:r>
              <w:t>760.00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190.00</w:t>
            </w:r>
          </w:p>
        </w:tc>
        <w:tc>
          <w:tcPr>
            <w:tcW w:w="2835" w:type="dxa"/>
            <w:vAlign w:val="center"/>
          </w:tcPr>
          <w:p>
            <w:pPr>
              <w:pStyle w:val="14"/>
            </w:pPr>
            <w:r>
              <w:t>380.00</w:t>
            </w:r>
          </w:p>
        </w:tc>
        <w:tc>
          <w:tcPr>
            <w:tcW w:w="2551" w:type="dxa"/>
            <w:vAlign w:val="center"/>
          </w:tcPr>
          <w:p>
            <w:pPr>
              <w:pStyle w:val="14"/>
            </w:pPr>
            <w:r>
              <w:t>570.00</w:t>
            </w:r>
          </w:p>
        </w:tc>
        <w:tc>
          <w:tcPr>
            <w:tcW w:w="3544" w:type="dxa"/>
            <w:gridSpan w:val="2"/>
            <w:vAlign w:val="center"/>
          </w:tcPr>
          <w:p>
            <w:pPr>
              <w:pStyle w:val="14"/>
            </w:pPr>
            <w:r>
              <w:t>760.00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1.通过购买环卫服务，打造干净整洁的城区环境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清扫面积</w:t>
            </w:r>
          </w:p>
        </w:tc>
        <w:tc>
          <w:tcPr>
            <w:tcW w:w="5386" w:type="dxa"/>
            <w:vAlign w:val="center"/>
          </w:tcPr>
          <w:p>
            <w:pPr>
              <w:pStyle w:val="13"/>
            </w:pPr>
            <w:r>
              <w:t>该指标反映环卫市场化运营负责的面积为清扫保洁责任区面积为567826平方米（中创）</w:t>
            </w:r>
          </w:p>
        </w:tc>
        <w:tc>
          <w:tcPr>
            <w:tcW w:w="2268" w:type="dxa"/>
            <w:vAlign w:val="center"/>
          </w:tcPr>
          <w:p>
            <w:pPr>
              <w:pStyle w:val="13"/>
            </w:pPr>
            <w:r>
              <w:t>≥567826平方米</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清扫质量达标率</w:t>
            </w:r>
          </w:p>
        </w:tc>
        <w:tc>
          <w:tcPr>
            <w:tcW w:w="5386" w:type="dxa"/>
            <w:vAlign w:val="center"/>
          </w:tcPr>
          <w:p>
            <w:pPr>
              <w:pStyle w:val="13"/>
            </w:pPr>
            <w:r>
              <w:t>清扫质量达标率</w:t>
            </w:r>
          </w:p>
        </w:tc>
        <w:tc>
          <w:tcPr>
            <w:tcW w:w="2268" w:type="dxa"/>
            <w:vAlign w:val="center"/>
          </w:tcPr>
          <w:p>
            <w:pPr>
              <w:pStyle w:val="13"/>
            </w:pPr>
            <w:r>
              <w:t>≥95%</w:t>
            </w:r>
          </w:p>
        </w:tc>
        <w:tc>
          <w:tcPr>
            <w:tcW w:w="1276" w:type="dxa"/>
            <w:vAlign w:val="center"/>
          </w:tcPr>
          <w:p>
            <w:pPr>
              <w:pStyle w:val="13"/>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按时完成工作数量占总工作比例</w:t>
            </w:r>
          </w:p>
        </w:tc>
        <w:tc>
          <w:tcPr>
            <w:tcW w:w="2268" w:type="dxa"/>
            <w:vAlign w:val="center"/>
          </w:tcPr>
          <w:p>
            <w:pPr>
              <w:pStyle w:val="13"/>
            </w:pPr>
            <w:r>
              <w:t>≥95%</w:t>
            </w:r>
          </w:p>
        </w:tc>
        <w:tc>
          <w:tcPr>
            <w:tcW w:w="1276" w:type="dxa"/>
            <w:vAlign w:val="center"/>
          </w:tcPr>
          <w:p>
            <w:pPr>
              <w:pStyle w:val="13"/>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全年项目支出控制在760万元内</w:t>
            </w:r>
          </w:p>
        </w:tc>
        <w:tc>
          <w:tcPr>
            <w:tcW w:w="2268" w:type="dxa"/>
            <w:vAlign w:val="center"/>
          </w:tcPr>
          <w:p>
            <w:pPr>
              <w:pStyle w:val="13"/>
            </w:pPr>
            <w:r>
              <w:t>≤760万元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带动项目区人口就业人数</w:t>
            </w:r>
          </w:p>
        </w:tc>
        <w:tc>
          <w:tcPr>
            <w:tcW w:w="5386" w:type="dxa"/>
            <w:vAlign w:val="center"/>
          </w:tcPr>
          <w:p>
            <w:pPr>
              <w:pStyle w:val="13"/>
            </w:pPr>
            <w:r>
              <w:t>按实际测算</w:t>
            </w:r>
          </w:p>
        </w:tc>
        <w:tc>
          <w:tcPr>
            <w:tcW w:w="2268" w:type="dxa"/>
            <w:vAlign w:val="center"/>
          </w:tcPr>
          <w:p>
            <w:pPr>
              <w:pStyle w:val="13"/>
            </w:pPr>
            <w:r>
              <w:t>≥50人</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提高人居环境空气质量</w:t>
            </w:r>
          </w:p>
        </w:tc>
        <w:tc>
          <w:tcPr>
            <w:tcW w:w="5386" w:type="dxa"/>
            <w:vAlign w:val="center"/>
          </w:tcPr>
          <w:p>
            <w:pPr>
              <w:pStyle w:val="13"/>
            </w:pPr>
            <w:r>
              <w:t>有效提高人居环境空气质量</w:t>
            </w:r>
          </w:p>
        </w:tc>
        <w:tc>
          <w:tcPr>
            <w:tcW w:w="2268" w:type="dxa"/>
            <w:vAlign w:val="center"/>
          </w:tcPr>
          <w:p>
            <w:pPr>
              <w:pStyle w:val="13"/>
            </w:pPr>
            <w:r>
              <w:t>较上年提高</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优化环境</w:t>
            </w:r>
          </w:p>
        </w:tc>
        <w:tc>
          <w:tcPr>
            <w:tcW w:w="5386" w:type="dxa"/>
            <w:vAlign w:val="center"/>
          </w:tcPr>
          <w:p>
            <w:pPr>
              <w:pStyle w:val="13"/>
            </w:pPr>
            <w:r>
              <w:t>持续改善环境污染、优化城市环境</w:t>
            </w:r>
          </w:p>
        </w:tc>
        <w:tc>
          <w:tcPr>
            <w:tcW w:w="2268" w:type="dxa"/>
            <w:vAlign w:val="center"/>
          </w:tcPr>
          <w:p>
            <w:pPr>
              <w:pStyle w:val="13"/>
            </w:pPr>
            <w:r>
              <w:t>全年持续改善</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5、供暖项目应急保障费用绩效目标表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13010726P000004100065</w:t>
            </w:r>
          </w:p>
        </w:tc>
        <w:tc>
          <w:tcPr>
            <w:tcW w:w="2835" w:type="dxa"/>
            <w:vAlign w:val="center"/>
          </w:tcPr>
          <w:p>
            <w:pPr>
              <w:pStyle w:val="11"/>
            </w:pPr>
            <w:r>
              <w:t>项目名称</w:t>
            </w:r>
          </w:p>
        </w:tc>
        <w:tc>
          <w:tcPr>
            <w:tcW w:w="6095" w:type="dxa"/>
            <w:gridSpan w:val="3"/>
            <w:vAlign w:val="center"/>
          </w:tcPr>
          <w:p>
            <w:pPr>
              <w:pStyle w:val="13"/>
            </w:pPr>
            <w:r>
              <w:t>供暖项目应急保障费用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1300.00</w:t>
            </w:r>
          </w:p>
        </w:tc>
        <w:tc>
          <w:tcPr>
            <w:tcW w:w="2835" w:type="dxa"/>
            <w:vAlign w:val="center"/>
          </w:tcPr>
          <w:p>
            <w:pPr>
              <w:pStyle w:val="11"/>
            </w:pPr>
            <w:r>
              <w:t>其中：财政    资金</w:t>
            </w:r>
          </w:p>
        </w:tc>
        <w:tc>
          <w:tcPr>
            <w:tcW w:w="2551" w:type="dxa"/>
            <w:vAlign w:val="center"/>
          </w:tcPr>
          <w:p>
            <w:pPr>
              <w:pStyle w:val="13"/>
            </w:pPr>
            <w:r>
              <w:t>1300.00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通过支付供暖项目应急保障费用，保障我区供热效果达到居民基本满意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1300.00</w:t>
            </w:r>
          </w:p>
        </w:tc>
        <w:tc>
          <w:tcPr>
            <w:tcW w:w="2835" w:type="dxa"/>
            <w:vAlign w:val="center"/>
          </w:tcPr>
          <w:p>
            <w:pPr>
              <w:pStyle w:val="14"/>
            </w:pPr>
            <w:r>
              <w:t>1300.00</w:t>
            </w:r>
          </w:p>
        </w:tc>
        <w:tc>
          <w:tcPr>
            <w:tcW w:w="2551" w:type="dxa"/>
            <w:vAlign w:val="center"/>
          </w:tcPr>
          <w:p>
            <w:pPr>
              <w:pStyle w:val="14"/>
            </w:pPr>
            <w:r>
              <w:t>1300.00</w:t>
            </w:r>
          </w:p>
        </w:tc>
        <w:tc>
          <w:tcPr>
            <w:tcW w:w="3544" w:type="dxa"/>
            <w:gridSpan w:val="2"/>
            <w:vAlign w:val="center"/>
          </w:tcPr>
          <w:p>
            <w:pPr>
              <w:pStyle w:val="14"/>
            </w:pPr>
            <w:r>
              <w:t>1300.00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1.通过支付供暖项目应急保障费用，保障我区供热效果达到居民基本满意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供热面积</w:t>
            </w:r>
          </w:p>
        </w:tc>
        <w:tc>
          <w:tcPr>
            <w:tcW w:w="5386" w:type="dxa"/>
            <w:vAlign w:val="center"/>
          </w:tcPr>
          <w:p>
            <w:pPr>
              <w:pStyle w:val="13"/>
            </w:pPr>
            <w:r>
              <w:t>我区供热总面积</w:t>
            </w:r>
          </w:p>
        </w:tc>
        <w:tc>
          <w:tcPr>
            <w:tcW w:w="2268" w:type="dxa"/>
            <w:vAlign w:val="center"/>
          </w:tcPr>
          <w:p>
            <w:pPr>
              <w:pStyle w:val="13"/>
            </w:pPr>
            <w:r>
              <w:t>≥357平方米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供热质量</w:t>
            </w:r>
          </w:p>
        </w:tc>
        <w:tc>
          <w:tcPr>
            <w:tcW w:w="5386" w:type="dxa"/>
            <w:vAlign w:val="center"/>
          </w:tcPr>
          <w:p>
            <w:pPr>
              <w:pStyle w:val="13"/>
            </w:pPr>
            <w:r>
              <w:t>居民室内温度达到法定标准</w:t>
            </w:r>
          </w:p>
        </w:tc>
        <w:tc>
          <w:tcPr>
            <w:tcW w:w="2268" w:type="dxa"/>
            <w:vAlign w:val="center"/>
          </w:tcPr>
          <w:p>
            <w:pPr>
              <w:pStyle w:val="13"/>
            </w:pPr>
            <w:r>
              <w:t>≥18度</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大温差设备运行平稳率</w:t>
            </w:r>
          </w:p>
        </w:tc>
        <w:tc>
          <w:tcPr>
            <w:tcW w:w="5386" w:type="dxa"/>
            <w:vAlign w:val="center"/>
          </w:tcPr>
          <w:p>
            <w:pPr>
              <w:pStyle w:val="13"/>
            </w:pPr>
            <w:r>
              <w:t>实现原系统和大温差系统的无扰切换；保证居民用热安全稳定。</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全年预算支出控制在1300万元内</w:t>
            </w:r>
          </w:p>
        </w:tc>
        <w:tc>
          <w:tcPr>
            <w:tcW w:w="2268" w:type="dxa"/>
            <w:vAlign w:val="center"/>
          </w:tcPr>
          <w:p>
            <w:pPr>
              <w:pStyle w:val="13"/>
            </w:pPr>
            <w:r>
              <w:t>≤1300万元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正常供热率</w:t>
            </w:r>
          </w:p>
        </w:tc>
        <w:tc>
          <w:tcPr>
            <w:tcW w:w="5386" w:type="dxa"/>
            <w:vAlign w:val="center"/>
          </w:tcPr>
          <w:p>
            <w:pPr>
              <w:pStyle w:val="13"/>
            </w:pPr>
            <w:r>
              <w:t>正常供热率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抢修率</w:t>
            </w:r>
          </w:p>
        </w:tc>
        <w:tc>
          <w:tcPr>
            <w:tcW w:w="5386" w:type="dxa"/>
            <w:vAlign w:val="center"/>
          </w:tcPr>
          <w:p>
            <w:pPr>
              <w:pStyle w:val="13"/>
            </w:pPr>
            <w:r>
              <w:t>抢修完成率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压减燃煤</w:t>
            </w:r>
          </w:p>
        </w:tc>
        <w:tc>
          <w:tcPr>
            <w:tcW w:w="5386" w:type="dxa"/>
            <w:vAlign w:val="center"/>
          </w:tcPr>
          <w:p>
            <w:pPr>
              <w:pStyle w:val="13"/>
            </w:pPr>
            <w:r>
              <w:t>实施天然气锅炉供热替代分散燃煤供热，减少因燃煤供热引起的大气污染，提高社会公共效能</w:t>
            </w:r>
          </w:p>
        </w:tc>
        <w:tc>
          <w:tcPr>
            <w:tcW w:w="2268" w:type="dxa"/>
            <w:vAlign w:val="center"/>
          </w:tcPr>
          <w:p>
            <w:pPr>
              <w:pStyle w:val="13"/>
            </w:pPr>
            <w:r>
              <w:t>空气质量较上一年明显提升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≥95%</w:t>
            </w:r>
          </w:p>
        </w:tc>
        <w:tc>
          <w:tcPr>
            <w:tcW w:w="1276" w:type="dxa"/>
            <w:vAlign w:val="center"/>
          </w:tcPr>
          <w:p>
            <w:pPr>
              <w:pStyle w:val="13"/>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6、环卫服务市场化运营项目绩效目标表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13010726P00004210020Q</w:t>
            </w:r>
          </w:p>
        </w:tc>
        <w:tc>
          <w:tcPr>
            <w:tcW w:w="2835" w:type="dxa"/>
            <w:vAlign w:val="center"/>
          </w:tcPr>
          <w:p>
            <w:pPr>
              <w:pStyle w:val="11"/>
            </w:pPr>
            <w:r>
              <w:t>项目名称</w:t>
            </w:r>
          </w:p>
        </w:tc>
        <w:tc>
          <w:tcPr>
            <w:tcW w:w="6095" w:type="dxa"/>
            <w:gridSpan w:val="3"/>
            <w:vAlign w:val="center"/>
          </w:tcPr>
          <w:p>
            <w:pPr>
              <w:pStyle w:val="13"/>
            </w:pPr>
            <w:r>
              <w:t>环卫服务市场化运营项目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1451.00</w:t>
            </w:r>
          </w:p>
        </w:tc>
        <w:tc>
          <w:tcPr>
            <w:tcW w:w="2835" w:type="dxa"/>
            <w:vAlign w:val="center"/>
          </w:tcPr>
          <w:p>
            <w:pPr>
              <w:pStyle w:val="11"/>
            </w:pPr>
            <w:r>
              <w:t>其中：财政    资金</w:t>
            </w:r>
          </w:p>
        </w:tc>
        <w:tc>
          <w:tcPr>
            <w:tcW w:w="2551" w:type="dxa"/>
            <w:vAlign w:val="center"/>
          </w:tcPr>
          <w:p>
            <w:pPr>
              <w:pStyle w:val="13"/>
            </w:pPr>
            <w:r>
              <w:t>1451.00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362.75</w:t>
            </w:r>
          </w:p>
        </w:tc>
        <w:tc>
          <w:tcPr>
            <w:tcW w:w="2835" w:type="dxa"/>
            <w:vAlign w:val="center"/>
          </w:tcPr>
          <w:p>
            <w:pPr>
              <w:pStyle w:val="14"/>
            </w:pPr>
            <w:r>
              <w:t>725.50</w:t>
            </w:r>
          </w:p>
        </w:tc>
        <w:tc>
          <w:tcPr>
            <w:tcW w:w="2551" w:type="dxa"/>
            <w:vAlign w:val="center"/>
          </w:tcPr>
          <w:p>
            <w:pPr>
              <w:pStyle w:val="14"/>
            </w:pPr>
            <w:r>
              <w:t>1088.25</w:t>
            </w:r>
          </w:p>
        </w:tc>
        <w:tc>
          <w:tcPr>
            <w:tcW w:w="3544" w:type="dxa"/>
            <w:gridSpan w:val="2"/>
            <w:vAlign w:val="center"/>
          </w:tcPr>
          <w:p>
            <w:pPr>
              <w:pStyle w:val="14"/>
            </w:pPr>
            <w:r>
              <w:t>1451.00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1.通过购买环卫服务，打造干净整洁的城区环境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清扫面积</w:t>
            </w:r>
          </w:p>
        </w:tc>
        <w:tc>
          <w:tcPr>
            <w:tcW w:w="5386" w:type="dxa"/>
            <w:vAlign w:val="center"/>
          </w:tcPr>
          <w:p>
            <w:pPr>
              <w:pStyle w:val="13"/>
            </w:pPr>
            <w:r>
              <w:t>该指标反映环卫市场化运营负责的面积为923536.58平米（新源）</w:t>
            </w:r>
          </w:p>
        </w:tc>
        <w:tc>
          <w:tcPr>
            <w:tcW w:w="2268" w:type="dxa"/>
            <w:vAlign w:val="center"/>
          </w:tcPr>
          <w:p>
            <w:pPr>
              <w:pStyle w:val="13"/>
            </w:pPr>
            <w:r>
              <w:t>≥923536.58平方米</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清扫质量达标率</w:t>
            </w:r>
          </w:p>
        </w:tc>
        <w:tc>
          <w:tcPr>
            <w:tcW w:w="5386" w:type="dxa"/>
            <w:vAlign w:val="center"/>
          </w:tcPr>
          <w:p>
            <w:pPr>
              <w:pStyle w:val="13"/>
            </w:pPr>
            <w:r>
              <w:t>清扫质量达标率</w:t>
            </w:r>
          </w:p>
        </w:tc>
        <w:tc>
          <w:tcPr>
            <w:tcW w:w="2268" w:type="dxa"/>
            <w:vAlign w:val="center"/>
          </w:tcPr>
          <w:p>
            <w:pPr>
              <w:pStyle w:val="13"/>
            </w:pPr>
            <w:r>
              <w:t>≥95%</w:t>
            </w:r>
          </w:p>
        </w:tc>
        <w:tc>
          <w:tcPr>
            <w:tcW w:w="1276" w:type="dxa"/>
            <w:vAlign w:val="center"/>
          </w:tcPr>
          <w:p>
            <w:pPr>
              <w:pStyle w:val="13"/>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各项工作按时完成率</w:t>
            </w:r>
          </w:p>
        </w:tc>
        <w:tc>
          <w:tcPr>
            <w:tcW w:w="5386" w:type="dxa"/>
            <w:vAlign w:val="center"/>
          </w:tcPr>
          <w:p>
            <w:pPr>
              <w:pStyle w:val="13"/>
            </w:pPr>
            <w:r>
              <w:t>按时完成工作数量占总工作比例</w:t>
            </w:r>
          </w:p>
        </w:tc>
        <w:tc>
          <w:tcPr>
            <w:tcW w:w="2268" w:type="dxa"/>
            <w:vAlign w:val="center"/>
          </w:tcPr>
          <w:p>
            <w:pPr>
              <w:pStyle w:val="13"/>
            </w:pPr>
            <w:r>
              <w:t>≥95%</w:t>
            </w:r>
          </w:p>
        </w:tc>
        <w:tc>
          <w:tcPr>
            <w:tcW w:w="1276" w:type="dxa"/>
            <w:vAlign w:val="center"/>
          </w:tcPr>
          <w:p>
            <w:pPr>
              <w:pStyle w:val="13"/>
            </w:pPr>
            <w:r>
              <w:t>井陉矿区环境卫生作业考核评分标准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全年项目支出控制在1451万元内</w:t>
            </w:r>
          </w:p>
        </w:tc>
        <w:tc>
          <w:tcPr>
            <w:tcW w:w="2268" w:type="dxa"/>
            <w:vAlign w:val="center"/>
          </w:tcPr>
          <w:p>
            <w:pPr>
              <w:pStyle w:val="13"/>
            </w:pPr>
            <w:r>
              <w:t>≤1451万元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带动项目区人口就业人数</w:t>
            </w:r>
          </w:p>
        </w:tc>
        <w:tc>
          <w:tcPr>
            <w:tcW w:w="5386" w:type="dxa"/>
            <w:vAlign w:val="center"/>
          </w:tcPr>
          <w:p>
            <w:pPr>
              <w:pStyle w:val="13"/>
            </w:pPr>
            <w:r>
              <w:t>按实际测算</w:t>
            </w:r>
          </w:p>
        </w:tc>
        <w:tc>
          <w:tcPr>
            <w:tcW w:w="2268" w:type="dxa"/>
            <w:vAlign w:val="center"/>
          </w:tcPr>
          <w:p>
            <w:pPr>
              <w:pStyle w:val="13"/>
            </w:pPr>
            <w:r>
              <w:t>≥50人</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提高人居环境空气质量</w:t>
            </w:r>
          </w:p>
        </w:tc>
        <w:tc>
          <w:tcPr>
            <w:tcW w:w="5386" w:type="dxa"/>
            <w:vAlign w:val="center"/>
          </w:tcPr>
          <w:p>
            <w:pPr>
              <w:pStyle w:val="13"/>
            </w:pPr>
            <w:r>
              <w:t>有效提高人居环境空气质量</w:t>
            </w:r>
          </w:p>
        </w:tc>
        <w:tc>
          <w:tcPr>
            <w:tcW w:w="2268" w:type="dxa"/>
            <w:vAlign w:val="center"/>
          </w:tcPr>
          <w:p>
            <w:pPr>
              <w:pStyle w:val="13"/>
            </w:pPr>
            <w:r>
              <w:t>较上年提高</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优化环境</w:t>
            </w:r>
          </w:p>
        </w:tc>
        <w:tc>
          <w:tcPr>
            <w:tcW w:w="5386" w:type="dxa"/>
            <w:vAlign w:val="center"/>
          </w:tcPr>
          <w:p>
            <w:pPr>
              <w:pStyle w:val="13"/>
            </w:pPr>
            <w:r>
              <w:t>持续改善环境污染、优化城市环境</w:t>
            </w:r>
          </w:p>
        </w:tc>
        <w:tc>
          <w:tcPr>
            <w:tcW w:w="2268" w:type="dxa"/>
            <w:vAlign w:val="center"/>
          </w:tcPr>
          <w:p>
            <w:pPr>
              <w:pStyle w:val="13"/>
            </w:pPr>
            <w:r>
              <w:t>全年持续改善</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7、湿地公园占用土地补偿绩效目标表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13010726P000186100836</w:t>
            </w:r>
          </w:p>
        </w:tc>
        <w:tc>
          <w:tcPr>
            <w:tcW w:w="2835" w:type="dxa"/>
            <w:vAlign w:val="center"/>
          </w:tcPr>
          <w:p>
            <w:pPr>
              <w:pStyle w:val="11"/>
            </w:pPr>
            <w:r>
              <w:t>项目名称</w:t>
            </w:r>
          </w:p>
        </w:tc>
        <w:tc>
          <w:tcPr>
            <w:tcW w:w="6095" w:type="dxa"/>
            <w:gridSpan w:val="3"/>
            <w:vAlign w:val="center"/>
          </w:tcPr>
          <w:p>
            <w:pPr>
              <w:pStyle w:val="13"/>
            </w:pPr>
            <w:r>
              <w:t>湿地公园占用土地补偿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60.00</w:t>
            </w:r>
          </w:p>
        </w:tc>
        <w:tc>
          <w:tcPr>
            <w:tcW w:w="2551" w:type="dxa"/>
            <w:vAlign w:val="center"/>
          </w:tcPr>
          <w:p>
            <w:pPr>
              <w:pStyle w:val="14"/>
            </w:pPr>
            <w:r>
              <w:t>60.00</w:t>
            </w:r>
          </w:p>
        </w:tc>
        <w:tc>
          <w:tcPr>
            <w:tcW w:w="3544"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1.通过支付占用土地补偿款，助力公园建设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占地补偿面积</w:t>
            </w:r>
          </w:p>
        </w:tc>
        <w:tc>
          <w:tcPr>
            <w:tcW w:w="5386" w:type="dxa"/>
            <w:vAlign w:val="center"/>
          </w:tcPr>
          <w:p>
            <w:pPr>
              <w:pStyle w:val="13"/>
            </w:pPr>
            <w:r>
              <w:t>占地补偿面积数</w:t>
            </w:r>
          </w:p>
        </w:tc>
        <w:tc>
          <w:tcPr>
            <w:tcW w:w="2268" w:type="dxa"/>
            <w:vAlign w:val="center"/>
          </w:tcPr>
          <w:p>
            <w:pPr>
              <w:pStyle w:val="13"/>
            </w:pPr>
            <w:r>
              <w:t>≥493.04亩</w:t>
            </w:r>
          </w:p>
        </w:tc>
        <w:tc>
          <w:tcPr>
            <w:tcW w:w="1276" w:type="dxa"/>
            <w:vAlign w:val="center"/>
          </w:tcPr>
          <w:p>
            <w:pPr>
              <w:pStyle w:val="13"/>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发放率</w:t>
            </w:r>
          </w:p>
        </w:tc>
        <w:tc>
          <w:tcPr>
            <w:tcW w:w="5386" w:type="dxa"/>
            <w:vAlign w:val="center"/>
          </w:tcPr>
          <w:p>
            <w:pPr>
              <w:pStyle w:val="13"/>
            </w:pPr>
            <w:r>
              <w:t>占地补偿发放率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≥95 %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项目支出在预算控制数内</w:t>
            </w:r>
          </w:p>
        </w:tc>
        <w:tc>
          <w:tcPr>
            <w:tcW w:w="2268" w:type="dxa"/>
            <w:vAlign w:val="center"/>
          </w:tcPr>
          <w:p>
            <w:pPr>
              <w:pStyle w:val="13"/>
            </w:pPr>
            <w:r>
              <w:t>≤60万元</w:t>
            </w:r>
          </w:p>
        </w:tc>
        <w:tc>
          <w:tcPr>
            <w:tcW w:w="1276" w:type="dxa"/>
            <w:vAlign w:val="center"/>
          </w:tcPr>
          <w:p>
            <w:pPr>
              <w:pStyle w:val="13"/>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增加当地收入</w:t>
            </w:r>
          </w:p>
        </w:tc>
        <w:tc>
          <w:tcPr>
            <w:tcW w:w="5386" w:type="dxa"/>
            <w:vAlign w:val="center"/>
          </w:tcPr>
          <w:p>
            <w:pPr>
              <w:pStyle w:val="13"/>
            </w:pPr>
            <w:r>
              <w:t>按照规划在公园内开发商业门脸，增加商户收入</w:t>
            </w:r>
          </w:p>
        </w:tc>
        <w:tc>
          <w:tcPr>
            <w:tcW w:w="2268" w:type="dxa"/>
            <w:vAlign w:val="center"/>
          </w:tcPr>
          <w:p>
            <w:pPr>
              <w:pStyle w:val="13"/>
            </w:pPr>
            <w:r>
              <w:t>提高3%</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景观改善</w:t>
            </w:r>
          </w:p>
        </w:tc>
        <w:tc>
          <w:tcPr>
            <w:tcW w:w="5386" w:type="dxa"/>
            <w:vAlign w:val="center"/>
          </w:tcPr>
          <w:p>
            <w:pPr>
              <w:pStyle w:val="13"/>
            </w:pPr>
            <w:r>
              <w:t>项目实施后景观改善情况</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环境改善</w:t>
            </w:r>
          </w:p>
        </w:tc>
        <w:tc>
          <w:tcPr>
            <w:tcW w:w="5386" w:type="dxa"/>
            <w:vAlign w:val="center"/>
          </w:tcPr>
          <w:p>
            <w:pPr>
              <w:pStyle w:val="13"/>
            </w:pPr>
            <w:r>
              <w:t>建立舒适、安全环境</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8、填埋场市场化运营（3人工资）绩效目标表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13010726P00021010399N</w:t>
            </w:r>
          </w:p>
        </w:tc>
        <w:tc>
          <w:tcPr>
            <w:tcW w:w="2835" w:type="dxa"/>
            <w:vAlign w:val="center"/>
          </w:tcPr>
          <w:p>
            <w:pPr>
              <w:pStyle w:val="11"/>
            </w:pPr>
            <w:r>
              <w:t>项目名称</w:t>
            </w:r>
          </w:p>
        </w:tc>
        <w:tc>
          <w:tcPr>
            <w:tcW w:w="6095" w:type="dxa"/>
            <w:gridSpan w:val="3"/>
            <w:vAlign w:val="center"/>
          </w:tcPr>
          <w:p>
            <w:pPr>
              <w:pStyle w:val="13"/>
            </w:pPr>
            <w:r>
              <w:t>填埋场市场化运营（3人工资）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6.91</w:t>
            </w:r>
          </w:p>
        </w:tc>
        <w:tc>
          <w:tcPr>
            <w:tcW w:w="2835" w:type="dxa"/>
            <w:vAlign w:val="center"/>
          </w:tcPr>
          <w:p>
            <w:pPr>
              <w:pStyle w:val="11"/>
            </w:pPr>
            <w:r>
              <w:t>其中：财政    资金</w:t>
            </w:r>
          </w:p>
        </w:tc>
        <w:tc>
          <w:tcPr>
            <w:tcW w:w="2551" w:type="dxa"/>
            <w:vAlign w:val="center"/>
          </w:tcPr>
          <w:p>
            <w:pPr>
              <w:pStyle w:val="13"/>
            </w:pPr>
            <w:r>
              <w:t>6.91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工作计划</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1.73</w:t>
            </w:r>
          </w:p>
        </w:tc>
        <w:tc>
          <w:tcPr>
            <w:tcW w:w="2835" w:type="dxa"/>
            <w:vAlign w:val="center"/>
          </w:tcPr>
          <w:p>
            <w:pPr>
              <w:pStyle w:val="14"/>
            </w:pPr>
            <w:r>
              <w:t>3.46</w:t>
            </w:r>
          </w:p>
        </w:tc>
        <w:tc>
          <w:tcPr>
            <w:tcW w:w="2551" w:type="dxa"/>
            <w:vAlign w:val="center"/>
          </w:tcPr>
          <w:p>
            <w:pPr>
              <w:pStyle w:val="14"/>
            </w:pPr>
            <w:r>
              <w:t>5.18</w:t>
            </w:r>
          </w:p>
        </w:tc>
        <w:tc>
          <w:tcPr>
            <w:tcW w:w="3544" w:type="dxa"/>
            <w:gridSpan w:val="2"/>
            <w:vAlign w:val="center"/>
          </w:tcPr>
          <w:p>
            <w:pPr>
              <w:pStyle w:val="14"/>
            </w:pPr>
            <w:r>
              <w:t>6.91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1.通过支付填埋场市场化运营3人工资，保障垃圾填埋场的正常运转。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检查覆盖率</w:t>
            </w:r>
          </w:p>
        </w:tc>
        <w:tc>
          <w:tcPr>
            <w:tcW w:w="5386" w:type="dxa"/>
            <w:vAlign w:val="center"/>
          </w:tcPr>
          <w:p>
            <w:pPr>
              <w:pStyle w:val="13"/>
            </w:pPr>
            <w:r>
              <w:t>检查每月次数及检查覆盖率，每月检查4次以上，检查覆盖率情况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生活垃圾处理率</w:t>
            </w:r>
          </w:p>
        </w:tc>
        <w:tc>
          <w:tcPr>
            <w:tcW w:w="5386" w:type="dxa"/>
            <w:vAlign w:val="center"/>
          </w:tcPr>
          <w:p>
            <w:pPr>
              <w:pStyle w:val="13"/>
            </w:pPr>
            <w:r>
              <w:t>全区生活垃圾，所接收生活垃圾处理率100%,达到生活垃圾卫生填埋标准；产生的渗滤液全部处理达标排放</w:t>
            </w:r>
          </w:p>
        </w:tc>
        <w:tc>
          <w:tcPr>
            <w:tcW w:w="2268" w:type="dxa"/>
            <w:vAlign w:val="center"/>
          </w:tcPr>
          <w:p>
            <w:pPr>
              <w:pStyle w:val="13"/>
            </w:pPr>
            <w:r>
              <w:t>≥100%</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垃圾填埋覆盖，渗滤液及时理情况</w:t>
            </w:r>
          </w:p>
        </w:tc>
        <w:tc>
          <w:tcPr>
            <w:tcW w:w="5386" w:type="dxa"/>
            <w:vAlign w:val="center"/>
          </w:tcPr>
          <w:p>
            <w:pPr>
              <w:pStyle w:val="13"/>
            </w:pPr>
            <w:r>
              <w:t>做到每日覆盖，无裸露；渗滤液及时处理</w:t>
            </w:r>
          </w:p>
        </w:tc>
        <w:tc>
          <w:tcPr>
            <w:tcW w:w="2268" w:type="dxa"/>
            <w:vAlign w:val="center"/>
          </w:tcPr>
          <w:p>
            <w:pPr>
              <w:pStyle w:val="13"/>
            </w:pPr>
            <w:r>
              <w:t>≥95%</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支出控制数</w:t>
            </w:r>
          </w:p>
        </w:tc>
        <w:tc>
          <w:tcPr>
            <w:tcW w:w="5386" w:type="dxa"/>
            <w:vAlign w:val="center"/>
          </w:tcPr>
          <w:p>
            <w:pPr>
              <w:pStyle w:val="13"/>
            </w:pPr>
            <w:r>
              <w:t>全年支出控制在6.91万元以内</w:t>
            </w:r>
          </w:p>
        </w:tc>
        <w:tc>
          <w:tcPr>
            <w:tcW w:w="2268" w:type="dxa"/>
            <w:vAlign w:val="center"/>
          </w:tcPr>
          <w:p>
            <w:pPr>
              <w:pStyle w:val="13"/>
            </w:pPr>
            <w:r>
              <w:t>≤6.91万元</w:t>
            </w:r>
          </w:p>
        </w:tc>
        <w:tc>
          <w:tcPr>
            <w:tcW w:w="1276"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改善市容市貌情况</w:t>
            </w:r>
          </w:p>
        </w:tc>
        <w:tc>
          <w:tcPr>
            <w:tcW w:w="5386" w:type="dxa"/>
            <w:vAlign w:val="center"/>
          </w:tcPr>
          <w:p>
            <w:pPr>
              <w:pStyle w:val="13"/>
            </w:pPr>
            <w:r>
              <w:t>大大减缓生活垃圾堆积对城市环境造成的压力，改善市容市貌，大大降低居民的不良心理、感官上的刺激和疾病的发生率，保障群众的身体健康安全。</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解决垃圾围城问题，改善环境</w:t>
            </w:r>
          </w:p>
        </w:tc>
        <w:tc>
          <w:tcPr>
            <w:tcW w:w="5386" w:type="dxa"/>
            <w:vAlign w:val="center"/>
          </w:tcPr>
          <w:p>
            <w:pPr>
              <w:pStyle w:val="13"/>
            </w:pPr>
            <w:r>
              <w:t>保持城市环境卫生干净整洁，为市民提供舒适、干净的生活环境的程度</w:t>
            </w:r>
          </w:p>
        </w:tc>
        <w:tc>
          <w:tcPr>
            <w:tcW w:w="2268" w:type="dxa"/>
            <w:vAlign w:val="center"/>
          </w:tcPr>
          <w:p>
            <w:pPr>
              <w:pStyle w:val="13"/>
            </w:pPr>
            <w:r>
              <w:t>≥95%</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改善居住环境</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员工满意度</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9、西岗头占地补偿绩效目标表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13010726P00018610082J</w:t>
            </w:r>
          </w:p>
        </w:tc>
        <w:tc>
          <w:tcPr>
            <w:tcW w:w="2835" w:type="dxa"/>
            <w:vAlign w:val="center"/>
          </w:tcPr>
          <w:p>
            <w:pPr>
              <w:pStyle w:val="11"/>
            </w:pPr>
            <w:r>
              <w:t>项目名称</w:t>
            </w:r>
          </w:p>
        </w:tc>
        <w:tc>
          <w:tcPr>
            <w:tcW w:w="6095" w:type="dxa"/>
            <w:gridSpan w:val="3"/>
            <w:vAlign w:val="center"/>
          </w:tcPr>
          <w:p>
            <w:pPr>
              <w:pStyle w:val="13"/>
            </w:pPr>
            <w:r>
              <w:t>西岗头占地补偿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0.55</w:t>
            </w:r>
          </w:p>
        </w:tc>
        <w:tc>
          <w:tcPr>
            <w:tcW w:w="2835" w:type="dxa"/>
            <w:vAlign w:val="center"/>
          </w:tcPr>
          <w:p>
            <w:pPr>
              <w:pStyle w:val="11"/>
            </w:pPr>
            <w:r>
              <w:t>其中：财政    资金</w:t>
            </w:r>
          </w:p>
        </w:tc>
        <w:tc>
          <w:tcPr>
            <w:tcW w:w="2551" w:type="dxa"/>
            <w:vAlign w:val="center"/>
          </w:tcPr>
          <w:p>
            <w:pPr>
              <w:pStyle w:val="13"/>
            </w:pPr>
            <w:r>
              <w:t>0.55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0.55</w:t>
            </w:r>
          </w:p>
        </w:tc>
        <w:tc>
          <w:tcPr>
            <w:tcW w:w="2835" w:type="dxa"/>
            <w:vAlign w:val="center"/>
          </w:tcPr>
          <w:p>
            <w:pPr>
              <w:pStyle w:val="14"/>
            </w:pPr>
            <w:r>
              <w:t>0.55</w:t>
            </w:r>
          </w:p>
        </w:tc>
        <w:tc>
          <w:tcPr>
            <w:tcW w:w="2551" w:type="dxa"/>
            <w:vAlign w:val="center"/>
          </w:tcPr>
          <w:p>
            <w:pPr>
              <w:pStyle w:val="14"/>
            </w:pPr>
            <w:r>
              <w:t>0.55</w:t>
            </w:r>
          </w:p>
        </w:tc>
        <w:tc>
          <w:tcPr>
            <w:tcW w:w="3544" w:type="dxa"/>
            <w:gridSpan w:val="2"/>
            <w:vAlign w:val="center"/>
          </w:tcPr>
          <w:p>
            <w:pPr>
              <w:pStyle w:val="14"/>
            </w:pPr>
            <w:r>
              <w:t>0.55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1.通过支付占用土地补偿款，惠及占地村民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占地补偿面积</w:t>
            </w:r>
          </w:p>
        </w:tc>
        <w:tc>
          <w:tcPr>
            <w:tcW w:w="5386" w:type="dxa"/>
            <w:vAlign w:val="center"/>
          </w:tcPr>
          <w:p>
            <w:pPr>
              <w:pStyle w:val="13"/>
            </w:pPr>
            <w:r>
              <w:t>占地补偿面积数</w:t>
            </w:r>
          </w:p>
        </w:tc>
        <w:tc>
          <w:tcPr>
            <w:tcW w:w="2268" w:type="dxa"/>
            <w:vAlign w:val="center"/>
          </w:tcPr>
          <w:p>
            <w:pPr>
              <w:pStyle w:val="13"/>
            </w:pPr>
            <w:r>
              <w:t>≥2.3亩</w:t>
            </w:r>
          </w:p>
        </w:tc>
        <w:tc>
          <w:tcPr>
            <w:tcW w:w="1276" w:type="dxa"/>
            <w:vAlign w:val="center"/>
          </w:tcPr>
          <w:p>
            <w:pPr>
              <w:pStyle w:val="13"/>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补偿程序合规性</w:t>
            </w:r>
          </w:p>
        </w:tc>
        <w:tc>
          <w:tcPr>
            <w:tcW w:w="5386" w:type="dxa"/>
            <w:vAlign w:val="center"/>
          </w:tcPr>
          <w:p>
            <w:pPr>
              <w:pStyle w:val="13"/>
            </w:pPr>
            <w:r>
              <w:t>按规定对补偿政策、标准、被补偿人信息等进行公示的环节占应公开公示总环节数的比例。</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项目支出在预算控制数内</w:t>
            </w:r>
          </w:p>
        </w:tc>
        <w:tc>
          <w:tcPr>
            <w:tcW w:w="2268" w:type="dxa"/>
            <w:vAlign w:val="center"/>
          </w:tcPr>
          <w:p>
            <w:pPr>
              <w:pStyle w:val="13"/>
            </w:pPr>
            <w:r>
              <w:t>≤5520元</w:t>
            </w:r>
          </w:p>
        </w:tc>
        <w:tc>
          <w:tcPr>
            <w:tcW w:w="1276" w:type="dxa"/>
            <w:vAlign w:val="center"/>
          </w:tcPr>
          <w:p>
            <w:pPr>
              <w:pStyle w:val="13"/>
            </w:pPr>
            <w:r>
              <w:t>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增加当地收入</w:t>
            </w:r>
          </w:p>
        </w:tc>
        <w:tc>
          <w:tcPr>
            <w:tcW w:w="5386" w:type="dxa"/>
            <w:vAlign w:val="center"/>
          </w:tcPr>
          <w:p>
            <w:pPr>
              <w:pStyle w:val="13"/>
            </w:pPr>
            <w:r>
              <w:t>增加村民收入</w:t>
            </w:r>
          </w:p>
        </w:tc>
        <w:tc>
          <w:tcPr>
            <w:tcW w:w="2268" w:type="dxa"/>
            <w:vAlign w:val="center"/>
          </w:tcPr>
          <w:p>
            <w:pPr>
              <w:pStyle w:val="13"/>
            </w:pPr>
            <w:r>
              <w:t>提高3%</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景观改善</w:t>
            </w:r>
          </w:p>
        </w:tc>
        <w:tc>
          <w:tcPr>
            <w:tcW w:w="5386" w:type="dxa"/>
            <w:vAlign w:val="center"/>
          </w:tcPr>
          <w:p>
            <w:pPr>
              <w:pStyle w:val="13"/>
            </w:pPr>
            <w:r>
              <w:t>项目实施后景观改善情况</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环境改善</w:t>
            </w:r>
          </w:p>
        </w:tc>
        <w:tc>
          <w:tcPr>
            <w:tcW w:w="5386" w:type="dxa"/>
            <w:vAlign w:val="center"/>
          </w:tcPr>
          <w:p>
            <w:pPr>
              <w:pStyle w:val="13"/>
            </w:pPr>
            <w:r>
              <w:t>建立舒适、安全环境</w:t>
            </w:r>
          </w:p>
        </w:tc>
        <w:tc>
          <w:tcPr>
            <w:tcW w:w="2268" w:type="dxa"/>
            <w:vAlign w:val="center"/>
          </w:tcPr>
          <w:p>
            <w:pPr>
              <w:pStyle w:val="13"/>
            </w:pPr>
            <w:r>
              <w:t>较上年提升</w:t>
            </w:r>
          </w:p>
        </w:tc>
        <w:tc>
          <w:tcPr>
            <w:tcW w:w="1276" w:type="dxa"/>
            <w:vAlign w:val="center"/>
          </w:tcPr>
          <w:p>
            <w:pPr>
              <w:pStyle w:val="13"/>
            </w:pPr>
            <w:r>
              <w:t>经验标准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10、液化气居民用户安装物联报警器和自动切断装置项目绩效目标表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13010726P00019410028W</w:t>
            </w:r>
          </w:p>
        </w:tc>
        <w:tc>
          <w:tcPr>
            <w:tcW w:w="2835" w:type="dxa"/>
            <w:vAlign w:val="center"/>
          </w:tcPr>
          <w:p>
            <w:pPr>
              <w:pStyle w:val="11"/>
            </w:pPr>
            <w:r>
              <w:t>项目名称</w:t>
            </w:r>
          </w:p>
        </w:tc>
        <w:tc>
          <w:tcPr>
            <w:tcW w:w="6095" w:type="dxa"/>
            <w:gridSpan w:val="3"/>
            <w:vAlign w:val="center"/>
          </w:tcPr>
          <w:p>
            <w:pPr>
              <w:pStyle w:val="13"/>
            </w:pPr>
            <w:r>
              <w:t>液化气居民用户安装物联报警器和自动切断装置项目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w:t>
            </w:r>
          </w:p>
        </w:tc>
        <w:tc>
          <w:tcPr>
            <w:tcW w:w="2835" w:type="dxa"/>
            <w:vAlign w:val="center"/>
          </w:tcPr>
          <w:p>
            <w:pPr>
              <w:pStyle w:val="11"/>
            </w:pPr>
            <w:r>
              <w:t>其中：财政    资金</w:t>
            </w:r>
          </w:p>
        </w:tc>
        <w:tc>
          <w:tcPr>
            <w:tcW w:w="2551" w:type="dxa"/>
            <w:vAlign w:val="center"/>
          </w:tcPr>
          <w:p>
            <w:pPr>
              <w:pStyle w:val="13"/>
            </w:pPr>
            <w:r>
              <w:t>1.61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工作计划</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1.通过支付液化气报警器资金，保障我区居民用气安全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工程按时完成率</w:t>
            </w:r>
          </w:p>
        </w:tc>
        <w:tc>
          <w:tcPr>
            <w:tcW w:w="5386" w:type="dxa"/>
            <w:vAlign w:val="center"/>
          </w:tcPr>
          <w:p>
            <w:pPr>
              <w:pStyle w:val="13"/>
            </w:pPr>
            <w:r>
              <w:t>按时完成工程数量占总工程量的比例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工程验收一次性合格率</w:t>
            </w:r>
          </w:p>
        </w:tc>
        <w:tc>
          <w:tcPr>
            <w:tcW w:w="5386" w:type="dxa"/>
            <w:vAlign w:val="center"/>
          </w:tcPr>
          <w:p>
            <w:pPr>
              <w:pStyle w:val="13"/>
            </w:pPr>
            <w:r>
              <w:t>一次性验收合格率=项目通过一次性验收个数/项目参与验收数量*100%</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工程完成及时情况</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全年项目支出控制在1.61万元内</w:t>
            </w:r>
          </w:p>
        </w:tc>
        <w:tc>
          <w:tcPr>
            <w:tcW w:w="2268" w:type="dxa"/>
            <w:vAlign w:val="center"/>
          </w:tcPr>
          <w:p>
            <w:pPr>
              <w:pStyle w:val="13"/>
            </w:pPr>
            <w:r>
              <w:t>≤1.61万元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减少意外损失，提升市民幸福感</w:t>
            </w:r>
          </w:p>
        </w:tc>
        <w:tc>
          <w:tcPr>
            <w:tcW w:w="5386" w:type="dxa"/>
            <w:vAlign w:val="center"/>
          </w:tcPr>
          <w:p>
            <w:pPr>
              <w:pStyle w:val="13"/>
            </w:pPr>
            <w:r>
              <w:t>通过巡视巡察有效减少意外损失，提升市民幸福感。提高依法行政水平。提升市民法律意识减少排水违法行为。</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环境改善</w:t>
            </w:r>
          </w:p>
        </w:tc>
        <w:tc>
          <w:tcPr>
            <w:tcW w:w="5386" w:type="dxa"/>
            <w:vAlign w:val="center"/>
          </w:tcPr>
          <w:p>
            <w:pPr>
              <w:pStyle w:val="13"/>
            </w:pPr>
            <w:r>
              <w:t>建立舒适、安全环境</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城市文明建设</w:t>
            </w:r>
          </w:p>
        </w:tc>
        <w:tc>
          <w:tcPr>
            <w:tcW w:w="5386" w:type="dxa"/>
            <w:vAlign w:val="center"/>
          </w:tcPr>
          <w:p>
            <w:pPr>
              <w:pStyle w:val="13"/>
            </w:pPr>
            <w:r>
              <w:t>提高城市品位，加快城市文明建设</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满意数量占总数的比例。</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11、园林绿化管护项目绩效目标表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13010726P000188100194</w:t>
            </w:r>
          </w:p>
        </w:tc>
        <w:tc>
          <w:tcPr>
            <w:tcW w:w="2835" w:type="dxa"/>
            <w:vAlign w:val="center"/>
          </w:tcPr>
          <w:p>
            <w:pPr>
              <w:pStyle w:val="11"/>
            </w:pPr>
            <w:r>
              <w:t>项目名称</w:t>
            </w:r>
          </w:p>
        </w:tc>
        <w:tc>
          <w:tcPr>
            <w:tcW w:w="6095" w:type="dxa"/>
            <w:gridSpan w:val="3"/>
            <w:vAlign w:val="center"/>
          </w:tcPr>
          <w:p>
            <w:pPr>
              <w:pStyle w:val="13"/>
            </w:pPr>
            <w:r>
              <w:t>园林绿化管护项目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780.00</w:t>
            </w:r>
          </w:p>
        </w:tc>
        <w:tc>
          <w:tcPr>
            <w:tcW w:w="2835" w:type="dxa"/>
            <w:vAlign w:val="center"/>
          </w:tcPr>
          <w:p>
            <w:pPr>
              <w:pStyle w:val="11"/>
            </w:pPr>
            <w:r>
              <w:t>其中：财政    资金</w:t>
            </w:r>
          </w:p>
        </w:tc>
        <w:tc>
          <w:tcPr>
            <w:tcW w:w="2551" w:type="dxa"/>
            <w:vAlign w:val="center"/>
          </w:tcPr>
          <w:p>
            <w:pPr>
              <w:pStyle w:val="13"/>
            </w:pPr>
            <w:r>
              <w:t>780.00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195.00</w:t>
            </w:r>
          </w:p>
        </w:tc>
        <w:tc>
          <w:tcPr>
            <w:tcW w:w="2835" w:type="dxa"/>
            <w:vAlign w:val="center"/>
          </w:tcPr>
          <w:p>
            <w:pPr>
              <w:pStyle w:val="14"/>
            </w:pPr>
            <w:r>
              <w:t>390.00</w:t>
            </w:r>
          </w:p>
        </w:tc>
        <w:tc>
          <w:tcPr>
            <w:tcW w:w="2551" w:type="dxa"/>
            <w:vAlign w:val="center"/>
          </w:tcPr>
          <w:p>
            <w:pPr>
              <w:pStyle w:val="14"/>
            </w:pPr>
            <w:r>
              <w:t>585.00</w:t>
            </w:r>
          </w:p>
        </w:tc>
        <w:tc>
          <w:tcPr>
            <w:tcW w:w="3544" w:type="dxa"/>
            <w:gridSpan w:val="2"/>
            <w:vAlign w:val="center"/>
          </w:tcPr>
          <w:p>
            <w:pPr>
              <w:pStyle w:val="14"/>
            </w:pPr>
            <w:r>
              <w:t>780.00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1.通过支付园林绿化管护项目经费，保障我区绿化管护工作顺利开展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管护面积</w:t>
            </w:r>
          </w:p>
        </w:tc>
        <w:tc>
          <w:tcPr>
            <w:tcW w:w="5386" w:type="dxa"/>
            <w:vAlign w:val="center"/>
          </w:tcPr>
          <w:p>
            <w:pPr>
              <w:pStyle w:val="13"/>
            </w:pPr>
            <w:r>
              <w:t>绿化管护面积为2721396平方米</w:t>
            </w:r>
          </w:p>
        </w:tc>
        <w:tc>
          <w:tcPr>
            <w:tcW w:w="2268" w:type="dxa"/>
            <w:vAlign w:val="center"/>
          </w:tcPr>
          <w:p>
            <w:pPr>
              <w:pStyle w:val="13"/>
            </w:pPr>
            <w:r>
              <w:t>≥2721396平方米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达标率</w:t>
            </w:r>
          </w:p>
        </w:tc>
        <w:tc>
          <w:tcPr>
            <w:tcW w:w="5386" w:type="dxa"/>
            <w:vAlign w:val="center"/>
          </w:tcPr>
          <w:p>
            <w:pPr>
              <w:pStyle w:val="13"/>
            </w:pPr>
            <w:r>
              <w:t>养护考核达标率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绿化苗木项目管护及时率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管护费投入</w:t>
            </w:r>
          </w:p>
        </w:tc>
        <w:tc>
          <w:tcPr>
            <w:tcW w:w="5386" w:type="dxa"/>
            <w:vAlign w:val="center"/>
          </w:tcPr>
          <w:p>
            <w:pPr>
              <w:pStyle w:val="13"/>
            </w:pPr>
            <w:r>
              <w:t>2025全年绿化管护费投入资金为780万元</w:t>
            </w:r>
          </w:p>
        </w:tc>
        <w:tc>
          <w:tcPr>
            <w:tcW w:w="2268" w:type="dxa"/>
            <w:vAlign w:val="center"/>
          </w:tcPr>
          <w:p>
            <w:pPr>
              <w:pStyle w:val="13"/>
            </w:pPr>
            <w:r>
              <w:t>≤780万元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城镇居民生活环境</w:t>
            </w:r>
          </w:p>
        </w:tc>
        <w:tc>
          <w:tcPr>
            <w:tcW w:w="5386" w:type="dxa"/>
            <w:vAlign w:val="center"/>
          </w:tcPr>
          <w:p>
            <w:pPr>
              <w:pStyle w:val="13"/>
            </w:pPr>
            <w:r>
              <w:t>管护后居民生活环境改善效果</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生态环境改善</w:t>
            </w:r>
          </w:p>
        </w:tc>
        <w:tc>
          <w:tcPr>
            <w:tcW w:w="5386" w:type="dxa"/>
            <w:vAlign w:val="center"/>
          </w:tcPr>
          <w:p>
            <w:pPr>
              <w:pStyle w:val="13"/>
            </w:pPr>
            <w:r>
              <w:t>项目实施后生态环境改善效果</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可持续发挥的作用</w:t>
            </w:r>
          </w:p>
        </w:tc>
        <w:tc>
          <w:tcPr>
            <w:tcW w:w="5386" w:type="dxa"/>
            <w:vAlign w:val="center"/>
          </w:tcPr>
          <w:p>
            <w:pPr>
              <w:pStyle w:val="13"/>
            </w:pPr>
            <w:r>
              <w:t>绿植景观对居民健康有利的持续影响</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居民对绿化管护评价情况</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12、交通及基础设施维修维护费绩效目标表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13010726P00019410029G</w:t>
            </w:r>
          </w:p>
        </w:tc>
        <w:tc>
          <w:tcPr>
            <w:tcW w:w="2835" w:type="dxa"/>
            <w:vAlign w:val="center"/>
          </w:tcPr>
          <w:p>
            <w:pPr>
              <w:pStyle w:val="11"/>
            </w:pPr>
            <w:r>
              <w:t>项目名称</w:t>
            </w:r>
          </w:p>
        </w:tc>
        <w:tc>
          <w:tcPr>
            <w:tcW w:w="6095" w:type="dxa"/>
            <w:gridSpan w:val="3"/>
            <w:vAlign w:val="center"/>
          </w:tcPr>
          <w:p>
            <w:pPr>
              <w:pStyle w:val="13"/>
            </w:pPr>
            <w:r>
              <w:t>交通及基础设施维修维护费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22.50</w:t>
            </w:r>
          </w:p>
        </w:tc>
        <w:tc>
          <w:tcPr>
            <w:tcW w:w="2835" w:type="dxa"/>
            <w:vAlign w:val="center"/>
          </w:tcPr>
          <w:p>
            <w:pPr>
              <w:pStyle w:val="14"/>
            </w:pPr>
            <w:r>
              <w:t>45.00</w:t>
            </w:r>
          </w:p>
        </w:tc>
        <w:tc>
          <w:tcPr>
            <w:tcW w:w="2551" w:type="dxa"/>
            <w:vAlign w:val="center"/>
          </w:tcPr>
          <w:p>
            <w:pPr>
              <w:pStyle w:val="14"/>
            </w:pPr>
            <w:r>
              <w:t>67.50</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1.通过支付基础设施建设资金，提升我区公共形象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完工率</w:t>
            </w:r>
          </w:p>
        </w:tc>
        <w:tc>
          <w:tcPr>
            <w:tcW w:w="5386" w:type="dxa"/>
            <w:vAlign w:val="center"/>
          </w:tcPr>
          <w:p>
            <w:pPr>
              <w:pStyle w:val="13"/>
            </w:pPr>
            <w:r>
              <w:t>维修维护公共设施完工率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优良率</w:t>
            </w:r>
          </w:p>
        </w:tc>
        <w:tc>
          <w:tcPr>
            <w:tcW w:w="5386" w:type="dxa"/>
            <w:vAlign w:val="center"/>
          </w:tcPr>
          <w:p>
            <w:pPr>
              <w:pStyle w:val="13"/>
            </w:pPr>
            <w:r>
              <w:t>优秀项目数量占总数量的比例（百分比）</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工程完工及时率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环境改善</w:t>
            </w:r>
          </w:p>
        </w:tc>
        <w:tc>
          <w:tcPr>
            <w:tcW w:w="5386" w:type="dxa"/>
            <w:vAlign w:val="center"/>
          </w:tcPr>
          <w:p>
            <w:pPr>
              <w:pStyle w:val="13"/>
            </w:pPr>
            <w:r>
              <w:t>建立舒适、安全环境</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城市文明建设</w:t>
            </w:r>
          </w:p>
        </w:tc>
        <w:tc>
          <w:tcPr>
            <w:tcW w:w="5386" w:type="dxa"/>
            <w:vAlign w:val="center"/>
          </w:tcPr>
          <w:p>
            <w:pPr>
              <w:pStyle w:val="13"/>
            </w:pPr>
            <w:r>
              <w:t>提高城市品位，加快城市文明建设</w:t>
            </w:r>
          </w:p>
        </w:tc>
        <w:tc>
          <w:tcPr>
            <w:tcW w:w="2268" w:type="dxa"/>
            <w:vAlign w:val="center"/>
          </w:tcPr>
          <w:p>
            <w:pPr>
              <w:pStyle w:val="13"/>
            </w:pPr>
            <w:r>
              <w:t>较上年提升</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满意数量占总数的比例。</w:t>
            </w:r>
          </w:p>
        </w:tc>
        <w:tc>
          <w:tcPr>
            <w:tcW w:w="2268" w:type="dxa"/>
            <w:vAlign w:val="center"/>
          </w:tcPr>
          <w:p>
            <w:pPr>
              <w:pStyle w:val="13"/>
            </w:pPr>
            <w:r>
              <w:t>≥98%</w:t>
            </w:r>
          </w:p>
        </w:tc>
        <w:tc>
          <w:tcPr>
            <w:tcW w:w="1276" w:type="dxa"/>
            <w:vAlign w:val="center"/>
          </w:tcPr>
          <w:p>
            <w:pPr>
              <w:pStyle w:val="13"/>
            </w:pPr>
            <w:r>
              <w:t>问券调查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13、区燃气行业监管平台绩效目标表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13010726P00002510109D</w:t>
            </w:r>
          </w:p>
        </w:tc>
        <w:tc>
          <w:tcPr>
            <w:tcW w:w="2835" w:type="dxa"/>
            <w:vAlign w:val="center"/>
          </w:tcPr>
          <w:p>
            <w:pPr>
              <w:pStyle w:val="11"/>
            </w:pPr>
            <w:r>
              <w:t>项目名称</w:t>
            </w:r>
          </w:p>
        </w:tc>
        <w:tc>
          <w:tcPr>
            <w:tcW w:w="6095" w:type="dxa"/>
            <w:gridSpan w:val="3"/>
            <w:vAlign w:val="center"/>
          </w:tcPr>
          <w:p>
            <w:pPr>
              <w:pStyle w:val="13"/>
            </w:pPr>
            <w:r>
              <w:t>区燃气行业监管平台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1.通过支付燃气行业监管平台费用，使我区燃气相关工作提升效率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数据覆盖范围</w:t>
            </w:r>
          </w:p>
        </w:tc>
        <w:tc>
          <w:tcPr>
            <w:tcW w:w="5386" w:type="dxa"/>
            <w:vAlign w:val="center"/>
          </w:tcPr>
          <w:p>
            <w:pPr>
              <w:pStyle w:val="13"/>
            </w:pPr>
            <w:r>
              <w:t>接入平台的燃气经营企业数量覆盖率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数据准确性</w:t>
            </w:r>
          </w:p>
        </w:tc>
        <w:tc>
          <w:tcPr>
            <w:tcW w:w="5386" w:type="dxa"/>
            <w:vAlign w:val="center"/>
          </w:tcPr>
          <w:p>
            <w:pPr>
              <w:pStyle w:val="13"/>
            </w:pPr>
            <w:r>
              <w:t>关键监测数据上报准确率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数据更新时效性</w:t>
            </w:r>
          </w:p>
        </w:tc>
        <w:tc>
          <w:tcPr>
            <w:tcW w:w="5386" w:type="dxa"/>
            <w:vAlign w:val="center"/>
          </w:tcPr>
          <w:p>
            <w:pPr>
              <w:pStyle w:val="13"/>
            </w:pPr>
            <w:r>
              <w:t>监测数据从产生到平台展示的延迟时间</w:t>
            </w:r>
          </w:p>
        </w:tc>
        <w:tc>
          <w:tcPr>
            <w:tcW w:w="2268" w:type="dxa"/>
            <w:vAlign w:val="center"/>
          </w:tcPr>
          <w:p>
            <w:pPr>
              <w:pStyle w:val="13"/>
            </w:pPr>
            <w:r>
              <w:t>≤5分钟</w:t>
            </w:r>
          </w:p>
        </w:tc>
        <w:tc>
          <w:tcPr>
            <w:tcW w:w="1276" w:type="dxa"/>
            <w:vAlign w:val="center"/>
          </w:tcPr>
          <w:p>
            <w:pPr>
              <w:pStyle w:val="13"/>
            </w:pPr>
            <w:r>
              <w:t>系统日志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全年项目成本为1.5万元</w:t>
            </w:r>
          </w:p>
        </w:tc>
        <w:tc>
          <w:tcPr>
            <w:tcW w:w="2268" w:type="dxa"/>
            <w:vAlign w:val="center"/>
          </w:tcPr>
          <w:p>
            <w:pPr>
              <w:pStyle w:val="13"/>
            </w:pPr>
            <w:r>
              <w:t>≤1.5万元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项目对经济效益提升比</w:t>
            </w:r>
          </w:p>
        </w:tc>
        <w:tc>
          <w:tcPr>
            <w:tcW w:w="5386" w:type="dxa"/>
            <w:vAlign w:val="center"/>
          </w:tcPr>
          <w:p>
            <w:pPr>
              <w:pStyle w:val="13"/>
            </w:pPr>
            <w:r>
              <w:t>项目对乙方单位的经济效益提升比值</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间接社会影响力</w:t>
            </w:r>
          </w:p>
        </w:tc>
        <w:tc>
          <w:tcPr>
            <w:tcW w:w="5386" w:type="dxa"/>
            <w:vAlign w:val="center"/>
          </w:tcPr>
          <w:p>
            <w:pPr>
              <w:pStyle w:val="13"/>
            </w:pPr>
            <w:r>
              <w:t>反映项目实施后在社会在城管形象的提升率</w:t>
            </w:r>
          </w:p>
        </w:tc>
        <w:tc>
          <w:tcPr>
            <w:tcW w:w="2268" w:type="dxa"/>
            <w:vAlign w:val="center"/>
          </w:tcPr>
          <w:p>
            <w:pPr>
              <w:pStyle w:val="13"/>
            </w:pPr>
            <w:r>
              <w:t>≥95%</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长期保障工作平稳进行。</w:t>
            </w:r>
          </w:p>
        </w:tc>
        <w:tc>
          <w:tcPr>
            <w:tcW w:w="5386" w:type="dxa"/>
            <w:vAlign w:val="center"/>
          </w:tcPr>
          <w:p>
            <w:pPr>
              <w:pStyle w:val="13"/>
            </w:pPr>
            <w:r>
              <w:t>保持系统运行稳定、畅通。</w:t>
            </w:r>
          </w:p>
        </w:tc>
        <w:tc>
          <w:tcPr>
            <w:tcW w:w="2268" w:type="dxa"/>
            <w:vAlign w:val="center"/>
          </w:tcPr>
          <w:p>
            <w:pPr>
              <w:pStyle w:val="13"/>
            </w:pPr>
            <w:r>
              <w:t>全年稳定运行</w:t>
            </w:r>
          </w:p>
        </w:tc>
        <w:tc>
          <w:tcPr>
            <w:tcW w:w="1276" w:type="dxa"/>
            <w:vAlign w:val="center"/>
          </w:tcPr>
          <w:p>
            <w:pPr>
              <w:pStyle w:val="13"/>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w:t>
            </w:r>
          </w:p>
        </w:tc>
        <w:tc>
          <w:tcPr>
            <w:tcW w:w="5386" w:type="dxa"/>
            <w:vAlign w:val="center"/>
          </w:tcPr>
          <w:p>
            <w:pPr>
              <w:pStyle w:val="13"/>
            </w:pPr>
            <w:r>
              <w:t>项目单位满意度</w:t>
            </w:r>
          </w:p>
        </w:tc>
        <w:tc>
          <w:tcPr>
            <w:tcW w:w="2268" w:type="dxa"/>
            <w:vAlign w:val="center"/>
          </w:tcPr>
          <w:p>
            <w:pPr>
              <w:pStyle w:val="13"/>
            </w:pPr>
            <w:r>
              <w:t>≥100%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14、社会服务设施建设支出工程2024年第一批中央基建投资预算——石家庄市井陉矿区杏花沟全民健身中心项目EPC 总承包绩效目标表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13010726P00740710015F</w:t>
            </w:r>
          </w:p>
        </w:tc>
        <w:tc>
          <w:tcPr>
            <w:tcW w:w="2835" w:type="dxa"/>
            <w:vAlign w:val="center"/>
          </w:tcPr>
          <w:p>
            <w:pPr>
              <w:pStyle w:val="11"/>
            </w:pPr>
            <w:r>
              <w:t>项目名称</w:t>
            </w:r>
          </w:p>
        </w:tc>
        <w:tc>
          <w:tcPr>
            <w:tcW w:w="6095" w:type="dxa"/>
            <w:gridSpan w:val="3"/>
            <w:vAlign w:val="center"/>
          </w:tcPr>
          <w:p>
            <w:pPr>
              <w:pStyle w:val="13"/>
            </w:pPr>
            <w:r>
              <w:t>社会服务设施建设支出工程2024年第一批中央基建投资预算——石家庄市井陉矿区杏花沟全民健身中心项目EPC 总承包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w:t>
            </w:r>
          </w:p>
        </w:tc>
        <w:tc>
          <w:tcPr>
            <w:tcW w:w="2835" w:type="dxa"/>
            <w:vAlign w:val="center"/>
          </w:tcPr>
          <w:p>
            <w:pPr>
              <w:pStyle w:val="11"/>
            </w:pPr>
            <w:r>
              <w:t>其中：财政    资金</w:t>
            </w:r>
          </w:p>
        </w:tc>
        <w:tc>
          <w:tcPr>
            <w:tcW w:w="2551" w:type="dxa"/>
            <w:vAlign w:val="center"/>
          </w:tcPr>
          <w:p>
            <w:pPr>
              <w:pStyle w:val="13"/>
            </w:pPr>
            <w:r>
              <w:t>1150.00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1.通过支付工程款，保障项目顺利推进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工程按时完成率</w:t>
            </w:r>
          </w:p>
        </w:tc>
        <w:tc>
          <w:tcPr>
            <w:tcW w:w="5386" w:type="dxa"/>
            <w:vAlign w:val="center"/>
          </w:tcPr>
          <w:p>
            <w:pPr>
              <w:pStyle w:val="13"/>
            </w:pPr>
            <w:r>
              <w:t>工程按时完成率</w:t>
            </w:r>
          </w:p>
        </w:tc>
        <w:tc>
          <w:tcPr>
            <w:tcW w:w="2268" w:type="dxa"/>
            <w:vAlign w:val="center"/>
          </w:tcPr>
          <w:p>
            <w:pPr>
              <w:pStyle w:val="13"/>
            </w:pPr>
            <w:r>
              <w:t>≥98</w:t>
            </w:r>
          </w:p>
        </w:tc>
        <w:tc>
          <w:tcPr>
            <w:tcW w:w="1276" w:type="dxa"/>
            <w:vAlign w:val="center"/>
          </w:tcPr>
          <w:p>
            <w:pPr>
              <w:pStyle w:val="13"/>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达到国家认定标准</w:t>
            </w:r>
          </w:p>
        </w:tc>
        <w:tc>
          <w:tcPr>
            <w:tcW w:w="1276" w:type="dxa"/>
            <w:vAlign w:val="center"/>
          </w:tcPr>
          <w:p>
            <w:pPr>
              <w:pStyle w:val="13"/>
            </w:pPr>
            <w:r>
              <w:t>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工程按期完成率（%）</w:t>
            </w:r>
          </w:p>
        </w:tc>
        <w:tc>
          <w:tcPr>
            <w:tcW w:w="5386" w:type="dxa"/>
            <w:vAlign w:val="center"/>
          </w:tcPr>
          <w:p>
            <w:pPr>
              <w:pStyle w:val="13"/>
            </w:pPr>
            <w:r>
              <w:t>按期完成的工程量占总工程量的比率</w:t>
            </w:r>
          </w:p>
        </w:tc>
        <w:tc>
          <w:tcPr>
            <w:tcW w:w="2268" w:type="dxa"/>
            <w:vAlign w:val="center"/>
          </w:tcPr>
          <w:p>
            <w:pPr>
              <w:pStyle w:val="13"/>
            </w:pPr>
            <w:r>
              <w:t>按照合同约定按期交工</w:t>
            </w:r>
          </w:p>
        </w:tc>
        <w:tc>
          <w:tcPr>
            <w:tcW w:w="1276" w:type="dxa"/>
            <w:vAlign w:val="center"/>
          </w:tcPr>
          <w:p>
            <w:pPr>
              <w:pStyle w:val="13"/>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w:t>
            </w:r>
          </w:p>
        </w:tc>
        <w:tc>
          <w:tcPr>
            <w:tcW w:w="2268" w:type="dxa"/>
            <w:vAlign w:val="center"/>
          </w:tcPr>
          <w:p>
            <w:pPr>
              <w:pStyle w:val="13"/>
            </w:pPr>
            <w:r>
              <w:t>≥98必须控制在中标控制价内</w:t>
            </w:r>
          </w:p>
        </w:tc>
        <w:tc>
          <w:tcPr>
            <w:tcW w:w="1276" w:type="dxa"/>
            <w:vAlign w:val="center"/>
          </w:tcPr>
          <w:p>
            <w:pPr>
              <w:pStyle w:val="13"/>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≥98</w:t>
            </w:r>
          </w:p>
        </w:tc>
        <w:tc>
          <w:tcPr>
            <w:tcW w:w="1276" w:type="dxa"/>
            <w:vAlign w:val="center"/>
          </w:tcPr>
          <w:p>
            <w:pPr>
              <w:pStyle w:val="13"/>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建设工程质量提高</w:t>
            </w:r>
          </w:p>
        </w:tc>
        <w:tc>
          <w:tcPr>
            <w:tcW w:w="5386" w:type="dxa"/>
            <w:vAlign w:val="center"/>
          </w:tcPr>
          <w:p>
            <w:pPr>
              <w:pStyle w:val="13"/>
            </w:pPr>
            <w:r>
              <w:t>建设工程质量提高</w:t>
            </w:r>
          </w:p>
        </w:tc>
        <w:tc>
          <w:tcPr>
            <w:tcW w:w="2268" w:type="dxa"/>
            <w:vAlign w:val="center"/>
          </w:tcPr>
          <w:p>
            <w:pPr>
              <w:pStyle w:val="13"/>
            </w:pPr>
            <w:r>
              <w:t>≥95</w:t>
            </w:r>
          </w:p>
        </w:tc>
        <w:tc>
          <w:tcPr>
            <w:tcW w:w="1276" w:type="dxa"/>
            <w:vAlign w:val="center"/>
          </w:tcPr>
          <w:p>
            <w:pPr>
              <w:pStyle w:val="13"/>
            </w:pPr>
            <w:r>
              <w:t>控制在0起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国土空间综合整治项目工程完成情</w:t>
            </w:r>
          </w:p>
        </w:tc>
        <w:tc>
          <w:tcPr>
            <w:tcW w:w="5386" w:type="dxa"/>
            <w:vAlign w:val="center"/>
          </w:tcPr>
          <w:p>
            <w:pPr>
              <w:pStyle w:val="13"/>
            </w:pPr>
            <w:r>
              <w:t>国土空间综合整治项目工程完成情况</w:t>
            </w:r>
          </w:p>
        </w:tc>
        <w:tc>
          <w:tcPr>
            <w:tcW w:w="2268" w:type="dxa"/>
            <w:vAlign w:val="center"/>
          </w:tcPr>
          <w:p>
            <w:pPr>
              <w:pStyle w:val="13"/>
            </w:pPr>
            <w:r>
              <w:t>≥98</w:t>
            </w:r>
          </w:p>
        </w:tc>
        <w:tc>
          <w:tcPr>
            <w:tcW w:w="1276" w:type="dxa"/>
            <w:vAlign w:val="center"/>
          </w:tcPr>
          <w:p>
            <w:pPr>
              <w:pStyle w:val="13"/>
            </w:pPr>
            <w:r>
              <w:t>按照约定时间完工验收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已建工程是否良性运行</w:t>
            </w:r>
          </w:p>
        </w:tc>
        <w:tc>
          <w:tcPr>
            <w:tcW w:w="2268" w:type="dxa"/>
            <w:vAlign w:val="center"/>
          </w:tcPr>
          <w:p>
            <w:pPr>
              <w:pStyle w:val="13"/>
            </w:pPr>
            <w:r>
              <w:t>必须达到良好运行状态</w:t>
            </w:r>
          </w:p>
        </w:tc>
        <w:tc>
          <w:tcPr>
            <w:tcW w:w="1276" w:type="dxa"/>
            <w:vAlign w:val="center"/>
          </w:tcPr>
          <w:p>
            <w:pPr>
              <w:pStyle w:val="13"/>
            </w:pPr>
            <w:r>
              <w:t>合格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通过问卷调查，满意的服务对象</w:t>
            </w:r>
          </w:p>
        </w:tc>
        <w:tc>
          <w:tcPr>
            <w:tcW w:w="5386" w:type="dxa"/>
            <w:vAlign w:val="center"/>
          </w:tcPr>
          <w:p>
            <w:pPr>
              <w:pStyle w:val="13"/>
            </w:pPr>
            <w:r>
              <w:t>通过问卷调查，满意的服务对象占所有调查对象的比例</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15、石家庄市井陉矿区采煤沉陷区供热管道改造提升工程绩效目标表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13010726P00740710014U</w:t>
            </w:r>
          </w:p>
        </w:tc>
        <w:tc>
          <w:tcPr>
            <w:tcW w:w="2835" w:type="dxa"/>
            <w:vAlign w:val="center"/>
          </w:tcPr>
          <w:p>
            <w:pPr>
              <w:pStyle w:val="11"/>
            </w:pPr>
            <w:r>
              <w:t>项目名称</w:t>
            </w:r>
          </w:p>
        </w:tc>
        <w:tc>
          <w:tcPr>
            <w:tcW w:w="6095" w:type="dxa"/>
            <w:gridSpan w:val="3"/>
            <w:vAlign w:val="center"/>
          </w:tcPr>
          <w:p>
            <w:pPr>
              <w:pStyle w:val="13"/>
            </w:pPr>
            <w:r>
              <w:t>石家庄市井陉矿区采煤沉陷区供热管道改造提升工程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w:t>
            </w:r>
          </w:p>
        </w:tc>
        <w:tc>
          <w:tcPr>
            <w:tcW w:w="2835" w:type="dxa"/>
            <w:vAlign w:val="center"/>
          </w:tcPr>
          <w:p>
            <w:pPr>
              <w:pStyle w:val="11"/>
            </w:pPr>
            <w:r>
              <w:t>其中：财政    资金</w:t>
            </w:r>
          </w:p>
        </w:tc>
        <w:tc>
          <w:tcPr>
            <w:tcW w:w="2551" w:type="dxa"/>
            <w:vAlign w:val="center"/>
          </w:tcPr>
          <w:p>
            <w:pPr>
              <w:pStyle w:val="13"/>
            </w:pPr>
            <w:r>
              <w:t>825.00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1.通过改造管道，提升供热标准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工程量完成率</w:t>
            </w:r>
          </w:p>
        </w:tc>
        <w:tc>
          <w:tcPr>
            <w:tcW w:w="2268" w:type="dxa"/>
            <w:vAlign w:val="center"/>
          </w:tcPr>
          <w:p>
            <w:pPr>
              <w:pStyle w:val="13"/>
            </w:pPr>
            <w:r>
              <w:t>≥98</w:t>
            </w:r>
          </w:p>
        </w:tc>
        <w:tc>
          <w:tcPr>
            <w:tcW w:w="1276" w:type="dxa"/>
            <w:vAlign w:val="center"/>
          </w:tcPr>
          <w:p>
            <w:pPr>
              <w:pStyle w:val="13"/>
            </w:pPr>
            <w:r>
              <w:t>未达到100%酌情扣分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w:t>
            </w:r>
          </w:p>
        </w:tc>
        <w:tc>
          <w:tcPr>
            <w:tcW w:w="5386" w:type="dxa"/>
            <w:vAlign w:val="center"/>
          </w:tcPr>
          <w:p>
            <w:pPr>
              <w:pStyle w:val="13"/>
            </w:pPr>
            <w:r>
              <w:t>工程质量</w:t>
            </w:r>
          </w:p>
        </w:tc>
        <w:tc>
          <w:tcPr>
            <w:tcW w:w="2268" w:type="dxa"/>
            <w:vAlign w:val="center"/>
          </w:tcPr>
          <w:p>
            <w:pPr>
              <w:pStyle w:val="13"/>
            </w:pPr>
            <w:r>
              <w:t>合格</w:t>
            </w:r>
          </w:p>
        </w:tc>
        <w:tc>
          <w:tcPr>
            <w:tcW w:w="1276" w:type="dxa"/>
            <w:vAlign w:val="center"/>
          </w:tcPr>
          <w:p>
            <w:pPr>
              <w:pStyle w:val="13"/>
            </w:pPr>
            <w:r>
              <w:t>未达到95%酌情扣分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工程完成及时率</w:t>
            </w:r>
          </w:p>
        </w:tc>
        <w:tc>
          <w:tcPr>
            <w:tcW w:w="2268" w:type="dxa"/>
            <w:vAlign w:val="center"/>
          </w:tcPr>
          <w:p>
            <w:pPr>
              <w:pStyle w:val="13"/>
            </w:pPr>
            <w:r>
              <w:t>按照约定时间完工验收</w:t>
            </w:r>
          </w:p>
        </w:tc>
        <w:tc>
          <w:tcPr>
            <w:tcW w:w="1276" w:type="dxa"/>
            <w:vAlign w:val="center"/>
          </w:tcPr>
          <w:p>
            <w:pPr>
              <w:pStyle w:val="13"/>
            </w:pPr>
            <w:r>
              <w:t>低于95%酌情扣分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工程成本</w:t>
            </w:r>
          </w:p>
        </w:tc>
        <w:tc>
          <w:tcPr>
            <w:tcW w:w="5386" w:type="dxa"/>
            <w:vAlign w:val="center"/>
          </w:tcPr>
          <w:p>
            <w:pPr>
              <w:pStyle w:val="13"/>
            </w:pPr>
            <w:r>
              <w:t>工程成本</w:t>
            </w:r>
          </w:p>
        </w:tc>
        <w:tc>
          <w:tcPr>
            <w:tcW w:w="2268" w:type="dxa"/>
            <w:vAlign w:val="center"/>
          </w:tcPr>
          <w:p>
            <w:pPr>
              <w:pStyle w:val="13"/>
            </w:pPr>
            <w:r>
              <w:t>工程成本控制在招标限价内</w:t>
            </w:r>
          </w:p>
        </w:tc>
        <w:tc>
          <w:tcPr>
            <w:tcW w:w="1276" w:type="dxa"/>
            <w:vAlign w:val="center"/>
          </w:tcPr>
          <w:p>
            <w:pPr>
              <w:pStyle w:val="13"/>
            </w:pPr>
            <w:r>
              <w:t>超出酌情扣分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项目工程完成情况</w:t>
            </w:r>
          </w:p>
        </w:tc>
        <w:tc>
          <w:tcPr>
            <w:tcW w:w="2268" w:type="dxa"/>
            <w:vAlign w:val="center"/>
          </w:tcPr>
          <w:p>
            <w:pPr>
              <w:pStyle w:val="13"/>
            </w:pPr>
            <w:r>
              <w:t>≥95</w:t>
            </w:r>
          </w:p>
        </w:tc>
        <w:tc>
          <w:tcPr>
            <w:tcW w:w="1276" w:type="dxa"/>
            <w:vAlign w:val="center"/>
          </w:tcPr>
          <w:p>
            <w:pPr>
              <w:pStyle w:val="13"/>
            </w:pPr>
            <w:r>
              <w:t>得分=完成值/目标值*100分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工程事故发生次数</w:t>
            </w:r>
          </w:p>
        </w:tc>
        <w:tc>
          <w:tcPr>
            <w:tcW w:w="5386" w:type="dxa"/>
            <w:vAlign w:val="center"/>
          </w:tcPr>
          <w:p>
            <w:pPr>
              <w:pStyle w:val="13"/>
            </w:pPr>
            <w:r>
              <w:t>工程事故发生次数（次）</w:t>
            </w:r>
          </w:p>
        </w:tc>
        <w:tc>
          <w:tcPr>
            <w:tcW w:w="2268" w:type="dxa"/>
            <w:vAlign w:val="center"/>
          </w:tcPr>
          <w:p>
            <w:pPr>
              <w:pStyle w:val="13"/>
            </w:pPr>
            <w:r>
              <w:t>控制在0起</w:t>
            </w:r>
          </w:p>
        </w:tc>
        <w:tc>
          <w:tcPr>
            <w:tcW w:w="1276" w:type="dxa"/>
            <w:vAlign w:val="center"/>
          </w:tcPr>
          <w:p>
            <w:pPr>
              <w:pStyle w:val="13"/>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国土空间综合整治项目</w:t>
            </w:r>
          </w:p>
        </w:tc>
        <w:tc>
          <w:tcPr>
            <w:tcW w:w="5386" w:type="dxa"/>
            <w:vAlign w:val="center"/>
          </w:tcPr>
          <w:p>
            <w:pPr>
              <w:pStyle w:val="13"/>
            </w:pPr>
            <w:r>
              <w:t>国土空间综合整治项目</w:t>
            </w:r>
          </w:p>
        </w:tc>
        <w:tc>
          <w:tcPr>
            <w:tcW w:w="2268" w:type="dxa"/>
            <w:vAlign w:val="center"/>
          </w:tcPr>
          <w:p>
            <w:pPr>
              <w:pStyle w:val="13"/>
            </w:pPr>
            <w:r>
              <w:t>≥95</w:t>
            </w:r>
          </w:p>
        </w:tc>
        <w:tc>
          <w:tcPr>
            <w:tcW w:w="1276" w:type="dxa"/>
            <w:vAlign w:val="center"/>
          </w:tcPr>
          <w:p>
            <w:pPr>
              <w:pStyle w:val="13"/>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已建工程是否良性运行</w:t>
            </w:r>
          </w:p>
        </w:tc>
        <w:tc>
          <w:tcPr>
            <w:tcW w:w="5386" w:type="dxa"/>
            <w:vAlign w:val="center"/>
          </w:tcPr>
          <w:p>
            <w:pPr>
              <w:pStyle w:val="13"/>
            </w:pPr>
            <w:r>
              <w:t>已建工程是否良性运行</w:t>
            </w:r>
          </w:p>
        </w:tc>
        <w:tc>
          <w:tcPr>
            <w:tcW w:w="2268" w:type="dxa"/>
            <w:vAlign w:val="center"/>
          </w:tcPr>
          <w:p>
            <w:pPr>
              <w:pStyle w:val="13"/>
            </w:pPr>
            <w:r>
              <w:t>≥98</w:t>
            </w:r>
          </w:p>
        </w:tc>
        <w:tc>
          <w:tcPr>
            <w:tcW w:w="1276" w:type="dxa"/>
            <w:vAlign w:val="center"/>
          </w:tcPr>
          <w:p>
            <w:pPr>
              <w:pStyle w:val="13"/>
            </w:pPr>
            <w:r>
              <w:t>完成非常好[90%~100%]；完成较好[80%~90%];完成一般[60%~80%];完成较差[0~60%]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民众对工程满意度</w:t>
            </w:r>
          </w:p>
        </w:tc>
        <w:tc>
          <w:tcPr>
            <w:tcW w:w="5386" w:type="dxa"/>
            <w:vAlign w:val="center"/>
          </w:tcPr>
          <w:p>
            <w:pPr>
              <w:pStyle w:val="13"/>
            </w:pPr>
            <w:r>
              <w:t>受热居民对工程满意度</w:t>
            </w:r>
          </w:p>
        </w:tc>
        <w:tc>
          <w:tcPr>
            <w:tcW w:w="2268" w:type="dxa"/>
            <w:vAlign w:val="center"/>
          </w:tcPr>
          <w:p>
            <w:pPr>
              <w:pStyle w:val="13"/>
            </w:pPr>
            <w:r>
              <w:t>≥98</w:t>
            </w:r>
          </w:p>
        </w:tc>
        <w:tc>
          <w:tcPr>
            <w:tcW w:w="1276" w:type="dxa"/>
            <w:vAlign w:val="center"/>
          </w:tcPr>
          <w:p>
            <w:pPr>
              <w:pStyle w:val="13"/>
            </w:pPr>
            <w:r>
              <w:t>低于98%酌情扣分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石家庄市井陉矿区市政绿化管理所小计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90.00</w:t>
            </w:r>
          </w:p>
        </w:tc>
        <w:tc>
          <w:tcPr>
            <w:tcW w:w="964" w:type="dxa"/>
            <w:vAlign w:val="center"/>
          </w:tcPr>
          <w:p>
            <w:pPr>
              <w:pStyle w:val="16"/>
            </w:pPr>
            <w:r>
              <w:t>90.00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交通及基础设施维修维护费</w:t>
            </w:r>
          </w:p>
        </w:tc>
        <w:tc>
          <w:tcPr>
            <w:tcW w:w="964" w:type="dxa"/>
            <w:vAlign w:val="center"/>
          </w:tcPr>
          <w:p>
            <w:pPr>
              <w:pStyle w:val="12"/>
            </w:pPr>
            <w:r>
              <w:t>90.00</w:t>
            </w:r>
          </w:p>
        </w:tc>
        <w:tc>
          <w:tcPr>
            <w:tcW w:w="1134" w:type="dxa"/>
            <w:vAlign w:val="center"/>
          </w:tcPr>
          <w:p>
            <w:pPr>
              <w:pStyle w:val="13"/>
            </w:pPr>
            <w:r>
              <w:t>其他公共设施施工</w:t>
            </w:r>
          </w:p>
        </w:tc>
        <w:tc>
          <w:tcPr>
            <w:tcW w:w="1134" w:type="dxa"/>
            <w:vAlign w:val="center"/>
          </w:tcPr>
          <w:p>
            <w:pPr>
              <w:pStyle w:val="13"/>
            </w:pPr>
            <w:r>
              <w:t>B02139900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90.00</w:t>
            </w:r>
          </w:p>
        </w:tc>
        <w:tc>
          <w:tcPr>
            <w:tcW w:w="964" w:type="dxa"/>
            <w:vAlign w:val="center"/>
          </w:tcPr>
          <w:p>
            <w:pPr>
              <w:pStyle w:val="12"/>
            </w:pPr>
            <w:r>
              <w:t>90.00</w:t>
            </w:r>
          </w:p>
        </w:tc>
        <w:tc>
          <w:tcPr>
            <w:tcW w:w="964" w:type="dxa"/>
            <w:vAlign w:val="center"/>
          </w:tcPr>
          <w:p>
            <w:pPr>
              <w:pStyle w:val="12"/>
            </w:pPr>
            <w:r>
              <w:t>90.00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石家庄市井陉矿区城市管理综合行政执法局（含所属单位）上年末固定资产金额为64.26万元（详见下表）。本年度拟购置固定资产总额为0.00万元，已按要求列入政府采购预算，详见政府采购预算表。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565石家庄市井陉矿区城市管理综合行政执法局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64.26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246D60"/>
    <w:multiLevelType w:val="singleLevel"/>
    <w:tmpl w:val="B0246D60"/>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BC5217"/>
    <w:rsid w:val="1071419F"/>
    <w:rsid w:val="3D813FD6"/>
    <w:rsid w:val="3FB60366"/>
    <w:rsid w:val="58C31F22"/>
    <w:rsid w:val="61C94A45"/>
    <w:rsid w:val="6B9B19C2"/>
    <w:rsid w:val="6F2A64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44</Pages>
  <TotalTime>1</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2026-02-09T15:57:00Z</dcterms:created>
  <dc:creator>Administrator</dc:creator>
  <cp:lastModifiedBy>Administrator</cp:lastModifiedBy>
  <dcterms:modified xsi:type="dcterms:W3CDTF">2026-02-09T08:17:29Z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