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712中国共产主义青年团石家庄市井陉矿区委员会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33.94</w:t>
            </w:r>
          </w:p>
        </w:tc>
        <w:tc>
          <w:tcPr>
            <w:tcW w:w="4535" w:type="dxa"/>
            <w:vAlign w:val="center"/>
          </w:tcPr>
          <w:p>
            <w:pPr>
              <w:pStyle w:val="13"/>
            </w:pPr>
            <w:r>
              <w:t>一、一般公共服务支出</w:t>
            </w:r>
          </w:p>
        </w:tc>
        <w:tc>
          <w:tcPr>
            <w:tcW w:w="2126" w:type="dxa"/>
            <w:vAlign w:val="center"/>
          </w:tcPr>
          <w:p>
            <w:pPr>
              <w:pStyle w:val="12"/>
            </w:pPr>
            <w:r>
              <w:t>25.98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33.94</w:t>
            </w:r>
          </w:p>
        </w:tc>
        <w:tc>
          <w:tcPr>
            <w:tcW w:w="4535" w:type="dxa"/>
            <w:vAlign w:val="center"/>
          </w:tcPr>
          <w:p>
            <w:pPr>
              <w:pStyle w:val="15"/>
            </w:pPr>
            <w:r>
              <w:t>本年支出合计</w:t>
            </w:r>
          </w:p>
        </w:tc>
        <w:tc>
          <w:tcPr>
            <w:tcW w:w="2126" w:type="dxa"/>
            <w:vAlign w:val="center"/>
          </w:tcPr>
          <w:p>
            <w:pPr>
              <w:pStyle w:val="16"/>
            </w:pPr>
            <w:r>
              <w:t>33.94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33.94</w:t>
            </w:r>
          </w:p>
        </w:tc>
        <w:tc>
          <w:tcPr>
            <w:tcW w:w="4535" w:type="dxa"/>
            <w:vAlign w:val="center"/>
          </w:tcPr>
          <w:p>
            <w:pPr>
              <w:pStyle w:val="15"/>
            </w:pPr>
            <w:r>
              <w:t>支出总计</w:t>
            </w:r>
          </w:p>
        </w:tc>
        <w:tc>
          <w:tcPr>
            <w:tcW w:w="2126" w:type="dxa"/>
            <w:vAlign w:val="center"/>
          </w:tcPr>
          <w:p>
            <w:pPr>
              <w:pStyle w:val="16"/>
            </w:pPr>
            <w:r>
              <w:t>33.94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712中国共产主义青年团石家庄市井陉矿区委员会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33.94</w:t>
            </w:r>
          </w:p>
        </w:tc>
        <w:tc>
          <w:tcPr>
            <w:tcW w:w="1134" w:type="dxa"/>
            <w:vAlign w:val="center"/>
          </w:tcPr>
          <w:p>
            <w:pPr>
              <w:pStyle w:val="16"/>
            </w:pPr>
            <w:r>
              <w:t>33.94</w:t>
            </w:r>
          </w:p>
        </w:tc>
        <w:tc>
          <w:tcPr>
            <w:tcW w:w="1134" w:type="dxa"/>
            <w:vAlign w:val="center"/>
          </w:tcPr>
          <w:p>
            <w:pPr>
              <w:pStyle w:val="16"/>
            </w:pPr>
            <w:r>
              <w:t>33.94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25.98</w:t>
            </w:r>
          </w:p>
        </w:tc>
        <w:tc>
          <w:tcPr>
            <w:tcW w:w="1134" w:type="dxa"/>
            <w:vAlign w:val="center"/>
          </w:tcPr>
          <w:p>
            <w:pPr>
              <w:pStyle w:val="12"/>
            </w:pPr>
            <w:r>
              <w:t>25.98</w:t>
            </w:r>
          </w:p>
        </w:tc>
        <w:tc>
          <w:tcPr>
            <w:tcW w:w="1134" w:type="dxa"/>
            <w:vAlign w:val="center"/>
          </w:tcPr>
          <w:p>
            <w:pPr>
              <w:pStyle w:val="12"/>
            </w:pPr>
            <w:r>
              <w:t>25.98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25.98</w:t>
            </w:r>
          </w:p>
        </w:tc>
        <w:tc>
          <w:tcPr>
            <w:tcW w:w="1134" w:type="dxa"/>
            <w:vAlign w:val="center"/>
          </w:tcPr>
          <w:p>
            <w:pPr>
              <w:pStyle w:val="12"/>
            </w:pPr>
            <w:r>
              <w:t>25.98</w:t>
            </w:r>
          </w:p>
        </w:tc>
        <w:tc>
          <w:tcPr>
            <w:tcW w:w="1134" w:type="dxa"/>
            <w:vAlign w:val="center"/>
          </w:tcPr>
          <w:p>
            <w:pPr>
              <w:pStyle w:val="12"/>
            </w:pPr>
            <w:r>
              <w:t>25.98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2012901</w:t>
            </w:r>
          </w:p>
        </w:tc>
        <w:tc>
          <w:tcPr>
            <w:tcW w:w="1559" w:type="dxa"/>
            <w:vAlign w:val="center"/>
          </w:tcPr>
          <w:p>
            <w:pPr>
              <w:pStyle w:val="13"/>
            </w:pPr>
            <w:r>
              <w:t>行政运行</w:t>
            </w:r>
          </w:p>
        </w:tc>
        <w:tc>
          <w:tcPr>
            <w:tcW w:w="1134" w:type="dxa"/>
            <w:vAlign w:val="center"/>
          </w:tcPr>
          <w:p>
            <w:pPr>
              <w:pStyle w:val="12"/>
            </w:pPr>
            <w:r>
              <w:t>24.48</w:t>
            </w:r>
          </w:p>
        </w:tc>
        <w:tc>
          <w:tcPr>
            <w:tcW w:w="1134" w:type="dxa"/>
            <w:vAlign w:val="center"/>
          </w:tcPr>
          <w:p>
            <w:pPr>
              <w:pStyle w:val="12"/>
            </w:pPr>
            <w:r>
              <w:t>24.48</w:t>
            </w:r>
          </w:p>
        </w:tc>
        <w:tc>
          <w:tcPr>
            <w:tcW w:w="1134" w:type="dxa"/>
            <w:vAlign w:val="center"/>
          </w:tcPr>
          <w:p>
            <w:pPr>
              <w:pStyle w:val="12"/>
            </w:pPr>
            <w:r>
              <w:t>24.48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2012902</w:t>
            </w:r>
          </w:p>
        </w:tc>
        <w:tc>
          <w:tcPr>
            <w:tcW w:w="1559" w:type="dxa"/>
            <w:vAlign w:val="center"/>
          </w:tcPr>
          <w:p>
            <w:pPr>
              <w:pStyle w:val="13"/>
            </w:pPr>
            <w:r>
              <w:t>一般行政管理事务</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3.17</w:t>
            </w:r>
          </w:p>
        </w:tc>
        <w:tc>
          <w:tcPr>
            <w:tcW w:w="1134" w:type="dxa"/>
            <w:vAlign w:val="center"/>
          </w:tcPr>
          <w:p>
            <w:pPr>
              <w:pStyle w:val="12"/>
            </w:pPr>
            <w:r>
              <w:t>3.17</w:t>
            </w:r>
          </w:p>
        </w:tc>
        <w:tc>
          <w:tcPr>
            <w:tcW w:w="1134" w:type="dxa"/>
            <w:vAlign w:val="center"/>
          </w:tcPr>
          <w:p>
            <w:pPr>
              <w:pStyle w:val="12"/>
            </w:pPr>
            <w:r>
              <w:t>3.17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3.09</w:t>
            </w:r>
          </w:p>
        </w:tc>
        <w:tc>
          <w:tcPr>
            <w:tcW w:w="1134" w:type="dxa"/>
            <w:vAlign w:val="center"/>
          </w:tcPr>
          <w:p>
            <w:pPr>
              <w:pStyle w:val="12"/>
            </w:pPr>
            <w:r>
              <w:t>3.09</w:t>
            </w:r>
          </w:p>
        </w:tc>
        <w:tc>
          <w:tcPr>
            <w:tcW w:w="1134" w:type="dxa"/>
            <w:vAlign w:val="center"/>
          </w:tcPr>
          <w:p>
            <w:pPr>
              <w:pStyle w:val="12"/>
            </w:pPr>
            <w:r>
              <w:t>3.09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3.09</w:t>
            </w:r>
          </w:p>
        </w:tc>
        <w:tc>
          <w:tcPr>
            <w:tcW w:w="1134" w:type="dxa"/>
            <w:vAlign w:val="center"/>
          </w:tcPr>
          <w:p>
            <w:pPr>
              <w:pStyle w:val="12"/>
            </w:pPr>
            <w:r>
              <w:t>3.09</w:t>
            </w:r>
          </w:p>
        </w:tc>
        <w:tc>
          <w:tcPr>
            <w:tcW w:w="1134" w:type="dxa"/>
            <w:vAlign w:val="center"/>
          </w:tcPr>
          <w:p>
            <w:pPr>
              <w:pStyle w:val="12"/>
            </w:pPr>
            <w:r>
              <w:t>3.09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0.08</w:t>
            </w:r>
          </w:p>
        </w:tc>
        <w:tc>
          <w:tcPr>
            <w:tcW w:w="1134" w:type="dxa"/>
            <w:vAlign w:val="center"/>
          </w:tcPr>
          <w:p>
            <w:pPr>
              <w:pStyle w:val="12"/>
            </w:pPr>
            <w:r>
              <w:t>0.08</w:t>
            </w:r>
          </w:p>
        </w:tc>
        <w:tc>
          <w:tcPr>
            <w:tcW w:w="1134" w:type="dxa"/>
            <w:vAlign w:val="center"/>
          </w:tcPr>
          <w:p>
            <w:pPr>
              <w:pStyle w:val="12"/>
            </w:pPr>
            <w:r>
              <w:t>0.08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0.08</w:t>
            </w:r>
          </w:p>
        </w:tc>
        <w:tc>
          <w:tcPr>
            <w:tcW w:w="1134" w:type="dxa"/>
            <w:vAlign w:val="center"/>
          </w:tcPr>
          <w:p>
            <w:pPr>
              <w:pStyle w:val="12"/>
            </w:pPr>
            <w:r>
              <w:t>0.08</w:t>
            </w:r>
          </w:p>
        </w:tc>
        <w:tc>
          <w:tcPr>
            <w:tcW w:w="1134" w:type="dxa"/>
            <w:vAlign w:val="center"/>
          </w:tcPr>
          <w:p>
            <w:pPr>
              <w:pStyle w:val="12"/>
            </w:pPr>
            <w:r>
              <w:t>0.08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2.24</w:t>
            </w:r>
          </w:p>
        </w:tc>
        <w:tc>
          <w:tcPr>
            <w:tcW w:w="1134" w:type="dxa"/>
            <w:vAlign w:val="center"/>
          </w:tcPr>
          <w:p>
            <w:pPr>
              <w:pStyle w:val="12"/>
            </w:pPr>
            <w:r>
              <w:t>2.24</w:t>
            </w:r>
          </w:p>
        </w:tc>
        <w:tc>
          <w:tcPr>
            <w:tcW w:w="1134" w:type="dxa"/>
            <w:vAlign w:val="center"/>
          </w:tcPr>
          <w:p>
            <w:pPr>
              <w:pStyle w:val="12"/>
            </w:pPr>
            <w:r>
              <w:t>2.24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2.24</w:t>
            </w:r>
          </w:p>
        </w:tc>
        <w:tc>
          <w:tcPr>
            <w:tcW w:w="1134" w:type="dxa"/>
            <w:vAlign w:val="center"/>
          </w:tcPr>
          <w:p>
            <w:pPr>
              <w:pStyle w:val="12"/>
            </w:pPr>
            <w:r>
              <w:t>2.24</w:t>
            </w:r>
          </w:p>
        </w:tc>
        <w:tc>
          <w:tcPr>
            <w:tcW w:w="1134" w:type="dxa"/>
            <w:vAlign w:val="center"/>
          </w:tcPr>
          <w:p>
            <w:pPr>
              <w:pStyle w:val="12"/>
            </w:pPr>
            <w:r>
              <w:t>2.24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1.26</w:t>
            </w:r>
          </w:p>
        </w:tc>
        <w:tc>
          <w:tcPr>
            <w:tcW w:w="1134" w:type="dxa"/>
            <w:vAlign w:val="center"/>
          </w:tcPr>
          <w:p>
            <w:pPr>
              <w:pStyle w:val="12"/>
            </w:pPr>
            <w:r>
              <w:t>1.26</w:t>
            </w:r>
          </w:p>
        </w:tc>
        <w:tc>
          <w:tcPr>
            <w:tcW w:w="1134" w:type="dxa"/>
            <w:vAlign w:val="center"/>
          </w:tcPr>
          <w:p>
            <w:pPr>
              <w:pStyle w:val="12"/>
            </w:pPr>
            <w:r>
              <w:t>1.26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0.98</w:t>
            </w:r>
          </w:p>
        </w:tc>
        <w:tc>
          <w:tcPr>
            <w:tcW w:w="1134" w:type="dxa"/>
            <w:vAlign w:val="center"/>
          </w:tcPr>
          <w:p>
            <w:pPr>
              <w:pStyle w:val="12"/>
            </w:pPr>
            <w:r>
              <w:t>0.98</w:t>
            </w:r>
          </w:p>
        </w:tc>
        <w:tc>
          <w:tcPr>
            <w:tcW w:w="1134" w:type="dxa"/>
            <w:vAlign w:val="center"/>
          </w:tcPr>
          <w:p>
            <w:pPr>
              <w:pStyle w:val="12"/>
            </w:pPr>
            <w:r>
              <w:t>0.98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2.55</w:t>
            </w:r>
          </w:p>
        </w:tc>
        <w:tc>
          <w:tcPr>
            <w:tcW w:w="1134" w:type="dxa"/>
            <w:vAlign w:val="center"/>
          </w:tcPr>
          <w:p>
            <w:pPr>
              <w:pStyle w:val="12"/>
            </w:pPr>
            <w:r>
              <w:t>2.55</w:t>
            </w:r>
          </w:p>
        </w:tc>
        <w:tc>
          <w:tcPr>
            <w:tcW w:w="1134" w:type="dxa"/>
            <w:vAlign w:val="center"/>
          </w:tcPr>
          <w:p>
            <w:pPr>
              <w:pStyle w:val="12"/>
            </w:pPr>
            <w:r>
              <w:t>2.55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2.55</w:t>
            </w:r>
          </w:p>
        </w:tc>
        <w:tc>
          <w:tcPr>
            <w:tcW w:w="1134" w:type="dxa"/>
            <w:vAlign w:val="center"/>
          </w:tcPr>
          <w:p>
            <w:pPr>
              <w:pStyle w:val="12"/>
            </w:pPr>
            <w:r>
              <w:t>2.55</w:t>
            </w:r>
          </w:p>
        </w:tc>
        <w:tc>
          <w:tcPr>
            <w:tcW w:w="1134" w:type="dxa"/>
            <w:vAlign w:val="center"/>
          </w:tcPr>
          <w:p>
            <w:pPr>
              <w:pStyle w:val="12"/>
            </w:pPr>
            <w:r>
              <w:t>2.55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2.55</w:t>
            </w:r>
          </w:p>
        </w:tc>
        <w:tc>
          <w:tcPr>
            <w:tcW w:w="1134" w:type="dxa"/>
            <w:vAlign w:val="center"/>
          </w:tcPr>
          <w:p>
            <w:pPr>
              <w:pStyle w:val="12"/>
            </w:pPr>
            <w:r>
              <w:t>2.55</w:t>
            </w:r>
          </w:p>
        </w:tc>
        <w:tc>
          <w:tcPr>
            <w:tcW w:w="1134" w:type="dxa"/>
            <w:vAlign w:val="center"/>
          </w:tcPr>
          <w:p>
            <w:pPr>
              <w:pStyle w:val="12"/>
            </w:pPr>
            <w:r>
              <w:t>2.55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712中国共产主义青年团石家庄市井陉矿区委员会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33.94</w:t>
            </w:r>
          </w:p>
        </w:tc>
        <w:tc>
          <w:tcPr>
            <w:tcW w:w="1361" w:type="dxa"/>
            <w:vAlign w:val="center"/>
          </w:tcPr>
          <w:p>
            <w:pPr>
              <w:pStyle w:val="16"/>
            </w:pPr>
            <w:r>
              <w:t>32.44</w:t>
            </w:r>
          </w:p>
        </w:tc>
        <w:tc>
          <w:tcPr>
            <w:tcW w:w="1361" w:type="dxa"/>
            <w:vAlign w:val="center"/>
          </w:tcPr>
          <w:p>
            <w:pPr>
              <w:pStyle w:val="16"/>
            </w:pPr>
            <w:r>
              <w:t>1.50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25.98</w:t>
            </w:r>
          </w:p>
        </w:tc>
        <w:tc>
          <w:tcPr>
            <w:tcW w:w="1361" w:type="dxa"/>
            <w:vAlign w:val="center"/>
          </w:tcPr>
          <w:p>
            <w:pPr>
              <w:pStyle w:val="12"/>
            </w:pPr>
            <w:r>
              <w:t>24.48</w:t>
            </w: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25.98</w:t>
            </w:r>
          </w:p>
        </w:tc>
        <w:tc>
          <w:tcPr>
            <w:tcW w:w="1361" w:type="dxa"/>
            <w:vAlign w:val="center"/>
          </w:tcPr>
          <w:p>
            <w:pPr>
              <w:pStyle w:val="12"/>
            </w:pPr>
            <w:r>
              <w:t>24.48</w:t>
            </w: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2012901</w:t>
            </w:r>
          </w:p>
        </w:tc>
        <w:tc>
          <w:tcPr>
            <w:tcW w:w="4535" w:type="dxa"/>
            <w:vAlign w:val="center"/>
          </w:tcPr>
          <w:p>
            <w:pPr>
              <w:pStyle w:val="13"/>
            </w:pPr>
            <w:r>
              <w:t>行政运行</w:t>
            </w:r>
          </w:p>
        </w:tc>
        <w:tc>
          <w:tcPr>
            <w:tcW w:w="1361" w:type="dxa"/>
            <w:vAlign w:val="center"/>
          </w:tcPr>
          <w:p>
            <w:pPr>
              <w:pStyle w:val="12"/>
            </w:pPr>
            <w:r>
              <w:t>24.48</w:t>
            </w:r>
          </w:p>
        </w:tc>
        <w:tc>
          <w:tcPr>
            <w:tcW w:w="1361" w:type="dxa"/>
            <w:vAlign w:val="center"/>
          </w:tcPr>
          <w:p>
            <w:pPr>
              <w:pStyle w:val="12"/>
            </w:pPr>
            <w:r>
              <w:t>24.48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2012902</w:t>
            </w:r>
          </w:p>
        </w:tc>
        <w:tc>
          <w:tcPr>
            <w:tcW w:w="4535" w:type="dxa"/>
            <w:vAlign w:val="center"/>
          </w:tcPr>
          <w:p>
            <w:pPr>
              <w:pStyle w:val="13"/>
            </w:pPr>
            <w:r>
              <w:t>一般行政管理事务</w:t>
            </w: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3.17</w:t>
            </w:r>
          </w:p>
        </w:tc>
        <w:tc>
          <w:tcPr>
            <w:tcW w:w="1361" w:type="dxa"/>
            <w:vAlign w:val="center"/>
          </w:tcPr>
          <w:p>
            <w:pPr>
              <w:pStyle w:val="12"/>
            </w:pPr>
            <w:r>
              <w:t>3.17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3.09</w:t>
            </w:r>
          </w:p>
        </w:tc>
        <w:tc>
          <w:tcPr>
            <w:tcW w:w="1361" w:type="dxa"/>
            <w:vAlign w:val="center"/>
          </w:tcPr>
          <w:p>
            <w:pPr>
              <w:pStyle w:val="12"/>
            </w:pPr>
            <w:r>
              <w:t>3.09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3.09</w:t>
            </w:r>
          </w:p>
        </w:tc>
        <w:tc>
          <w:tcPr>
            <w:tcW w:w="1361" w:type="dxa"/>
            <w:vAlign w:val="center"/>
          </w:tcPr>
          <w:p>
            <w:pPr>
              <w:pStyle w:val="12"/>
            </w:pPr>
            <w:r>
              <w:t>3.09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0.08</w:t>
            </w:r>
          </w:p>
        </w:tc>
        <w:tc>
          <w:tcPr>
            <w:tcW w:w="1361" w:type="dxa"/>
            <w:vAlign w:val="center"/>
          </w:tcPr>
          <w:p>
            <w:pPr>
              <w:pStyle w:val="12"/>
            </w:pPr>
            <w:r>
              <w:t>0.08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0.08</w:t>
            </w:r>
          </w:p>
        </w:tc>
        <w:tc>
          <w:tcPr>
            <w:tcW w:w="1361" w:type="dxa"/>
            <w:vAlign w:val="center"/>
          </w:tcPr>
          <w:p>
            <w:pPr>
              <w:pStyle w:val="12"/>
            </w:pPr>
            <w:r>
              <w:t>0.08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2.24</w:t>
            </w:r>
          </w:p>
        </w:tc>
        <w:tc>
          <w:tcPr>
            <w:tcW w:w="1361" w:type="dxa"/>
            <w:vAlign w:val="center"/>
          </w:tcPr>
          <w:p>
            <w:pPr>
              <w:pStyle w:val="12"/>
            </w:pPr>
            <w:r>
              <w:t>2.24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2.24</w:t>
            </w:r>
          </w:p>
        </w:tc>
        <w:tc>
          <w:tcPr>
            <w:tcW w:w="1361" w:type="dxa"/>
            <w:vAlign w:val="center"/>
          </w:tcPr>
          <w:p>
            <w:pPr>
              <w:pStyle w:val="12"/>
            </w:pPr>
            <w:r>
              <w:t>2.24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1.26</w:t>
            </w:r>
          </w:p>
        </w:tc>
        <w:tc>
          <w:tcPr>
            <w:tcW w:w="1361" w:type="dxa"/>
            <w:vAlign w:val="center"/>
          </w:tcPr>
          <w:p>
            <w:pPr>
              <w:pStyle w:val="12"/>
            </w:pPr>
            <w:r>
              <w:t>1.26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0.98</w:t>
            </w:r>
          </w:p>
        </w:tc>
        <w:tc>
          <w:tcPr>
            <w:tcW w:w="1361" w:type="dxa"/>
            <w:vAlign w:val="center"/>
          </w:tcPr>
          <w:p>
            <w:pPr>
              <w:pStyle w:val="12"/>
            </w:pPr>
            <w:r>
              <w:t>0.98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2.55</w:t>
            </w:r>
          </w:p>
        </w:tc>
        <w:tc>
          <w:tcPr>
            <w:tcW w:w="1361" w:type="dxa"/>
            <w:vAlign w:val="center"/>
          </w:tcPr>
          <w:p>
            <w:pPr>
              <w:pStyle w:val="12"/>
            </w:pPr>
            <w:r>
              <w:t>2.55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2.55</w:t>
            </w:r>
          </w:p>
        </w:tc>
        <w:tc>
          <w:tcPr>
            <w:tcW w:w="1361" w:type="dxa"/>
            <w:vAlign w:val="center"/>
          </w:tcPr>
          <w:p>
            <w:pPr>
              <w:pStyle w:val="12"/>
            </w:pPr>
            <w:r>
              <w:t>2.55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2.55</w:t>
            </w:r>
          </w:p>
        </w:tc>
        <w:tc>
          <w:tcPr>
            <w:tcW w:w="1361" w:type="dxa"/>
            <w:vAlign w:val="center"/>
          </w:tcPr>
          <w:p>
            <w:pPr>
              <w:pStyle w:val="12"/>
            </w:pPr>
            <w:r>
              <w:t>2.55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712中国共产主义青年团石家庄市井陉矿区委员会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33.94</w:t>
            </w:r>
          </w:p>
        </w:tc>
        <w:tc>
          <w:tcPr>
            <w:tcW w:w="3402" w:type="dxa"/>
            <w:vAlign w:val="center"/>
          </w:tcPr>
          <w:p>
            <w:pPr>
              <w:pStyle w:val="13"/>
            </w:pPr>
            <w:r>
              <w:t>一、一般公共服务支出</w:t>
            </w:r>
          </w:p>
        </w:tc>
        <w:tc>
          <w:tcPr>
            <w:tcW w:w="1474" w:type="dxa"/>
            <w:vAlign w:val="center"/>
          </w:tcPr>
          <w:p>
            <w:pPr>
              <w:pStyle w:val="12"/>
            </w:pPr>
            <w:r>
              <w:t>25.98</w:t>
            </w:r>
          </w:p>
        </w:tc>
        <w:tc>
          <w:tcPr>
            <w:tcW w:w="1474" w:type="dxa"/>
            <w:vAlign w:val="center"/>
          </w:tcPr>
          <w:p>
            <w:pPr>
              <w:pStyle w:val="12"/>
            </w:pPr>
            <w:r>
              <w:t>25.98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3.17</w:t>
            </w:r>
          </w:p>
        </w:tc>
        <w:tc>
          <w:tcPr>
            <w:tcW w:w="1474" w:type="dxa"/>
            <w:vAlign w:val="center"/>
          </w:tcPr>
          <w:p>
            <w:pPr>
              <w:pStyle w:val="12"/>
            </w:pPr>
            <w:r>
              <w:t>3.17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2.24</w:t>
            </w:r>
          </w:p>
        </w:tc>
        <w:tc>
          <w:tcPr>
            <w:tcW w:w="1474" w:type="dxa"/>
            <w:vAlign w:val="center"/>
          </w:tcPr>
          <w:p>
            <w:pPr>
              <w:pStyle w:val="12"/>
            </w:pPr>
            <w:r>
              <w:t>2.24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2.55</w:t>
            </w:r>
          </w:p>
        </w:tc>
        <w:tc>
          <w:tcPr>
            <w:tcW w:w="1474" w:type="dxa"/>
            <w:vAlign w:val="center"/>
          </w:tcPr>
          <w:p>
            <w:pPr>
              <w:pStyle w:val="12"/>
            </w:pPr>
            <w:r>
              <w:t>2.55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33.94</w:t>
            </w:r>
          </w:p>
        </w:tc>
        <w:tc>
          <w:tcPr>
            <w:tcW w:w="3402" w:type="dxa"/>
            <w:vAlign w:val="center"/>
          </w:tcPr>
          <w:p>
            <w:pPr>
              <w:pStyle w:val="15"/>
            </w:pPr>
            <w:r>
              <w:t>本年支出合计</w:t>
            </w:r>
          </w:p>
        </w:tc>
        <w:tc>
          <w:tcPr>
            <w:tcW w:w="1474" w:type="dxa"/>
            <w:vAlign w:val="center"/>
          </w:tcPr>
          <w:p>
            <w:pPr>
              <w:pStyle w:val="16"/>
            </w:pPr>
            <w:r>
              <w:t>33.94</w:t>
            </w:r>
          </w:p>
        </w:tc>
        <w:tc>
          <w:tcPr>
            <w:tcW w:w="1474" w:type="dxa"/>
            <w:vAlign w:val="center"/>
          </w:tcPr>
          <w:p>
            <w:pPr>
              <w:pStyle w:val="16"/>
            </w:pPr>
            <w:r>
              <w:t>33.94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33.94</w:t>
            </w:r>
          </w:p>
        </w:tc>
        <w:tc>
          <w:tcPr>
            <w:tcW w:w="3402" w:type="dxa"/>
            <w:vAlign w:val="center"/>
          </w:tcPr>
          <w:p>
            <w:pPr>
              <w:pStyle w:val="15"/>
            </w:pPr>
            <w:r>
              <w:t>支出总计</w:t>
            </w:r>
          </w:p>
        </w:tc>
        <w:tc>
          <w:tcPr>
            <w:tcW w:w="1474" w:type="dxa"/>
            <w:vAlign w:val="center"/>
          </w:tcPr>
          <w:p>
            <w:pPr>
              <w:pStyle w:val="16"/>
            </w:pPr>
            <w:r>
              <w:t>33.94</w:t>
            </w:r>
          </w:p>
        </w:tc>
        <w:tc>
          <w:tcPr>
            <w:tcW w:w="1474" w:type="dxa"/>
            <w:vAlign w:val="center"/>
          </w:tcPr>
          <w:p>
            <w:pPr>
              <w:pStyle w:val="16"/>
            </w:pPr>
            <w:r>
              <w:t>33.94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712中国共产主义青年团石家庄市井陉矿区委员会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33.94</w:t>
            </w:r>
          </w:p>
        </w:tc>
        <w:tc>
          <w:tcPr>
            <w:tcW w:w="2551" w:type="dxa"/>
            <w:vAlign w:val="center"/>
          </w:tcPr>
          <w:p>
            <w:pPr>
              <w:pStyle w:val="16"/>
            </w:pPr>
            <w:r>
              <w:t>32.44</w:t>
            </w:r>
          </w:p>
        </w:tc>
        <w:tc>
          <w:tcPr>
            <w:tcW w:w="2551" w:type="dxa"/>
            <w:vAlign w:val="center"/>
          </w:tcPr>
          <w:p>
            <w:pPr>
              <w:pStyle w:val="16"/>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25.98</w:t>
            </w:r>
          </w:p>
        </w:tc>
        <w:tc>
          <w:tcPr>
            <w:tcW w:w="2551" w:type="dxa"/>
            <w:vAlign w:val="center"/>
          </w:tcPr>
          <w:p>
            <w:pPr>
              <w:pStyle w:val="12"/>
            </w:pPr>
            <w:r>
              <w:t>24.48</w:t>
            </w: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25.98</w:t>
            </w:r>
          </w:p>
        </w:tc>
        <w:tc>
          <w:tcPr>
            <w:tcW w:w="2551" w:type="dxa"/>
            <w:vAlign w:val="center"/>
          </w:tcPr>
          <w:p>
            <w:pPr>
              <w:pStyle w:val="12"/>
            </w:pPr>
            <w:r>
              <w:t>24.48</w:t>
            </w: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2012901</w:t>
            </w:r>
          </w:p>
        </w:tc>
        <w:tc>
          <w:tcPr>
            <w:tcW w:w="4535" w:type="dxa"/>
            <w:vAlign w:val="center"/>
          </w:tcPr>
          <w:p>
            <w:pPr>
              <w:pStyle w:val="13"/>
            </w:pPr>
            <w:r>
              <w:t>行政运行</w:t>
            </w:r>
          </w:p>
        </w:tc>
        <w:tc>
          <w:tcPr>
            <w:tcW w:w="2551" w:type="dxa"/>
            <w:vAlign w:val="center"/>
          </w:tcPr>
          <w:p>
            <w:pPr>
              <w:pStyle w:val="12"/>
            </w:pPr>
            <w:r>
              <w:t>24.48</w:t>
            </w:r>
          </w:p>
        </w:tc>
        <w:tc>
          <w:tcPr>
            <w:tcW w:w="2551" w:type="dxa"/>
            <w:vAlign w:val="center"/>
          </w:tcPr>
          <w:p>
            <w:pPr>
              <w:pStyle w:val="12"/>
            </w:pPr>
            <w:r>
              <w:t>24.48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2012902</w:t>
            </w:r>
          </w:p>
        </w:tc>
        <w:tc>
          <w:tcPr>
            <w:tcW w:w="4535" w:type="dxa"/>
            <w:vAlign w:val="center"/>
          </w:tcPr>
          <w:p>
            <w:pPr>
              <w:pStyle w:val="13"/>
            </w:pPr>
            <w:r>
              <w:t>一般行政管理事务</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3.17</w:t>
            </w:r>
          </w:p>
        </w:tc>
        <w:tc>
          <w:tcPr>
            <w:tcW w:w="2551" w:type="dxa"/>
            <w:vAlign w:val="center"/>
          </w:tcPr>
          <w:p>
            <w:pPr>
              <w:pStyle w:val="12"/>
            </w:pPr>
            <w:r>
              <w:t>3.17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3.09</w:t>
            </w:r>
          </w:p>
        </w:tc>
        <w:tc>
          <w:tcPr>
            <w:tcW w:w="2551" w:type="dxa"/>
            <w:vAlign w:val="center"/>
          </w:tcPr>
          <w:p>
            <w:pPr>
              <w:pStyle w:val="12"/>
            </w:pPr>
            <w:r>
              <w:t>3.09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3.09</w:t>
            </w:r>
          </w:p>
        </w:tc>
        <w:tc>
          <w:tcPr>
            <w:tcW w:w="2551" w:type="dxa"/>
            <w:vAlign w:val="center"/>
          </w:tcPr>
          <w:p>
            <w:pPr>
              <w:pStyle w:val="12"/>
            </w:pPr>
            <w:r>
              <w:t>3.09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0.08</w:t>
            </w:r>
          </w:p>
        </w:tc>
        <w:tc>
          <w:tcPr>
            <w:tcW w:w="2551" w:type="dxa"/>
            <w:vAlign w:val="center"/>
          </w:tcPr>
          <w:p>
            <w:pPr>
              <w:pStyle w:val="12"/>
            </w:pPr>
            <w:r>
              <w:t>0.08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0.08</w:t>
            </w:r>
          </w:p>
        </w:tc>
        <w:tc>
          <w:tcPr>
            <w:tcW w:w="2551" w:type="dxa"/>
            <w:vAlign w:val="center"/>
          </w:tcPr>
          <w:p>
            <w:pPr>
              <w:pStyle w:val="12"/>
            </w:pPr>
            <w:r>
              <w:t>0.08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2.24</w:t>
            </w:r>
          </w:p>
        </w:tc>
        <w:tc>
          <w:tcPr>
            <w:tcW w:w="2551" w:type="dxa"/>
            <w:vAlign w:val="center"/>
          </w:tcPr>
          <w:p>
            <w:pPr>
              <w:pStyle w:val="12"/>
            </w:pPr>
            <w:r>
              <w:t>2.24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2.24</w:t>
            </w:r>
          </w:p>
        </w:tc>
        <w:tc>
          <w:tcPr>
            <w:tcW w:w="2551" w:type="dxa"/>
            <w:vAlign w:val="center"/>
          </w:tcPr>
          <w:p>
            <w:pPr>
              <w:pStyle w:val="12"/>
            </w:pPr>
            <w:r>
              <w:t>2.24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1.26</w:t>
            </w:r>
          </w:p>
        </w:tc>
        <w:tc>
          <w:tcPr>
            <w:tcW w:w="2551" w:type="dxa"/>
            <w:vAlign w:val="center"/>
          </w:tcPr>
          <w:p>
            <w:pPr>
              <w:pStyle w:val="12"/>
            </w:pPr>
            <w:r>
              <w:t>1.26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0.98</w:t>
            </w:r>
          </w:p>
        </w:tc>
        <w:tc>
          <w:tcPr>
            <w:tcW w:w="2551" w:type="dxa"/>
            <w:vAlign w:val="center"/>
          </w:tcPr>
          <w:p>
            <w:pPr>
              <w:pStyle w:val="12"/>
            </w:pPr>
            <w:r>
              <w:t>0.98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2.55</w:t>
            </w:r>
          </w:p>
        </w:tc>
        <w:tc>
          <w:tcPr>
            <w:tcW w:w="2551" w:type="dxa"/>
            <w:vAlign w:val="center"/>
          </w:tcPr>
          <w:p>
            <w:pPr>
              <w:pStyle w:val="12"/>
            </w:pPr>
            <w:r>
              <w:t>2.55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2.55</w:t>
            </w:r>
          </w:p>
        </w:tc>
        <w:tc>
          <w:tcPr>
            <w:tcW w:w="2551" w:type="dxa"/>
            <w:vAlign w:val="center"/>
          </w:tcPr>
          <w:p>
            <w:pPr>
              <w:pStyle w:val="12"/>
            </w:pPr>
            <w:r>
              <w:t>2.55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2.55</w:t>
            </w:r>
          </w:p>
        </w:tc>
        <w:tc>
          <w:tcPr>
            <w:tcW w:w="2551" w:type="dxa"/>
            <w:vAlign w:val="center"/>
          </w:tcPr>
          <w:p>
            <w:pPr>
              <w:pStyle w:val="12"/>
            </w:pPr>
            <w:r>
              <w:t>2.55</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712中国共产主义青年团石家庄市井陉矿区委员会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32.44</w:t>
            </w:r>
          </w:p>
        </w:tc>
        <w:tc>
          <w:tcPr>
            <w:tcW w:w="2551" w:type="dxa"/>
            <w:vAlign w:val="center"/>
          </w:tcPr>
          <w:p>
            <w:pPr>
              <w:pStyle w:val="16"/>
            </w:pPr>
            <w:r>
              <w:t>30.22</w:t>
            </w:r>
          </w:p>
        </w:tc>
        <w:tc>
          <w:tcPr>
            <w:tcW w:w="2551" w:type="dxa"/>
            <w:vAlign w:val="center"/>
          </w:tcPr>
          <w:p>
            <w:pPr>
              <w:pStyle w:val="16"/>
            </w:pPr>
            <w:r>
              <w:t>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30.22</w:t>
            </w:r>
          </w:p>
        </w:tc>
        <w:tc>
          <w:tcPr>
            <w:tcW w:w="2551" w:type="dxa"/>
            <w:vAlign w:val="center"/>
          </w:tcPr>
          <w:p>
            <w:pPr>
              <w:pStyle w:val="12"/>
            </w:pPr>
            <w:r>
              <w:t>30.22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8.49</w:t>
            </w:r>
          </w:p>
        </w:tc>
        <w:tc>
          <w:tcPr>
            <w:tcW w:w="2551" w:type="dxa"/>
            <w:vAlign w:val="center"/>
          </w:tcPr>
          <w:p>
            <w:pPr>
              <w:pStyle w:val="12"/>
            </w:pPr>
            <w:r>
              <w:t>8.49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6.78</w:t>
            </w:r>
          </w:p>
        </w:tc>
        <w:tc>
          <w:tcPr>
            <w:tcW w:w="2551" w:type="dxa"/>
            <w:vAlign w:val="center"/>
          </w:tcPr>
          <w:p>
            <w:pPr>
              <w:pStyle w:val="12"/>
            </w:pPr>
            <w:r>
              <w:t>6.78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6.99</w:t>
            </w:r>
          </w:p>
        </w:tc>
        <w:tc>
          <w:tcPr>
            <w:tcW w:w="2551" w:type="dxa"/>
            <w:vAlign w:val="center"/>
          </w:tcPr>
          <w:p>
            <w:pPr>
              <w:pStyle w:val="12"/>
            </w:pPr>
            <w:r>
              <w:t>6.99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3.09</w:t>
            </w:r>
          </w:p>
        </w:tc>
        <w:tc>
          <w:tcPr>
            <w:tcW w:w="2551" w:type="dxa"/>
            <w:vAlign w:val="center"/>
          </w:tcPr>
          <w:p>
            <w:pPr>
              <w:pStyle w:val="12"/>
            </w:pPr>
            <w:r>
              <w:t>3.09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1.26</w:t>
            </w:r>
          </w:p>
        </w:tc>
        <w:tc>
          <w:tcPr>
            <w:tcW w:w="2551" w:type="dxa"/>
            <w:vAlign w:val="center"/>
          </w:tcPr>
          <w:p>
            <w:pPr>
              <w:pStyle w:val="12"/>
            </w:pPr>
            <w:r>
              <w:t>1.26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0.98</w:t>
            </w:r>
          </w:p>
        </w:tc>
        <w:tc>
          <w:tcPr>
            <w:tcW w:w="2551" w:type="dxa"/>
            <w:vAlign w:val="center"/>
          </w:tcPr>
          <w:p>
            <w:pPr>
              <w:pStyle w:val="12"/>
            </w:pPr>
            <w:r>
              <w:t>0.98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0.08</w:t>
            </w:r>
          </w:p>
        </w:tc>
        <w:tc>
          <w:tcPr>
            <w:tcW w:w="2551" w:type="dxa"/>
            <w:vAlign w:val="center"/>
          </w:tcPr>
          <w:p>
            <w:pPr>
              <w:pStyle w:val="12"/>
            </w:pPr>
            <w:r>
              <w:t>0.08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2.55</w:t>
            </w:r>
          </w:p>
        </w:tc>
        <w:tc>
          <w:tcPr>
            <w:tcW w:w="2551" w:type="dxa"/>
            <w:vAlign w:val="center"/>
          </w:tcPr>
          <w:p>
            <w:pPr>
              <w:pStyle w:val="12"/>
            </w:pPr>
            <w:r>
              <w:t>2.55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2.22</w:t>
            </w:r>
          </w:p>
        </w:tc>
        <w:tc>
          <w:tcPr>
            <w:tcW w:w="2551" w:type="dxa"/>
            <w:vAlign w:val="center"/>
          </w:tcPr>
          <w:p>
            <w:pPr>
              <w:pStyle w:val="12"/>
            </w:pPr>
          </w:p>
        </w:tc>
        <w:tc>
          <w:tcPr>
            <w:tcW w:w="2551" w:type="dxa"/>
            <w:vAlign w:val="center"/>
          </w:tcPr>
          <w:p>
            <w:pPr>
              <w:pStyle w:val="12"/>
            </w:pPr>
            <w:r>
              <w:t>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0.16</w:t>
            </w:r>
          </w:p>
        </w:tc>
        <w:tc>
          <w:tcPr>
            <w:tcW w:w="2551" w:type="dxa"/>
            <w:vAlign w:val="center"/>
          </w:tcPr>
          <w:p>
            <w:pPr>
              <w:pStyle w:val="12"/>
            </w:pPr>
          </w:p>
        </w:tc>
        <w:tc>
          <w:tcPr>
            <w:tcW w:w="2551" w:type="dxa"/>
            <w:vAlign w:val="center"/>
          </w:tcPr>
          <w:p>
            <w:pPr>
              <w:pStyle w:val="12"/>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0.48</w:t>
            </w:r>
          </w:p>
        </w:tc>
        <w:tc>
          <w:tcPr>
            <w:tcW w:w="2551" w:type="dxa"/>
            <w:vAlign w:val="center"/>
          </w:tcPr>
          <w:p>
            <w:pPr>
              <w:pStyle w:val="12"/>
            </w:pPr>
          </w:p>
        </w:tc>
        <w:tc>
          <w:tcPr>
            <w:tcW w:w="2551" w:type="dxa"/>
            <w:vAlign w:val="center"/>
          </w:tcPr>
          <w:p>
            <w:pPr>
              <w:pStyle w:val="12"/>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1.38</w:t>
            </w:r>
          </w:p>
        </w:tc>
        <w:tc>
          <w:tcPr>
            <w:tcW w:w="2551" w:type="dxa"/>
            <w:vAlign w:val="center"/>
          </w:tcPr>
          <w:p>
            <w:pPr>
              <w:pStyle w:val="12"/>
            </w:pPr>
          </w:p>
        </w:tc>
        <w:tc>
          <w:tcPr>
            <w:tcW w:w="2551" w:type="dxa"/>
            <w:vAlign w:val="center"/>
          </w:tcPr>
          <w:p>
            <w:pPr>
              <w:pStyle w:val="12"/>
            </w:pPr>
            <w:r>
              <w:t>1.38</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712中国共产主义青年团石家庄市井陉矿区委员会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712中国共产主义青年团石家庄市井陉矿区委员会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712中国共产主义青年团石家庄市井陉矿区委员会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中国共产主义青年团石家庄市井陉矿区委员会2026年部门预算信息公开情况说明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中国共产主义青年团石家庄市井陉矿区委员会2026年部门预算信息公开情况说明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按照《中华人民共和国预算法》、《地方预决算公开操作规程》和《关于进一步推进预算公开工作的实施意见》规定，现将中国共产主义青年团石家庄市井陉矿区委员会2026年部门预算公开如下：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组织建设和宣传教育。领导全区共青团工作，指导青联和少先队工作，对全区性青年社团组织指导和管理；对青年工作院校、青少年活动阵地和青少年服务机构的建设等进行规划和管理；协助区政府教育部门做好学生教育管理工作。</w:t>
      </w:r>
    </w:p>
    <w:p>
      <w:pPr>
        <w:pStyle w:val="18"/>
      </w:pPr>
      <w:r>
        <w:t>（二）基层团组织建设及区域化团建工作。指导全区基层团委、青联和少先队工作，对全区青年社团组织进行指导和管理；对青少年活动阵地和青少年服务机构的建设等事务进行规划和管理。</w:t>
      </w:r>
    </w:p>
    <w:p>
      <w:pPr>
        <w:pStyle w:val="18"/>
      </w:pPr>
      <w:r>
        <w:t>（三）宣传教育活动。用共同理想感召青年，用核心价值观引领青年，协助区政府教育部门做好大、中、小学学生的教育管理工作。有效利用新媒体加强对青年的宣传力度，用科学理论武装青年。</w:t>
      </w:r>
    </w:p>
    <w:p>
      <w:pPr>
        <w:pStyle w:val="18"/>
      </w:pPr>
      <w:r>
        <w:t>（四）服务、引导青少年工作。调查青年思想动态和工作状况，研究青少年运动、青少年工作理论和思想教育问题并开展各种活动；组织和带领青年在经济建设中发挥生力军和突击队作用；丰富青少年活动，服务青年学习成才、交流交友、社会融入等现实需求。</w:t>
      </w:r>
    </w:p>
    <w:p>
      <w:pPr>
        <w:pStyle w:val="18"/>
      </w:pPr>
      <w:r>
        <w:t>(五）青少年服务引导活动。围绕青年思想动态和青年工作现状，不断加强青少年社会主义核心价值观，加强青年统战工作，围绕党政中心工作开展各项活动。</w:t>
      </w:r>
    </w:p>
    <w:p>
      <w:pPr>
        <w:pStyle w:val="18"/>
      </w:pPr>
      <w:r>
        <w:t>(六）青年志愿者服务活动。负责注册全区青年志愿者工作，组织和动员全区青年服务社会传承美德和志愿者工作健康持续发展相关工作。</w:t>
      </w:r>
    </w:p>
    <w:p>
      <w:pPr>
        <w:pStyle w:val="18"/>
      </w:pPr>
      <w:r>
        <w:t>（七）维护青少年权益工作。研究有关青少年发展问题，参与监督青少年法规的执行、处理侵害青少年合法权益的问题；负责区未成年人保护委员会的日常工作；承担国家、省、市希望工程、青少年发展基金会等相关工作，落实贫困少年儿童专项援助等活动。</w:t>
      </w:r>
    </w:p>
    <w:p>
      <w:pPr>
        <w:pStyle w:val="18"/>
      </w:pPr>
      <w:r>
        <w:t>（八）预防青少年违法犯罪。做好大中小学学生的教育管理工作，维护学校稳定和社会安定团结；推动青少年事务社会工作开展，提高源头治理力度，做好预防青少年违法犯罪工作。</w:t>
      </w:r>
    </w:p>
    <w:p>
      <w:pPr>
        <w:pStyle w:val="18"/>
      </w:pPr>
      <w:r>
        <w:t>（九）希望工程。承担国家、省、市希望工程、青少年发展基金会等相关捐助款项、物资的走访.</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中国共产主义青年团石家庄市井陉矿区委员会</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按照预算管理有关规定，目前部门预算的编制实行综合预算管理，即全部收入和支出都反映在预算中。中国共产主义青年团石家庄市井陉矿区委员会机关及所属事业单位的收支包含在部门预算中。</w:t>
      </w:r>
    </w:p>
    <w:p>
      <w:pPr>
        <w:pStyle w:val="19"/>
      </w:pPr>
      <w:r>
        <w:t>1、收入说明</w:t>
      </w:r>
    </w:p>
    <w:p>
      <w:pPr>
        <w:pStyle w:val="19"/>
      </w:pPr>
      <w:r>
        <w:t>反映本部门当年全部收入。2026年预算收入33.94万元，其中：一般公共预算收入33.94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国共产主义青年团石家庄市井陉矿区委员会年度部门预算中支出预算的总体情况。2026年支出预算33.94万元，其中基本支出32.44万元，包括人员经费30.22万元和日常公用经费2.22万元；项目支出1.50万元，主要为召开少代会所需材料费用等办公用费。</w:t>
      </w:r>
      <w:bookmarkStart w:id="20" w:name="_GoBack"/>
      <w:bookmarkEnd w:id="20"/>
      <w:r>
        <w:t>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2026年预算收支安排33.94万元，较2025年预算减少0.56万元，其中：基本支出增加1.50万元，主要为人员经费增加。项目支出减少2.06万元，主要为项目经费减少。预计下年使用的单位资金结余增加0.00万元。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2026年，我部门机关运行经费共计安排2.22万元，主要用于日常维修、办公用房水电费、办公用房取暖费、办公用房物业管理费等日常运行支出。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我部门无“三公”经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rPr>
          <w:rFonts w:ascii="Times New Roman" w:hAnsi="Times New Roman" w:eastAsia="方正仿宋_GBK" w:cs="Times New Roman"/>
          <w:sz w:val="28"/>
          <w:szCs w:val="24"/>
          <w:lang w:val="en-US" w:eastAsia="uk-UA" w:bidi="ar-SA"/>
        </w:rPr>
        <w:t>以习近平新时代中国特色社会主义思想和</w:t>
      </w:r>
      <w:r>
        <w:rPr>
          <w:rFonts w:hint="default" w:ascii="Times New Roman" w:hAnsi="Times New Roman" w:eastAsia="方正仿宋_GBK" w:cs="Times New Roman"/>
          <w:sz w:val="28"/>
          <w:szCs w:val="24"/>
          <w:lang w:val="en-US" w:eastAsia="uk-UA" w:bidi="ar-SA"/>
        </w:rPr>
        <w:t>党的二十大精神为指导，深入贯彻落实中央和省委党的群团工作会议精神和中央、省市党委关于做好青少年和共青团工作的部署要求，紧紧围绕保持和增强政治性、先进性、群众性这一基本要求，打造有影响力的青年工作品牌，构建“凝聚青年、服务大局、当好桥梁、从严治团”的工作格局，为实现科技特钢城、品质新矿区做出积极贡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rPr>
          <w:rFonts w:hint="default" w:ascii="Times New Roman" w:hAnsi="Times New Roman" w:eastAsia="方正仿宋_GBK" w:cs="Times New Roman"/>
          <w:sz w:val="28"/>
          <w:szCs w:val="24"/>
          <w:lang w:val="en-US" w:eastAsia="uk-UA" w:bidi="ar-SA"/>
        </w:rPr>
        <w:t>绩效目标：领导全区共青团工作，指导青联和少先队工作，协助区政府教育部门做好学生教育管理工作；做好“五四”表彰工作；加强基层团组织及青少年的思想教育管理；对国家、省、市希望工程、青少年发展基金会等相关捐助款项、物资的走访做好摸底调查、分配发放工作；协助区委区政府开展各项志愿服务活动；做好青少年维权和预防青少年犯罪的宣传活动。</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keepNext w:val="0"/>
        <w:keepLines w:val="0"/>
        <w:widowControl/>
        <w:suppressLineNumbers w:val="0"/>
        <w:spacing w:before="0" w:beforeAutospacing="0" w:after="0" w:afterAutospacing="0" w:line="15" w:lineRule="atLeast"/>
        <w:ind w:left="0" w:right="0" w:firstLine="560" w:firstLineChars="200"/>
        <w:jc w:val="left"/>
        <w:rPr>
          <w:rFonts w:hint="default" w:ascii="Times New Roman" w:hAnsi="Times New Roman" w:eastAsia="方正仿宋_GBK" w:cs="Times New Roman"/>
          <w:sz w:val="28"/>
          <w:szCs w:val="24"/>
          <w:lang w:val="en-US" w:eastAsia="uk-UA" w:bidi="ar-SA"/>
        </w:rPr>
      </w:pPr>
      <w:r>
        <w:rPr>
          <w:rFonts w:hint="default" w:ascii="Times New Roman" w:hAnsi="Times New Roman" w:eastAsia="方正仿宋_GBK" w:cs="Times New Roman"/>
          <w:sz w:val="28"/>
          <w:szCs w:val="24"/>
          <w:lang w:val="en-US" w:eastAsia="zh-CN" w:bidi="ar-SA"/>
        </w:rPr>
        <w:t>（一）加强组织领导。将项目评估、经费管理、运行监控，绩效评价等各项措施，有效融入预算管理的全过程，建立健全预算绩效管理的路径和制度体系。成立由主要领导任组长的预算绩效工作领导小组，建立统筹协调、分工合作、密切配合、全力推进工作机制。对基层团组织及青少年的思想教育、业务培训、争取捐助资金等工作进行安排部署，细化工作方案，围绕年度总体绩效目标和分项绩效目标，推行绩效管理，实行团内评价、社会评价，确保预算如期完成。</w:t>
      </w:r>
    </w:p>
    <w:p>
      <w:pPr>
        <w:keepNext w:val="0"/>
        <w:keepLines w:val="0"/>
        <w:widowControl/>
        <w:suppressLineNumbers w:val="0"/>
        <w:spacing w:before="0" w:beforeAutospacing="0" w:after="0" w:afterAutospacing="0" w:line="15" w:lineRule="atLeast"/>
        <w:ind w:left="0" w:right="0" w:firstLine="560" w:firstLineChars="200"/>
        <w:jc w:val="left"/>
        <w:rPr>
          <w:rFonts w:hint="default" w:ascii="Times New Roman" w:hAnsi="Times New Roman" w:eastAsia="方正仿宋_GBK" w:cs="Times New Roman"/>
          <w:sz w:val="28"/>
          <w:szCs w:val="24"/>
          <w:lang w:val="en-US" w:eastAsia="uk-UA" w:bidi="ar-SA"/>
        </w:rPr>
      </w:pPr>
      <w:r>
        <w:rPr>
          <w:rFonts w:hint="default" w:ascii="Times New Roman" w:hAnsi="Times New Roman" w:eastAsia="方正仿宋_GBK" w:cs="Times New Roman"/>
          <w:sz w:val="28"/>
          <w:szCs w:val="24"/>
          <w:lang w:val="en-US" w:eastAsia="zh-CN" w:bidi="ar-SA"/>
        </w:rPr>
        <w:t>（二）强化预算执行。强化预算执行的刚性约束，及时启动预算项目，加快履行采购程序，优化预算支出结构，创新经费支出思路，合理改进支出方式，确保按照时间节点完成支出任务。进一步规范经费使用和管理，强化内部控制制度建设，更好地发挥经费的使用效益。</w:t>
      </w:r>
    </w:p>
    <w:p>
      <w:pPr>
        <w:keepNext w:val="0"/>
        <w:keepLines w:val="0"/>
        <w:widowControl/>
        <w:suppressLineNumbers w:val="0"/>
        <w:spacing w:before="0" w:beforeAutospacing="0" w:after="0" w:afterAutospacing="0" w:line="15" w:lineRule="atLeast"/>
        <w:ind w:left="0" w:right="0" w:firstLine="560" w:firstLineChars="200"/>
        <w:jc w:val="left"/>
        <w:rPr>
          <w:rFonts w:hint="default" w:ascii="Times New Roman" w:hAnsi="Times New Roman" w:eastAsia="方正仿宋_GBK" w:cs="Times New Roman"/>
          <w:sz w:val="28"/>
          <w:szCs w:val="24"/>
          <w:lang w:val="en-US" w:eastAsia="uk-UA" w:bidi="ar-SA"/>
        </w:rPr>
        <w:sectPr>
          <w:pgSz w:w="16840" w:h="11900" w:orient="landscape"/>
          <w:pgMar w:top="1361" w:right="1020" w:bottom="1361" w:left="1020" w:header="720" w:footer="720" w:gutter="0"/>
        </w:sectPr>
      </w:pPr>
      <w:r>
        <w:rPr>
          <w:rFonts w:hint="default" w:ascii="Times New Roman" w:hAnsi="Times New Roman" w:eastAsia="方正仿宋_GBK" w:cs="Times New Roman"/>
          <w:sz w:val="28"/>
          <w:szCs w:val="24"/>
          <w:lang w:val="en-US" w:eastAsia="zh-CN" w:bidi="ar-SA"/>
        </w:rPr>
        <w:t>（三）规范财务资产管理。完善财务管理制度，严格审批程序，加强固定资产登记、使用和报废处置管理，做到支出合理，物尽其用。</w:t>
      </w:r>
    </w:p>
    <w:p>
      <w:pPr>
        <w:pStyle w:val="24"/>
        <w:ind w:left="0" w:leftChars="0" w:firstLine="0" w:firstLineChars="0"/>
        <w:sectPr>
          <w:pgSz w:w="16840" w:h="11900" w:orient="landscape"/>
          <w:pgMar w:top="1361" w:right="1020" w:bottom="1361" w:left="1020" w:header="720" w:footer="720" w:gutter="0"/>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640" w:firstLineChars="2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sect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1、团委工作经费绩效目标表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13010726P000079100206</w:t>
            </w:r>
          </w:p>
        </w:tc>
        <w:tc>
          <w:tcPr>
            <w:tcW w:w="2835" w:type="dxa"/>
            <w:vAlign w:val="center"/>
          </w:tcPr>
          <w:p>
            <w:pPr>
              <w:pStyle w:val="11"/>
            </w:pPr>
            <w:r>
              <w:t>项目名称</w:t>
            </w:r>
          </w:p>
        </w:tc>
        <w:tc>
          <w:tcPr>
            <w:tcW w:w="6095" w:type="dxa"/>
            <w:gridSpan w:val="3"/>
            <w:vAlign w:val="center"/>
          </w:tcPr>
          <w:p>
            <w:pPr>
              <w:pStyle w:val="13"/>
            </w:pPr>
            <w:r>
              <w:t>团委工作经费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用于大会宣传材料、办公用品及各种费用，保障大会顺利召开。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0.75</w:t>
            </w:r>
          </w:p>
        </w:tc>
        <w:tc>
          <w:tcPr>
            <w:tcW w:w="2835" w:type="dxa"/>
            <w:vAlign w:val="center"/>
          </w:tcPr>
          <w:p>
            <w:pPr>
              <w:pStyle w:val="14"/>
            </w:pPr>
            <w:r>
              <w:t>0.75</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1.用于保障会议顺利召开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相关会议次数</w:t>
            </w:r>
          </w:p>
        </w:tc>
        <w:tc>
          <w:tcPr>
            <w:tcW w:w="5386" w:type="dxa"/>
            <w:vAlign w:val="center"/>
          </w:tcPr>
          <w:p>
            <w:pPr>
              <w:pStyle w:val="13"/>
            </w:pPr>
            <w:r>
              <w:t>相关会议次数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会议材料质量合格率</w:t>
            </w:r>
          </w:p>
        </w:tc>
        <w:tc>
          <w:tcPr>
            <w:tcW w:w="5386" w:type="dxa"/>
            <w:vAlign w:val="center"/>
          </w:tcPr>
          <w:p>
            <w:pPr>
              <w:pStyle w:val="13"/>
            </w:pPr>
            <w:r>
              <w:t>会议材料质量合格率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按计划如期召开</w:t>
            </w:r>
          </w:p>
        </w:tc>
        <w:tc>
          <w:tcPr>
            <w:tcW w:w="5386" w:type="dxa"/>
            <w:vAlign w:val="center"/>
          </w:tcPr>
          <w:p>
            <w:pPr>
              <w:pStyle w:val="13"/>
            </w:pPr>
            <w:r>
              <w:t>按计划如期召开完成率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≤1.5万元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保障大会顺利召开</w:t>
            </w:r>
          </w:p>
        </w:tc>
        <w:tc>
          <w:tcPr>
            <w:tcW w:w="5386" w:type="dxa"/>
            <w:vAlign w:val="center"/>
          </w:tcPr>
          <w:p>
            <w:pPr>
              <w:pStyle w:val="13"/>
            </w:pPr>
            <w:r>
              <w:t>保障大会顺利召开</w:t>
            </w:r>
          </w:p>
        </w:tc>
        <w:tc>
          <w:tcPr>
            <w:tcW w:w="2268" w:type="dxa"/>
            <w:vAlign w:val="center"/>
          </w:tcPr>
          <w:p>
            <w:pPr>
              <w:pStyle w:val="13"/>
            </w:pPr>
            <w:r>
              <w:t>有效保障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712中国共产主义青年团石家庄市井陉矿区委员会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中国共产主义青年团石家庄市井陉矿区委员会（含所属单位）上年末固定资产金额为5.75万元（详见下表）。本年度拟购置固定资产总额为0.00万元，已按要求列入政府采购预算，详见政府采购预算表。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712中国共产主义青年团石家庄市井陉矿区委员会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37</w:t>
            </w:r>
          </w:p>
        </w:tc>
        <w:tc>
          <w:tcPr>
            <w:tcW w:w="2835" w:type="dxa"/>
            <w:vAlign w:val="center"/>
          </w:tcPr>
          <w:p>
            <w:pPr>
              <w:pStyle w:val="12"/>
            </w:pPr>
            <w:r>
              <w:t>5.75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B0DF837"/>
    <w:multiLevelType w:val="singleLevel"/>
    <w:tmpl w:val="3B0DF83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0F92424"/>
    <w:rsid w:val="4BB1325B"/>
    <w:rsid w:val="6899107A"/>
    <w:rsid w:val="6C233CE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24</Pages>
  <TotalTime>2</TotalTime>
  <ScaleCrop>false</ScaleCrop>
  <LinksUpToDate>false</LinksUpToDate>
  <Application>WPS Office_11.1.0.8799_F1E327BC-269C-435d-A152-05C5408002CA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2026-02-10T09:39:00Z</dcterms:created>
  <dc:creator>Administrator</dc:creator>
  <cp:lastModifiedBy>Administrator</cp:lastModifiedBy>
  <dcterms:modified xsi:type="dcterms:W3CDTF">2026-02-10T03:18:15Z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2052-11.1.0.8799</vt:lpwstr>
  </property>
</Properties>
</file>