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一、中国共产主义青年团石家庄市井陉矿区委员会收支预算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一、中国共产主义青年团石家庄市井陉矿区委员会收支预算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33.94</w:t>
            </w:r>
          </w:p>
        </w:tc>
        <w:tc>
          <w:tcPr>
            <w:tcW w:w="4535" w:type="dxa"/>
            <w:vAlign w:val="center"/>
          </w:tcPr>
          <w:p>
            <w:pPr>
              <w:pStyle w:val="12"/>
            </w:pPr>
            <w:r>
              <w:t>一、一般公共服务支出</w:t>
            </w:r>
          </w:p>
        </w:tc>
        <w:tc>
          <w:tcPr>
            <w:tcW w:w="2126" w:type="dxa"/>
            <w:vAlign w:val="center"/>
          </w:tcPr>
          <w:p>
            <w:pPr>
              <w:pStyle w:val="11"/>
            </w:pPr>
            <w:r>
              <w:t>25.98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33.94</w:t>
            </w:r>
          </w:p>
        </w:tc>
        <w:tc>
          <w:tcPr>
            <w:tcW w:w="4535" w:type="dxa"/>
            <w:vAlign w:val="center"/>
          </w:tcPr>
          <w:p>
            <w:pPr>
              <w:pStyle w:val="14"/>
            </w:pPr>
            <w:r>
              <w:t>本年支出合计</w:t>
            </w:r>
          </w:p>
        </w:tc>
        <w:tc>
          <w:tcPr>
            <w:tcW w:w="2126" w:type="dxa"/>
            <w:vAlign w:val="center"/>
          </w:tcPr>
          <w:p>
            <w:pPr>
              <w:pStyle w:val="15"/>
            </w:pPr>
            <w:r>
              <w:t>33.94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33.94</w:t>
            </w:r>
          </w:p>
        </w:tc>
        <w:tc>
          <w:tcPr>
            <w:tcW w:w="4535" w:type="dxa"/>
            <w:vAlign w:val="center"/>
          </w:tcPr>
          <w:p>
            <w:pPr>
              <w:pStyle w:val="14"/>
            </w:pPr>
            <w:r>
              <w:t>支出总计</w:t>
            </w:r>
          </w:p>
        </w:tc>
        <w:tc>
          <w:tcPr>
            <w:tcW w:w="2126" w:type="dxa"/>
            <w:vAlign w:val="center"/>
          </w:tcPr>
          <w:p>
            <w:pPr>
              <w:pStyle w:val="15"/>
            </w:pPr>
            <w:r>
              <w:t>33.94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33.94</w:t>
            </w:r>
          </w:p>
        </w:tc>
        <w:tc>
          <w:tcPr>
            <w:tcW w:w="1134" w:type="dxa"/>
            <w:vAlign w:val="center"/>
          </w:tcPr>
          <w:p>
            <w:pPr>
              <w:pStyle w:val="15"/>
            </w:pPr>
            <w:r>
              <w:t>33.94</w:t>
            </w:r>
          </w:p>
        </w:tc>
        <w:tc>
          <w:tcPr>
            <w:tcW w:w="1134" w:type="dxa"/>
            <w:vAlign w:val="center"/>
          </w:tcPr>
          <w:p>
            <w:pPr>
              <w:pStyle w:val="15"/>
            </w:pPr>
            <w:r>
              <w:t>33.94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25.98</w:t>
            </w:r>
          </w:p>
        </w:tc>
        <w:tc>
          <w:tcPr>
            <w:tcW w:w="1134" w:type="dxa"/>
            <w:vAlign w:val="center"/>
          </w:tcPr>
          <w:p>
            <w:pPr>
              <w:pStyle w:val="11"/>
            </w:pPr>
            <w:r>
              <w:t>25.98</w:t>
            </w:r>
          </w:p>
        </w:tc>
        <w:tc>
          <w:tcPr>
            <w:tcW w:w="1134" w:type="dxa"/>
            <w:vAlign w:val="center"/>
          </w:tcPr>
          <w:p>
            <w:pPr>
              <w:pStyle w:val="11"/>
            </w:pPr>
            <w:r>
              <w:t>25.98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25.98</w:t>
            </w:r>
          </w:p>
        </w:tc>
        <w:tc>
          <w:tcPr>
            <w:tcW w:w="1134" w:type="dxa"/>
            <w:vAlign w:val="center"/>
          </w:tcPr>
          <w:p>
            <w:pPr>
              <w:pStyle w:val="11"/>
            </w:pPr>
            <w:r>
              <w:t>25.98</w:t>
            </w:r>
          </w:p>
        </w:tc>
        <w:tc>
          <w:tcPr>
            <w:tcW w:w="1134" w:type="dxa"/>
            <w:vAlign w:val="center"/>
          </w:tcPr>
          <w:p>
            <w:pPr>
              <w:pStyle w:val="11"/>
            </w:pPr>
            <w:r>
              <w:t>25.98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24.48</w:t>
            </w:r>
          </w:p>
        </w:tc>
        <w:tc>
          <w:tcPr>
            <w:tcW w:w="1134" w:type="dxa"/>
            <w:vAlign w:val="center"/>
          </w:tcPr>
          <w:p>
            <w:pPr>
              <w:pStyle w:val="11"/>
            </w:pPr>
            <w:r>
              <w:t>24.48</w:t>
            </w:r>
          </w:p>
        </w:tc>
        <w:tc>
          <w:tcPr>
            <w:tcW w:w="1134" w:type="dxa"/>
            <w:vAlign w:val="center"/>
          </w:tcPr>
          <w:p>
            <w:pPr>
              <w:pStyle w:val="11"/>
            </w:pPr>
            <w:r>
              <w:t>24.48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3.17</w:t>
            </w:r>
          </w:p>
        </w:tc>
        <w:tc>
          <w:tcPr>
            <w:tcW w:w="1134" w:type="dxa"/>
            <w:vAlign w:val="center"/>
          </w:tcPr>
          <w:p>
            <w:pPr>
              <w:pStyle w:val="11"/>
            </w:pPr>
            <w:r>
              <w:t>3.17</w:t>
            </w:r>
          </w:p>
        </w:tc>
        <w:tc>
          <w:tcPr>
            <w:tcW w:w="1134" w:type="dxa"/>
            <w:vAlign w:val="center"/>
          </w:tcPr>
          <w:p>
            <w:pPr>
              <w:pStyle w:val="11"/>
            </w:pPr>
            <w:r>
              <w:t>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1.26</w:t>
            </w:r>
          </w:p>
        </w:tc>
        <w:tc>
          <w:tcPr>
            <w:tcW w:w="1134" w:type="dxa"/>
            <w:vAlign w:val="center"/>
          </w:tcPr>
          <w:p>
            <w:pPr>
              <w:pStyle w:val="11"/>
            </w:pPr>
            <w:r>
              <w:t>1.26</w:t>
            </w:r>
          </w:p>
        </w:tc>
        <w:tc>
          <w:tcPr>
            <w:tcW w:w="1134" w:type="dxa"/>
            <w:vAlign w:val="center"/>
          </w:tcPr>
          <w:p>
            <w:pPr>
              <w:pStyle w:val="11"/>
            </w:pPr>
            <w:r>
              <w:t>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0.98</w:t>
            </w:r>
          </w:p>
        </w:tc>
        <w:tc>
          <w:tcPr>
            <w:tcW w:w="1134" w:type="dxa"/>
            <w:vAlign w:val="center"/>
          </w:tcPr>
          <w:p>
            <w:pPr>
              <w:pStyle w:val="11"/>
            </w:pPr>
            <w:r>
              <w:t>0.98</w:t>
            </w:r>
          </w:p>
        </w:tc>
        <w:tc>
          <w:tcPr>
            <w:tcW w:w="1134" w:type="dxa"/>
            <w:vAlign w:val="center"/>
          </w:tcPr>
          <w:p>
            <w:pPr>
              <w:pStyle w:val="11"/>
            </w:pPr>
            <w:r>
              <w:t>0.98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33.94</w:t>
            </w:r>
          </w:p>
        </w:tc>
        <w:tc>
          <w:tcPr>
            <w:tcW w:w="1361" w:type="dxa"/>
            <w:vAlign w:val="center"/>
          </w:tcPr>
          <w:p>
            <w:pPr>
              <w:pStyle w:val="15"/>
            </w:pPr>
            <w:r>
              <w:t>32.44</w:t>
            </w:r>
          </w:p>
        </w:tc>
        <w:tc>
          <w:tcPr>
            <w:tcW w:w="1361" w:type="dxa"/>
            <w:vAlign w:val="center"/>
          </w:tcPr>
          <w:p>
            <w:pPr>
              <w:pStyle w:val="15"/>
            </w:pPr>
            <w:r>
              <w:t>1.50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25.98</w:t>
            </w:r>
          </w:p>
        </w:tc>
        <w:tc>
          <w:tcPr>
            <w:tcW w:w="1361" w:type="dxa"/>
            <w:vAlign w:val="center"/>
          </w:tcPr>
          <w:p>
            <w:pPr>
              <w:pStyle w:val="11"/>
            </w:pPr>
            <w:r>
              <w:t>24.48</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25.98</w:t>
            </w:r>
          </w:p>
        </w:tc>
        <w:tc>
          <w:tcPr>
            <w:tcW w:w="1361" w:type="dxa"/>
            <w:vAlign w:val="center"/>
          </w:tcPr>
          <w:p>
            <w:pPr>
              <w:pStyle w:val="11"/>
            </w:pPr>
            <w:r>
              <w:t>24.48</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24.48</w:t>
            </w:r>
          </w:p>
        </w:tc>
        <w:tc>
          <w:tcPr>
            <w:tcW w:w="1361" w:type="dxa"/>
            <w:vAlign w:val="center"/>
          </w:tcPr>
          <w:p>
            <w:pPr>
              <w:pStyle w:val="11"/>
            </w:pPr>
            <w:r>
              <w:t>24.48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3.17</w:t>
            </w:r>
          </w:p>
        </w:tc>
        <w:tc>
          <w:tcPr>
            <w:tcW w:w="1361" w:type="dxa"/>
            <w:vAlign w:val="center"/>
          </w:tcPr>
          <w:p>
            <w:pPr>
              <w:pStyle w:val="11"/>
            </w:pPr>
            <w:r>
              <w:t>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3.09</w:t>
            </w:r>
          </w:p>
        </w:tc>
        <w:tc>
          <w:tcPr>
            <w:tcW w:w="1361" w:type="dxa"/>
            <w:vAlign w:val="center"/>
          </w:tcPr>
          <w:p>
            <w:pPr>
              <w:pStyle w:val="11"/>
            </w:pPr>
            <w:r>
              <w:t>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3.09</w:t>
            </w:r>
          </w:p>
        </w:tc>
        <w:tc>
          <w:tcPr>
            <w:tcW w:w="1361" w:type="dxa"/>
            <w:vAlign w:val="center"/>
          </w:tcPr>
          <w:p>
            <w:pPr>
              <w:pStyle w:val="11"/>
            </w:pPr>
            <w:r>
              <w:t>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0.08</w:t>
            </w: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0.08</w:t>
            </w: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2.24</w:t>
            </w:r>
          </w:p>
        </w:tc>
        <w:tc>
          <w:tcPr>
            <w:tcW w:w="1361" w:type="dxa"/>
            <w:vAlign w:val="center"/>
          </w:tcPr>
          <w:p>
            <w:pPr>
              <w:pStyle w:val="11"/>
            </w:pPr>
            <w:r>
              <w:t>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2.24</w:t>
            </w:r>
          </w:p>
        </w:tc>
        <w:tc>
          <w:tcPr>
            <w:tcW w:w="1361" w:type="dxa"/>
            <w:vAlign w:val="center"/>
          </w:tcPr>
          <w:p>
            <w:pPr>
              <w:pStyle w:val="11"/>
            </w:pPr>
            <w:r>
              <w:t>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1.26</w:t>
            </w:r>
          </w:p>
        </w:tc>
        <w:tc>
          <w:tcPr>
            <w:tcW w:w="1361" w:type="dxa"/>
            <w:vAlign w:val="center"/>
          </w:tcPr>
          <w:p>
            <w:pPr>
              <w:pStyle w:val="11"/>
            </w:pPr>
            <w:r>
              <w:t>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0.98</w:t>
            </w:r>
          </w:p>
        </w:tc>
        <w:tc>
          <w:tcPr>
            <w:tcW w:w="1361" w:type="dxa"/>
            <w:vAlign w:val="center"/>
          </w:tcPr>
          <w:p>
            <w:pPr>
              <w:pStyle w:val="11"/>
            </w:pPr>
            <w:r>
              <w:t>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2.55</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2.55</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2.55</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33.94</w:t>
            </w:r>
          </w:p>
        </w:tc>
        <w:tc>
          <w:tcPr>
            <w:tcW w:w="3402" w:type="dxa"/>
            <w:vAlign w:val="center"/>
          </w:tcPr>
          <w:p>
            <w:pPr>
              <w:pStyle w:val="12"/>
            </w:pPr>
            <w:r>
              <w:t>一、一般公共服务支出</w:t>
            </w:r>
          </w:p>
        </w:tc>
        <w:tc>
          <w:tcPr>
            <w:tcW w:w="1474" w:type="dxa"/>
            <w:vAlign w:val="center"/>
          </w:tcPr>
          <w:p>
            <w:pPr>
              <w:pStyle w:val="11"/>
            </w:pPr>
            <w:r>
              <w:t>25.98</w:t>
            </w:r>
          </w:p>
        </w:tc>
        <w:tc>
          <w:tcPr>
            <w:tcW w:w="1474" w:type="dxa"/>
            <w:vAlign w:val="center"/>
          </w:tcPr>
          <w:p>
            <w:pPr>
              <w:pStyle w:val="11"/>
            </w:pPr>
            <w:r>
              <w:t>25.98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3.17</w:t>
            </w:r>
          </w:p>
        </w:tc>
        <w:tc>
          <w:tcPr>
            <w:tcW w:w="1474" w:type="dxa"/>
            <w:vAlign w:val="center"/>
          </w:tcPr>
          <w:p>
            <w:pPr>
              <w:pStyle w:val="11"/>
            </w:pPr>
            <w:r>
              <w:t>3.17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2.24</w:t>
            </w:r>
          </w:p>
        </w:tc>
        <w:tc>
          <w:tcPr>
            <w:tcW w:w="1474" w:type="dxa"/>
            <w:vAlign w:val="center"/>
          </w:tcPr>
          <w:p>
            <w:pPr>
              <w:pStyle w:val="11"/>
            </w:pPr>
            <w:r>
              <w:t>2.24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2.55</w:t>
            </w:r>
          </w:p>
        </w:tc>
        <w:tc>
          <w:tcPr>
            <w:tcW w:w="1474" w:type="dxa"/>
            <w:vAlign w:val="center"/>
          </w:tcPr>
          <w:p>
            <w:pPr>
              <w:pStyle w:val="11"/>
            </w:pPr>
            <w:r>
              <w:t>2.55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33.94</w:t>
            </w:r>
          </w:p>
        </w:tc>
        <w:tc>
          <w:tcPr>
            <w:tcW w:w="3402" w:type="dxa"/>
            <w:vAlign w:val="center"/>
          </w:tcPr>
          <w:p>
            <w:pPr>
              <w:pStyle w:val="14"/>
            </w:pPr>
            <w:r>
              <w:t>本年支出合计</w:t>
            </w:r>
          </w:p>
        </w:tc>
        <w:tc>
          <w:tcPr>
            <w:tcW w:w="1474" w:type="dxa"/>
            <w:vAlign w:val="center"/>
          </w:tcPr>
          <w:p>
            <w:pPr>
              <w:pStyle w:val="15"/>
            </w:pPr>
            <w:r>
              <w:t>33.94</w:t>
            </w:r>
          </w:p>
        </w:tc>
        <w:tc>
          <w:tcPr>
            <w:tcW w:w="1474" w:type="dxa"/>
            <w:vAlign w:val="center"/>
          </w:tcPr>
          <w:p>
            <w:pPr>
              <w:pStyle w:val="15"/>
            </w:pPr>
            <w:r>
              <w:t>33.94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33.94</w:t>
            </w:r>
          </w:p>
        </w:tc>
        <w:tc>
          <w:tcPr>
            <w:tcW w:w="3402" w:type="dxa"/>
            <w:vAlign w:val="center"/>
          </w:tcPr>
          <w:p>
            <w:pPr>
              <w:pStyle w:val="14"/>
            </w:pPr>
            <w:r>
              <w:t>支出总计</w:t>
            </w:r>
          </w:p>
        </w:tc>
        <w:tc>
          <w:tcPr>
            <w:tcW w:w="1474" w:type="dxa"/>
            <w:vAlign w:val="center"/>
          </w:tcPr>
          <w:p>
            <w:pPr>
              <w:pStyle w:val="15"/>
            </w:pPr>
            <w:r>
              <w:t>33.94</w:t>
            </w:r>
          </w:p>
        </w:tc>
        <w:tc>
          <w:tcPr>
            <w:tcW w:w="1474" w:type="dxa"/>
            <w:vAlign w:val="center"/>
          </w:tcPr>
          <w:p>
            <w:pPr>
              <w:pStyle w:val="15"/>
            </w:pPr>
            <w:r>
              <w:t>33.94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33.94</w:t>
            </w:r>
          </w:p>
        </w:tc>
        <w:tc>
          <w:tcPr>
            <w:tcW w:w="2551" w:type="dxa"/>
            <w:vAlign w:val="center"/>
          </w:tcPr>
          <w:p>
            <w:pPr>
              <w:pStyle w:val="15"/>
            </w:pPr>
            <w:r>
              <w:t>32.44</w:t>
            </w:r>
          </w:p>
        </w:tc>
        <w:tc>
          <w:tcPr>
            <w:tcW w:w="2551"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25.98</w:t>
            </w:r>
          </w:p>
        </w:tc>
        <w:tc>
          <w:tcPr>
            <w:tcW w:w="2551" w:type="dxa"/>
            <w:vAlign w:val="center"/>
          </w:tcPr>
          <w:p>
            <w:pPr>
              <w:pStyle w:val="11"/>
            </w:pPr>
            <w:r>
              <w:t>24.48</w:t>
            </w: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25.98</w:t>
            </w:r>
          </w:p>
        </w:tc>
        <w:tc>
          <w:tcPr>
            <w:tcW w:w="2551" w:type="dxa"/>
            <w:vAlign w:val="center"/>
          </w:tcPr>
          <w:p>
            <w:pPr>
              <w:pStyle w:val="11"/>
            </w:pPr>
            <w:r>
              <w:t>24.48</w:t>
            </w: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24.48</w:t>
            </w:r>
          </w:p>
        </w:tc>
        <w:tc>
          <w:tcPr>
            <w:tcW w:w="2551" w:type="dxa"/>
            <w:vAlign w:val="center"/>
          </w:tcPr>
          <w:p>
            <w:pPr>
              <w:pStyle w:val="11"/>
            </w:pPr>
            <w:r>
              <w:t>24.48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3.09</w:t>
            </w:r>
          </w:p>
        </w:tc>
        <w:tc>
          <w:tcPr>
            <w:tcW w:w="2551" w:type="dxa"/>
            <w:vAlign w:val="center"/>
          </w:tcPr>
          <w:p>
            <w:pPr>
              <w:pStyle w:val="11"/>
            </w:pPr>
            <w:r>
              <w:t>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3.09</w:t>
            </w:r>
          </w:p>
        </w:tc>
        <w:tc>
          <w:tcPr>
            <w:tcW w:w="2551" w:type="dxa"/>
            <w:vAlign w:val="center"/>
          </w:tcPr>
          <w:p>
            <w:pPr>
              <w:pStyle w:val="11"/>
            </w:pPr>
            <w:r>
              <w:t>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2.24</w:t>
            </w:r>
          </w:p>
        </w:tc>
        <w:tc>
          <w:tcPr>
            <w:tcW w:w="2551" w:type="dxa"/>
            <w:vAlign w:val="center"/>
          </w:tcPr>
          <w:p>
            <w:pPr>
              <w:pStyle w:val="11"/>
            </w:pPr>
            <w:r>
              <w:t>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2.24</w:t>
            </w:r>
          </w:p>
        </w:tc>
        <w:tc>
          <w:tcPr>
            <w:tcW w:w="2551" w:type="dxa"/>
            <w:vAlign w:val="center"/>
          </w:tcPr>
          <w:p>
            <w:pPr>
              <w:pStyle w:val="11"/>
            </w:pPr>
            <w:r>
              <w:t>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1.26</w:t>
            </w:r>
          </w:p>
        </w:tc>
        <w:tc>
          <w:tcPr>
            <w:tcW w:w="2551" w:type="dxa"/>
            <w:vAlign w:val="center"/>
          </w:tcPr>
          <w:p>
            <w:pPr>
              <w:pStyle w:val="11"/>
            </w:pPr>
            <w:r>
              <w:t>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2.55</w:t>
            </w:r>
          </w:p>
        </w:tc>
        <w:tc>
          <w:tcPr>
            <w:tcW w:w="2551" w:type="dxa"/>
            <w:vAlign w:val="center"/>
          </w:tcPr>
          <w:p>
            <w:pPr>
              <w:pStyle w:val="11"/>
            </w:pPr>
            <w:r>
              <w:t>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2.55</w:t>
            </w:r>
          </w:p>
        </w:tc>
        <w:tc>
          <w:tcPr>
            <w:tcW w:w="2551" w:type="dxa"/>
            <w:vAlign w:val="center"/>
          </w:tcPr>
          <w:p>
            <w:pPr>
              <w:pStyle w:val="11"/>
            </w:pPr>
            <w:r>
              <w:t>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2.55</w:t>
            </w:r>
          </w:p>
        </w:tc>
        <w:tc>
          <w:tcPr>
            <w:tcW w:w="2551" w:type="dxa"/>
            <w:vAlign w:val="center"/>
          </w:tcPr>
          <w:p>
            <w:pPr>
              <w:pStyle w:val="11"/>
            </w:pPr>
            <w:r>
              <w:t>2.55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32.44</w:t>
            </w:r>
          </w:p>
        </w:tc>
        <w:tc>
          <w:tcPr>
            <w:tcW w:w="2551" w:type="dxa"/>
            <w:vAlign w:val="center"/>
          </w:tcPr>
          <w:p>
            <w:pPr>
              <w:pStyle w:val="15"/>
            </w:pPr>
            <w:r>
              <w:t>30.22</w:t>
            </w:r>
          </w:p>
        </w:tc>
        <w:tc>
          <w:tcPr>
            <w:tcW w:w="2551" w:type="dxa"/>
            <w:vAlign w:val="center"/>
          </w:tcPr>
          <w:p>
            <w:pPr>
              <w:pStyle w:val="15"/>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30.22</w:t>
            </w:r>
          </w:p>
        </w:tc>
        <w:tc>
          <w:tcPr>
            <w:tcW w:w="2551" w:type="dxa"/>
            <w:vAlign w:val="center"/>
          </w:tcPr>
          <w:p>
            <w:pPr>
              <w:pStyle w:val="11"/>
            </w:pPr>
            <w:r>
              <w:t>30.22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8.49</w:t>
            </w:r>
          </w:p>
        </w:tc>
        <w:tc>
          <w:tcPr>
            <w:tcW w:w="2551" w:type="dxa"/>
            <w:vAlign w:val="center"/>
          </w:tcPr>
          <w:p>
            <w:pPr>
              <w:pStyle w:val="11"/>
            </w:pPr>
            <w:r>
              <w:t>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6.78</w:t>
            </w:r>
          </w:p>
        </w:tc>
        <w:tc>
          <w:tcPr>
            <w:tcW w:w="2551" w:type="dxa"/>
            <w:vAlign w:val="center"/>
          </w:tcPr>
          <w:p>
            <w:pPr>
              <w:pStyle w:val="11"/>
            </w:pPr>
            <w:r>
              <w:t>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6.99</w:t>
            </w:r>
          </w:p>
        </w:tc>
        <w:tc>
          <w:tcPr>
            <w:tcW w:w="2551" w:type="dxa"/>
            <w:vAlign w:val="center"/>
          </w:tcPr>
          <w:p>
            <w:pPr>
              <w:pStyle w:val="11"/>
            </w:pPr>
            <w:r>
              <w:t>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3.09</w:t>
            </w:r>
          </w:p>
        </w:tc>
        <w:tc>
          <w:tcPr>
            <w:tcW w:w="2551" w:type="dxa"/>
            <w:vAlign w:val="center"/>
          </w:tcPr>
          <w:p>
            <w:pPr>
              <w:pStyle w:val="11"/>
            </w:pPr>
            <w:r>
              <w:t>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1.26</w:t>
            </w:r>
          </w:p>
        </w:tc>
        <w:tc>
          <w:tcPr>
            <w:tcW w:w="2551" w:type="dxa"/>
            <w:vAlign w:val="center"/>
          </w:tcPr>
          <w:p>
            <w:pPr>
              <w:pStyle w:val="11"/>
            </w:pPr>
            <w:r>
              <w:t>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2.55</w:t>
            </w:r>
          </w:p>
        </w:tc>
        <w:tc>
          <w:tcPr>
            <w:tcW w:w="2551" w:type="dxa"/>
            <w:vAlign w:val="center"/>
          </w:tcPr>
          <w:p>
            <w:pPr>
              <w:pStyle w:val="11"/>
            </w:pPr>
            <w:r>
              <w:t>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0.16</w:t>
            </w:r>
          </w:p>
        </w:tc>
        <w:tc>
          <w:tcPr>
            <w:tcW w:w="2551" w:type="dxa"/>
            <w:vAlign w:val="center"/>
          </w:tcPr>
          <w:p>
            <w:pPr>
              <w:pStyle w:val="11"/>
            </w:pPr>
          </w:p>
        </w:tc>
        <w:tc>
          <w:tcPr>
            <w:tcW w:w="2551"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中国共产主义青年团石家庄市井陉矿区委员会2026年单位预算信息公开情况说明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按照《中华人民共和国预算法》、《地方预决算公开操作规程》和《关于进一步推进预算公开工作的实施意见》规定，现将中国共产主义青年团石家庄市井陉矿区委员会2026年单位预算公开如下：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组织建设和宣传教育。领导全区共青团工作，指导青联和少先队工作，对全区性青年社团组织指导和管理；对青年工作院校、青少年活动阵地和青少年服务机构的建设等进行规划和管理；协助区政府教育部门做好学生教育管理工作。</w:t>
      </w:r>
    </w:p>
    <w:p>
      <w:pPr>
        <w:pStyle w:val="17"/>
      </w:pPr>
      <w:r>
        <w:t>（二）基层团组织建设及区域化团建工作。指导全区基层团委、青联和少先队工作，对全区青年社团组织进行指导和管理；对青少年活动阵地和青少年服务机构的建设等事务进行规划和管理。</w:t>
      </w:r>
    </w:p>
    <w:p>
      <w:pPr>
        <w:pStyle w:val="17"/>
      </w:pPr>
      <w:r>
        <w:t>（三）宣传教育活动。用共同理想感召青年，用核心价值观引领青年，协助区政府教育部门做好大、中、小学学生的教育管理工作。有效利用新媒体加强对青年的宣传力度，用科学理论武装青年。</w:t>
      </w:r>
    </w:p>
    <w:p>
      <w:pPr>
        <w:pStyle w:val="17"/>
      </w:pPr>
      <w:r>
        <w:t>（四）服务、引导青少年工作。调查青年思想动态和工作状况，研究青少年运动、青少年工作理论和思想教育问题并开展各种活动；组织和带领青年在经济建设中发挥生力军和突击队作用；丰富青少年活动，服务青年学习成才、交流交友、社会融入等现实需求。</w:t>
      </w:r>
    </w:p>
    <w:p>
      <w:pPr>
        <w:pStyle w:val="17"/>
      </w:pPr>
      <w:r>
        <w:t>（五）青少年服务引导活动。围绕青年思想动态和青年工作现状，不断加强青少年社会主义核心价值观，加强青年统战工作，围绕党政中心工作开展各项活动。</w:t>
      </w:r>
    </w:p>
    <w:p>
      <w:pPr>
        <w:pStyle w:val="17"/>
      </w:pPr>
      <w:r>
        <w:t>（六）青年志愿者服务活动。负责注册全区青年志愿者工作，组织和动员全区青年服务社会传承美德和志愿者工作健康持续发展相关工作。</w:t>
      </w:r>
    </w:p>
    <w:p>
      <w:pPr>
        <w:pStyle w:val="17"/>
      </w:pPr>
      <w:r>
        <w:t>（七）维护青少年权益工作。研究有关青少年发展问题，参与监督青少年法规的执行、处理侵害青少年合法权益的问题；负责区未成年人保护委员会的日常工作；承担国家、省、市希望工程、青少年发展基金会等相关工作，落实贫困少年儿童专项援助等活动。</w:t>
      </w:r>
    </w:p>
    <w:p>
      <w:pPr>
        <w:pStyle w:val="17"/>
      </w:pPr>
      <w:r>
        <w:t>（八）预防青少年违法犯罪。做好大中小学学生的教育管理工作，维护学校稳定和社会安定团结；推动青少年事务社会工作开展，提高源头治理力度，做好预防青少年违法犯罪工作。</w:t>
      </w:r>
    </w:p>
    <w:p>
      <w:pPr>
        <w:pStyle w:val="17"/>
        <w:rPr>
          <w:rFonts w:hint="eastAsia" w:eastAsia="方正仿宋_GBK"/>
          <w:lang w:eastAsia="zh-CN"/>
        </w:rPr>
      </w:pPr>
      <w:r>
        <w:t>（九）希望工程。承担国家、省、市希望工程、青少年发展基金会等相关捐助款项、物资的走访</w:t>
      </w:r>
      <w:r>
        <w:rPr>
          <w:rFonts w:hint="eastAsia"/>
          <w:lang w:eastAsia="zh-CN"/>
        </w:rPr>
        <w:t>。</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中国共产主义青年团石家庄市井陉矿区委员会</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33.94万元，其中：一般公共预算收入33.94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主义青年团石家庄市井陉矿区委员会年度单位预算中支出预算的总体情况。2026年支出预算33.94万元，其中基本支出32.44万元，包括人员经费30.22万元和日常公用经费2.22万元；项目支出1.50万元，主要为召开少代会所需材料费用等办公用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2026年预算收支安排33.94万元，较2025年预算减少0.56万元，其中：基本支出增加1.50万元，主要为人员经费增加。项目支出减少2.06万元，主要为项目经费减少。预计下年使用的单位资金结余增加0.00万元。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2026年，我</w:t>
      </w:r>
      <w:r>
        <w:rPr>
          <w:rFonts w:hint="eastAsia"/>
          <w:lang w:eastAsia="zh-CN"/>
        </w:rPr>
        <w:t>单位</w:t>
      </w:r>
      <w:r>
        <w:t>机关运行经费共计安排2.22万元，主要用于日常维修、办公用房水电费、办公用房取暖费、办公用房物业管理费等日常运行支出。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ind w:left="0" w:leftChars="0" w:firstLine="560" w:firstLineChars="200"/>
      </w:pPr>
      <w:r>
        <w:t>2026年，我</w:t>
      </w:r>
      <w:r>
        <w:rPr>
          <w:rFonts w:hint="eastAsia"/>
          <w:lang w:eastAsia="zh-CN"/>
        </w:rPr>
        <w:t>单位</w:t>
      </w:r>
      <w:r>
        <w:t>财政拨款“三公”经费预算安排0.00万元，其中因公出国（境）费0.00万元；公务用车购置及运维费0.00万元（其中：公务用车购置费为0.00万元，公务用车运维费0.00万元)；公务接待费0.00万元。与2025年相比增加0.00万元，增减变化的主要原因是我</w:t>
      </w:r>
      <w:r>
        <w:rPr>
          <w:rFonts w:hint="eastAsia"/>
          <w:lang w:eastAsia="zh-CN"/>
        </w:rPr>
        <w:t>单位</w:t>
      </w:r>
      <w:bookmarkStart w:id="1" w:name="_GoBack"/>
      <w:bookmarkEnd w:id="1"/>
      <w:r>
        <w:t>无“三公”经费。</w:t>
      </w:r>
    </w:p>
    <w:p>
      <w:pPr>
        <w:pStyle w:val="20"/>
        <w:ind w:left="0" w:leftChars="0" w:firstLine="0" w:firstLineChars="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1、团委工作经费绩效目标表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13010726P000079100206</w:t>
            </w:r>
          </w:p>
        </w:tc>
        <w:tc>
          <w:tcPr>
            <w:tcW w:w="2835" w:type="dxa"/>
            <w:vAlign w:val="center"/>
          </w:tcPr>
          <w:p>
            <w:pPr>
              <w:pStyle w:val="10"/>
            </w:pPr>
            <w:r>
              <w:t>项目名称</w:t>
            </w:r>
          </w:p>
        </w:tc>
        <w:tc>
          <w:tcPr>
            <w:tcW w:w="6095" w:type="dxa"/>
            <w:gridSpan w:val="3"/>
            <w:vAlign w:val="center"/>
          </w:tcPr>
          <w:p>
            <w:pPr>
              <w:pStyle w:val="12"/>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用于大会宣传材料、办公用品及各种费用，保障大会顺利召开。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0.75</w:t>
            </w:r>
          </w:p>
        </w:tc>
        <w:tc>
          <w:tcPr>
            <w:tcW w:w="2835" w:type="dxa"/>
            <w:vAlign w:val="center"/>
          </w:tcPr>
          <w:p>
            <w:pPr>
              <w:pStyle w:val="13"/>
            </w:pPr>
            <w:r>
              <w:t>0.75</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1.用于保障会议顺利召开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相关会议次数</w:t>
            </w:r>
          </w:p>
        </w:tc>
        <w:tc>
          <w:tcPr>
            <w:tcW w:w="5386" w:type="dxa"/>
            <w:vAlign w:val="center"/>
          </w:tcPr>
          <w:p>
            <w:pPr>
              <w:pStyle w:val="12"/>
            </w:pPr>
            <w:r>
              <w:t>相关会议次数</w:t>
            </w:r>
          </w:p>
        </w:tc>
        <w:tc>
          <w:tcPr>
            <w:tcW w:w="2268" w:type="dxa"/>
            <w:vAlign w:val="center"/>
          </w:tcPr>
          <w:p>
            <w:pPr>
              <w:pStyle w:val="12"/>
            </w:pPr>
            <w:r>
              <w:t>1次</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会议材料质量合格率</w:t>
            </w:r>
          </w:p>
        </w:tc>
        <w:tc>
          <w:tcPr>
            <w:tcW w:w="5386" w:type="dxa"/>
            <w:vAlign w:val="center"/>
          </w:tcPr>
          <w:p>
            <w:pPr>
              <w:pStyle w:val="12"/>
            </w:pPr>
            <w:r>
              <w:t>会议材料质量合格率</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按计划如期召开</w:t>
            </w:r>
          </w:p>
        </w:tc>
        <w:tc>
          <w:tcPr>
            <w:tcW w:w="5386" w:type="dxa"/>
            <w:vAlign w:val="center"/>
          </w:tcPr>
          <w:p>
            <w:pPr>
              <w:pStyle w:val="12"/>
            </w:pPr>
            <w:r>
              <w:t>按计划如期召开完成率</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≤1.5万元</w:t>
            </w:r>
          </w:p>
        </w:tc>
        <w:tc>
          <w:tcPr>
            <w:tcW w:w="1276" w:type="dxa"/>
            <w:vAlign w:val="center"/>
          </w:tcPr>
          <w:p>
            <w:pPr>
              <w:pStyle w:val="12"/>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保障大会顺利召开</w:t>
            </w:r>
          </w:p>
        </w:tc>
        <w:tc>
          <w:tcPr>
            <w:tcW w:w="5386" w:type="dxa"/>
            <w:vAlign w:val="center"/>
          </w:tcPr>
          <w:p>
            <w:pPr>
              <w:pStyle w:val="12"/>
            </w:pPr>
            <w:r>
              <w:t>保障大会顺利召开</w:t>
            </w:r>
          </w:p>
        </w:tc>
        <w:tc>
          <w:tcPr>
            <w:tcW w:w="2268" w:type="dxa"/>
            <w:vAlign w:val="center"/>
          </w:tcPr>
          <w:p>
            <w:pPr>
              <w:pStyle w:val="12"/>
            </w:pPr>
            <w:r>
              <w:t>有效保障</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中国共产主义青年团石家庄市井陉矿区委员会上年末固定资产金额为5.75万元（详见下表）。本年度拟购置固定资产总额为0.00万元，已按要求列入政府采购预算，详见政府采购预算表。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712001中国共产主义青年团石家庄市井陉矿区委员会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37</w:t>
            </w:r>
          </w:p>
        </w:tc>
        <w:tc>
          <w:tcPr>
            <w:tcW w:w="2835" w:type="dxa"/>
            <w:vAlign w:val="center"/>
          </w:tcPr>
          <w:p>
            <w:pPr>
              <w:pStyle w:val="11"/>
            </w:pPr>
            <w:r>
              <w:t>5.75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B43026"/>
    <w:rsid w:val="27395623"/>
    <w:rsid w:val="408555D5"/>
    <w:rsid w:val="5201651C"/>
    <w:rsid w:val="61FE5FDA"/>
    <w:rsid w:val="6A0D7936"/>
    <w:rsid w:val="7CBA1FF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TotalTime>1</TotalTime>
  <ScaleCrop>false</ScaleCrop>
  <LinksUpToDate>false</LinksUpToDate>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2026-02-10T09:30:00Z</dcterms:created>
  <dc:creator>Administrator</dc:creator>
  <cp:lastModifiedBy>Administrator</cp:lastModifiedBy>
  <dcterms:modified xsi:type="dcterms:W3CDTF">2026-02-10T03:14:52Z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ies>
</file>