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7191.82</w:t>
            </w:r>
          </w:p>
        </w:tc>
        <w:tc>
          <w:tcPr>
            <w:tcW w:w="4535" w:type="dxa"/>
            <w:vAlign w:val="center"/>
          </w:tcPr>
          <w:p>
            <w:pPr>
              <w:pStyle w:val="13"/>
            </w:pPr>
            <w:r>
              <w:t>一、一般公共服务支出</w:t>
            </w:r>
          </w:p>
        </w:tc>
        <w:tc>
          <w:tcPr>
            <w:tcW w:w="2126" w:type="dxa"/>
            <w:vAlign w:val="center"/>
          </w:tcPr>
          <w:p>
            <w:pPr>
              <w:pStyle w:val="12"/>
            </w:pPr>
            <w:r>
              <w:t>77.19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943.07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6062.54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7191.82</w:t>
            </w:r>
          </w:p>
        </w:tc>
        <w:tc>
          <w:tcPr>
            <w:tcW w:w="4535" w:type="dxa"/>
            <w:vAlign w:val="center"/>
          </w:tcPr>
          <w:p>
            <w:pPr>
              <w:pStyle w:val="15"/>
            </w:pPr>
            <w:r>
              <w:t>本年支出合计</w:t>
            </w:r>
          </w:p>
        </w:tc>
        <w:tc>
          <w:tcPr>
            <w:tcW w:w="2126" w:type="dxa"/>
            <w:vAlign w:val="center"/>
          </w:tcPr>
          <w:p>
            <w:pPr>
              <w:pStyle w:val="16"/>
            </w:pPr>
            <w:r>
              <w:t>7458.68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266.86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7458.68</w:t>
            </w:r>
          </w:p>
        </w:tc>
        <w:tc>
          <w:tcPr>
            <w:tcW w:w="4535" w:type="dxa"/>
            <w:vAlign w:val="center"/>
          </w:tcPr>
          <w:p>
            <w:pPr>
              <w:pStyle w:val="15"/>
            </w:pPr>
            <w:r>
              <w:t>支出总计</w:t>
            </w:r>
          </w:p>
        </w:tc>
        <w:tc>
          <w:tcPr>
            <w:tcW w:w="2126" w:type="dxa"/>
            <w:vAlign w:val="center"/>
          </w:tcPr>
          <w:p>
            <w:pPr>
              <w:pStyle w:val="16"/>
            </w:pPr>
            <w:r>
              <w:t>7458.68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7458.68</w:t>
            </w:r>
          </w:p>
        </w:tc>
        <w:tc>
          <w:tcPr>
            <w:tcW w:w="1134" w:type="dxa"/>
            <w:vAlign w:val="center"/>
          </w:tcPr>
          <w:p>
            <w:pPr>
              <w:pStyle w:val="16"/>
            </w:pPr>
            <w:r>
              <w:t>7191.82</w:t>
            </w:r>
          </w:p>
        </w:tc>
        <w:tc>
          <w:tcPr>
            <w:tcW w:w="1134" w:type="dxa"/>
            <w:vAlign w:val="center"/>
          </w:tcPr>
          <w:p>
            <w:pPr>
              <w:pStyle w:val="16"/>
            </w:pPr>
            <w:r>
              <w:t>7191.82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r>
              <w:t>77.19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95.41</w:t>
            </w:r>
          </w:p>
        </w:tc>
        <w:tc>
          <w:tcPr>
            <w:tcW w:w="1134" w:type="dxa"/>
            <w:vAlign w:val="center"/>
          </w:tcPr>
          <w:p>
            <w:pPr>
              <w:pStyle w:val="12"/>
            </w:pPr>
            <w:r>
              <w:t>95.41</w:t>
            </w:r>
          </w:p>
        </w:tc>
        <w:tc>
          <w:tcPr>
            <w:tcW w:w="1134" w:type="dxa"/>
            <w:vAlign w:val="center"/>
          </w:tcPr>
          <w:p>
            <w:pPr>
              <w:pStyle w:val="12"/>
            </w:pPr>
            <w:r>
              <w:t>95.41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85.96</w:t>
            </w:r>
          </w:p>
        </w:tc>
        <w:tc>
          <w:tcPr>
            <w:tcW w:w="1134" w:type="dxa"/>
            <w:vAlign w:val="center"/>
          </w:tcPr>
          <w:p>
            <w:pPr>
              <w:pStyle w:val="12"/>
            </w:pPr>
            <w:r>
              <w:t>85.96</w:t>
            </w:r>
          </w:p>
        </w:tc>
        <w:tc>
          <w:tcPr>
            <w:tcW w:w="1134" w:type="dxa"/>
            <w:vAlign w:val="center"/>
          </w:tcPr>
          <w:p>
            <w:pPr>
              <w:pStyle w:val="12"/>
            </w:pPr>
            <w:r>
              <w:t>85.96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13.76</w:t>
            </w:r>
          </w:p>
        </w:tc>
        <w:tc>
          <w:tcPr>
            <w:tcW w:w="1134" w:type="dxa"/>
            <w:vAlign w:val="center"/>
          </w:tcPr>
          <w:p>
            <w:pPr>
              <w:pStyle w:val="12"/>
            </w:pPr>
            <w:r>
              <w:t>13.76</w:t>
            </w:r>
          </w:p>
        </w:tc>
        <w:tc>
          <w:tcPr>
            <w:tcW w:w="1134" w:type="dxa"/>
            <w:vAlign w:val="center"/>
          </w:tcPr>
          <w:p>
            <w:pPr>
              <w:pStyle w:val="12"/>
            </w:pPr>
            <w:r>
              <w:t>13.76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66.43</w:t>
            </w:r>
          </w:p>
        </w:tc>
        <w:tc>
          <w:tcPr>
            <w:tcW w:w="1134" w:type="dxa"/>
            <w:vAlign w:val="center"/>
          </w:tcPr>
          <w:p>
            <w:pPr>
              <w:pStyle w:val="12"/>
            </w:pPr>
            <w:r>
              <w:t>66.43</w:t>
            </w:r>
          </w:p>
        </w:tc>
        <w:tc>
          <w:tcPr>
            <w:tcW w:w="1134" w:type="dxa"/>
            <w:vAlign w:val="center"/>
          </w:tcPr>
          <w:p>
            <w:pPr>
              <w:pStyle w:val="12"/>
            </w:pPr>
            <w:r>
              <w:t>66.43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r>
              <w:t>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5.42</w:t>
            </w:r>
          </w:p>
        </w:tc>
        <w:tc>
          <w:tcPr>
            <w:tcW w:w="1134" w:type="dxa"/>
            <w:vAlign w:val="center"/>
          </w:tcPr>
          <w:p>
            <w:pPr>
              <w:pStyle w:val="12"/>
            </w:pPr>
            <w:r>
              <w:t>5.42</w:t>
            </w:r>
          </w:p>
        </w:tc>
        <w:tc>
          <w:tcPr>
            <w:tcW w:w="1134" w:type="dxa"/>
            <w:vAlign w:val="center"/>
          </w:tcPr>
          <w:p>
            <w:pPr>
              <w:pStyle w:val="12"/>
            </w:pPr>
            <w:r>
              <w:t>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5.42</w:t>
            </w:r>
          </w:p>
        </w:tc>
        <w:tc>
          <w:tcPr>
            <w:tcW w:w="1134" w:type="dxa"/>
            <w:vAlign w:val="center"/>
          </w:tcPr>
          <w:p>
            <w:pPr>
              <w:pStyle w:val="12"/>
            </w:pPr>
            <w:r>
              <w:t>5.42</w:t>
            </w:r>
          </w:p>
        </w:tc>
        <w:tc>
          <w:tcPr>
            <w:tcW w:w="1134" w:type="dxa"/>
            <w:vAlign w:val="center"/>
          </w:tcPr>
          <w:p>
            <w:pPr>
              <w:pStyle w:val="12"/>
            </w:pPr>
            <w:r>
              <w:t>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4.03</w:t>
            </w:r>
          </w:p>
        </w:tc>
        <w:tc>
          <w:tcPr>
            <w:tcW w:w="1134" w:type="dxa"/>
            <w:vAlign w:val="center"/>
          </w:tcPr>
          <w:p>
            <w:pPr>
              <w:pStyle w:val="12"/>
            </w:pPr>
            <w:r>
              <w:t>4.03</w:t>
            </w:r>
          </w:p>
        </w:tc>
        <w:tc>
          <w:tcPr>
            <w:tcW w:w="1134" w:type="dxa"/>
            <w:vAlign w:val="center"/>
          </w:tcPr>
          <w:p>
            <w:pPr>
              <w:pStyle w:val="12"/>
            </w:pPr>
            <w:r>
              <w:t>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4.03</w:t>
            </w:r>
          </w:p>
        </w:tc>
        <w:tc>
          <w:tcPr>
            <w:tcW w:w="1134" w:type="dxa"/>
            <w:vAlign w:val="center"/>
          </w:tcPr>
          <w:p>
            <w:pPr>
              <w:pStyle w:val="12"/>
            </w:pPr>
            <w:r>
              <w:t>4.03</w:t>
            </w:r>
          </w:p>
        </w:tc>
        <w:tc>
          <w:tcPr>
            <w:tcW w:w="1134" w:type="dxa"/>
            <w:vAlign w:val="center"/>
          </w:tcPr>
          <w:p>
            <w:pPr>
              <w:pStyle w:val="12"/>
            </w:pPr>
            <w:r>
              <w:t>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45.56</w:t>
            </w:r>
          </w:p>
        </w:tc>
        <w:tc>
          <w:tcPr>
            <w:tcW w:w="1134" w:type="dxa"/>
            <w:vAlign w:val="center"/>
          </w:tcPr>
          <w:p>
            <w:pPr>
              <w:pStyle w:val="12"/>
            </w:pPr>
            <w:r>
              <w:t>45.56</w:t>
            </w:r>
          </w:p>
        </w:tc>
        <w:tc>
          <w:tcPr>
            <w:tcW w:w="1134" w:type="dxa"/>
            <w:vAlign w:val="center"/>
          </w:tcPr>
          <w:p>
            <w:pPr>
              <w:pStyle w:val="12"/>
            </w:pPr>
            <w:r>
              <w:t>45.56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45.56</w:t>
            </w:r>
          </w:p>
        </w:tc>
        <w:tc>
          <w:tcPr>
            <w:tcW w:w="1134" w:type="dxa"/>
            <w:vAlign w:val="center"/>
          </w:tcPr>
          <w:p>
            <w:pPr>
              <w:pStyle w:val="12"/>
            </w:pPr>
            <w:r>
              <w:t>45.56</w:t>
            </w:r>
          </w:p>
        </w:tc>
        <w:tc>
          <w:tcPr>
            <w:tcW w:w="1134" w:type="dxa"/>
            <w:vAlign w:val="center"/>
          </w:tcPr>
          <w:p>
            <w:pPr>
              <w:pStyle w:val="12"/>
            </w:pPr>
            <w:r>
              <w:t>45.56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9.17</w:t>
            </w:r>
          </w:p>
        </w:tc>
        <w:tc>
          <w:tcPr>
            <w:tcW w:w="1134" w:type="dxa"/>
            <w:vAlign w:val="center"/>
          </w:tcPr>
          <w:p>
            <w:pPr>
              <w:pStyle w:val="12"/>
            </w:pPr>
            <w:r>
              <w:t>9.17</w:t>
            </w:r>
          </w:p>
        </w:tc>
        <w:tc>
          <w:tcPr>
            <w:tcW w:w="1134" w:type="dxa"/>
            <w:vAlign w:val="center"/>
          </w:tcPr>
          <w:p>
            <w:pPr>
              <w:pStyle w:val="12"/>
            </w:pPr>
            <w:r>
              <w:t>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17.85</w:t>
            </w:r>
          </w:p>
        </w:tc>
        <w:tc>
          <w:tcPr>
            <w:tcW w:w="1134" w:type="dxa"/>
            <w:vAlign w:val="center"/>
          </w:tcPr>
          <w:p>
            <w:pPr>
              <w:pStyle w:val="12"/>
            </w:pPr>
            <w:r>
              <w:t>17.85</w:t>
            </w:r>
          </w:p>
        </w:tc>
        <w:tc>
          <w:tcPr>
            <w:tcW w:w="1134" w:type="dxa"/>
            <w:vAlign w:val="center"/>
          </w:tcPr>
          <w:p>
            <w:pPr>
              <w:pStyle w:val="12"/>
            </w:pPr>
            <w:r>
              <w:t>17.85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943.07</w:t>
            </w:r>
          </w:p>
        </w:tc>
        <w:tc>
          <w:tcPr>
            <w:tcW w:w="1134" w:type="dxa"/>
            <w:vAlign w:val="center"/>
          </w:tcPr>
          <w:p>
            <w:pPr>
              <w:pStyle w:val="12"/>
            </w:pPr>
            <w:r>
              <w:t>753.35</w:t>
            </w:r>
          </w:p>
        </w:tc>
        <w:tc>
          <w:tcPr>
            <w:tcW w:w="1134" w:type="dxa"/>
            <w:vAlign w:val="center"/>
          </w:tcPr>
          <w:p>
            <w:pPr>
              <w:pStyle w:val="12"/>
            </w:pPr>
            <w:r>
              <w:t>753.35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697.25</w:t>
            </w:r>
          </w:p>
        </w:tc>
        <w:tc>
          <w:tcPr>
            <w:tcW w:w="1134" w:type="dxa"/>
            <w:vAlign w:val="center"/>
          </w:tcPr>
          <w:p>
            <w:pPr>
              <w:pStyle w:val="12"/>
            </w:pPr>
            <w:r>
              <w:t>697.25</w:t>
            </w:r>
          </w:p>
        </w:tc>
        <w:tc>
          <w:tcPr>
            <w:tcW w:w="1134" w:type="dxa"/>
            <w:vAlign w:val="center"/>
          </w:tcPr>
          <w:p>
            <w:pPr>
              <w:pStyle w:val="12"/>
            </w:pPr>
            <w:r>
              <w:t>697.25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563.42</w:t>
            </w:r>
          </w:p>
        </w:tc>
        <w:tc>
          <w:tcPr>
            <w:tcW w:w="1134" w:type="dxa"/>
            <w:vAlign w:val="center"/>
          </w:tcPr>
          <w:p>
            <w:pPr>
              <w:pStyle w:val="12"/>
            </w:pPr>
            <w:r>
              <w:t>563.42</w:t>
            </w:r>
          </w:p>
        </w:tc>
        <w:tc>
          <w:tcPr>
            <w:tcW w:w="1134" w:type="dxa"/>
            <w:vAlign w:val="center"/>
          </w:tcPr>
          <w:p>
            <w:pPr>
              <w:pStyle w:val="12"/>
            </w:pPr>
            <w:r>
              <w:t>563.42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24.35</w:t>
            </w:r>
          </w:p>
        </w:tc>
        <w:tc>
          <w:tcPr>
            <w:tcW w:w="1134" w:type="dxa"/>
            <w:vAlign w:val="center"/>
          </w:tcPr>
          <w:p>
            <w:pPr>
              <w:pStyle w:val="12"/>
            </w:pPr>
            <w:r>
              <w:t>24.35</w:t>
            </w:r>
          </w:p>
        </w:tc>
        <w:tc>
          <w:tcPr>
            <w:tcW w:w="1134" w:type="dxa"/>
            <w:vAlign w:val="center"/>
          </w:tcPr>
          <w:p>
            <w:pPr>
              <w:pStyle w:val="12"/>
            </w:pPr>
            <w:r>
              <w:t>24.35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2120109</w:t>
            </w:r>
          </w:p>
        </w:tc>
        <w:tc>
          <w:tcPr>
            <w:tcW w:w="1559" w:type="dxa"/>
            <w:vAlign w:val="center"/>
          </w:tcPr>
          <w:p>
            <w:pPr>
              <w:pStyle w:val="13"/>
            </w:pPr>
            <w:r>
              <w:t>住宅建设与房地产市场监管</w:t>
            </w:r>
          </w:p>
        </w:tc>
        <w:tc>
          <w:tcPr>
            <w:tcW w:w="1134" w:type="dxa"/>
            <w:vAlign w:val="center"/>
          </w:tcPr>
          <w:p>
            <w:pPr>
              <w:pStyle w:val="12"/>
            </w:pPr>
            <w:r>
              <w:t>109.48</w:t>
            </w:r>
          </w:p>
        </w:tc>
        <w:tc>
          <w:tcPr>
            <w:tcW w:w="1134" w:type="dxa"/>
            <w:vAlign w:val="center"/>
          </w:tcPr>
          <w:p>
            <w:pPr>
              <w:pStyle w:val="12"/>
            </w:pPr>
            <w:r>
              <w:t>109.48</w:t>
            </w:r>
          </w:p>
        </w:tc>
        <w:tc>
          <w:tcPr>
            <w:tcW w:w="1134" w:type="dxa"/>
            <w:vAlign w:val="center"/>
          </w:tcPr>
          <w:p>
            <w:pPr>
              <w:pStyle w:val="12"/>
            </w:pPr>
            <w:r>
              <w:t>109.48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56.10</w:t>
            </w:r>
          </w:p>
        </w:tc>
        <w:tc>
          <w:tcPr>
            <w:tcW w:w="1134" w:type="dxa"/>
            <w:vAlign w:val="center"/>
          </w:tcPr>
          <w:p>
            <w:pPr>
              <w:pStyle w:val="12"/>
            </w:pPr>
            <w:r>
              <w:t>56.10</w:t>
            </w:r>
          </w:p>
        </w:tc>
        <w:tc>
          <w:tcPr>
            <w:tcW w:w="1134" w:type="dxa"/>
            <w:vAlign w:val="center"/>
          </w:tcPr>
          <w:p>
            <w:pPr>
              <w:pStyle w:val="12"/>
            </w:pPr>
            <w:r>
              <w:t>56.10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56.10</w:t>
            </w:r>
          </w:p>
        </w:tc>
        <w:tc>
          <w:tcPr>
            <w:tcW w:w="1134" w:type="dxa"/>
            <w:vAlign w:val="center"/>
          </w:tcPr>
          <w:p>
            <w:pPr>
              <w:pStyle w:val="12"/>
            </w:pPr>
            <w:r>
              <w:t>56.10</w:t>
            </w:r>
          </w:p>
        </w:tc>
        <w:tc>
          <w:tcPr>
            <w:tcW w:w="1134" w:type="dxa"/>
            <w:vAlign w:val="center"/>
          </w:tcPr>
          <w:p>
            <w:pPr>
              <w:pStyle w:val="12"/>
            </w:pPr>
            <w:r>
              <w:t>56.10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189.72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2120810</w:t>
            </w:r>
          </w:p>
        </w:tc>
        <w:tc>
          <w:tcPr>
            <w:tcW w:w="1559" w:type="dxa"/>
            <w:vAlign w:val="center"/>
          </w:tcPr>
          <w:p>
            <w:pPr>
              <w:pStyle w:val="13"/>
            </w:pPr>
            <w:r>
              <w:t>棚户区改造支出</w:t>
            </w:r>
          </w:p>
        </w:tc>
        <w:tc>
          <w:tcPr>
            <w:tcW w:w="1134" w:type="dxa"/>
            <w:vAlign w:val="center"/>
          </w:tcPr>
          <w:p>
            <w:pPr>
              <w:pStyle w:val="12"/>
            </w:pPr>
            <w:r>
              <w:t>189.72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234.91</w:t>
            </w:r>
          </w:p>
        </w:tc>
        <w:tc>
          <w:tcPr>
            <w:tcW w:w="1134" w:type="dxa"/>
            <w:vAlign w:val="center"/>
          </w:tcPr>
          <w:p>
            <w:pPr>
              <w:pStyle w:val="12"/>
            </w:pPr>
            <w:r>
              <w:t>234.91</w:t>
            </w:r>
          </w:p>
        </w:tc>
        <w:tc>
          <w:tcPr>
            <w:tcW w:w="1134" w:type="dxa"/>
            <w:vAlign w:val="center"/>
          </w:tcPr>
          <w:p>
            <w:pPr>
              <w:pStyle w:val="12"/>
            </w:pPr>
            <w:r>
              <w:t>234.91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180.70</w:t>
            </w:r>
          </w:p>
        </w:tc>
        <w:tc>
          <w:tcPr>
            <w:tcW w:w="1134" w:type="dxa"/>
            <w:vAlign w:val="center"/>
          </w:tcPr>
          <w:p>
            <w:pPr>
              <w:pStyle w:val="12"/>
            </w:pPr>
            <w:r>
              <w:t>180.70</w:t>
            </w:r>
          </w:p>
        </w:tc>
        <w:tc>
          <w:tcPr>
            <w:tcW w:w="1134" w:type="dxa"/>
            <w:vAlign w:val="center"/>
          </w:tcPr>
          <w:p>
            <w:pPr>
              <w:pStyle w:val="12"/>
            </w:pPr>
            <w:r>
              <w:t>180.70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2210103</w:t>
            </w:r>
          </w:p>
        </w:tc>
        <w:tc>
          <w:tcPr>
            <w:tcW w:w="1559" w:type="dxa"/>
            <w:vAlign w:val="center"/>
          </w:tcPr>
          <w:p>
            <w:pPr>
              <w:pStyle w:val="13"/>
            </w:pPr>
            <w:r>
              <w:t>棚户区改造</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2210199</w:t>
            </w:r>
          </w:p>
        </w:tc>
        <w:tc>
          <w:tcPr>
            <w:tcW w:w="1559" w:type="dxa"/>
            <w:vAlign w:val="center"/>
          </w:tcPr>
          <w:p>
            <w:pPr>
              <w:pStyle w:val="13"/>
            </w:pPr>
            <w:r>
              <w:t>其他保障性安居工程支出</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r>
              <w:t>15.70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54.21</w:t>
            </w:r>
          </w:p>
        </w:tc>
        <w:tc>
          <w:tcPr>
            <w:tcW w:w="1134" w:type="dxa"/>
            <w:vAlign w:val="center"/>
          </w:tcPr>
          <w:p>
            <w:pPr>
              <w:pStyle w:val="12"/>
            </w:pPr>
            <w:r>
              <w:t>54.21</w:t>
            </w:r>
          </w:p>
        </w:tc>
        <w:tc>
          <w:tcPr>
            <w:tcW w:w="1134" w:type="dxa"/>
            <w:vAlign w:val="center"/>
          </w:tcPr>
          <w:p>
            <w:pPr>
              <w:pStyle w:val="12"/>
            </w:pPr>
            <w:r>
              <w:t>54.21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54.21</w:t>
            </w:r>
          </w:p>
        </w:tc>
        <w:tc>
          <w:tcPr>
            <w:tcW w:w="1134" w:type="dxa"/>
            <w:vAlign w:val="center"/>
          </w:tcPr>
          <w:p>
            <w:pPr>
              <w:pStyle w:val="12"/>
            </w:pPr>
            <w:r>
              <w:t>54.21</w:t>
            </w:r>
          </w:p>
        </w:tc>
        <w:tc>
          <w:tcPr>
            <w:tcW w:w="1134" w:type="dxa"/>
            <w:vAlign w:val="center"/>
          </w:tcPr>
          <w:p>
            <w:pPr>
              <w:pStyle w:val="12"/>
            </w:pPr>
            <w:r>
              <w:t>54.21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6062.54</w:t>
            </w:r>
          </w:p>
        </w:tc>
        <w:tc>
          <w:tcPr>
            <w:tcW w:w="1134" w:type="dxa"/>
            <w:vAlign w:val="center"/>
          </w:tcPr>
          <w:p>
            <w:pPr>
              <w:pStyle w:val="12"/>
            </w:pPr>
            <w:r>
              <w:t>5985.40</w:t>
            </w:r>
          </w:p>
        </w:tc>
        <w:tc>
          <w:tcPr>
            <w:tcW w:w="1134" w:type="dxa"/>
            <w:vAlign w:val="center"/>
          </w:tcPr>
          <w:p>
            <w:pPr>
              <w:pStyle w:val="12"/>
            </w:pPr>
            <w:r>
              <w:t>5985.40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77.14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77.14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5985.40</w:t>
            </w:r>
          </w:p>
        </w:tc>
        <w:tc>
          <w:tcPr>
            <w:tcW w:w="1134" w:type="dxa"/>
            <w:vAlign w:val="center"/>
          </w:tcPr>
          <w:p>
            <w:pPr>
              <w:pStyle w:val="12"/>
            </w:pPr>
            <w:r>
              <w:t>5985.40</w:t>
            </w:r>
          </w:p>
        </w:tc>
        <w:tc>
          <w:tcPr>
            <w:tcW w:w="1134" w:type="dxa"/>
            <w:vAlign w:val="center"/>
          </w:tcPr>
          <w:p>
            <w:pPr>
              <w:pStyle w:val="12"/>
            </w:pPr>
            <w:r>
              <w:t>5985.40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5985.40</w:t>
            </w:r>
          </w:p>
        </w:tc>
        <w:tc>
          <w:tcPr>
            <w:tcW w:w="1134" w:type="dxa"/>
            <w:vAlign w:val="center"/>
          </w:tcPr>
          <w:p>
            <w:pPr>
              <w:pStyle w:val="12"/>
            </w:pPr>
            <w:r>
              <w:t>5985.40</w:t>
            </w:r>
          </w:p>
        </w:tc>
        <w:tc>
          <w:tcPr>
            <w:tcW w:w="1134" w:type="dxa"/>
            <w:vAlign w:val="center"/>
          </w:tcPr>
          <w:p>
            <w:pPr>
              <w:pStyle w:val="12"/>
            </w:pPr>
            <w:r>
              <w:t>5985.40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7458.68</w:t>
            </w:r>
          </w:p>
        </w:tc>
        <w:tc>
          <w:tcPr>
            <w:tcW w:w="1361" w:type="dxa"/>
            <w:vAlign w:val="center"/>
          </w:tcPr>
          <w:p>
            <w:pPr>
              <w:pStyle w:val="16"/>
            </w:pPr>
            <w:r>
              <w:t>914.85</w:t>
            </w:r>
          </w:p>
        </w:tc>
        <w:tc>
          <w:tcPr>
            <w:tcW w:w="1361" w:type="dxa"/>
            <w:vAlign w:val="center"/>
          </w:tcPr>
          <w:p>
            <w:pPr>
              <w:pStyle w:val="16"/>
            </w:pPr>
            <w:r>
              <w:t>6543.83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77.19</w:t>
            </w:r>
          </w:p>
        </w:tc>
        <w:tc>
          <w:tcPr>
            <w:tcW w:w="1361" w:type="dxa"/>
            <w:vAlign w:val="center"/>
          </w:tcPr>
          <w:p>
            <w:pPr>
              <w:pStyle w:val="12"/>
            </w:pPr>
            <w:r>
              <w:t>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77.19</w:t>
            </w:r>
          </w:p>
        </w:tc>
        <w:tc>
          <w:tcPr>
            <w:tcW w:w="1361" w:type="dxa"/>
            <w:vAlign w:val="center"/>
          </w:tcPr>
          <w:p>
            <w:pPr>
              <w:pStyle w:val="12"/>
            </w:pPr>
            <w:r>
              <w:t>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77.19</w:t>
            </w:r>
          </w:p>
        </w:tc>
        <w:tc>
          <w:tcPr>
            <w:tcW w:w="1361" w:type="dxa"/>
            <w:vAlign w:val="center"/>
          </w:tcPr>
          <w:p>
            <w:pPr>
              <w:pStyle w:val="12"/>
            </w:pPr>
            <w:r>
              <w:t>77.19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95.41</w:t>
            </w:r>
          </w:p>
        </w:tc>
        <w:tc>
          <w:tcPr>
            <w:tcW w:w="1361" w:type="dxa"/>
            <w:vAlign w:val="center"/>
          </w:tcPr>
          <w:p>
            <w:pPr>
              <w:pStyle w:val="12"/>
            </w:pPr>
            <w:r>
              <w:t>89.99</w:t>
            </w:r>
          </w:p>
        </w:tc>
        <w:tc>
          <w:tcPr>
            <w:tcW w:w="1361" w:type="dxa"/>
            <w:vAlign w:val="center"/>
          </w:tcPr>
          <w:p>
            <w:pPr>
              <w:pStyle w:val="12"/>
            </w:pPr>
            <w:r>
              <w:t>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85.96</w:t>
            </w:r>
          </w:p>
        </w:tc>
        <w:tc>
          <w:tcPr>
            <w:tcW w:w="1361" w:type="dxa"/>
            <w:vAlign w:val="center"/>
          </w:tcPr>
          <w:p>
            <w:pPr>
              <w:pStyle w:val="12"/>
            </w:pPr>
            <w:r>
              <w:t>85.96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13.76</w:t>
            </w:r>
          </w:p>
        </w:tc>
        <w:tc>
          <w:tcPr>
            <w:tcW w:w="1361" w:type="dxa"/>
            <w:vAlign w:val="center"/>
          </w:tcPr>
          <w:p>
            <w:pPr>
              <w:pStyle w:val="12"/>
            </w:pPr>
            <w:r>
              <w:t>13.76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66.43</w:t>
            </w:r>
          </w:p>
        </w:tc>
        <w:tc>
          <w:tcPr>
            <w:tcW w:w="1361" w:type="dxa"/>
            <w:vAlign w:val="center"/>
          </w:tcPr>
          <w:p>
            <w:pPr>
              <w:pStyle w:val="12"/>
            </w:pPr>
            <w:r>
              <w:t>66.43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5.77</w:t>
            </w:r>
          </w:p>
        </w:tc>
        <w:tc>
          <w:tcPr>
            <w:tcW w:w="1361" w:type="dxa"/>
            <w:vAlign w:val="center"/>
          </w:tcPr>
          <w:p>
            <w:pPr>
              <w:pStyle w:val="12"/>
            </w:pPr>
            <w:r>
              <w:t>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5.42</w:t>
            </w:r>
          </w:p>
        </w:tc>
        <w:tc>
          <w:tcPr>
            <w:tcW w:w="1361" w:type="dxa"/>
            <w:vAlign w:val="center"/>
          </w:tcPr>
          <w:p>
            <w:pPr>
              <w:pStyle w:val="12"/>
            </w:pPr>
          </w:p>
        </w:tc>
        <w:tc>
          <w:tcPr>
            <w:tcW w:w="1361" w:type="dxa"/>
            <w:vAlign w:val="center"/>
          </w:tcPr>
          <w:p>
            <w:pPr>
              <w:pStyle w:val="12"/>
            </w:pPr>
            <w:r>
              <w:t>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5.42</w:t>
            </w:r>
          </w:p>
        </w:tc>
        <w:tc>
          <w:tcPr>
            <w:tcW w:w="1361" w:type="dxa"/>
            <w:vAlign w:val="center"/>
          </w:tcPr>
          <w:p>
            <w:pPr>
              <w:pStyle w:val="12"/>
            </w:pPr>
          </w:p>
        </w:tc>
        <w:tc>
          <w:tcPr>
            <w:tcW w:w="1361" w:type="dxa"/>
            <w:vAlign w:val="center"/>
          </w:tcPr>
          <w:p>
            <w:pPr>
              <w:pStyle w:val="12"/>
            </w:pPr>
            <w:r>
              <w:t>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4.03</w:t>
            </w:r>
          </w:p>
        </w:tc>
        <w:tc>
          <w:tcPr>
            <w:tcW w:w="1361" w:type="dxa"/>
            <w:vAlign w:val="center"/>
          </w:tcPr>
          <w:p>
            <w:pPr>
              <w:pStyle w:val="12"/>
            </w:pPr>
            <w:r>
              <w:t>4.03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4.03</w:t>
            </w:r>
          </w:p>
        </w:tc>
        <w:tc>
          <w:tcPr>
            <w:tcW w:w="1361" w:type="dxa"/>
            <w:vAlign w:val="center"/>
          </w:tcPr>
          <w:p>
            <w:pPr>
              <w:pStyle w:val="12"/>
            </w:pPr>
            <w:r>
              <w:t>4.03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45.56</w:t>
            </w:r>
          </w:p>
        </w:tc>
        <w:tc>
          <w:tcPr>
            <w:tcW w:w="1361" w:type="dxa"/>
            <w:vAlign w:val="center"/>
          </w:tcPr>
          <w:p>
            <w:pPr>
              <w:pStyle w:val="12"/>
            </w:pPr>
            <w:r>
              <w:t>45.56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45.56</w:t>
            </w:r>
          </w:p>
        </w:tc>
        <w:tc>
          <w:tcPr>
            <w:tcW w:w="1361" w:type="dxa"/>
            <w:vAlign w:val="center"/>
          </w:tcPr>
          <w:p>
            <w:pPr>
              <w:pStyle w:val="12"/>
            </w:pPr>
            <w:r>
              <w:t>45.56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18.54</w:t>
            </w: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9.17</w:t>
            </w:r>
          </w:p>
        </w:tc>
        <w:tc>
          <w:tcPr>
            <w:tcW w:w="1361" w:type="dxa"/>
            <w:vAlign w:val="center"/>
          </w:tcPr>
          <w:p>
            <w:pPr>
              <w:pStyle w:val="12"/>
            </w:pPr>
            <w:r>
              <w:t>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17.85</w:t>
            </w:r>
          </w:p>
        </w:tc>
        <w:tc>
          <w:tcPr>
            <w:tcW w:w="1361" w:type="dxa"/>
            <w:vAlign w:val="center"/>
          </w:tcPr>
          <w:p>
            <w:pPr>
              <w:pStyle w:val="12"/>
            </w:pPr>
            <w:r>
              <w:t>17.85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943.07</w:t>
            </w:r>
          </w:p>
        </w:tc>
        <w:tc>
          <w:tcPr>
            <w:tcW w:w="1361" w:type="dxa"/>
            <w:vAlign w:val="center"/>
          </w:tcPr>
          <w:p>
            <w:pPr>
              <w:pStyle w:val="12"/>
            </w:pPr>
            <w:r>
              <w:t>647.90</w:t>
            </w:r>
          </w:p>
        </w:tc>
        <w:tc>
          <w:tcPr>
            <w:tcW w:w="1361" w:type="dxa"/>
            <w:vAlign w:val="center"/>
          </w:tcPr>
          <w:p>
            <w:pPr>
              <w:pStyle w:val="12"/>
            </w:pPr>
            <w:r>
              <w:t>295.17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697.25</w:t>
            </w:r>
          </w:p>
        </w:tc>
        <w:tc>
          <w:tcPr>
            <w:tcW w:w="1361" w:type="dxa"/>
            <w:vAlign w:val="center"/>
          </w:tcPr>
          <w:p>
            <w:pPr>
              <w:pStyle w:val="12"/>
            </w:pPr>
            <w:r>
              <w:t>647.90</w:t>
            </w:r>
          </w:p>
        </w:tc>
        <w:tc>
          <w:tcPr>
            <w:tcW w:w="1361" w:type="dxa"/>
            <w:vAlign w:val="center"/>
          </w:tcPr>
          <w:p>
            <w:pPr>
              <w:pStyle w:val="12"/>
            </w:pPr>
            <w:r>
              <w:t>49.35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563.42</w:t>
            </w:r>
          </w:p>
        </w:tc>
        <w:tc>
          <w:tcPr>
            <w:tcW w:w="1361" w:type="dxa"/>
            <w:vAlign w:val="center"/>
          </w:tcPr>
          <w:p>
            <w:pPr>
              <w:pStyle w:val="12"/>
            </w:pPr>
            <w:r>
              <w:t>563.42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24.35</w:t>
            </w:r>
          </w:p>
        </w:tc>
        <w:tc>
          <w:tcPr>
            <w:tcW w:w="1361" w:type="dxa"/>
            <w:vAlign w:val="center"/>
          </w:tcPr>
          <w:p>
            <w:pPr>
              <w:pStyle w:val="12"/>
            </w:pPr>
          </w:p>
        </w:tc>
        <w:tc>
          <w:tcPr>
            <w:tcW w:w="1361" w:type="dxa"/>
            <w:vAlign w:val="center"/>
          </w:tcPr>
          <w:p>
            <w:pPr>
              <w:pStyle w:val="12"/>
            </w:pPr>
            <w:r>
              <w:t>24.35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2120109</w:t>
            </w:r>
          </w:p>
        </w:tc>
        <w:tc>
          <w:tcPr>
            <w:tcW w:w="4535" w:type="dxa"/>
            <w:vAlign w:val="center"/>
          </w:tcPr>
          <w:p>
            <w:pPr>
              <w:pStyle w:val="13"/>
            </w:pPr>
            <w:r>
              <w:t>住宅建设与房地产市场监管</w:t>
            </w:r>
          </w:p>
        </w:tc>
        <w:tc>
          <w:tcPr>
            <w:tcW w:w="1361" w:type="dxa"/>
            <w:vAlign w:val="center"/>
          </w:tcPr>
          <w:p>
            <w:pPr>
              <w:pStyle w:val="12"/>
            </w:pPr>
            <w:r>
              <w:t>109.48</w:t>
            </w:r>
          </w:p>
        </w:tc>
        <w:tc>
          <w:tcPr>
            <w:tcW w:w="1361" w:type="dxa"/>
            <w:vAlign w:val="center"/>
          </w:tcPr>
          <w:p>
            <w:pPr>
              <w:pStyle w:val="12"/>
            </w:pPr>
            <w:r>
              <w:t>84.48</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56.10</w:t>
            </w:r>
          </w:p>
        </w:tc>
        <w:tc>
          <w:tcPr>
            <w:tcW w:w="1361" w:type="dxa"/>
            <w:vAlign w:val="center"/>
          </w:tcPr>
          <w:p>
            <w:pPr>
              <w:pStyle w:val="12"/>
            </w:pPr>
          </w:p>
        </w:tc>
        <w:tc>
          <w:tcPr>
            <w:tcW w:w="1361" w:type="dxa"/>
            <w:vAlign w:val="center"/>
          </w:tcPr>
          <w:p>
            <w:pPr>
              <w:pStyle w:val="12"/>
            </w:pPr>
            <w:r>
              <w:t>56.10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56.10</w:t>
            </w:r>
          </w:p>
        </w:tc>
        <w:tc>
          <w:tcPr>
            <w:tcW w:w="1361" w:type="dxa"/>
            <w:vAlign w:val="center"/>
          </w:tcPr>
          <w:p>
            <w:pPr>
              <w:pStyle w:val="12"/>
            </w:pPr>
          </w:p>
        </w:tc>
        <w:tc>
          <w:tcPr>
            <w:tcW w:w="1361" w:type="dxa"/>
            <w:vAlign w:val="center"/>
          </w:tcPr>
          <w:p>
            <w:pPr>
              <w:pStyle w:val="12"/>
            </w:pPr>
            <w:r>
              <w:t>56.10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2120810</w:t>
            </w:r>
          </w:p>
        </w:tc>
        <w:tc>
          <w:tcPr>
            <w:tcW w:w="4535" w:type="dxa"/>
            <w:vAlign w:val="center"/>
          </w:tcPr>
          <w:p>
            <w:pPr>
              <w:pStyle w:val="13"/>
            </w:pPr>
            <w:r>
              <w:t>棚户区改造支出</w:t>
            </w: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234.91</w:t>
            </w:r>
          </w:p>
        </w:tc>
        <w:tc>
          <w:tcPr>
            <w:tcW w:w="1361" w:type="dxa"/>
            <w:vAlign w:val="center"/>
          </w:tcPr>
          <w:p>
            <w:pPr>
              <w:pStyle w:val="12"/>
            </w:pPr>
            <w:r>
              <w:t>54.21</w:t>
            </w:r>
          </w:p>
        </w:tc>
        <w:tc>
          <w:tcPr>
            <w:tcW w:w="1361" w:type="dxa"/>
            <w:vAlign w:val="center"/>
          </w:tcPr>
          <w:p>
            <w:pPr>
              <w:pStyle w:val="12"/>
            </w:pPr>
            <w:r>
              <w:t>180.70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180.70</w:t>
            </w:r>
          </w:p>
        </w:tc>
        <w:tc>
          <w:tcPr>
            <w:tcW w:w="1361" w:type="dxa"/>
            <w:vAlign w:val="center"/>
          </w:tcPr>
          <w:p>
            <w:pPr>
              <w:pStyle w:val="12"/>
            </w:pPr>
          </w:p>
        </w:tc>
        <w:tc>
          <w:tcPr>
            <w:tcW w:w="1361" w:type="dxa"/>
            <w:vAlign w:val="center"/>
          </w:tcPr>
          <w:p>
            <w:pPr>
              <w:pStyle w:val="12"/>
            </w:pPr>
            <w:r>
              <w:t>180.70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2210103</w:t>
            </w:r>
          </w:p>
        </w:tc>
        <w:tc>
          <w:tcPr>
            <w:tcW w:w="4535" w:type="dxa"/>
            <w:vAlign w:val="center"/>
          </w:tcPr>
          <w:p>
            <w:pPr>
              <w:pStyle w:val="13"/>
            </w:pPr>
            <w:r>
              <w:t>棚户区改造</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2210199</w:t>
            </w:r>
          </w:p>
        </w:tc>
        <w:tc>
          <w:tcPr>
            <w:tcW w:w="4535" w:type="dxa"/>
            <w:vAlign w:val="center"/>
          </w:tcPr>
          <w:p>
            <w:pPr>
              <w:pStyle w:val="13"/>
            </w:pPr>
            <w:r>
              <w:t>其他保障性安居工程支出</w:t>
            </w: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r>
              <w:t>15.70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54.21</w:t>
            </w:r>
          </w:p>
        </w:tc>
        <w:tc>
          <w:tcPr>
            <w:tcW w:w="1361" w:type="dxa"/>
            <w:vAlign w:val="center"/>
          </w:tcPr>
          <w:p>
            <w:pPr>
              <w:pStyle w:val="12"/>
            </w:pPr>
            <w:r>
              <w:t>54.21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54.21</w:t>
            </w:r>
          </w:p>
        </w:tc>
        <w:tc>
          <w:tcPr>
            <w:tcW w:w="1361" w:type="dxa"/>
            <w:vAlign w:val="center"/>
          </w:tcPr>
          <w:p>
            <w:pPr>
              <w:pStyle w:val="12"/>
            </w:pPr>
            <w:r>
              <w:t>54.21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6062.54</w:t>
            </w:r>
          </w:p>
        </w:tc>
        <w:tc>
          <w:tcPr>
            <w:tcW w:w="1361" w:type="dxa"/>
            <w:vAlign w:val="center"/>
          </w:tcPr>
          <w:p>
            <w:pPr>
              <w:pStyle w:val="12"/>
            </w:pPr>
          </w:p>
        </w:tc>
        <w:tc>
          <w:tcPr>
            <w:tcW w:w="1361" w:type="dxa"/>
            <w:vAlign w:val="center"/>
          </w:tcPr>
          <w:p>
            <w:pPr>
              <w:pStyle w:val="12"/>
            </w:pPr>
            <w:r>
              <w:t>6062.54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5985.40</w:t>
            </w:r>
          </w:p>
        </w:tc>
        <w:tc>
          <w:tcPr>
            <w:tcW w:w="1361" w:type="dxa"/>
            <w:vAlign w:val="center"/>
          </w:tcPr>
          <w:p>
            <w:pPr>
              <w:pStyle w:val="12"/>
            </w:pPr>
          </w:p>
        </w:tc>
        <w:tc>
          <w:tcPr>
            <w:tcW w:w="1361" w:type="dxa"/>
            <w:vAlign w:val="center"/>
          </w:tcPr>
          <w:p>
            <w:pPr>
              <w:pStyle w:val="12"/>
            </w:pPr>
            <w:r>
              <w:t>5985.40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5985.40</w:t>
            </w:r>
          </w:p>
        </w:tc>
        <w:tc>
          <w:tcPr>
            <w:tcW w:w="1361" w:type="dxa"/>
            <w:vAlign w:val="center"/>
          </w:tcPr>
          <w:p>
            <w:pPr>
              <w:pStyle w:val="12"/>
            </w:pPr>
          </w:p>
        </w:tc>
        <w:tc>
          <w:tcPr>
            <w:tcW w:w="1361" w:type="dxa"/>
            <w:vAlign w:val="center"/>
          </w:tcPr>
          <w:p>
            <w:pPr>
              <w:pStyle w:val="12"/>
            </w:pPr>
            <w:r>
              <w:t>5985.40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7191.82</w:t>
            </w:r>
          </w:p>
        </w:tc>
        <w:tc>
          <w:tcPr>
            <w:tcW w:w="3402" w:type="dxa"/>
            <w:vAlign w:val="center"/>
          </w:tcPr>
          <w:p>
            <w:pPr>
              <w:pStyle w:val="13"/>
            </w:pPr>
            <w:r>
              <w:t>一、一般公共服务支出</w:t>
            </w:r>
          </w:p>
        </w:tc>
        <w:tc>
          <w:tcPr>
            <w:tcW w:w="1474" w:type="dxa"/>
            <w:vAlign w:val="center"/>
          </w:tcPr>
          <w:p>
            <w:pPr>
              <w:pStyle w:val="12"/>
            </w:pPr>
            <w:r>
              <w:t>77.19</w:t>
            </w:r>
          </w:p>
        </w:tc>
        <w:tc>
          <w:tcPr>
            <w:tcW w:w="1474" w:type="dxa"/>
            <w:vAlign w:val="center"/>
          </w:tcPr>
          <w:p>
            <w:pPr>
              <w:pStyle w:val="12"/>
            </w:pPr>
            <w:r>
              <w:t>77.19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95.41</w:t>
            </w:r>
          </w:p>
        </w:tc>
        <w:tc>
          <w:tcPr>
            <w:tcW w:w="1474" w:type="dxa"/>
            <w:vAlign w:val="center"/>
          </w:tcPr>
          <w:p>
            <w:pPr>
              <w:pStyle w:val="12"/>
            </w:pPr>
            <w:r>
              <w:t>95.41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45.56</w:t>
            </w:r>
          </w:p>
        </w:tc>
        <w:tc>
          <w:tcPr>
            <w:tcW w:w="1474" w:type="dxa"/>
            <w:vAlign w:val="center"/>
          </w:tcPr>
          <w:p>
            <w:pPr>
              <w:pStyle w:val="12"/>
            </w:pPr>
            <w:r>
              <w:t>45.56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943.07</w:t>
            </w:r>
          </w:p>
        </w:tc>
        <w:tc>
          <w:tcPr>
            <w:tcW w:w="1474" w:type="dxa"/>
            <w:vAlign w:val="center"/>
          </w:tcPr>
          <w:p>
            <w:pPr>
              <w:pStyle w:val="12"/>
            </w:pPr>
            <w:r>
              <w:t>753.35</w:t>
            </w:r>
          </w:p>
        </w:tc>
        <w:tc>
          <w:tcPr>
            <w:tcW w:w="1474" w:type="dxa"/>
            <w:vAlign w:val="center"/>
          </w:tcPr>
          <w:p>
            <w:pPr>
              <w:pStyle w:val="12"/>
            </w:pPr>
            <w:r>
              <w:t>189.72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234.91</w:t>
            </w:r>
          </w:p>
        </w:tc>
        <w:tc>
          <w:tcPr>
            <w:tcW w:w="1474" w:type="dxa"/>
            <w:vAlign w:val="center"/>
          </w:tcPr>
          <w:p>
            <w:pPr>
              <w:pStyle w:val="12"/>
            </w:pPr>
            <w:r>
              <w:t>234.91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6062.54</w:t>
            </w:r>
          </w:p>
        </w:tc>
        <w:tc>
          <w:tcPr>
            <w:tcW w:w="1474" w:type="dxa"/>
            <w:vAlign w:val="center"/>
          </w:tcPr>
          <w:p>
            <w:pPr>
              <w:pStyle w:val="12"/>
            </w:pPr>
            <w:r>
              <w:t>5985.40</w:t>
            </w:r>
          </w:p>
        </w:tc>
        <w:tc>
          <w:tcPr>
            <w:tcW w:w="1474" w:type="dxa"/>
            <w:vAlign w:val="center"/>
          </w:tcPr>
          <w:p>
            <w:pPr>
              <w:pStyle w:val="12"/>
            </w:pPr>
            <w:r>
              <w:t>77.14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7191.82</w:t>
            </w:r>
          </w:p>
        </w:tc>
        <w:tc>
          <w:tcPr>
            <w:tcW w:w="3402" w:type="dxa"/>
            <w:vAlign w:val="center"/>
          </w:tcPr>
          <w:p>
            <w:pPr>
              <w:pStyle w:val="15"/>
            </w:pPr>
            <w:r>
              <w:t>本年支出合计</w:t>
            </w:r>
          </w:p>
        </w:tc>
        <w:tc>
          <w:tcPr>
            <w:tcW w:w="1474" w:type="dxa"/>
            <w:vAlign w:val="center"/>
          </w:tcPr>
          <w:p>
            <w:pPr>
              <w:pStyle w:val="16"/>
            </w:pPr>
            <w:r>
              <w:t>7458.68</w:t>
            </w:r>
          </w:p>
        </w:tc>
        <w:tc>
          <w:tcPr>
            <w:tcW w:w="1474" w:type="dxa"/>
            <w:vAlign w:val="center"/>
          </w:tcPr>
          <w:p>
            <w:pPr>
              <w:pStyle w:val="16"/>
            </w:pPr>
            <w:r>
              <w:t>7191.82</w:t>
            </w:r>
          </w:p>
        </w:tc>
        <w:tc>
          <w:tcPr>
            <w:tcW w:w="1474" w:type="dxa"/>
            <w:vAlign w:val="center"/>
          </w:tcPr>
          <w:p>
            <w:pPr>
              <w:pStyle w:val="16"/>
            </w:pPr>
            <w:r>
              <w:t>266.86</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266.86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266.86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7458.68</w:t>
            </w:r>
          </w:p>
        </w:tc>
        <w:tc>
          <w:tcPr>
            <w:tcW w:w="3402" w:type="dxa"/>
            <w:vAlign w:val="center"/>
          </w:tcPr>
          <w:p>
            <w:pPr>
              <w:pStyle w:val="15"/>
            </w:pPr>
            <w:r>
              <w:t>支出总计</w:t>
            </w:r>
          </w:p>
        </w:tc>
        <w:tc>
          <w:tcPr>
            <w:tcW w:w="1474" w:type="dxa"/>
            <w:vAlign w:val="center"/>
          </w:tcPr>
          <w:p>
            <w:pPr>
              <w:pStyle w:val="16"/>
            </w:pPr>
            <w:r>
              <w:t>7458.68</w:t>
            </w:r>
          </w:p>
        </w:tc>
        <w:tc>
          <w:tcPr>
            <w:tcW w:w="1474" w:type="dxa"/>
            <w:vAlign w:val="center"/>
          </w:tcPr>
          <w:p>
            <w:pPr>
              <w:pStyle w:val="16"/>
            </w:pPr>
            <w:r>
              <w:t>7191.82</w:t>
            </w:r>
          </w:p>
        </w:tc>
        <w:tc>
          <w:tcPr>
            <w:tcW w:w="1474" w:type="dxa"/>
            <w:vAlign w:val="center"/>
          </w:tcPr>
          <w:p>
            <w:pPr>
              <w:pStyle w:val="16"/>
            </w:pPr>
            <w:r>
              <w:t>266.86</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7191.82</w:t>
            </w:r>
          </w:p>
        </w:tc>
        <w:tc>
          <w:tcPr>
            <w:tcW w:w="2551" w:type="dxa"/>
            <w:vAlign w:val="center"/>
          </w:tcPr>
          <w:p>
            <w:pPr>
              <w:pStyle w:val="16"/>
            </w:pPr>
            <w:r>
              <w:t>914.85</w:t>
            </w:r>
          </w:p>
        </w:tc>
        <w:tc>
          <w:tcPr>
            <w:tcW w:w="2551" w:type="dxa"/>
            <w:vAlign w:val="center"/>
          </w:tcPr>
          <w:p>
            <w:pPr>
              <w:pStyle w:val="16"/>
            </w:pPr>
            <w:r>
              <w:t>6276.97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77.19</w:t>
            </w:r>
          </w:p>
        </w:tc>
        <w:tc>
          <w:tcPr>
            <w:tcW w:w="2551" w:type="dxa"/>
            <w:vAlign w:val="center"/>
          </w:tcPr>
          <w:p>
            <w:pPr>
              <w:pStyle w:val="12"/>
            </w:pPr>
            <w:r>
              <w:t>77.19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77.19</w:t>
            </w:r>
          </w:p>
        </w:tc>
        <w:tc>
          <w:tcPr>
            <w:tcW w:w="2551" w:type="dxa"/>
            <w:vAlign w:val="center"/>
          </w:tcPr>
          <w:p>
            <w:pPr>
              <w:pStyle w:val="12"/>
            </w:pPr>
            <w:r>
              <w:t>77.19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77.19</w:t>
            </w:r>
          </w:p>
        </w:tc>
        <w:tc>
          <w:tcPr>
            <w:tcW w:w="2551" w:type="dxa"/>
            <w:vAlign w:val="center"/>
          </w:tcPr>
          <w:p>
            <w:pPr>
              <w:pStyle w:val="12"/>
            </w:pPr>
            <w:r>
              <w:t>77.19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95.41</w:t>
            </w:r>
          </w:p>
        </w:tc>
        <w:tc>
          <w:tcPr>
            <w:tcW w:w="2551" w:type="dxa"/>
            <w:vAlign w:val="center"/>
          </w:tcPr>
          <w:p>
            <w:pPr>
              <w:pStyle w:val="12"/>
            </w:pPr>
            <w:r>
              <w:t>89.99</w:t>
            </w:r>
          </w:p>
        </w:tc>
        <w:tc>
          <w:tcPr>
            <w:tcW w:w="2551" w:type="dxa"/>
            <w:vAlign w:val="center"/>
          </w:tcPr>
          <w:p>
            <w:pPr>
              <w:pStyle w:val="12"/>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85.96</w:t>
            </w:r>
          </w:p>
        </w:tc>
        <w:tc>
          <w:tcPr>
            <w:tcW w:w="2551" w:type="dxa"/>
            <w:vAlign w:val="center"/>
          </w:tcPr>
          <w:p>
            <w:pPr>
              <w:pStyle w:val="12"/>
            </w:pPr>
            <w:r>
              <w:t>85.96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13.76</w:t>
            </w:r>
          </w:p>
        </w:tc>
        <w:tc>
          <w:tcPr>
            <w:tcW w:w="2551" w:type="dxa"/>
            <w:vAlign w:val="center"/>
          </w:tcPr>
          <w:p>
            <w:pPr>
              <w:pStyle w:val="12"/>
            </w:pPr>
            <w:r>
              <w:t>13.76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66.43</w:t>
            </w:r>
          </w:p>
        </w:tc>
        <w:tc>
          <w:tcPr>
            <w:tcW w:w="2551" w:type="dxa"/>
            <w:vAlign w:val="center"/>
          </w:tcPr>
          <w:p>
            <w:pPr>
              <w:pStyle w:val="12"/>
            </w:pPr>
            <w:r>
              <w:t>66.43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5.77</w:t>
            </w:r>
          </w:p>
        </w:tc>
        <w:tc>
          <w:tcPr>
            <w:tcW w:w="2551" w:type="dxa"/>
            <w:vAlign w:val="center"/>
          </w:tcPr>
          <w:p>
            <w:pPr>
              <w:pStyle w:val="12"/>
            </w:pPr>
            <w:r>
              <w:t>5.77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5.42</w:t>
            </w:r>
          </w:p>
        </w:tc>
        <w:tc>
          <w:tcPr>
            <w:tcW w:w="2551" w:type="dxa"/>
            <w:vAlign w:val="center"/>
          </w:tcPr>
          <w:p>
            <w:pPr>
              <w:pStyle w:val="12"/>
            </w:pPr>
          </w:p>
        </w:tc>
        <w:tc>
          <w:tcPr>
            <w:tcW w:w="2551" w:type="dxa"/>
            <w:vAlign w:val="center"/>
          </w:tcPr>
          <w:p>
            <w:pPr>
              <w:pStyle w:val="12"/>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5.42</w:t>
            </w:r>
          </w:p>
        </w:tc>
        <w:tc>
          <w:tcPr>
            <w:tcW w:w="2551" w:type="dxa"/>
            <w:vAlign w:val="center"/>
          </w:tcPr>
          <w:p>
            <w:pPr>
              <w:pStyle w:val="12"/>
            </w:pPr>
          </w:p>
        </w:tc>
        <w:tc>
          <w:tcPr>
            <w:tcW w:w="2551" w:type="dxa"/>
            <w:vAlign w:val="center"/>
          </w:tcPr>
          <w:p>
            <w:pPr>
              <w:pStyle w:val="12"/>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4.03</w:t>
            </w:r>
          </w:p>
        </w:tc>
        <w:tc>
          <w:tcPr>
            <w:tcW w:w="2551" w:type="dxa"/>
            <w:vAlign w:val="center"/>
          </w:tcPr>
          <w:p>
            <w:pPr>
              <w:pStyle w:val="12"/>
            </w:pPr>
            <w:r>
              <w:t>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4.03</w:t>
            </w:r>
          </w:p>
        </w:tc>
        <w:tc>
          <w:tcPr>
            <w:tcW w:w="2551" w:type="dxa"/>
            <w:vAlign w:val="center"/>
          </w:tcPr>
          <w:p>
            <w:pPr>
              <w:pStyle w:val="12"/>
            </w:pPr>
            <w:r>
              <w:t>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45.56</w:t>
            </w:r>
          </w:p>
        </w:tc>
        <w:tc>
          <w:tcPr>
            <w:tcW w:w="2551" w:type="dxa"/>
            <w:vAlign w:val="center"/>
          </w:tcPr>
          <w:p>
            <w:pPr>
              <w:pStyle w:val="12"/>
            </w:pPr>
            <w:r>
              <w:t>45.56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45.56</w:t>
            </w:r>
          </w:p>
        </w:tc>
        <w:tc>
          <w:tcPr>
            <w:tcW w:w="2551" w:type="dxa"/>
            <w:vAlign w:val="center"/>
          </w:tcPr>
          <w:p>
            <w:pPr>
              <w:pStyle w:val="12"/>
            </w:pPr>
            <w:r>
              <w:t>45.56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18.54</w:t>
            </w:r>
          </w:p>
        </w:tc>
        <w:tc>
          <w:tcPr>
            <w:tcW w:w="2551" w:type="dxa"/>
            <w:vAlign w:val="center"/>
          </w:tcPr>
          <w:p>
            <w:pPr>
              <w:pStyle w:val="12"/>
            </w:pPr>
            <w:r>
              <w:t>18.54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9.17</w:t>
            </w:r>
          </w:p>
        </w:tc>
        <w:tc>
          <w:tcPr>
            <w:tcW w:w="2551" w:type="dxa"/>
            <w:vAlign w:val="center"/>
          </w:tcPr>
          <w:p>
            <w:pPr>
              <w:pStyle w:val="12"/>
            </w:pPr>
            <w:r>
              <w:t>9.17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17.85</w:t>
            </w:r>
          </w:p>
        </w:tc>
        <w:tc>
          <w:tcPr>
            <w:tcW w:w="2551" w:type="dxa"/>
            <w:vAlign w:val="center"/>
          </w:tcPr>
          <w:p>
            <w:pPr>
              <w:pStyle w:val="12"/>
            </w:pPr>
            <w:r>
              <w:t>17.85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753.35</w:t>
            </w:r>
          </w:p>
        </w:tc>
        <w:tc>
          <w:tcPr>
            <w:tcW w:w="2551" w:type="dxa"/>
            <w:vAlign w:val="center"/>
          </w:tcPr>
          <w:p>
            <w:pPr>
              <w:pStyle w:val="12"/>
            </w:pPr>
            <w:r>
              <w:t>647.90</w:t>
            </w:r>
          </w:p>
        </w:tc>
        <w:tc>
          <w:tcPr>
            <w:tcW w:w="2551" w:type="dxa"/>
            <w:vAlign w:val="center"/>
          </w:tcPr>
          <w:p>
            <w:pPr>
              <w:pStyle w:val="12"/>
            </w:pPr>
            <w:r>
              <w:t>105.45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697.25</w:t>
            </w:r>
          </w:p>
        </w:tc>
        <w:tc>
          <w:tcPr>
            <w:tcW w:w="2551" w:type="dxa"/>
            <w:vAlign w:val="center"/>
          </w:tcPr>
          <w:p>
            <w:pPr>
              <w:pStyle w:val="12"/>
            </w:pPr>
            <w:r>
              <w:t>647.90</w:t>
            </w:r>
          </w:p>
        </w:tc>
        <w:tc>
          <w:tcPr>
            <w:tcW w:w="2551" w:type="dxa"/>
            <w:vAlign w:val="center"/>
          </w:tcPr>
          <w:p>
            <w:pPr>
              <w:pStyle w:val="12"/>
            </w:pPr>
            <w:r>
              <w:t>49.35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563.42</w:t>
            </w:r>
          </w:p>
        </w:tc>
        <w:tc>
          <w:tcPr>
            <w:tcW w:w="2551" w:type="dxa"/>
            <w:vAlign w:val="center"/>
          </w:tcPr>
          <w:p>
            <w:pPr>
              <w:pStyle w:val="12"/>
            </w:pPr>
            <w:r>
              <w:t>563.42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24.35</w:t>
            </w:r>
          </w:p>
        </w:tc>
        <w:tc>
          <w:tcPr>
            <w:tcW w:w="2551" w:type="dxa"/>
            <w:vAlign w:val="center"/>
          </w:tcPr>
          <w:p>
            <w:pPr>
              <w:pStyle w:val="12"/>
            </w:pPr>
          </w:p>
        </w:tc>
        <w:tc>
          <w:tcPr>
            <w:tcW w:w="2551" w:type="dxa"/>
            <w:vAlign w:val="center"/>
          </w:tcPr>
          <w:p>
            <w:pPr>
              <w:pStyle w:val="12"/>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2120109</w:t>
            </w:r>
          </w:p>
        </w:tc>
        <w:tc>
          <w:tcPr>
            <w:tcW w:w="4535" w:type="dxa"/>
            <w:vAlign w:val="center"/>
          </w:tcPr>
          <w:p>
            <w:pPr>
              <w:pStyle w:val="13"/>
            </w:pPr>
            <w:r>
              <w:t>住宅建设与房地产市场监管</w:t>
            </w:r>
          </w:p>
        </w:tc>
        <w:tc>
          <w:tcPr>
            <w:tcW w:w="2551" w:type="dxa"/>
            <w:vAlign w:val="center"/>
          </w:tcPr>
          <w:p>
            <w:pPr>
              <w:pStyle w:val="12"/>
            </w:pPr>
            <w:r>
              <w:t>109.48</w:t>
            </w:r>
          </w:p>
        </w:tc>
        <w:tc>
          <w:tcPr>
            <w:tcW w:w="2551" w:type="dxa"/>
            <w:vAlign w:val="center"/>
          </w:tcPr>
          <w:p>
            <w:pPr>
              <w:pStyle w:val="12"/>
            </w:pPr>
            <w:r>
              <w:t>84.48</w:t>
            </w: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56.10</w:t>
            </w:r>
          </w:p>
        </w:tc>
        <w:tc>
          <w:tcPr>
            <w:tcW w:w="2551" w:type="dxa"/>
            <w:vAlign w:val="center"/>
          </w:tcPr>
          <w:p>
            <w:pPr>
              <w:pStyle w:val="12"/>
            </w:pPr>
          </w:p>
        </w:tc>
        <w:tc>
          <w:tcPr>
            <w:tcW w:w="2551" w:type="dxa"/>
            <w:vAlign w:val="center"/>
          </w:tcPr>
          <w:p>
            <w:pPr>
              <w:pStyle w:val="12"/>
            </w:pPr>
            <w:r>
              <w:t>56.10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56.10</w:t>
            </w:r>
          </w:p>
        </w:tc>
        <w:tc>
          <w:tcPr>
            <w:tcW w:w="2551" w:type="dxa"/>
            <w:vAlign w:val="center"/>
          </w:tcPr>
          <w:p>
            <w:pPr>
              <w:pStyle w:val="12"/>
            </w:pPr>
          </w:p>
        </w:tc>
        <w:tc>
          <w:tcPr>
            <w:tcW w:w="2551" w:type="dxa"/>
            <w:vAlign w:val="center"/>
          </w:tcPr>
          <w:p>
            <w:pPr>
              <w:pStyle w:val="12"/>
            </w:pPr>
            <w:r>
              <w:t>56.10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234.91</w:t>
            </w:r>
          </w:p>
        </w:tc>
        <w:tc>
          <w:tcPr>
            <w:tcW w:w="2551" w:type="dxa"/>
            <w:vAlign w:val="center"/>
          </w:tcPr>
          <w:p>
            <w:pPr>
              <w:pStyle w:val="12"/>
            </w:pPr>
            <w:r>
              <w:t>54.21</w:t>
            </w:r>
          </w:p>
        </w:tc>
        <w:tc>
          <w:tcPr>
            <w:tcW w:w="2551" w:type="dxa"/>
            <w:vAlign w:val="center"/>
          </w:tcPr>
          <w:p>
            <w:pPr>
              <w:pStyle w:val="12"/>
            </w:pPr>
            <w:r>
              <w:t>180.70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180.70</w:t>
            </w:r>
          </w:p>
        </w:tc>
        <w:tc>
          <w:tcPr>
            <w:tcW w:w="2551" w:type="dxa"/>
            <w:vAlign w:val="center"/>
          </w:tcPr>
          <w:p>
            <w:pPr>
              <w:pStyle w:val="12"/>
            </w:pPr>
          </w:p>
        </w:tc>
        <w:tc>
          <w:tcPr>
            <w:tcW w:w="2551" w:type="dxa"/>
            <w:vAlign w:val="center"/>
          </w:tcPr>
          <w:p>
            <w:pPr>
              <w:pStyle w:val="12"/>
            </w:pPr>
            <w:r>
              <w:t>180.70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2210103</w:t>
            </w:r>
          </w:p>
        </w:tc>
        <w:tc>
          <w:tcPr>
            <w:tcW w:w="4535" w:type="dxa"/>
            <w:vAlign w:val="center"/>
          </w:tcPr>
          <w:p>
            <w:pPr>
              <w:pStyle w:val="13"/>
            </w:pPr>
            <w:r>
              <w:t>棚户区改造</w:t>
            </w:r>
          </w:p>
        </w:tc>
        <w:tc>
          <w:tcPr>
            <w:tcW w:w="2551" w:type="dxa"/>
            <w:vAlign w:val="center"/>
          </w:tcPr>
          <w:p>
            <w:pPr>
              <w:pStyle w:val="12"/>
            </w:pPr>
            <w:r>
              <w:t>165.00</w:t>
            </w:r>
          </w:p>
        </w:tc>
        <w:tc>
          <w:tcPr>
            <w:tcW w:w="2551" w:type="dxa"/>
            <w:vAlign w:val="center"/>
          </w:tcPr>
          <w:p>
            <w:pPr>
              <w:pStyle w:val="12"/>
            </w:pPr>
          </w:p>
        </w:tc>
        <w:tc>
          <w:tcPr>
            <w:tcW w:w="2551" w:type="dxa"/>
            <w:vAlign w:val="center"/>
          </w:tcPr>
          <w:p>
            <w:pPr>
              <w:pStyle w:val="12"/>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2210199</w:t>
            </w:r>
          </w:p>
        </w:tc>
        <w:tc>
          <w:tcPr>
            <w:tcW w:w="4535" w:type="dxa"/>
            <w:vAlign w:val="center"/>
          </w:tcPr>
          <w:p>
            <w:pPr>
              <w:pStyle w:val="13"/>
            </w:pPr>
            <w:r>
              <w:t>其他保障性安居工程支出</w:t>
            </w:r>
          </w:p>
        </w:tc>
        <w:tc>
          <w:tcPr>
            <w:tcW w:w="2551" w:type="dxa"/>
            <w:vAlign w:val="center"/>
          </w:tcPr>
          <w:p>
            <w:pPr>
              <w:pStyle w:val="12"/>
            </w:pPr>
            <w:r>
              <w:t>15.70</w:t>
            </w:r>
          </w:p>
        </w:tc>
        <w:tc>
          <w:tcPr>
            <w:tcW w:w="2551" w:type="dxa"/>
            <w:vAlign w:val="center"/>
          </w:tcPr>
          <w:p>
            <w:pPr>
              <w:pStyle w:val="12"/>
            </w:pPr>
          </w:p>
        </w:tc>
        <w:tc>
          <w:tcPr>
            <w:tcW w:w="2551" w:type="dxa"/>
            <w:vAlign w:val="center"/>
          </w:tcPr>
          <w:p>
            <w:pPr>
              <w:pStyle w:val="12"/>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54.21</w:t>
            </w:r>
          </w:p>
        </w:tc>
        <w:tc>
          <w:tcPr>
            <w:tcW w:w="2551" w:type="dxa"/>
            <w:vAlign w:val="center"/>
          </w:tcPr>
          <w:p>
            <w:pPr>
              <w:pStyle w:val="12"/>
            </w:pPr>
            <w:r>
              <w:t>54.21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54.21</w:t>
            </w:r>
          </w:p>
        </w:tc>
        <w:tc>
          <w:tcPr>
            <w:tcW w:w="2551" w:type="dxa"/>
            <w:vAlign w:val="center"/>
          </w:tcPr>
          <w:p>
            <w:pPr>
              <w:pStyle w:val="12"/>
            </w:pPr>
            <w:r>
              <w:t>54.21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5985.40</w:t>
            </w:r>
          </w:p>
        </w:tc>
        <w:tc>
          <w:tcPr>
            <w:tcW w:w="2551" w:type="dxa"/>
            <w:vAlign w:val="center"/>
          </w:tcPr>
          <w:p>
            <w:pPr>
              <w:pStyle w:val="12"/>
            </w:pPr>
          </w:p>
        </w:tc>
        <w:tc>
          <w:tcPr>
            <w:tcW w:w="2551" w:type="dxa"/>
            <w:vAlign w:val="center"/>
          </w:tcPr>
          <w:p>
            <w:pPr>
              <w:pStyle w:val="12"/>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5985.40</w:t>
            </w:r>
          </w:p>
        </w:tc>
        <w:tc>
          <w:tcPr>
            <w:tcW w:w="2551" w:type="dxa"/>
            <w:vAlign w:val="center"/>
          </w:tcPr>
          <w:p>
            <w:pPr>
              <w:pStyle w:val="12"/>
            </w:pPr>
          </w:p>
        </w:tc>
        <w:tc>
          <w:tcPr>
            <w:tcW w:w="2551" w:type="dxa"/>
            <w:vAlign w:val="center"/>
          </w:tcPr>
          <w:p>
            <w:pPr>
              <w:pStyle w:val="12"/>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5985.40</w:t>
            </w:r>
          </w:p>
        </w:tc>
        <w:tc>
          <w:tcPr>
            <w:tcW w:w="2551" w:type="dxa"/>
            <w:vAlign w:val="center"/>
          </w:tcPr>
          <w:p>
            <w:pPr>
              <w:pStyle w:val="12"/>
            </w:pPr>
          </w:p>
        </w:tc>
        <w:tc>
          <w:tcPr>
            <w:tcW w:w="2551" w:type="dxa"/>
            <w:vAlign w:val="center"/>
          </w:tcPr>
          <w:p>
            <w:pPr>
              <w:pStyle w:val="12"/>
            </w:pPr>
            <w:r>
              <w:t>5985.40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914.85</w:t>
            </w:r>
          </w:p>
        </w:tc>
        <w:tc>
          <w:tcPr>
            <w:tcW w:w="2551" w:type="dxa"/>
            <w:vAlign w:val="center"/>
          </w:tcPr>
          <w:p>
            <w:pPr>
              <w:pStyle w:val="16"/>
            </w:pPr>
            <w:r>
              <w:t>885.39</w:t>
            </w:r>
          </w:p>
        </w:tc>
        <w:tc>
          <w:tcPr>
            <w:tcW w:w="2551" w:type="dxa"/>
            <w:vAlign w:val="center"/>
          </w:tcPr>
          <w:p>
            <w:pPr>
              <w:pStyle w:val="16"/>
            </w:pPr>
            <w:r>
              <w:t>29.46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650.46</w:t>
            </w:r>
          </w:p>
        </w:tc>
        <w:tc>
          <w:tcPr>
            <w:tcW w:w="2551" w:type="dxa"/>
            <w:vAlign w:val="center"/>
          </w:tcPr>
          <w:p>
            <w:pPr>
              <w:pStyle w:val="12"/>
            </w:pPr>
            <w:r>
              <w:t>650.46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200.95</w:t>
            </w:r>
          </w:p>
        </w:tc>
        <w:tc>
          <w:tcPr>
            <w:tcW w:w="2551" w:type="dxa"/>
            <w:vAlign w:val="center"/>
          </w:tcPr>
          <w:p>
            <w:pPr>
              <w:pStyle w:val="12"/>
            </w:pPr>
            <w:r>
              <w:t>200.95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40.12</w:t>
            </w:r>
          </w:p>
        </w:tc>
        <w:tc>
          <w:tcPr>
            <w:tcW w:w="2551" w:type="dxa"/>
            <w:vAlign w:val="center"/>
          </w:tcPr>
          <w:p>
            <w:pPr>
              <w:pStyle w:val="12"/>
            </w:pPr>
            <w:r>
              <w:t>40.12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21.09</w:t>
            </w:r>
          </w:p>
        </w:tc>
        <w:tc>
          <w:tcPr>
            <w:tcW w:w="2551" w:type="dxa"/>
            <w:vAlign w:val="center"/>
          </w:tcPr>
          <w:p>
            <w:pPr>
              <w:pStyle w:val="12"/>
            </w:pPr>
            <w:r>
              <w:t>21.09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212.30</w:t>
            </w:r>
          </w:p>
        </w:tc>
        <w:tc>
          <w:tcPr>
            <w:tcW w:w="2551" w:type="dxa"/>
            <w:vAlign w:val="center"/>
          </w:tcPr>
          <w:p>
            <w:pPr>
              <w:pStyle w:val="12"/>
            </w:pPr>
            <w:r>
              <w:t>212.30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66.43</w:t>
            </w:r>
          </w:p>
        </w:tc>
        <w:tc>
          <w:tcPr>
            <w:tcW w:w="2551" w:type="dxa"/>
            <w:vAlign w:val="center"/>
          </w:tcPr>
          <w:p>
            <w:pPr>
              <w:pStyle w:val="12"/>
            </w:pPr>
            <w:r>
              <w:t>66.43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5.77</w:t>
            </w:r>
          </w:p>
        </w:tc>
        <w:tc>
          <w:tcPr>
            <w:tcW w:w="2551" w:type="dxa"/>
            <w:vAlign w:val="center"/>
          </w:tcPr>
          <w:p>
            <w:pPr>
              <w:pStyle w:val="12"/>
            </w:pPr>
            <w:r>
              <w:t>5.77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27.71</w:t>
            </w:r>
          </w:p>
        </w:tc>
        <w:tc>
          <w:tcPr>
            <w:tcW w:w="2551" w:type="dxa"/>
            <w:vAlign w:val="center"/>
          </w:tcPr>
          <w:p>
            <w:pPr>
              <w:pStyle w:val="12"/>
            </w:pPr>
            <w:r>
              <w:t>27.71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17.85</w:t>
            </w:r>
          </w:p>
        </w:tc>
        <w:tc>
          <w:tcPr>
            <w:tcW w:w="2551" w:type="dxa"/>
            <w:vAlign w:val="center"/>
          </w:tcPr>
          <w:p>
            <w:pPr>
              <w:pStyle w:val="12"/>
            </w:pPr>
            <w:r>
              <w:t>17.85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4.03</w:t>
            </w:r>
          </w:p>
        </w:tc>
        <w:tc>
          <w:tcPr>
            <w:tcW w:w="2551" w:type="dxa"/>
            <w:vAlign w:val="center"/>
          </w:tcPr>
          <w:p>
            <w:pPr>
              <w:pStyle w:val="12"/>
            </w:pPr>
            <w:r>
              <w:t>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54.21</w:t>
            </w:r>
          </w:p>
        </w:tc>
        <w:tc>
          <w:tcPr>
            <w:tcW w:w="2551" w:type="dxa"/>
            <w:vAlign w:val="center"/>
          </w:tcPr>
          <w:p>
            <w:pPr>
              <w:pStyle w:val="12"/>
            </w:pPr>
            <w:r>
              <w:t>54.21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29.46</w:t>
            </w:r>
          </w:p>
        </w:tc>
        <w:tc>
          <w:tcPr>
            <w:tcW w:w="2551" w:type="dxa"/>
            <w:vAlign w:val="center"/>
          </w:tcPr>
          <w:p>
            <w:pPr>
              <w:pStyle w:val="12"/>
            </w:pPr>
          </w:p>
        </w:tc>
        <w:tc>
          <w:tcPr>
            <w:tcW w:w="2551" w:type="dxa"/>
            <w:vAlign w:val="center"/>
          </w:tcPr>
          <w:p>
            <w:pPr>
              <w:pStyle w:val="12"/>
            </w:pPr>
            <w:r>
              <w:t>29.46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7.26</w:t>
            </w:r>
          </w:p>
        </w:tc>
        <w:tc>
          <w:tcPr>
            <w:tcW w:w="2551" w:type="dxa"/>
            <w:vAlign w:val="center"/>
          </w:tcPr>
          <w:p>
            <w:pPr>
              <w:pStyle w:val="12"/>
            </w:pPr>
          </w:p>
        </w:tc>
        <w:tc>
          <w:tcPr>
            <w:tcW w:w="2551" w:type="dxa"/>
            <w:vAlign w:val="center"/>
          </w:tcPr>
          <w:p>
            <w:pPr>
              <w:pStyle w:val="12"/>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5.22</w:t>
            </w:r>
          </w:p>
        </w:tc>
        <w:tc>
          <w:tcPr>
            <w:tcW w:w="2551" w:type="dxa"/>
            <w:vAlign w:val="center"/>
          </w:tcPr>
          <w:p>
            <w:pPr>
              <w:pStyle w:val="12"/>
            </w:pPr>
          </w:p>
        </w:tc>
        <w:tc>
          <w:tcPr>
            <w:tcW w:w="2551" w:type="dxa"/>
            <w:vAlign w:val="center"/>
          </w:tcPr>
          <w:p>
            <w:pPr>
              <w:pStyle w:val="12"/>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6.28</w:t>
            </w:r>
          </w:p>
        </w:tc>
        <w:tc>
          <w:tcPr>
            <w:tcW w:w="2551" w:type="dxa"/>
            <w:vAlign w:val="center"/>
          </w:tcPr>
          <w:p>
            <w:pPr>
              <w:pStyle w:val="12"/>
            </w:pPr>
          </w:p>
        </w:tc>
        <w:tc>
          <w:tcPr>
            <w:tcW w:w="2551"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234.93</w:t>
            </w:r>
          </w:p>
        </w:tc>
        <w:tc>
          <w:tcPr>
            <w:tcW w:w="2551" w:type="dxa"/>
            <w:vAlign w:val="center"/>
          </w:tcPr>
          <w:p>
            <w:pPr>
              <w:pStyle w:val="12"/>
            </w:pPr>
            <w:r>
              <w:t>234.93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228.81</w:t>
            </w:r>
          </w:p>
        </w:tc>
        <w:tc>
          <w:tcPr>
            <w:tcW w:w="2551" w:type="dxa"/>
            <w:vAlign w:val="center"/>
          </w:tcPr>
          <w:p>
            <w:pPr>
              <w:pStyle w:val="12"/>
            </w:pPr>
            <w:r>
              <w:t>228.81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3.62</w:t>
            </w:r>
          </w:p>
        </w:tc>
        <w:tc>
          <w:tcPr>
            <w:tcW w:w="2551" w:type="dxa"/>
            <w:vAlign w:val="center"/>
          </w:tcPr>
          <w:p>
            <w:pPr>
              <w:pStyle w:val="12"/>
            </w:pPr>
            <w:r>
              <w:t>3.62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266.86</w:t>
            </w:r>
          </w:p>
        </w:tc>
        <w:tc>
          <w:tcPr>
            <w:tcW w:w="2551" w:type="dxa"/>
            <w:vAlign w:val="center"/>
          </w:tcPr>
          <w:p>
            <w:pPr>
              <w:pStyle w:val="16"/>
            </w:pPr>
          </w:p>
        </w:tc>
        <w:tc>
          <w:tcPr>
            <w:tcW w:w="2551" w:type="dxa"/>
            <w:vAlign w:val="center"/>
          </w:tcPr>
          <w:p>
            <w:pPr>
              <w:pStyle w:val="16"/>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189.72</w:t>
            </w:r>
          </w:p>
        </w:tc>
        <w:tc>
          <w:tcPr>
            <w:tcW w:w="2551" w:type="dxa"/>
            <w:vAlign w:val="center"/>
          </w:tcPr>
          <w:p>
            <w:pPr>
              <w:pStyle w:val="12"/>
            </w:pPr>
          </w:p>
        </w:tc>
        <w:tc>
          <w:tcPr>
            <w:tcW w:w="2551"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189.72</w:t>
            </w:r>
          </w:p>
        </w:tc>
        <w:tc>
          <w:tcPr>
            <w:tcW w:w="2551" w:type="dxa"/>
            <w:vAlign w:val="center"/>
          </w:tcPr>
          <w:p>
            <w:pPr>
              <w:pStyle w:val="12"/>
            </w:pPr>
          </w:p>
        </w:tc>
        <w:tc>
          <w:tcPr>
            <w:tcW w:w="2551"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2120810</w:t>
            </w:r>
          </w:p>
        </w:tc>
        <w:tc>
          <w:tcPr>
            <w:tcW w:w="4535" w:type="dxa"/>
            <w:vAlign w:val="center"/>
          </w:tcPr>
          <w:p>
            <w:pPr>
              <w:pStyle w:val="13"/>
            </w:pPr>
            <w:r>
              <w:t>棚户区改造支出</w:t>
            </w:r>
          </w:p>
        </w:tc>
        <w:tc>
          <w:tcPr>
            <w:tcW w:w="2551" w:type="dxa"/>
            <w:vAlign w:val="center"/>
          </w:tcPr>
          <w:p>
            <w:pPr>
              <w:pStyle w:val="12"/>
            </w:pPr>
            <w:r>
              <w:t>189.72</w:t>
            </w:r>
          </w:p>
        </w:tc>
        <w:tc>
          <w:tcPr>
            <w:tcW w:w="2551" w:type="dxa"/>
            <w:vAlign w:val="center"/>
          </w:tcPr>
          <w:p>
            <w:pPr>
              <w:pStyle w:val="12"/>
            </w:pPr>
          </w:p>
        </w:tc>
        <w:tc>
          <w:tcPr>
            <w:tcW w:w="2551" w:type="dxa"/>
            <w:vAlign w:val="center"/>
          </w:tcPr>
          <w:p>
            <w:pPr>
              <w:pStyle w:val="12"/>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1</w:t>
            </w:r>
          </w:p>
        </w:tc>
        <w:tc>
          <w:tcPr>
            <w:tcW w:w="3798" w:type="dxa"/>
            <w:vAlign w:val="center"/>
          </w:tcPr>
          <w:p>
            <w:pPr>
              <w:pStyle w:val="15"/>
              <w:ind w:firstLine="0" w:firstLineChars="0"/>
            </w:pPr>
            <w:r>
              <w:t>合计</w:t>
            </w:r>
          </w:p>
        </w:tc>
        <w:tc>
          <w:tcPr>
            <w:tcW w:w="2381" w:type="dxa"/>
            <w:vAlign w:val="center"/>
          </w:tcPr>
          <w:p>
            <w:pPr>
              <w:pStyle w:val="16"/>
              <w:ind w:firstLine="0" w:firstLineChars="0"/>
            </w:pPr>
            <w:r>
              <w:t>2.00</w:t>
            </w:r>
          </w:p>
        </w:tc>
        <w:tc>
          <w:tcPr>
            <w:tcW w:w="2381" w:type="dxa"/>
            <w:vAlign w:val="center"/>
          </w:tcPr>
          <w:p>
            <w:pPr>
              <w:pStyle w:val="16"/>
              <w:ind w:firstLine="0" w:firstLineChars="0"/>
            </w:pPr>
            <w:r>
              <w:t>2.00</w:t>
            </w:r>
          </w:p>
        </w:tc>
        <w:tc>
          <w:tcPr>
            <w:tcW w:w="2381" w:type="dxa"/>
            <w:vAlign w:val="center"/>
          </w:tcPr>
          <w:p>
            <w:pPr>
              <w:pStyle w:val="16"/>
              <w:ind w:firstLine="0" w:firstLineChars="0"/>
            </w:pPr>
          </w:p>
        </w:tc>
        <w:tc>
          <w:tcPr>
            <w:tcW w:w="2381" w:type="dxa"/>
            <w:vAlign w:val="center"/>
          </w:tcPr>
          <w:p>
            <w:pPr>
              <w:pStyle w:val="16"/>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2</w:t>
            </w:r>
          </w:p>
        </w:tc>
        <w:tc>
          <w:tcPr>
            <w:tcW w:w="3798" w:type="dxa"/>
            <w:vAlign w:val="center"/>
          </w:tcPr>
          <w:p>
            <w:pPr>
              <w:pStyle w:val="13"/>
              <w:ind w:firstLine="0" w:firstLineChars="0"/>
            </w:pPr>
            <w:r>
              <w:t>“三公”经费小计</w:t>
            </w:r>
          </w:p>
        </w:tc>
        <w:tc>
          <w:tcPr>
            <w:tcW w:w="2381" w:type="dxa"/>
            <w:vAlign w:val="center"/>
          </w:tcPr>
          <w:p>
            <w:pPr>
              <w:pStyle w:val="12"/>
              <w:ind w:firstLine="0" w:firstLineChars="0"/>
            </w:pPr>
            <w:r>
              <w:t>2.00</w:t>
            </w:r>
          </w:p>
        </w:tc>
        <w:tc>
          <w:tcPr>
            <w:tcW w:w="2381" w:type="dxa"/>
            <w:vAlign w:val="center"/>
          </w:tcPr>
          <w:p>
            <w:pPr>
              <w:pStyle w:val="12"/>
              <w:ind w:firstLine="0" w:firstLineChars="0"/>
            </w:pPr>
            <w:r>
              <w:t>2.00</w:t>
            </w: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3</w:t>
            </w:r>
          </w:p>
        </w:tc>
        <w:tc>
          <w:tcPr>
            <w:tcW w:w="3798" w:type="dxa"/>
            <w:vAlign w:val="center"/>
          </w:tcPr>
          <w:p>
            <w:pPr>
              <w:pStyle w:val="13"/>
              <w:ind w:firstLine="0" w:firstLineChars="0"/>
            </w:pPr>
            <w:r>
              <w:t>一、因公出国（境）费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4</w:t>
            </w:r>
          </w:p>
        </w:tc>
        <w:tc>
          <w:tcPr>
            <w:tcW w:w="3798" w:type="dxa"/>
            <w:vAlign w:val="center"/>
          </w:tcPr>
          <w:p>
            <w:pPr>
              <w:pStyle w:val="13"/>
              <w:ind w:firstLine="0" w:firstLineChars="0"/>
            </w:pPr>
            <w:r>
              <w:t xml:space="preserve">    其中：教学科研人员因公出国（境）费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5</w:t>
            </w:r>
          </w:p>
        </w:tc>
        <w:tc>
          <w:tcPr>
            <w:tcW w:w="3798" w:type="dxa"/>
            <w:vAlign w:val="center"/>
          </w:tcPr>
          <w:p>
            <w:pPr>
              <w:pStyle w:val="13"/>
              <w:ind w:firstLine="0" w:firstLineChars="0"/>
            </w:pPr>
            <w:r>
              <w:t xml:space="preserve">          其他因公出国（境）费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6</w:t>
            </w:r>
          </w:p>
        </w:tc>
        <w:tc>
          <w:tcPr>
            <w:tcW w:w="3798" w:type="dxa"/>
            <w:vAlign w:val="center"/>
          </w:tcPr>
          <w:p>
            <w:pPr>
              <w:pStyle w:val="13"/>
              <w:ind w:firstLine="0" w:firstLineChars="0"/>
            </w:pPr>
            <w:r>
              <w:t>二、公务用车购置及运维费</w:t>
            </w:r>
          </w:p>
        </w:tc>
        <w:tc>
          <w:tcPr>
            <w:tcW w:w="2381" w:type="dxa"/>
            <w:vAlign w:val="center"/>
          </w:tcPr>
          <w:p>
            <w:pPr>
              <w:pStyle w:val="12"/>
              <w:ind w:firstLine="0" w:firstLineChars="0"/>
            </w:pPr>
            <w:r>
              <w:t>2.00</w:t>
            </w:r>
          </w:p>
        </w:tc>
        <w:tc>
          <w:tcPr>
            <w:tcW w:w="2381" w:type="dxa"/>
            <w:vAlign w:val="center"/>
          </w:tcPr>
          <w:p>
            <w:pPr>
              <w:pStyle w:val="12"/>
              <w:ind w:firstLine="0" w:firstLineChars="0"/>
            </w:pPr>
            <w:r>
              <w:t>2.00</w:t>
            </w: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7</w:t>
            </w:r>
          </w:p>
        </w:tc>
        <w:tc>
          <w:tcPr>
            <w:tcW w:w="3798" w:type="dxa"/>
            <w:vAlign w:val="center"/>
          </w:tcPr>
          <w:p>
            <w:pPr>
              <w:pStyle w:val="13"/>
              <w:ind w:firstLine="0" w:firstLineChars="0"/>
            </w:pPr>
            <w:r>
              <w:t xml:space="preserve">    其中：公务用车购置费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8</w:t>
            </w:r>
          </w:p>
        </w:tc>
        <w:tc>
          <w:tcPr>
            <w:tcW w:w="3798" w:type="dxa"/>
            <w:vAlign w:val="center"/>
          </w:tcPr>
          <w:p>
            <w:pPr>
              <w:pStyle w:val="13"/>
              <w:ind w:firstLine="0" w:firstLineChars="0"/>
            </w:pPr>
            <w:r>
              <w:t xml:space="preserve">          公务用车运行维护费</w:t>
            </w:r>
          </w:p>
        </w:tc>
        <w:tc>
          <w:tcPr>
            <w:tcW w:w="2381" w:type="dxa"/>
            <w:vAlign w:val="center"/>
          </w:tcPr>
          <w:p>
            <w:pPr>
              <w:pStyle w:val="12"/>
              <w:ind w:firstLine="0" w:firstLineChars="0"/>
            </w:pPr>
            <w:r>
              <w:t>2.00</w:t>
            </w:r>
          </w:p>
        </w:tc>
        <w:tc>
          <w:tcPr>
            <w:tcW w:w="2381" w:type="dxa"/>
            <w:vAlign w:val="center"/>
          </w:tcPr>
          <w:p>
            <w:pPr>
              <w:pStyle w:val="12"/>
              <w:ind w:firstLine="0" w:firstLineChars="0"/>
            </w:pPr>
            <w:r>
              <w:t>2.00</w:t>
            </w:r>
          </w:p>
        </w:tc>
        <w:tc>
          <w:tcPr>
            <w:tcW w:w="2381" w:type="dxa"/>
            <w:vAlign w:val="center"/>
          </w:tcPr>
          <w:p>
            <w:pPr>
              <w:pStyle w:val="12"/>
              <w:ind w:firstLine="0" w:firstLineChars="0"/>
            </w:pPr>
          </w:p>
        </w:tc>
        <w:tc>
          <w:tcPr>
            <w:tcW w:w="2381"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9</w:t>
            </w:r>
          </w:p>
        </w:tc>
        <w:tc>
          <w:tcPr>
            <w:tcW w:w="3798" w:type="dxa"/>
            <w:vAlign w:val="center"/>
          </w:tcPr>
          <w:p>
            <w:pPr>
              <w:pStyle w:val="13"/>
              <w:ind w:firstLine="0" w:firstLineChars="0"/>
            </w:pPr>
            <w:r>
              <w:t>三、公务接待费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ind w:firstLine="0" w:firstLineChars="0"/>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石家庄市井陉矿区住房和城乡建设局2026年部门预算信息公开情况说明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石家庄市井陉矿区住房和城乡建设局2026年部门预算信息公开情况说明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按照《中华人民共和国预算法》、《地方预决算公开操作规程》和《关于进一步推进预算公开工作的实施意见》规定，现将石家庄市井陉矿区住房和城乡建设局2026年部门预算公开如下：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pStyle w:val="18"/>
      </w:pPr>
      <w:r>
        <w:t>(2)拟订城镇住房保障相关规范性文件并组织实施；组织编制、实施城镇住房保障发展规划和年度计划；负责房改房、经济适用住房出售工作；会同有关部门做好中央和省、市、区保障性安居工程资金安排并监督实施。</w:t>
      </w:r>
    </w:p>
    <w:p>
      <w:pPr>
        <w:pStyle w:val="18"/>
      </w:pPr>
      <w:r>
        <w:t>(3)负责推进住房制度改革。结合市住房政策拟订符合区情的住房政策，指导住房建设，推动住房制度改革；拟订住房建设发展规划并组织实施。</w:t>
      </w:r>
    </w:p>
    <w:p>
      <w:pPr>
        <w:pStyle w:val="18"/>
      </w:pPr>
      <w:r>
        <w:t>(4)负责全区房地产市场的监督管理。会同有关部门拟订房地产市场调控规范性文件并监督执行；拟订房地产业行业发展规划、产业规范性文件，制定房地产开发、房屋交易、房屋租赁、房地产估价与经纪管理的规章制度并监督实施。</w:t>
      </w:r>
    </w:p>
    <w:p>
      <w:pPr>
        <w:pStyle w:val="18"/>
      </w:pPr>
      <w:r>
        <w:t>(5)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范，收集发布工程材料、人工、机械设备使用等市场价格信息。</w:t>
      </w:r>
    </w:p>
    <w:p>
      <w:pPr>
        <w:pStyle w:val="18"/>
      </w:pPr>
      <w:r>
        <w:t>(6)统筹编制城区市政基础设施建设中长期发展规划，会同有关部门拟订本级城建计划并组织实施；负责组织实施区政府安排的市政基础设施建设工作（包括城市路网的新建、改建、扩建工程）。</w:t>
      </w:r>
    </w:p>
    <w:p>
      <w:pPr>
        <w:pStyle w:val="18"/>
      </w:pPr>
      <w:r>
        <w:t>(7)指导推进新型城镇化（国家新型城镇化综合试点）和县城建设工作。</w:t>
      </w:r>
    </w:p>
    <w:p>
      <w:pPr>
        <w:pStyle w:val="18"/>
      </w:pPr>
      <w:r>
        <w:t>(8)指导村镇建设工作。指导各乡镇和村庄建设，指导乡村建筑风貌管控；指导农村住房建设、住房安全及危房改造；指导重点镇和特色小城镇建设工作；指导历史文化名城（镇、村）保护工作。</w:t>
      </w:r>
    </w:p>
    <w:p>
      <w:pPr>
        <w:pStyle w:val="18"/>
      </w:pPr>
      <w:r>
        <w:t>(9)负责建筑工程质量安全监督。监督实施建筑工程质量、施工安全、竣工验收政策和规章制度；组织实施工程建设实施阶段的国家标准及国家统一的行业标准；组织或参与工程质量、安全事故的调查处理。</w:t>
      </w:r>
    </w:p>
    <w:p>
      <w:pPr>
        <w:pStyle w:val="18"/>
      </w:pPr>
      <w:r>
        <w:t>(10)负责推进建筑节能工作。贯彻落实建设行业科技、装配式建筑、绿色建筑发展规划和建筑节能管理制度；负责全区建筑节能减排、绿色建筑发展、墙体材料革新、既有居住建筑节能改造、可再生能源利用等工作。</w:t>
      </w:r>
    </w:p>
    <w:p>
      <w:pPr>
        <w:pStyle w:val="18"/>
      </w:pPr>
      <w:r>
        <w:t>(11)拟订物业行业发展规划并组织实施;拟订物业行业管理办法，负责监督管理住宅专项维修资金的归集、使用工作；负责前期物业管理招投标备案及过程监管工作；负责全区老旧住宅小区整治工作和住宅室内装饰装修工作。</w:t>
      </w:r>
    </w:p>
    <w:p>
      <w:pPr>
        <w:pStyle w:val="18"/>
      </w:pPr>
      <w:r>
        <w:t>(12)负责贯彻落实国有土地上房屋征收、城市危房管理政策并组织实施；拟订区国有土地上房屋征收计划，负责区级房屋征收工作；负责城市危房管理和城市危房鉴定工作；负责拟订区棚户区改造规划、年度计划，制定区棚户区改造方案并贯彻实施；完成区政府交办的“城中村”改造相关工作。</w:t>
      </w:r>
    </w:p>
    <w:p>
      <w:pPr>
        <w:pStyle w:val="18"/>
      </w:pPr>
      <w:r>
        <w:t>(13)拟订地下综合管廊中长期建设计划，制定地下综合管廊运营、维护管理办法和配套政策；监督综合管廊运营和维护管理工作。</w:t>
      </w:r>
    </w:p>
    <w:p>
      <w:pPr>
        <w:pStyle w:val="18"/>
      </w:pPr>
      <w:r>
        <w:t>(14)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8"/>
      </w:pPr>
      <w:r>
        <w:t>(15)承担城市更新、韧性城市发展规划、年度计划的前期调研、分析和论证等事务性工作；负责城市体检,城市老旧设施改造,以及城市生态修复和功能完善、历史文化建筑保护利用等城市更新技术服务工作;为制定基金政策目标、发展规划、基金投资重点和投资方向、建立城市更新项目储备库等工作提供支持保障;负责城区房屋征收等相关事务性工作;负责为全区发展住房租赁市场提供相关专业技术服务保障等工作。</w:t>
      </w:r>
    </w:p>
    <w:p>
      <w:pPr>
        <w:pStyle w:val="18"/>
      </w:pPr>
      <w:r>
        <w:t>(16)负责住房和城乡建设行业人才队伍建设。</w:t>
      </w:r>
    </w:p>
    <w:p>
      <w:pPr>
        <w:pStyle w:val="18"/>
      </w:pPr>
      <w:r>
        <w:t>(17)负责各类房屋建筑及其附属设施和城市市政设施建设工程的抗震设防监督管理。</w:t>
      </w:r>
    </w:p>
    <w:p>
      <w:pPr>
        <w:pStyle w:val="18"/>
      </w:pPr>
      <w:r>
        <w:t>(18)负责城市建设档案监督管理工作。</w:t>
      </w:r>
    </w:p>
    <w:p>
      <w:pPr>
        <w:pStyle w:val="18"/>
      </w:pPr>
      <w:r>
        <w:t>(19)会同有关部门做好支油、支铁建设协调工作。</w:t>
      </w:r>
    </w:p>
    <w:p>
      <w:pPr>
        <w:pStyle w:val="18"/>
      </w:pPr>
      <w:r>
        <w:t>(20)负责直管公有住房的资产、售房款和售后维修资金的管理工作。</w:t>
      </w:r>
    </w:p>
    <w:p>
      <w:pPr>
        <w:pStyle w:val="18"/>
      </w:pPr>
      <w:r>
        <w:t>(21)会同有关部门，做好城市建设行业涉及本部门的相关专业规划的编制和实施工作。</w:t>
      </w:r>
    </w:p>
    <w:p>
      <w:pPr>
        <w:pStyle w:val="18"/>
      </w:pPr>
      <w:r>
        <w:t>(22)负责住房城乡建设行业信息采集、整理、统计、分析、发布等工作。</w:t>
      </w:r>
    </w:p>
    <w:p>
      <w:pPr>
        <w:pStyle w:val="18"/>
      </w:pPr>
      <w:r>
        <w:t>(23)完成区委、区政府交办的其他任务。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石家庄市井陉矿区住房和城乡建设局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石家庄市井陉矿区房地产管理所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石家庄市井陉矿区建筑工程质量监督站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石家庄市井陉矿区城市更新促进中心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按照预算管理有关规定，目前部门预算的编制实行综合预算管理，即全部收入和支出都反映在预算中。石家庄市井陉矿区住房和城乡建设局机关及所属事业单位的收支包含在部门预算中。</w:t>
      </w:r>
    </w:p>
    <w:p>
      <w:pPr>
        <w:pStyle w:val="19"/>
      </w:pPr>
      <w:r>
        <w:t>1、收入说明</w:t>
      </w:r>
    </w:p>
    <w:p>
      <w:pPr>
        <w:pStyle w:val="19"/>
      </w:pPr>
      <w:r>
        <w:t>反映本部门当年全部收入。2026年预算收入7458.68万元，其中：一般公共预算收入7191.82万元，基金预算收入0.00万元，国有资本经营预算收入0.00万元，财政专户核拨收入0.00万元，单位资金收入0.00万元，上年结转结余266.86万元。</w:t>
      </w:r>
    </w:p>
    <w:p>
      <w:pPr>
        <w:pStyle w:val="19"/>
      </w:pPr>
      <w:r>
        <w:t>2、支出说明</w:t>
      </w:r>
    </w:p>
    <w:p>
      <w:pPr>
        <w:pStyle w:val="19"/>
      </w:pPr>
      <w:r>
        <w:t>收支预算总表支出栏、基本支出表、项目支出表按经济分类和支出功能分类科目编制，反映石家庄市井陉矿区住房和城乡建设局年度部门预算中支出预算的总体情况。2026年支出预算7458.68万元，其中基本支出914.85万元，包括人员经费885.39万元和日常公用经费29.46万元；项目支出6543.83万元，主要为住建局劳务外包费用、横南棚户区改造项目贷款本息、康盛二街拆迁安置费、网络运行经费、建筑工地扬尘监控平台宽带网光纤、政务外网视频平台服务费、监控管理平台系统维护服务、云视频系统移动终端年费、石家庄市井陉矿区采煤沉陷区横涧乡片区一期避险搬迁安置项目（井陉矿区横涧乡天户避险搬迁1#安置楼及配套设施项目）、石家庄市井陉矿区采煤沉陷区横涧乡片区一期避险搬迁安置项目（井陉矿区横涧乡横西避险搬迁2-5#安置楼项目）等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7458.68万元，较2025年预算减少4176.06万元，其中：基本支出增加176.22万元，主要为2026年增加区城市更新促进中心事业单位，事业人员6名；住建局增加公务人员2名；房管所增加事业人员1名，晋级晋档工资调整故人员经费增加。项目支出减少4352.28万元，主要为减少了中东王舍避险搬迁道路整治工程西岗街EPC项目、新西村中路地下管网及配套设施提升工程EPC总承包费用、天护新城棚户区改造项目贷款本息。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2026年，我部门机关运行经费共计安排29.46万元，主要用于日常维修、办公用房水电费、办公用房取暖费、办公用房物业管理费等日常运行支出。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1"/>
      </w:pPr>
      <w:r>
        <w:t>202</w:t>
      </w:r>
      <w:r>
        <w:rPr>
          <w:rFonts w:hint="eastAsia"/>
          <w:lang w:val="en-US" w:eastAsia="zh-CN"/>
        </w:rPr>
        <w:t>6</w:t>
      </w:r>
      <w:r>
        <w:t>年，我部门财政拨款“三公”经费预算安排2.00万元，其中因公出国（境）费0.00万元；公务用车购置及运维费2.00万元（其中：公务用车购置费为0.00万元，公务用车运维费2.00万元)；公务接待费0.00万元。与202</w:t>
      </w:r>
      <w:r>
        <w:rPr>
          <w:rFonts w:hint="eastAsia"/>
          <w:lang w:val="en-US" w:eastAsia="zh-CN"/>
        </w:rPr>
        <w:t>5</w:t>
      </w:r>
      <w:r>
        <w:t>年相比</w:t>
      </w:r>
      <w:r>
        <w:rPr>
          <w:rFonts w:hint="eastAsia"/>
          <w:lang w:eastAsia="zh-CN"/>
        </w:rPr>
        <w:t>持平</w:t>
      </w:r>
      <w:r>
        <w:t>，增减变化的主要原因是202</w:t>
      </w:r>
      <w:r>
        <w:rPr>
          <w:rFonts w:hint="eastAsia"/>
          <w:lang w:val="en-US" w:eastAsia="zh-CN"/>
        </w:rPr>
        <w:t>6</w:t>
      </w:r>
      <w:r>
        <w:t>年“三公”经费预算安排2万元，与202</w:t>
      </w:r>
      <w:r>
        <w:rPr>
          <w:rFonts w:hint="eastAsia"/>
          <w:lang w:val="en-US" w:eastAsia="zh-CN"/>
        </w:rPr>
        <w:t>5</w:t>
      </w:r>
      <w:r>
        <w:t>年预算安排数持平。</w:t>
      </w:r>
    </w:p>
    <w:p>
      <w:pPr>
        <w:numPr>
          <w:numId w:val="0"/>
        </w:numPr>
        <w:spacing w:before="10" w:after="10" w:line="360" w:lineRule="auto"/>
        <w:jc w:val="left"/>
        <w:outlineLvl w:val="2"/>
        <w:rPr>
          <w:rFonts w:ascii="黑体" w:hAnsi="黑体" w:eastAsia="黑体" w:cs="黑体"/>
          <w:color w:val="000000"/>
          <w:sz w:val="32"/>
        </w:rPr>
      </w:pP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全面贯彻党的二十大和中央经济工作会议精神，认真落实省委、市委及区委全会、经济工作会议各项部署要求，牢牢把握稳中求进工作总基调，完整、准确、全面贯彻新发展理念。切实提高政治站位，持续锤炼能力素质，不断强化责任担当，以高质量发展统揽住房城乡建设全局，以精致精美矿区建设为引领，紧紧锚定住房保障、棚户区改造、市政基础设施建设、工程质量安全监管核心任务，高效推进重点项目落地见效，全力破解民生领域堵点难点问题，纵深推进建筑市场、房地产市场规范整治与提质增效，全面提升城乡建设管理服务水平，着力推动矿区住建事业上台阶、提品质、惠民生，奋力打造宜居宜业、精致精美的现代化新矿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产出指标：</w:t>
      </w:r>
    </w:p>
    <w:p>
      <w:pPr>
        <w:pStyle w:val="23"/>
      </w:pPr>
      <w:r>
        <w:rPr>
          <w:rFonts w:hint="eastAsia"/>
          <w:lang w:eastAsia="zh-CN"/>
        </w:rPr>
        <w:t>（</w:t>
      </w:r>
      <w:r>
        <w:rPr>
          <w:rFonts w:hint="eastAsia"/>
          <w:lang w:val="en-US" w:eastAsia="zh-CN"/>
        </w:rPr>
        <w:t>1）</w:t>
      </w:r>
      <w:r>
        <w:t>重点项目建设指标</w:t>
      </w:r>
    </w:p>
    <w:p>
      <w:pPr>
        <w:pStyle w:val="23"/>
      </w:pPr>
      <w:r>
        <w:t>坚持以高质量建设提升城市品质为引领，紧盯棚户区改造、市政管网等重点基础设施建设项目，按期推进项目开工、建设、竣工全流程管控，确保项目序时进度达标、建设规范有序，全面完成年度重点城建项目实施任务，强力保障矿区基础设施提档升级。</w:t>
      </w:r>
    </w:p>
    <w:p>
      <w:pPr>
        <w:pStyle w:val="23"/>
      </w:pPr>
      <w:r>
        <w:rPr>
          <w:rFonts w:hint="eastAsia"/>
          <w:lang w:eastAsia="zh-CN"/>
        </w:rPr>
        <w:t>（</w:t>
      </w:r>
      <w:r>
        <w:rPr>
          <w:rFonts w:hint="eastAsia"/>
          <w:lang w:val="en-US" w:eastAsia="zh-CN"/>
        </w:rPr>
        <w:t>2）</w:t>
      </w:r>
      <w:r>
        <w:t>住房保障服务指标</w:t>
      </w:r>
    </w:p>
    <w:p>
      <w:pPr>
        <w:pStyle w:val="23"/>
      </w:pPr>
      <w:r>
        <w:t>严格落实住房保障各项政策要求，规范保障性住房分配、管理及补贴发放工作，做到应保尽保、流程合规、发放及时，持续完善矿区住房保障体系，切实解决困难群众住房需求，不断夯实民生安居保障基础。</w:t>
      </w:r>
    </w:p>
    <w:p>
      <w:pPr>
        <w:pStyle w:val="23"/>
      </w:pPr>
      <w:r>
        <w:t>（</w:t>
      </w:r>
      <w:r>
        <w:rPr>
          <w:rFonts w:hint="eastAsia"/>
          <w:lang w:val="en-US" w:eastAsia="zh-CN"/>
        </w:rPr>
        <w:t>3</w:t>
      </w:r>
      <w:r>
        <w:t>）行业监管执法指标</w:t>
      </w:r>
    </w:p>
    <w:p>
      <w:pPr>
        <w:pStyle w:val="23"/>
      </w:pPr>
      <w:r>
        <w:t>持续深入推进建筑市场、房地产市场清理规范工作，强化建筑工程质量、施工安全、扬尘治理、消防验收全过程监管，加大市场乱象排查整治力度，健全监管台账与闭环管理机制，严守行业发展安全底线，维护建筑与房地产市场平稳有序运行。</w:t>
      </w:r>
    </w:p>
    <w:p>
      <w:pPr>
        <w:pStyle w:val="23"/>
      </w:pPr>
      <w:r>
        <w:t>（</w:t>
      </w:r>
      <w:r>
        <w:rPr>
          <w:rFonts w:hint="eastAsia"/>
          <w:lang w:val="en-US" w:eastAsia="zh-CN"/>
        </w:rPr>
        <w:t>4</w:t>
      </w:r>
      <w:r>
        <w:t>）市政设施运维指标</w:t>
      </w:r>
    </w:p>
    <w:p>
      <w:pPr>
        <w:pStyle w:val="23"/>
      </w:pPr>
      <w:r>
        <w:t>统筹做好城区雨污管网等市政公用设施日常巡检、维修养护与提质改造，保障市政设施完好率、巡检覆盖率达标，提升市政服务保障能力，为矿区生产生活提供稳定可靠的设施支撑。</w:t>
      </w:r>
    </w:p>
    <w:p>
      <w:pPr>
        <w:pStyle w:val="23"/>
      </w:pPr>
      <w:r>
        <w:t>（</w:t>
      </w:r>
      <w:r>
        <w:rPr>
          <w:rFonts w:hint="eastAsia"/>
          <w:lang w:val="en-US" w:eastAsia="zh-CN"/>
        </w:rPr>
        <w:t>5</w:t>
      </w:r>
      <w:r>
        <w:t>）政务服务效能指标</w:t>
      </w:r>
    </w:p>
    <w:p>
      <w:pPr>
        <w:pStyle w:val="23"/>
      </w:pPr>
      <w:r>
        <w:t>优化住建领域行政审批、便民服务流程，压缩办理时限，严格执行限时办结、一次性告知制度，确保行政许可、备案、验收等事项高效规范办理，持续优化营商环境，提升政务服务标准化、便利化水平。</w:t>
      </w:r>
    </w:p>
    <w:p>
      <w:pPr>
        <w:pStyle w:val="23"/>
      </w:pPr>
    </w:p>
    <w:p>
      <w:pPr>
        <w:pStyle w:val="23"/>
      </w:pPr>
      <w:r>
        <w:t>效益指标：</w:t>
      </w:r>
    </w:p>
    <w:p>
      <w:pPr>
        <w:pStyle w:val="23"/>
      </w:pPr>
      <w:r>
        <w:t>（</w:t>
      </w:r>
      <w:r>
        <w:rPr>
          <w:rFonts w:hint="eastAsia"/>
          <w:lang w:val="en-US" w:eastAsia="zh-CN"/>
        </w:rPr>
        <w:t>1</w:t>
      </w:r>
      <w:r>
        <w:t>）社会效益指标</w:t>
      </w:r>
    </w:p>
    <w:p>
      <w:pPr>
        <w:pStyle w:val="23"/>
      </w:pPr>
      <w:r>
        <w:t>通过重点项目建设、住房保障提质、市政设施完善、行业秩序规范，全面改善矿区城乡面貌与居住环境，切实解决群众急难愁盼问题，增强居民获得感、幸福感、安全感，助力矿区社会和谐稳定、城市功能持续完善。</w:t>
      </w:r>
    </w:p>
    <w:p>
      <w:pPr>
        <w:pStyle w:val="23"/>
      </w:pPr>
      <w:r>
        <w:t>（</w:t>
      </w:r>
      <w:r>
        <w:rPr>
          <w:rFonts w:hint="eastAsia"/>
          <w:lang w:val="en-US" w:eastAsia="zh-CN"/>
        </w:rPr>
        <w:t>2</w:t>
      </w:r>
      <w:r>
        <w:t>）生态效益指标</w:t>
      </w:r>
    </w:p>
    <w:p>
      <w:pPr>
        <w:pStyle w:val="23"/>
      </w:pPr>
      <w:r>
        <w:t>贯彻新发展理念，推进建筑节能、绿色建材应用、雨污分流改造、施工扬尘管控等工作，降低城乡建设领域能耗与污染排放，推动绿色低碳发展，提升矿区生态宜居水平，助力精致精美矿区生态建设。</w:t>
      </w:r>
    </w:p>
    <w:p>
      <w:pPr>
        <w:pStyle w:val="23"/>
      </w:pPr>
      <w:r>
        <w:t>（</w:t>
      </w:r>
      <w:r>
        <w:rPr>
          <w:rFonts w:hint="eastAsia"/>
          <w:lang w:val="en-US" w:eastAsia="zh-CN"/>
        </w:rPr>
        <w:t>3</w:t>
      </w:r>
      <w:r>
        <w:t>）经济效益指标</w:t>
      </w:r>
    </w:p>
    <w:p>
      <w:pPr>
        <w:pStyle w:val="23"/>
      </w:pPr>
      <w:r>
        <w:t>规范建设市场秩序，防范化解行业风险，保障城建项目落地见效，带动矿区相关产业协同发展，提升市政设施运维效益，以高效能住建管理服务，为区域经济平稳健康发展提供坚实支撑。</w:t>
      </w:r>
    </w:p>
    <w:p>
      <w:pPr>
        <w:pStyle w:val="23"/>
      </w:pPr>
      <w:r>
        <w:t>（</w:t>
      </w:r>
      <w:r>
        <w:rPr>
          <w:rFonts w:hint="eastAsia"/>
          <w:lang w:val="en-US" w:eastAsia="zh-CN"/>
        </w:rPr>
        <w:t>4</w:t>
      </w:r>
      <w:r>
        <w:t>）可持续发展指标</w:t>
      </w:r>
    </w:p>
    <w:p>
      <w:pPr>
        <w:pStyle w:val="23"/>
      </w:pPr>
      <w:r>
        <w:t>健全城乡建设长效管理机制、工程质量终身责任制、市政设施运维责任制，强化队伍能力素质与责任担当，推动住建工作制度化、规范化、长效化，为矿区城乡建设持续高质量发展奠定坚实基础。</w:t>
      </w:r>
    </w:p>
    <w:p>
      <w:pPr>
        <w:pStyle w:val="23"/>
      </w:pPr>
    </w:p>
    <w:p>
      <w:pPr>
        <w:pStyle w:val="23"/>
      </w:pPr>
      <w:r>
        <w:t>满意度指标：</w:t>
      </w:r>
    </w:p>
    <w:p>
      <w:pPr>
        <w:pStyle w:val="23"/>
      </w:pPr>
      <w:r>
        <w:t>面向服务企业、辖区居民开展满意度评价工作，聚焦住房保障、项目建设、市政服务、市场监管等重点工作，确保群众与企业综合满意度达到年度目标要求，投诉建议及时受理、高效办结、全程回访，不断提升住建工作认可度与好评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蓝图绘就，重在落实。各部门要认真贯彻落实部署要求，聚焦聚力各项任务目标，全面营造比学赶超、奋勇争先、接续奋斗、再创佳绩的浓厚氛围，奋力推进城市建设工作再上新台阶。</w:t>
      </w:r>
    </w:p>
    <w:p>
      <w:pPr>
        <w:pStyle w:val="24"/>
      </w:pPr>
      <w:r>
        <w:t>（</w:t>
      </w:r>
      <w:r>
        <w:rPr>
          <w:rFonts w:hint="eastAsia"/>
          <w:lang w:val="en-US" w:eastAsia="zh-CN"/>
        </w:rPr>
        <w:t>1</w:t>
      </w:r>
      <w:r>
        <w:t>）成立组织机构。成立由局长任组长，各副局长任副组长，各股室负责人为成员的2026年度住建工作领导小组，全面负责全局各项重点工作的统筹协调和规定，研究解决各项工作中遇到的问题，保障各项工作顺利推进。</w:t>
      </w:r>
    </w:p>
    <w:p>
      <w:pPr>
        <w:pStyle w:val="24"/>
      </w:pPr>
      <w:r>
        <w:t>（</w:t>
      </w:r>
      <w:r>
        <w:rPr>
          <w:rFonts w:hint="eastAsia"/>
          <w:lang w:val="en-US" w:eastAsia="zh-CN"/>
        </w:rPr>
        <w:t>2</w:t>
      </w:r>
      <w:r>
        <w:t>）细化目标责任。各股室要对照各自的工作任务逐项、逐条进行细化量化，明确承办人员、工作标准和完成时限，确保任务到人、责任到人、奖惩到人，真正形成抢先干、动真干、加压干的良好局面。</w:t>
      </w:r>
    </w:p>
    <w:p>
      <w:pPr>
        <w:pStyle w:val="24"/>
      </w:pPr>
      <w:r>
        <w:t>（</w:t>
      </w:r>
      <w:r>
        <w:rPr>
          <w:rFonts w:hint="eastAsia"/>
          <w:lang w:val="en-US" w:eastAsia="zh-CN"/>
        </w:rPr>
        <w:t>3</w:t>
      </w:r>
      <w:r>
        <w:t>）加强协调调度。实行周调度、月通报制度，定期对工作进展情况进行调度和通报，不定期召开督导协调会，及时协调解决工作中出现的问题。实行全程督查，追踪问效，切实提速落实过程，提高工作质量，各股室每周五上午将承担重点工作的进展情况报局办公室汇总。</w:t>
      </w:r>
    </w:p>
    <w:p>
      <w:pPr>
        <w:pStyle w:val="24"/>
        <w:sectPr>
          <w:pgSz w:w="16840" w:h="11900" w:orient="landscape"/>
          <w:pgMar w:top="1361" w:right="1020" w:bottom="1361" w:left="1020" w:header="720" w:footer="720" w:gutter="0"/>
        </w:sectPr>
      </w:pPr>
      <w:r>
        <w:t>（</w:t>
      </w:r>
      <w:r>
        <w:rPr>
          <w:rFonts w:hint="eastAsia"/>
          <w:lang w:val="en-US" w:eastAsia="zh-CN"/>
        </w:rPr>
        <w:t>4</w:t>
      </w:r>
      <w:r>
        <w:t xml:space="preserve">）严格考核奖惩。将该项工作列入我局年终目标考核，年终根据各项工作任务完成情况，对各股室工作进行考核、排队，对先进的科室进行表彰奖励，对不能按时完成任务的予以严肃处理，营造奖优罚劣的浓厚氛围。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13010726P00021010382H</w:t>
            </w:r>
          </w:p>
        </w:tc>
        <w:tc>
          <w:tcPr>
            <w:tcW w:w="2835" w:type="dxa"/>
            <w:vAlign w:val="center"/>
          </w:tcPr>
          <w:p>
            <w:pPr>
              <w:pStyle w:val="11"/>
            </w:pPr>
            <w:r>
              <w:t>项目名称</w:t>
            </w:r>
          </w:p>
        </w:tc>
        <w:tc>
          <w:tcPr>
            <w:tcW w:w="6095" w:type="dxa"/>
            <w:gridSpan w:val="3"/>
            <w:vAlign w:val="center"/>
          </w:tcPr>
          <w:p>
            <w:pPr>
              <w:pStyle w:val="13"/>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5.42</w:t>
            </w:r>
          </w:p>
        </w:tc>
        <w:tc>
          <w:tcPr>
            <w:tcW w:w="2835" w:type="dxa"/>
            <w:vAlign w:val="center"/>
          </w:tcPr>
          <w:p>
            <w:pPr>
              <w:pStyle w:val="11"/>
            </w:pPr>
            <w:r>
              <w:t>其中：财政    资金</w:t>
            </w:r>
          </w:p>
        </w:tc>
        <w:tc>
          <w:tcPr>
            <w:tcW w:w="2551" w:type="dxa"/>
            <w:vAlign w:val="center"/>
          </w:tcPr>
          <w:p>
            <w:pPr>
              <w:pStyle w:val="13"/>
            </w:pPr>
            <w:r>
              <w:t>5.42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用于死亡人员抚恤金及丧葬费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5.42</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1.按照文件要求发放1名死亡人员一次性抚恤金及丧葬费。</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补贴人数</w:t>
            </w:r>
          </w:p>
        </w:tc>
        <w:tc>
          <w:tcPr>
            <w:tcW w:w="2268" w:type="dxa"/>
            <w:vAlign w:val="center"/>
          </w:tcPr>
          <w:p>
            <w:pPr>
              <w:pStyle w:val="13"/>
            </w:pPr>
            <w:r>
              <w:t>≥1人</w:t>
            </w:r>
          </w:p>
        </w:tc>
        <w:tc>
          <w:tcPr>
            <w:tcW w:w="1276" w:type="dxa"/>
            <w:vAlign w:val="center"/>
          </w:tcPr>
          <w:p>
            <w:pPr>
              <w:pStyle w:val="13"/>
            </w:pPr>
            <w:r>
              <w:t>人社局批示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丧葬费抚恤金标准执行率</w:t>
            </w:r>
          </w:p>
        </w:tc>
        <w:tc>
          <w:tcPr>
            <w:tcW w:w="5386" w:type="dxa"/>
            <w:vAlign w:val="center"/>
          </w:tcPr>
          <w:p>
            <w:pPr>
              <w:pStyle w:val="13"/>
            </w:pPr>
            <w:r>
              <w:t>丧葬费抚恤金标准执行率</w:t>
            </w:r>
          </w:p>
        </w:tc>
        <w:tc>
          <w:tcPr>
            <w:tcW w:w="2268" w:type="dxa"/>
            <w:vAlign w:val="center"/>
          </w:tcPr>
          <w:p>
            <w:pPr>
              <w:pStyle w:val="13"/>
            </w:pPr>
            <w:r>
              <w:t>≥100%</w:t>
            </w:r>
          </w:p>
        </w:tc>
        <w:tc>
          <w:tcPr>
            <w:tcW w:w="1276" w:type="dxa"/>
            <w:vAlign w:val="center"/>
          </w:tcPr>
          <w:p>
            <w:pPr>
              <w:pStyle w:val="13"/>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一次性抚恤金丧葬费发放完成时间</w:t>
            </w:r>
          </w:p>
        </w:tc>
        <w:tc>
          <w:tcPr>
            <w:tcW w:w="5386" w:type="dxa"/>
            <w:vAlign w:val="center"/>
          </w:tcPr>
          <w:p>
            <w:pPr>
              <w:pStyle w:val="13"/>
            </w:pPr>
            <w:r>
              <w:t>一次性抚恤金丧葬费发放完成时间</w:t>
            </w:r>
          </w:p>
        </w:tc>
        <w:tc>
          <w:tcPr>
            <w:tcW w:w="2268" w:type="dxa"/>
            <w:vAlign w:val="center"/>
          </w:tcPr>
          <w:p>
            <w:pPr>
              <w:pStyle w:val="13"/>
              <w:rPr>
                <w:rFonts w:hint="eastAsia" w:eastAsia="方正书宋_GBK"/>
                <w:lang w:eastAsia="zh-CN"/>
              </w:rPr>
            </w:pPr>
            <w:r>
              <w:t>202</w:t>
            </w:r>
            <w:r>
              <w:rPr>
                <w:rFonts w:hint="eastAsia"/>
                <w:lang w:val="en-US" w:eastAsia="zh-CN"/>
              </w:rPr>
              <w:t>6</w:t>
            </w:r>
            <w:r>
              <w:t>年</w:t>
            </w:r>
            <w:r>
              <w:rPr>
                <w:rFonts w:hint="eastAsia"/>
                <w:lang w:val="en-US" w:eastAsia="zh-CN"/>
              </w:rPr>
              <w:t>6月前</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丧葬费标准</w:t>
            </w:r>
          </w:p>
        </w:tc>
        <w:tc>
          <w:tcPr>
            <w:tcW w:w="5386" w:type="dxa"/>
            <w:vAlign w:val="center"/>
          </w:tcPr>
          <w:p>
            <w:pPr>
              <w:pStyle w:val="13"/>
            </w:pPr>
            <w:r>
              <w:t>丧葬费标准</w:t>
            </w:r>
          </w:p>
        </w:tc>
        <w:tc>
          <w:tcPr>
            <w:tcW w:w="2268" w:type="dxa"/>
            <w:vAlign w:val="center"/>
          </w:tcPr>
          <w:p>
            <w:pPr>
              <w:pStyle w:val="13"/>
            </w:pPr>
            <w:r>
              <w:t>≤0.31万元</w:t>
            </w:r>
          </w:p>
        </w:tc>
        <w:tc>
          <w:tcPr>
            <w:tcW w:w="1276" w:type="dxa"/>
            <w:vAlign w:val="center"/>
          </w:tcPr>
          <w:p>
            <w:pPr>
              <w:pStyle w:val="13"/>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一次性抚恤金</w:t>
            </w:r>
          </w:p>
        </w:tc>
        <w:tc>
          <w:tcPr>
            <w:tcW w:w="5386" w:type="dxa"/>
            <w:vAlign w:val="center"/>
          </w:tcPr>
          <w:p>
            <w:pPr>
              <w:pStyle w:val="13"/>
            </w:pPr>
            <w:r>
              <w:t>月退休费+基本养老金2553.68*20个月</w:t>
            </w:r>
          </w:p>
        </w:tc>
        <w:tc>
          <w:tcPr>
            <w:tcW w:w="2268" w:type="dxa"/>
            <w:vAlign w:val="center"/>
          </w:tcPr>
          <w:p>
            <w:pPr>
              <w:pStyle w:val="13"/>
            </w:pPr>
            <w:r>
              <w:t>≤5</w:t>
            </w:r>
            <w:r>
              <w:rPr>
                <w:rFonts w:hint="eastAsia"/>
                <w:lang w:val="en-US" w:eastAsia="zh-CN"/>
              </w:rPr>
              <w:t>.</w:t>
            </w:r>
            <w:r>
              <w:t>10736</w:t>
            </w:r>
            <w:r>
              <w:rPr>
                <w:rFonts w:hint="eastAsia"/>
                <w:lang w:eastAsia="zh-CN"/>
              </w:rPr>
              <w:t>万</w:t>
            </w:r>
            <w:r>
              <w:t>元</w:t>
            </w:r>
          </w:p>
        </w:tc>
        <w:tc>
          <w:tcPr>
            <w:tcW w:w="1276" w:type="dxa"/>
            <w:vAlign w:val="center"/>
          </w:tcPr>
          <w:p>
            <w:pPr>
              <w:pStyle w:val="13"/>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落实死亡人员一次性抚恤金及丧葬费</w:t>
            </w:r>
          </w:p>
        </w:tc>
        <w:tc>
          <w:tcPr>
            <w:tcW w:w="5386" w:type="dxa"/>
            <w:vAlign w:val="center"/>
          </w:tcPr>
          <w:p>
            <w:pPr>
              <w:pStyle w:val="13"/>
            </w:pPr>
            <w:r>
              <w:t>落实死亡人员一次性抚恤金及丧葬费</w:t>
            </w:r>
          </w:p>
        </w:tc>
        <w:tc>
          <w:tcPr>
            <w:tcW w:w="2268" w:type="dxa"/>
            <w:vAlign w:val="center"/>
          </w:tcPr>
          <w:p>
            <w:pPr>
              <w:pStyle w:val="13"/>
            </w:pPr>
            <w:r>
              <w:t>已落实</w:t>
            </w:r>
          </w:p>
        </w:tc>
        <w:tc>
          <w:tcPr>
            <w:tcW w:w="1276" w:type="dxa"/>
            <w:vAlign w:val="center"/>
          </w:tcPr>
          <w:p>
            <w:pPr>
              <w:pStyle w:val="13"/>
            </w:pPr>
            <w:r>
              <w:t>预算指标调整审批卡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家属对单位的满意度</w:t>
            </w:r>
          </w:p>
        </w:tc>
        <w:tc>
          <w:tcPr>
            <w:tcW w:w="5386" w:type="dxa"/>
            <w:vAlign w:val="center"/>
          </w:tcPr>
          <w:p>
            <w:pPr>
              <w:pStyle w:val="13"/>
            </w:pPr>
            <w:r>
              <w:t>家属对单位的满意度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2、关于提前下达2026年省级城镇保障性安居工程补助资金预算的通知绩效目标表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13010726P00021110014F</w:t>
            </w:r>
          </w:p>
        </w:tc>
        <w:tc>
          <w:tcPr>
            <w:tcW w:w="2835" w:type="dxa"/>
            <w:vAlign w:val="center"/>
          </w:tcPr>
          <w:p>
            <w:pPr>
              <w:pStyle w:val="11"/>
            </w:pPr>
            <w:r>
              <w:t>项目名称</w:t>
            </w:r>
          </w:p>
        </w:tc>
        <w:tc>
          <w:tcPr>
            <w:tcW w:w="6095" w:type="dxa"/>
            <w:gridSpan w:val="3"/>
            <w:vAlign w:val="center"/>
          </w:tcPr>
          <w:p>
            <w:pPr>
              <w:pStyle w:val="13"/>
            </w:pPr>
            <w:r>
              <w:t>关于提前下达2026年省级城镇保障性安居工程补助资金预算的通知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用于棚户区（城市危旧房）改造项目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1.通过提前下达2026 年棚户区（市危旧房）改造资金，提升居民居住条件，提升生活品质。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实施棚户区危旧房改造项目</w:t>
            </w:r>
          </w:p>
        </w:tc>
        <w:tc>
          <w:tcPr>
            <w:tcW w:w="5386" w:type="dxa"/>
            <w:vAlign w:val="center"/>
          </w:tcPr>
          <w:p>
            <w:pPr>
              <w:pStyle w:val="13"/>
            </w:pPr>
            <w:r>
              <w:t>实施棚户区危旧房改造项目</w:t>
            </w:r>
          </w:p>
        </w:tc>
        <w:tc>
          <w:tcPr>
            <w:tcW w:w="2268" w:type="dxa"/>
            <w:vAlign w:val="center"/>
          </w:tcPr>
          <w:p>
            <w:pPr>
              <w:pStyle w:val="13"/>
            </w:pPr>
            <w:r>
              <w:t>≥1项</w:t>
            </w:r>
          </w:p>
        </w:tc>
        <w:tc>
          <w:tcPr>
            <w:tcW w:w="1276" w:type="dxa"/>
            <w:vAlign w:val="center"/>
          </w:tcPr>
          <w:p>
            <w:pPr>
              <w:pStyle w:val="13"/>
            </w:pPr>
            <w:r>
              <w:t>工作计划目标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危旧房改造质量合格率</w:t>
            </w:r>
          </w:p>
        </w:tc>
        <w:tc>
          <w:tcPr>
            <w:tcW w:w="5386" w:type="dxa"/>
            <w:vAlign w:val="center"/>
          </w:tcPr>
          <w:p>
            <w:pPr>
              <w:pStyle w:val="13"/>
            </w:pPr>
            <w:r>
              <w:t>危旧房改造质量合格率</w:t>
            </w:r>
          </w:p>
        </w:tc>
        <w:tc>
          <w:tcPr>
            <w:tcW w:w="2268" w:type="dxa"/>
            <w:vAlign w:val="center"/>
          </w:tcPr>
          <w:p>
            <w:pPr>
              <w:pStyle w:val="13"/>
            </w:pPr>
            <w:r>
              <w:t>≥98%</w:t>
            </w:r>
          </w:p>
        </w:tc>
        <w:tc>
          <w:tcPr>
            <w:tcW w:w="1276" w:type="dxa"/>
            <w:vAlign w:val="center"/>
          </w:tcPr>
          <w:p>
            <w:pPr>
              <w:pStyle w:val="13"/>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危旧房改造完成时限</w:t>
            </w:r>
          </w:p>
        </w:tc>
        <w:tc>
          <w:tcPr>
            <w:tcW w:w="5386" w:type="dxa"/>
            <w:vAlign w:val="center"/>
          </w:tcPr>
          <w:p>
            <w:pPr>
              <w:pStyle w:val="13"/>
            </w:pPr>
            <w:r>
              <w:t>危旧房改造完成时限</w:t>
            </w:r>
          </w:p>
        </w:tc>
        <w:tc>
          <w:tcPr>
            <w:tcW w:w="2268" w:type="dxa"/>
            <w:vAlign w:val="center"/>
          </w:tcPr>
          <w:p>
            <w:pPr>
              <w:pStyle w:val="13"/>
            </w:pPr>
            <w:r>
              <w:t>预计2026年完成该项目</w:t>
            </w:r>
          </w:p>
        </w:tc>
        <w:tc>
          <w:tcPr>
            <w:tcW w:w="1276" w:type="dxa"/>
            <w:vAlign w:val="center"/>
          </w:tcPr>
          <w:p>
            <w:pPr>
              <w:pStyle w:val="13"/>
            </w:pPr>
            <w:r>
              <w:t>工作计划目标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危旧房改造成本</w:t>
            </w:r>
          </w:p>
        </w:tc>
        <w:tc>
          <w:tcPr>
            <w:tcW w:w="5386" w:type="dxa"/>
            <w:vAlign w:val="center"/>
          </w:tcPr>
          <w:p>
            <w:pPr>
              <w:pStyle w:val="13"/>
            </w:pPr>
            <w:r>
              <w:t>危旧房改造成本</w:t>
            </w:r>
          </w:p>
        </w:tc>
        <w:tc>
          <w:tcPr>
            <w:tcW w:w="2268" w:type="dxa"/>
            <w:vAlign w:val="center"/>
          </w:tcPr>
          <w:p>
            <w:pPr>
              <w:pStyle w:val="13"/>
            </w:pPr>
            <w:r>
              <w:t>≤9万元</w:t>
            </w:r>
          </w:p>
        </w:tc>
        <w:tc>
          <w:tcPr>
            <w:tcW w:w="1276" w:type="dxa"/>
            <w:vAlign w:val="center"/>
          </w:tcPr>
          <w:p>
            <w:pPr>
              <w:pStyle w:val="13"/>
            </w:pPr>
            <w:r>
              <w:t>石财城[2025]53号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通过实施危旧房改造项目，提升居民居住条件，提升生活品质</w:t>
            </w:r>
          </w:p>
        </w:tc>
        <w:tc>
          <w:tcPr>
            <w:tcW w:w="5386" w:type="dxa"/>
            <w:vAlign w:val="center"/>
          </w:tcPr>
          <w:p>
            <w:pPr>
              <w:pStyle w:val="13"/>
            </w:pPr>
            <w:r>
              <w:t>通过实施危旧房改造项目，提升居民居住条件，提升生活品质</w:t>
            </w:r>
          </w:p>
        </w:tc>
        <w:tc>
          <w:tcPr>
            <w:tcW w:w="2268" w:type="dxa"/>
            <w:vAlign w:val="center"/>
          </w:tcPr>
          <w:p>
            <w:pPr>
              <w:pStyle w:val="13"/>
            </w:pPr>
            <w:r>
              <w:t>≥98相比近三年效果有所提升</w:t>
            </w:r>
          </w:p>
        </w:tc>
        <w:tc>
          <w:tcPr>
            <w:tcW w:w="1276" w:type="dxa"/>
            <w:vAlign w:val="center"/>
          </w:tcPr>
          <w:p>
            <w:pPr>
              <w:pStyle w:val="13"/>
            </w:pPr>
            <w:r>
              <w:t>综合评价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危旧房改造受益群众满意度(%)</w:t>
            </w:r>
          </w:p>
        </w:tc>
        <w:tc>
          <w:tcPr>
            <w:tcW w:w="5386" w:type="dxa"/>
            <w:vAlign w:val="center"/>
          </w:tcPr>
          <w:p>
            <w:pPr>
              <w:pStyle w:val="13"/>
            </w:pPr>
            <w:r>
              <w:t>危旧房改造受益群众满意度(%)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3、横南棚户区改造项目贷款本息绩效目标表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13010726P000211100153</w:t>
            </w:r>
          </w:p>
        </w:tc>
        <w:tc>
          <w:tcPr>
            <w:tcW w:w="2835" w:type="dxa"/>
            <w:vAlign w:val="center"/>
          </w:tcPr>
          <w:p>
            <w:pPr>
              <w:pStyle w:val="11"/>
            </w:pPr>
            <w:r>
              <w:t>项目名称</w:t>
            </w:r>
          </w:p>
        </w:tc>
        <w:tc>
          <w:tcPr>
            <w:tcW w:w="6095" w:type="dxa"/>
            <w:gridSpan w:val="3"/>
            <w:vAlign w:val="center"/>
          </w:tcPr>
          <w:p>
            <w:pPr>
              <w:pStyle w:val="13"/>
            </w:pPr>
            <w:r>
              <w:t>横南棚户区改造项目贷款本息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156.00</w:t>
            </w:r>
          </w:p>
        </w:tc>
        <w:tc>
          <w:tcPr>
            <w:tcW w:w="2835" w:type="dxa"/>
            <w:vAlign w:val="center"/>
          </w:tcPr>
          <w:p>
            <w:pPr>
              <w:pStyle w:val="11"/>
            </w:pPr>
            <w:r>
              <w:t>其中：财政    资金</w:t>
            </w:r>
          </w:p>
        </w:tc>
        <w:tc>
          <w:tcPr>
            <w:tcW w:w="2551" w:type="dxa"/>
            <w:vAlign w:val="center"/>
          </w:tcPr>
          <w:p>
            <w:pPr>
              <w:pStyle w:val="13"/>
            </w:pPr>
            <w:r>
              <w:t>156.00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用于归还横南棚户区改造项目贷款利息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39.00</w:t>
            </w:r>
          </w:p>
        </w:tc>
        <w:tc>
          <w:tcPr>
            <w:tcW w:w="2835" w:type="dxa"/>
            <w:vAlign w:val="center"/>
          </w:tcPr>
          <w:p>
            <w:pPr>
              <w:pStyle w:val="14"/>
            </w:pPr>
            <w:r>
              <w:t>78.00</w:t>
            </w:r>
          </w:p>
        </w:tc>
        <w:tc>
          <w:tcPr>
            <w:tcW w:w="2551" w:type="dxa"/>
            <w:vAlign w:val="center"/>
          </w:tcPr>
          <w:p>
            <w:pPr>
              <w:pStyle w:val="14"/>
            </w:pPr>
            <w:r>
              <w:t>117.00</w:t>
            </w:r>
          </w:p>
        </w:tc>
        <w:tc>
          <w:tcPr>
            <w:tcW w:w="3544" w:type="dxa"/>
            <w:gridSpan w:val="2"/>
            <w:vAlign w:val="center"/>
          </w:tcPr>
          <w:p>
            <w:pPr>
              <w:pStyle w:val="14"/>
            </w:pPr>
            <w:r>
              <w:t>156.00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1.根据投融资协议按季度归还天护新城、横南棚户区改造项目本金及利息，保障棚户区改造工作正常开展。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横南棚户区改造项目</w:t>
            </w:r>
          </w:p>
        </w:tc>
        <w:tc>
          <w:tcPr>
            <w:tcW w:w="5386" w:type="dxa"/>
            <w:vAlign w:val="center"/>
          </w:tcPr>
          <w:p>
            <w:pPr>
              <w:pStyle w:val="13"/>
            </w:pPr>
            <w:r>
              <w:t>横南棚户区改造项目</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支付准确率</w:t>
            </w:r>
          </w:p>
        </w:tc>
        <w:tc>
          <w:tcPr>
            <w:tcW w:w="2268" w:type="dxa"/>
            <w:vAlign w:val="center"/>
          </w:tcPr>
          <w:p>
            <w:pPr>
              <w:pStyle w:val="13"/>
            </w:pPr>
            <w:r>
              <w:t>≥100%</w:t>
            </w:r>
          </w:p>
        </w:tc>
        <w:tc>
          <w:tcPr>
            <w:tcW w:w="1276" w:type="dxa"/>
            <w:vAlign w:val="center"/>
          </w:tcPr>
          <w:p>
            <w:pPr>
              <w:pStyle w:val="13"/>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约定时限内归还本金、利息及管理费</w:t>
            </w:r>
          </w:p>
        </w:tc>
        <w:tc>
          <w:tcPr>
            <w:tcW w:w="5386" w:type="dxa"/>
            <w:vAlign w:val="center"/>
          </w:tcPr>
          <w:p>
            <w:pPr>
              <w:pStyle w:val="13"/>
            </w:pPr>
            <w:r>
              <w:t>约定时限内归还本金、利息及管理费</w:t>
            </w:r>
          </w:p>
        </w:tc>
        <w:tc>
          <w:tcPr>
            <w:tcW w:w="2268" w:type="dxa"/>
            <w:vAlign w:val="center"/>
          </w:tcPr>
          <w:p>
            <w:pPr>
              <w:pStyle w:val="13"/>
            </w:pPr>
            <w:r>
              <w:t>每季度归还本息</w:t>
            </w:r>
          </w:p>
        </w:tc>
        <w:tc>
          <w:tcPr>
            <w:tcW w:w="1276" w:type="dxa"/>
            <w:vAlign w:val="center"/>
          </w:tcPr>
          <w:p>
            <w:pPr>
              <w:pStyle w:val="13"/>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平均每季度归还本息</w:t>
            </w:r>
          </w:p>
        </w:tc>
        <w:tc>
          <w:tcPr>
            <w:tcW w:w="5386" w:type="dxa"/>
            <w:vAlign w:val="center"/>
          </w:tcPr>
          <w:p>
            <w:pPr>
              <w:pStyle w:val="13"/>
            </w:pPr>
            <w:r>
              <w:t>平均每季度归还本息</w:t>
            </w:r>
          </w:p>
        </w:tc>
        <w:tc>
          <w:tcPr>
            <w:tcW w:w="2268" w:type="dxa"/>
            <w:vAlign w:val="center"/>
          </w:tcPr>
          <w:p>
            <w:pPr>
              <w:pStyle w:val="13"/>
            </w:pPr>
            <w:r>
              <w:t>≤39万元</w:t>
            </w:r>
          </w:p>
        </w:tc>
        <w:tc>
          <w:tcPr>
            <w:tcW w:w="1276" w:type="dxa"/>
            <w:vAlign w:val="center"/>
          </w:tcPr>
          <w:p>
            <w:pPr>
              <w:pStyle w:val="13"/>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改善居住环境，提升居民生活品质</w:t>
            </w:r>
          </w:p>
        </w:tc>
        <w:tc>
          <w:tcPr>
            <w:tcW w:w="5386" w:type="dxa"/>
            <w:vAlign w:val="center"/>
          </w:tcPr>
          <w:p>
            <w:pPr>
              <w:pStyle w:val="13"/>
            </w:pPr>
            <w:r>
              <w:t>通过棚户区改造工作改善居住环境，提升居民生活品质</w:t>
            </w:r>
          </w:p>
        </w:tc>
        <w:tc>
          <w:tcPr>
            <w:tcW w:w="2268" w:type="dxa"/>
            <w:vAlign w:val="center"/>
          </w:tcPr>
          <w:p>
            <w:pPr>
              <w:pStyle w:val="13"/>
            </w:pPr>
            <w:r>
              <w:t>有效改善居住环境，提升居民生活品质</w:t>
            </w: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4、监控管理平台系统维护服务绩效目标表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13010726P000025100797</w:t>
            </w:r>
          </w:p>
        </w:tc>
        <w:tc>
          <w:tcPr>
            <w:tcW w:w="2835" w:type="dxa"/>
            <w:vAlign w:val="center"/>
          </w:tcPr>
          <w:p>
            <w:pPr>
              <w:pStyle w:val="11"/>
            </w:pPr>
            <w:r>
              <w:t>项目名称</w:t>
            </w:r>
          </w:p>
        </w:tc>
        <w:tc>
          <w:tcPr>
            <w:tcW w:w="6095" w:type="dxa"/>
            <w:gridSpan w:val="3"/>
            <w:vAlign w:val="center"/>
          </w:tcPr>
          <w:p>
            <w:pPr>
              <w:pStyle w:val="13"/>
            </w:pPr>
            <w:r>
              <w:t>监控管理平台系统维护服务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用于扬尘监控平台系统维护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3.00</w:t>
            </w:r>
          </w:p>
        </w:tc>
        <w:tc>
          <w:tcPr>
            <w:tcW w:w="2551" w:type="dxa"/>
            <w:vAlign w:val="center"/>
          </w:tcPr>
          <w:p>
            <w:pPr>
              <w:pStyle w:val="14"/>
            </w:pPr>
            <w:r>
              <w:t xml:space="preserve"> </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1.通过扬尘监控平台维护，提高扬尘治理工作的及时性。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平台数量</w:t>
            </w:r>
          </w:p>
        </w:tc>
        <w:tc>
          <w:tcPr>
            <w:tcW w:w="5386" w:type="dxa"/>
            <w:vAlign w:val="center"/>
          </w:tcPr>
          <w:p>
            <w:pPr>
              <w:pStyle w:val="13"/>
            </w:pPr>
            <w:r>
              <w:t>监控管理平台数量</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监测工作完成时间</w:t>
            </w:r>
          </w:p>
        </w:tc>
        <w:tc>
          <w:tcPr>
            <w:tcW w:w="5386" w:type="dxa"/>
            <w:vAlign w:val="center"/>
          </w:tcPr>
          <w:p>
            <w:pPr>
              <w:pStyle w:val="13"/>
            </w:pPr>
            <w:r>
              <w:t>监测工作完成时间</w:t>
            </w:r>
          </w:p>
        </w:tc>
        <w:tc>
          <w:tcPr>
            <w:tcW w:w="2268" w:type="dxa"/>
            <w:vAlign w:val="center"/>
          </w:tcPr>
          <w:p>
            <w:pPr>
              <w:pStyle w:val="13"/>
            </w:pPr>
            <w:r>
              <w:t>2026年年底前</w:t>
            </w:r>
          </w:p>
        </w:tc>
        <w:tc>
          <w:tcPr>
            <w:tcW w:w="1276" w:type="dxa"/>
            <w:vAlign w:val="center"/>
          </w:tcPr>
          <w:p>
            <w:pPr>
              <w:pStyle w:val="13"/>
            </w:pPr>
            <w:r>
              <w:t>履行合同约定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维护平台成本</w:t>
            </w:r>
          </w:p>
        </w:tc>
        <w:tc>
          <w:tcPr>
            <w:tcW w:w="5386" w:type="dxa"/>
            <w:vAlign w:val="center"/>
          </w:tcPr>
          <w:p>
            <w:pPr>
              <w:pStyle w:val="13"/>
            </w:pPr>
            <w:r>
              <w:t>维护平台成本</w:t>
            </w:r>
          </w:p>
        </w:tc>
        <w:tc>
          <w:tcPr>
            <w:tcW w:w="2268" w:type="dxa"/>
            <w:vAlign w:val="center"/>
          </w:tcPr>
          <w:p>
            <w:pPr>
              <w:pStyle w:val="13"/>
            </w:pPr>
            <w:r>
              <w:t>≤3万元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改善扬尘现象</w:t>
            </w:r>
          </w:p>
        </w:tc>
        <w:tc>
          <w:tcPr>
            <w:tcW w:w="5386" w:type="dxa"/>
            <w:vAlign w:val="center"/>
          </w:tcPr>
          <w:p>
            <w:pPr>
              <w:pStyle w:val="13"/>
            </w:pPr>
            <w:r>
              <w:t>通过扬尘监控平台维护，提高扬尘治理工作，改善扬尘现象</w:t>
            </w:r>
          </w:p>
        </w:tc>
        <w:tc>
          <w:tcPr>
            <w:tcW w:w="2268" w:type="dxa"/>
            <w:vAlign w:val="center"/>
          </w:tcPr>
          <w:p>
            <w:pPr>
              <w:pStyle w:val="13"/>
            </w:pPr>
            <w:r>
              <w:t>通过扬尘监控平台维护，提高扬尘治理工作，改善扬尘现象</w:t>
            </w: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5、建筑工地扬尘监控平台宽带网光纤绩效目标表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13010726P00002510076C</w:t>
            </w:r>
          </w:p>
        </w:tc>
        <w:tc>
          <w:tcPr>
            <w:tcW w:w="2835" w:type="dxa"/>
            <w:vAlign w:val="center"/>
          </w:tcPr>
          <w:p>
            <w:pPr>
              <w:pStyle w:val="11"/>
            </w:pPr>
            <w:r>
              <w:t>项目名称</w:t>
            </w:r>
          </w:p>
        </w:tc>
        <w:tc>
          <w:tcPr>
            <w:tcW w:w="6095" w:type="dxa"/>
            <w:gridSpan w:val="3"/>
            <w:vAlign w:val="center"/>
          </w:tcPr>
          <w:p>
            <w:pPr>
              <w:pStyle w:val="13"/>
            </w:pPr>
            <w:r>
              <w:t>建筑工地扬尘监控平台宽带网光纤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用于建筑工地扬尘监控平台宽带网光纤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0.72</w:t>
            </w:r>
          </w:p>
        </w:tc>
        <w:tc>
          <w:tcPr>
            <w:tcW w:w="2551" w:type="dxa"/>
            <w:vAlign w:val="center"/>
          </w:tcPr>
          <w:p>
            <w:pPr>
              <w:pStyle w:val="14"/>
            </w:pPr>
            <w:r>
              <w:t xml:space="preserve"> </w:t>
            </w:r>
          </w:p>
        </w:tc>
        <w:tc>
          <w:tcPr>
            <w:tcW w:w="3544" w:type="dxa"/>
            <w:gridSpan w:val="2"/>
            <w:vAlign w:val="center"/>
          </w:tcPr>
          <w:p>
            <w:pPr>
              <w:pStyle w:val="14"/>
            </w:pPr>
            <w:r>
              <w:t>0.72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1.通过接入扬尘互联网专线，保障扬尘监控业务顺利有序开展。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扬尘互联网专线</w:t>
            </w:r>
          </w:p>
        </w:tc>
        <w:tc>
          <w:tcPr>
            <w:tcW w:w="5386" w:type="dxa"/>
            <w:vAlign w:val="center"/>
          </w:tcPr>
          <w:p>
            <w:pPr>
              <w:pStyle w:val="13"/>
            </w:pPr>
            <w:r>
              <w:t>扬尘互联网专线</w:t>
            </w:r>
          </w:p>
        </w:tc>
        <w:tc>
          <w:tcPr>
            <w:tcW w:w="2268" w:type="dxa"/>
            <w:vAlign w:val="center"/>
          </w:tcPr>
          <w:p>
            <w:pPr>
              <w:pStyle w:val="13"/>
            </w:pPr>
            <w:r>
              <w:t>1项</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扬尘监控工作完成时间</w:t>
            </w:r>
          </w:p>
        </w:tc>
        <w:tc>
          <w:tcPr>
            <w:tcW w:w="5386" w:type="dxa"/>
            <w:vAlign w:val="center"/>
          </w:tcPr>
          <w:p>
            <w:pPr>
              <w:pStyle w:val="13"/>
            </w:pPr>
            <w:r>
              <w:t>扬尘监控工作完成时间</w:t>
            </w:r>
          </w:p>
        </w:tc>
        <w:tc>
          <w:tcPr>
            <w:tcW w:w="2268" w:type="dxa"/>
            <w:vAlign w:val="center"/>
          </w:tcPr>
          <w:p>
            <w:pPr>
              <w:pStyle w:val="13"/>
            </w:pPr>
            <w:r>
              <w:t>2026年年底前</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支付扬尘互联网成本</w:t>
            </w:r>
          </w:p>
        </w:tc>
        <w:tc>
          <w:tcPr>
            <w:tcW w:w="5386" w:type="dxa"/>
            <w:vAlign w:val="center"/>
          </w:tcPr>
          <w:p>
            <w:pPr>
              <w:pStyle w:val="13"/>
            </w:pPr>
            <w:r>
              <w:t>支付扬尘互联网成本</w:t>
            </w:r>
          </w:p>
        </w:tc>
        <w:tc>
          <w:tcPr>
            <w:tcW w:w="2268" w:type="dxa"/>
            <w:vAlign w:val="center"/>
          </w:tcPr>
          <w:p>
            <w:pPr>
              <w:pStyle w:val="13"/>
            </w:pPr>
            <w:r>
              <w:t>≤0.72万元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促进建筑工地管理能力</w:t>
            </w:r>
          </w:p>
        </w:tc>
        <w:tc>
          <w:tcPr>
            <w:tcW w:w="5386" w:type="dxa"/>
            <w:vAlign w:val="center"/>
          </w:tcPr>
          <w:p>
            <w:pPr>
              <w:pStyle w:val="13"/>
            </w:pPr>
            <w:r>
              <w:t>促进建筑工地管理能力</w:t>
            </w:r>
          </w:p>
        </w:tc>
        <w:tc>
          <w:tcPr>
            <w:tcW w:w="2268" w:type="dxa"/>
            <w:vAlign w:val="center"/>
          </w:tcPr>
          <w:p>
            <w:pPr>
              <w:pStyle w:val="13"/>
            </w:pPr>
            <w:r>
              <w:t>有效促进建筑工地管理能力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6、康盛二街拆迁安置费绩效目标表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13010726P00018610080B</w:t>
            </w:r>
          </w:p>
        </w:tc>
        <w:tc>
          <w:tcPr>
            <w:tcW w:w="2835" w:type="dxa"/>
            <w:vAlign w:val="center"/>
          </w:tcPr>
          <w:p>
            <w:pPr>
              <w:pStyle w:val="11"/>
            </w:pPr>
            <w:r>
              <w:t>项目名称</w:t>
            </w:r>
          </w:p>
        </w:tc>
        <w:tc>
          <w:tcPr>
            <w:tcW w:w="6095" w:type="dxa"/>
            <w:gridSpan w:val="3"/>
            <w:vAlign w:val="center"/>
          </w:tcPr>
          <w:p>
            <w:pPr>
              <w:pStyle w:val="13"/>
            </w:pPr>
            <w:r>
              <w:t>康盛二街拆迁安置费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21.20</w:t>
            </w:r>
          </w:p>
        </w:tc>
        <w:tc>
          <w:tcPr>
            <w:tcW w:w="2835" w:type="dxa"/>
            <w:vAlign w:val="center"/>
          </w:tcPr>
          <w:p>
            <w:pPr>
              <w:pStyle w:val="11"/>
            </w:pPr>
            <w:r>
              <w:t>其中：财政    资金</w:t>
            </w:r>
          </w:p>
        </w:tc>
        <w:tc>
          <w:tcPr>
            <w:tcW w:w="2551" w:type="dxa"/>
            <w:vAlign w:val="center"/>
          </w:tcPr>
          <w:p>
            <w:pPr>
              <w:pStyle w:val="13"/>
            </w:pPr>
            <w:r>
              <w:t>21.20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用于康盛二街四户拆迁安置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10.60</w:t>
            </w:r>
          </w:p>
        </w:tc>
        <w:tc>
          <w:tcPr>
            <w:tcW w:w="2551" w:type="dxa"/>
            <w:vAlign w:val="center"/>
          </w:tcPr>
          <w:p>
            <w:pPr>
              <w:pStyle w:val="14"/>
            </w:pPr>
            <w:r>
              <w:t xml:space="preserve"> </w:t>
            </w:r>
          </w:p>
        </w:tc>
        <w:tc>
          <w:tcPr>
            <w:tcW w:w="3544" w:type="dxa"/>
            <w:gridSpan w:val="2"/>
            <w:vAlign w:val="center"/>
          </w:tcPr>
          <w:p>
            <w:pPr>
              <w:pStyle w:val="14"/>
            </w:pPr>
            <w:r>
              <w:t>21.20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1.通过对4户进行搬迁安置，贯通康盛二街，提升城市路网结构，改善城区形象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安置人数</w:t>
            </w:r>
          </w:p>
        </w:tc>
        <w:tc>
          <w:tcPr>
            <w:tcW w:w="5386" w:type="dxa"/>
            <w:vAlign w:val="center"/>
          </w:tcPr>
          <w:p>
            <w:pPr>
              <w:pStyle w:val="13"/>
            </w:pPr>
            <w:r>
              <w:t>拆迁安置人数</w:t>
            </w:r>
          </w:p>
        </w:tc>
        <w:tc>
          <w:tcPr>
            <w:tcW w:w="2268" w:type="dxa"/>
            <w:vAlign w:val="center"/>
          </w:tcPr>
          <w:p>
            <w:pPr>
              <w:pStyle w:val="13"/>
            </w:pPr>
            <w:r>
              <w:t>≥4户</w:t>
            </w:r>
          </w:p>
        </w:tc>
        <w:tc>
          <w:tcPr>
            <w:tcW w:w="1276" w:type="dxa"/>
            <w:vAlign w:val="center"/>
          </w:tcPr>
          <w:p>
            <w:pPr>
              <w:pStyle w:val="13"/>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安置费发放准确率</w:t>
            </w:r>
          </w:p>
        </w:tc>
        <w:tc>
          <w:tcPr>
            <w:tcW w:w="5386" w:type="dxa"/>
            <w:vAlign w:val="center"/>
          </w:tcPr>
          <w:p>
            <w:pPr>
              <w:pStyle w:val="13"/>
            </w:pPr>
            <w:r>
              <w:t>安置费发放准确率</w:t>
            </w:r>
          </w:p>
        </w:tc>
        <w:tc>
          <w:tcPr>
            <w:tcW w:w="2268" w:type="dxa"/>
            <w:vAlign w:val="center"/>
          </w:tcPr>
          <w:p>
            <w:pPr>
              <w:pStyle w:val="13"/>
            </w:pPr>
            <w:r>
              <w:t>≥100%</w:t>
            </w:r>
          </w:p>
        </w:tc>
        <w:tc>
          <w:tcPr>
            <w:tcW w:w="1276" w:type="dxa"/>
            <w:vAlign w:val="center"/>
          </w:tcPr>
          <w:p>
            <w:pPr>
              <w:pStyle w:val="13"/>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安置费发放完成时间</w:t>
            </w:r>
          </w:p>
        </w:tc>
        <w:tc>
          <w:tcPr>
            <w:tcW w:w="5386" w:type="dxa"/>
            <w:vAlign w:val="center"/>
          </w:tcPr>
          <w:p>
            <w:pPr>
              <w:pStyle w:val="13"/>
            </w:pPr>
            <w:r>
              <w:t>安置费发放完成时间</w:t>
            </w:r>
          </w:p>
        </w:tc>
        <w:tc>
          <w:tcPr>
            <w:tcW w:w="2268" w:type="dxa"/>
            <w:vAlign w:val="center"/>
          </w:tcPr>
          <w:p>
            <w:pPr>
              <w:pStyle w:val="13"/>
            </w:pPr>
            <w:r>
              <w:t>2026年年底前</w:t>
            </w:r>
          </w:p>
        </w:tc>
        <w:tc>
          <w:tcPr>
            <w:tcW w:w="1276" w:type="dxa"/>
            <w:vAlign w:val="center"/>
          </w:tcPr>
          <w:p>
            <w:pPr>
              <w:pStyle w:val="13"/>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临时安置费标准</w:t>
            </w:r>
          </w:p>
        </w:tc>
        <w:tc>
          <w:tcPr>
            <w:tcW w:w="5386" w:type="dxa"/>
            <w:vAlign w:val="center"/>
          </w:tcPr>
          <w:p>
            <w:pPr>
              <w:pStyle w:val="13"/>
            </w:pPr>
            <w:r>
              <w:t>临时安置费标准</w:t>
            </w:r>
          </w:p>
        </w:tc>
        <w:tc>
          <w:tcPr>
            <w:tcW w:w="2268" w:type="dxa"/>
            <w:vAlign w:val="center"/>
          </w:tcPr>
          <w:p>
            <w:pPr>
              <w:pStyle w:val="13"/>
            </w:pPr>
            <w:r>
              <w:t>500元·年/平方米</w:t>
            </w:r>
          </w:p>
        </w:tc>
        <w:tc>
          <w:tcPr>
            <w:tcW w:w="1276" w:type="dxa"/>
            <w:vAlign w:val="center"/>
          </w:tcPr>
          <w:p>
            <w:pPr>
              <w:pStyle w:val="13"/>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保障搬迁户权益</w:t>
            </w:r>
          </w:p>
        </w:tc>
        <w:tc>
          <w:tcPr>
            <w:tcW w:w="5386" w:type="dxa"/>
            <w:vAlign w:val="center"/>
          </w:tcPr>
          <w:p>
            <w:pPr>
              <w:pStyle w:val="13"/>
            </w:pPr>
            <w:r>
              <w:t>通过发放安置费，保障搬迁户权益</w:t>
            </w:r>
          </w:p>
        </w:tc>
        <w:tc>
          <w:tcPr>
            <w:tcW w:w="2268" w:type="dxa"/>
            <w:vAlign w:val="center"/>
          </w:tcPr>
          <w:p>
            <w:pPr>
              <w:pStyle w:val="13"/>
            </w:pPr>
            <w:r>
              <w:t>有效保障搬迁户权益</w:t>
            </w:r>
          </w:p>
        </w:tc>
        <w:tc>
          <w:tcPr>
            <w:tcW w:w="1276" w:type="dxa"/>
            <w:vAlign w:val="center"/>
          </w:tcPr>
          <w:p>
            <w:pPr>
              <w:pStyle w:val="13"/>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征迁安置户满意度</w:t>
            </w:r>
          </w:p>
        </w:tc>
        <w:tc>
          <w:tcPr>
            <w:tcW w:w="5386" w:type="dxa"/>
            <w:vAlign w:val="center"/>
          </w:tcPr>
          <w:p>
            <w:pPr>
              <w:pStyle w:val="13"/>
            </w:pPr>
            <w:r>
              <w:t>征迁安置户满意度</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7、廉租房租金补贴及保障房维修绩效目标表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13010726P00021110016N</w:t>
            </w:r>
          </w:p>
        </w:tc>
        <w:tc>
          <w:tcPr>
            <w:tcW w:w="2835" w:type="dxa"/>
            <w:vAlign w:val="center"/>
          </w:tcPr>
          <w:p>
            <w:pPr>
              <w:pStyle w:val="11"/>
            </w:pPr>
            <w:r>
              <w:t>项目名称</w:t>
            </w:r>
          </w:p>
        </w:tc>
        <w:tc>
          <w:tcPr>
            <w:tcW w:w="6095" w:type="dxa"/>
            <w:gridSpan w:val="3"/>
            <w:vAlign w:val="center"/>
          </w:tcPr>
          <w:p>
            <w:pPr>
              <w:pStyle w:val="13"/>
            </w:pPr>
            <w:r>
              <w:t>廉租房租金补贴及保障房维修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用于廉租房租金补贴及保障房维修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0.80</w:t>
            </w:r>
          </w:p>
        </w:tc>
        <w:tc>
          <w:tcPr>
            <w:tcW w:w="2835" w:type="dxa"/>
            <w:vAlign w:val="center"/>
          </w:tcPr>
          <w:p>
            <w:pPr>
              <w:pStyle w:val="14"/>
            </w:pPr>
            <w:r>
              <w:t>1.60</w:t>
            </w:r>
          </w:p>
        </w:tc>
        <w:tc>
          <w:tcPr>
            <w:tcW w:w="2551" w:type="dxa"/>
            <w:vAlign w:val="center"/>
          </w:tcPr>
          <w:p>
            <w:pPr>
              <w:pStyle w:val="14"/>
            </w:pPr>
            <w:r>
              <w:t>2.40</w:t>
            </w:r>
          </w:p>
        </w:tc>
        <w:tc>
          <w:tcPr>
            <w:tcW w:w="3544" w:type="dxa"/>
            <w:gridSpan w:val="2"/>
            <w:vAlign w:val="center"/>
          </w:tcPr>
          <w:p>
            <w:pPr>
              <w:pStyle w:val="14"/>
            </w:pPr>
            <w:r>
              <w:t>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1.按照工作要求核定保障对象，对符合要求的发放廉租补贴。对保障房进行维修维护，加强保障房的管理，提升居民生活质量。</w:t>
            </w:r>
            <w:r>
              <w:tab/>
            </w:r>
            <w:r>
              <w:tab/>
            </w:r>
            <w:r>
              <w:tab/>
            </w:r>
          </w:p>
          <w:p>
            <w:pPr>
              <w:pStyle w:val="13"/>
            </w:pP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廉租补贴户数</w:t>
            </w:r>
          </w:p>
        </w:tc>
        <w:tc>
          <w:tcPr>
            <w:tcW w:w="5386" w:type="dxa"/>
            <w:vAlign w:val="center"/>
          </w:tcPr>
          <w:p>
            <w:pPr>
              <w:pStyle w:val="13"/>
            </w:pPr>
            <w:r>
              <w:t>最低收入家庭</w:t>
            </w:r>
            <w:r>
              <w:rPr>
                <w:rFonts w:hint="eastAsia"/>
                <w:lang w:val="en-US" w:eastAsia="zh-CN"/>
              </w:rPr>
              <w:t>6</w:t>
            </w:r>
            <w:r>
              <w:t>户，补贴户数随核定申请人数变动</w:t>
            </w:r>
          </w:p>
        </w:tc>
        <w:tc>
          <w:tcPr>
            <w:tcW w:w="2268" w:type="dxa"/>
            <w:vAlign w:val="center"/>
          </w:tcPr>
          <w:p>
            <w:pPr>
              <w:pStyle w:val="13"/>
            </w:pPr>
            <w:r>
              <w:t>≥</w:t>
            </w:r>
            <w:r>
              <w:rPr>
                <w:rFonts w:hint="eastAsia"/>
                <w:lang w:val="en-US" w:eastAsia="zh-CN"/>
              </w:rPr>
              <w:t>6</w:t>
            </w:r>
            <w:r>
              <w:t>户</w:t>
            </w:r>
          </w:p>
        </w:tc>
        <w:tc>
          <w:tcPr>
            <w:tcW w:w="1276" w:type="dxa"/>
            <w:vAlign w:val="center"/>
          </w:tcPr>
          <w:p>
            <w:pPr>
              <w:pStyle w:val="13"/>
            </w:pPr>
            <w:r>
              <w:t>实际户数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廉租补贴户数</w:t>
            </w:r>
          </w:p>
        </w:tc>
        <w:tc>
          <w:tcPr>
            <w:tcW w:w="5386" w:type="dxa"/>
            <w:vAlign w:val="center"/>
          </w:tcPr>
          <w:p>
            <w:pPr>
              <w:pStyle w:val="13"/>
            </w:pPr>
            <w:r>
              <w:t>低收入家庭户数</w:t>
            </w:r>
            <w:r>
              <w:rPr>
                <w:rFonts w:hint="eastAsia"/>
                <w:lang w:val="en-US" w:eastAsia="zh-CN"/>
              </w:rPr>
              <w:t>3</w:t>
            </w:r>
            <w:r>
              <w:t>户，补贴户数随核定申请人数变动</w:t>
            </w:r>
          </w:p>
        </w:tc>
        <w:tc>
          <w:tcPr>
            <w:tcW w:w="2268" w:type="dxa"/>
            <w:vAlign w:val="center"/>
          </w:tcPr>
          <w:p>
            <w:pPr>
              <w:pStyle w:val="13"/>
            </w:pPr>
            <w:r>
              <w:t>≥</w:t>
            </w:r>
            <w:r>
              <w:rPr>
                <w:rFonts w:hint="eastAsia"/>
                <w:lang w:val="en-US" w:eastAsia="zh-CN"/>
              </w:rPr>
              <w:t>3</w:t>
            </w:r>
            <w:r>
              <w:t>户</w:t>
            </w:r>
          </w:p>
        </w:tc>
        <w:tc>
          <w:tcPr>
            <w:tcW w:w="1276" w:type="dxa"/>
            <w:vAlign w:val="center"/>
          </w:tcPr>
          <w:p>
            <w:pPr>
              <w:pStyle w:val="13"/>
            </w:pPr>
            <w:r>
              <w:t>实际户数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调查数据审核准确率</w:t>
            </w:r>
          </w:p>
        </w:tc>
        <w:tc>
          <w:tcPr>
            <w:tcW w:w="5386" w:type="dxa"/>
            <w:vAlign w:val="center"/>
          </w:tcPr>
          <w:p>
            <w:pPr>
              <w:pStyle w:val="13"/>
            </w:pPr>
            <w:r>
              <w:t>调查数据审核准确率</w:t>
            </w:r>
          </w:p>
        </w:tc>
        <w:tc>
          <w:tcPr>
            <w:tcW w:w="2268" w:type="dxa"/>
            <w:vAlign w:val="center"/>
          </w:tcPr>
          <w:p>
            <w:pPr>
              <w:pStyle w:val="13"/>
            </w:pPr>
            <w:r>
              <w:t>≥95%</w:t>
            </w:r>
          </w:p>
        </w:tc>
        <w:tc>
          <w:tcPr>
            <w:tcW w:w="1276" w:type="dxa"/>
            <w:vAlign w:val="center"/>
          </w:tcPr>
          <w:p>
            <w:pPr>
              <w:pStyle w:val="13"/>
            </w:pPr>
            <w:r>
              <w:t xml:space="preserve"> 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各项任务完成时间</w:t>
            </w:r>
          </w:p>
        </w:tc>
        <w:tc>
          <w:tcPr>
            <w:tcW w:w="5386" w:type="dxa"/>
            <w:vAlign w:val="center"/>
          </w:tcPr>
          <w:p>
            <w:pPr>
              <w:pStyle w:val="13"/>
            </w:pPr>
            <w:r>
              <w:t>各项任务完成时间</w:t>
            </w: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补贴标准：最低收入家庭5元/㎡·月</w:t>
            </w:r>
          </w:p>
        </w:tc>
        <w:tc>
          <w:tcPr>
            <w:tcW w:w="2268" w:type="dxa"/>
            <w:vAlign w:val="center"/>
          </w:tcPr>
          <w:p>
            <w:pPr>
              <w:pStyle w:val="13"/>
            </w:pPr>
            <w:r>
              <w:t>≤5㎡·月</w:t>
            </w:r>
          </w:p>
        </w:tc>
        <w:tc>
          <w:tcPr>
            <w:tcW w:w="1276" w:type="dxa"/>
            <w:vAlign w:val="center"/>
          </w:tcPr>
          <w:p>
            <w:pPr>
              <w:pStyle w:val="13"/>
            </w:pPr>
            <w:r>
              <w:t>矿政办函【2018】51号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补贴标准：低收入家庭4元/㎡·月</w:t>
            </w:r>
          </w:p>
        </w:tc>
        <w:tc>
          <w:tcPr>
            <w:tcW w:w="2268" w:type="dxa"/>
            <w:vAlign w:val="center"/>
          </w:tcPr>
          <w:p>
            <w:pPr>
              <w:pStyle w:val="13"/>
            </w:pPr>
            <w:r>
              <w:t>≤4㎡·月</w:t>
            </w:r>
          </w:p>
        </w:tc>
        <w:tc>
          <w:tcPr>
            <w:tcW w:w="1276" w:type="dxa"/>
            <w:vAlign w:val="center"/>
          </w:tcPr>
          <w:p>
            <w:pPr>
              <w:pStyle w:val="13"/>
            </w:pPr>
            <w:r>
              <w:t>矿政办函【2018】51号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解决低收入家庭住房问题</w:t>
            </w:r>
          </w:p>
        </w:tc>
        <w:tc>
          <w:tcPr>
            <w:tcW w:w="5386" w:type="dxa"/>
            <w:vAlign w:val="center"/>
          </w:tcPr>
          <w:p>
            <w:pPr>
              <w:pStyle w:val="13"/>
            </w:pPr>
            <w:r>
              <w:t>解决低收入家庭住房问题，提升困难家庭对政府住房政策的认可度</w:t>
            </w:r>
          </w:p>
        </w:tc>
        <w:tc>
          <w:tcPr>
            <w:tcW w:w="2268" w:type="dxa"/>
            <w:vAlign w:val="center"/>
          </w:tcPr>
          <w:p>
            <w:pPr>
              <w:pStyle w:val="13"/>
            </w:pPr>
            <w:r>
              <w:t>较上一年提升</w:t>
            </w:r>
          </w:p>
        </w:tc>
        <w:tc>
          <w:tcPr>
            <w:tcW w:w="1276" w:type="dxa"/>
            <w:vAlign w:val="center"/>
          </w:tcPr>
          <w:p>
            <w:pPr>
              <w:pStyle w:val="13"/>
            </w:pPr>
            <w:r>
              <w:t xml:space="preserve"> 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提升居民的生活质量</w:t>
            </w:r>
          </w:p>
        </w:tc>
        <w:tc>
          <w:tcPr>
            <w:tcW w:w="5386" w:type="dxa"/>
            <w:vAlign w:val="center"/>
          </w:tcPr>
          <w:p>
            <w:pPr>
              <w:pStyle w:val="13"/>
            </w:pPr>
            <w:r>
              <w:t>解决住房困难居民住房压力，提升居民的生活质量</w:t>
            </w:r>
          </w:p>
        </w:tc>
        <w:tc>
          <w:tcPr>
            <w:tcW w:w="2268" w:type="dxa"/>
            <w:vAlign w:val="center"/>
          </w:tcPr>
          <w:p>
            <w:pPr>
              <w:pStyle w:val="13"/>
            </w:pPr>
            <w:r>
              <w:t>较上一年提升</w:t>
            </w:r>
          </w:p>
        </w:tc>
        <w:tc>
          <w:tcPr>
            <w:tcW w:w="1276" w:type="dxa"/>
            <w:vAlign w:val="center"/>
          </w:tcPr>
          <w:p>
            <w:pPr>
              <w:pStyle w:val="13"/>
            </w:pPr>
            <w:r>
              <w:t xml:space="preserve"> 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补贴发放人员满意度</w:t>
            </w:r>
          </w:p>
        </w:tc>
        <w:tc>
          <w:tcPr>
            <w:tcW w:w="5386" w:type="dxa"/>
            <w:vAlign w:val="center"/>
          </w:tcPr>
          <w:p>
            <w:pPr>
              <w:pStyle w:val="13"/>
            </w:pPr>
            <w:r>
              <w:t>补贴发放人员满意度</w:t>
            </w:r>
          </w:p>
        </w:tc>
        <w:tc>
          <w:tcPr>
            <w:tcW w:w="2268" w:type="dxa"/>
            <w:vAlign w:val="center"/>
          </w:tcPr>
          <w:p>
            <w:pPr>
              <w:pStyle w:val="13"/>
            </w:pPr>
            <w:r>
              <w:t>≥98%</w:t>
            </w:r>
          </w:p>
        </w:tc>
        <w:tc>
          <w:tcPr>
            <w:tcW w:w="1276" w:type="dxa"/>
            <w:vAlign w:val="center"/>
          </w:tcPr>
          <w:p>
            <w:pPr>
              <w:pStyle w:val="13"/>
              <w:rPr>
                <w:rFonts w:hint="eastAsia" w:eastAsia="方正书宋_GBK"/>
                <w:lang w:eastAsia="zh-CN"/>
              </w:rPr>
            </w:pPr>
            <w:r>
              <w:rPr>
                <w:rFonts w:hint="eastAsia"/>
                <w:lang w:eastAsia="zh-CN"/>
              </w:rP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8、农村住房重点人员房屋鉴定费绩效目标表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13010726P00019410030U</w:t>
            </w:r>
          </w:p>
        </w:tc>
        <w:tc>
          <w:tcPr>
            <w:tcW w:w="2835" w:type="dxa"/>
            <w:vAlign w:val="center"/>
          </w:tcPr>
          <w:p>
            <w:pPr>
              <w:pStyle w:val="11"/>
            </w:pPr>
            <w:r>
              <w:t>项目名称</w:t>
            </w:r>
          </w:p>
        </w:tc>
        <w:tc>
          <w:tcPr>
            <w:tcW w:w="6095" w:type="dxa"/>
            <w:gridSpan w:val="3"/>
            <w:vAlign w:val="center"/>
          </w:tcPr>
          <w:p>
            <w:pPr>
              <w:pStyle w:val="13"/>
            </w:pPr>
            <w:r>
              <w:t>农村住房重点人员房屋鉴定费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w:t>
            </w:r>
          </w:p>
        </w:tc>
        <w:tc>
          <w:tcPr>
            <w:tcW w:w="2835" w:type="dxa"/>
            <w:vAlign w:val="center"/>
          </w:tcPr>
          <w:p>
            <w:pPr>
              <w:pStyle w:val="11"/>
            </w:pPr>
            <w:r>
              <w:t>其中：财政    资金</w:t>
            </w:r>
          </w:p>
        </w:tc>
        <w:tc>
          <w:tcPr>
            <w:tcW w:w="2551" w:type="dxa"/>
            <w:vAlign w:val="center"/>
          </w:tcPr>
          <w:p>
            <w:pPr>
              <w:pStyle w:val="13"/>
            </w:pPr>
            <w:r>
              <w:t>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用于房屋鉴定费用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4.90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1.通过对区低收入群体等重点对象住房140户住房进行安全鉴定，减少房屋安全事故，保障群众生命财产安全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农村住房安全排查鉴定工作，区低收入群体等重点对象住房</w:t>
            </w:r>
          </w:p>
        </w:tc>
        <w:tc>
          <w:tcPr>
            <w:tcW w:w="5386" w:type="dxa"/>
            <w:vAlign w:val="center"/>
          </w:tcPr>
          <w:p>
            <w:pPr>
              <w:pStyle w:val="13"/>
            </w:pPr>
            <w:r>
              <w:t>农村住房安全排查鉴定工作，区低收入群体等重点对象住房</w:t>
            </w:r>
          </w:p>
        </w:tc>
        <w:tc>
          <w:tcPr>
            <w:tcW w:w="2268" w:type="dxa"/>
            <w:vAlign w:val="center"/>
          </w:tcPr>
          <w:p>
            <w:pPr>
              <w:pStyle w:val="13"/>
            </w:pPr>
            <w:r>
              <w:t>≥140户</w:t>
            </w:r>
          </w:p>
        </w:tc>
        <w:tc>
          <w:tcPr>
            <w:tcW w:w="1276" w:type="dxa"/>
            <w:vAlign w:val="center"/>
          </w:tcPr>
          <w:p>
            <w:pPr>
              <w:pStyle w:val="13"/>
              <w:rPr>
                <w:rFonts w:hint="eastAsia" w:eastAsia="方正书宋_GBK"/>
                <w:lang w:eastAsia="zh-CN"/>
              </w:rPr>
            </w:pPr>
            <w:r>
              <w:rPr>
                <w:rFonts w:hint="eastAsia"/>
                <w:lang w:eastAsia="zh-CN"/>
              </w:rPr>
              <w:t>排查明细表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农村住房安全排查鉴定准确率</w:t>
            </w:r>
          </w:p>
        </w:tc>
        <w:tc>
          <w:tcPr>
            <w:tcW w:w="5386" w:type="dxa"/>
            <w:vAlign w:val="center"/>
          </w:tcPr>
          <w:p>
            <w:pPr>
              <w:pStyle w:val="13"/>
            </w:pPr>
            <w:r>
              <w:t>农村住房安全排查鉴定准确率</w:t>
            </w:r>
          </w:p>
        </w:tc>
        <w:tc>
          <w:tcPr>
            <w:tcW w:w="2268" w:type="dxa"/>
            <w:vAlign w:val="center"/>
          </w:tcPr>
          <w:p>
            <w:pPr>
              <w:pStyle w:val="13"/>
            </w:pPr>
            <w:r>
              <w:t>≥95%</w:t>
            </w:r>
          </w:p>
        </w:tc>
        <w:tc>
          <w:tcPr>
            <w:tcW w:w="1276" w:type="dxa"/>
            <w:vAlign w:val="center"/>
          </w:tcPr>
          <w:p>
            <w:pPr>
              <w:pStyle w:val="13"/>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当年任务完成率</w:t>
            </w:r>
          </w:p>
        </w:tc>
        <w:tc>
          <w:tcPr>
            <w:tcW w:w="5386" w:type="dxa"/>
            <w:vAlign w:val="center"/>
          </w:tcPr>
          <w:p>
            <w:pPr>
              <w:pStyle w:val="13"/>
            </w:pPr>
            <w:r>
              <w:t>当年任务完成率</w:t>
            </w:r>
          </w:p>
        </w:tc>
        <w:tc>
          <w:tcPr>
            <w:tcW w:w="2268" w:type="dxa"/>
            <w:vAlign w:val="center"/>
          </w:tcPr>
          <w:p>
            <w:pPr>
              <w:pStyle w:val="13"/>
            </w:pPr>
            <w:r>
              <w:t>≥95%</w:t>
            </w:r>
          </w:p>
        </w:tc>
        <w:tc>
          <w:tcPr>
            <w:tcW w:w="1276" w:type="dxa"/>
            <w:vAlign w:val="center"/>
          </w:tcPr>
          <w:p>
            <w:pPr>
              <w:pStyle w:val="13"/>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鉴定费标准</w:t>
            </w:r>
          </w:p>
        </w:tc>
        <w:tc>
          <w:tcPr>
            <w:tcW w:w="5386" w:type="dxa"/>
            <w:vAlign w:val="center"/>
          </w:tcPr>
          <w:p>
            <w:pPr>
              <w:pStyle w:val="13"/>
            </w:pPr>
            <w:r>
              <w:t>鉴定费标准</w:t>
            </w:r>
          </w:p>
        </w:tc>
        <w:tc>
          <w:tcPr>
            <w:tcW w:w="2268" w:type="dxa"/>
            <w:vAlign w:val="center"/>
          </w:tcPr>
          <w:p>
            <w:pPr>
              <w:pStyle w:val="13"/>
            </w:pPr>
            <w:r>
              <w:t>350户</w:t>
            </w:r>
          </w:p>
        </w:tc>
        <w:tc>
          <w:tcPr>
            <w:tcW w:w="1276" w:type="dxa"/>
            <w:vAlign w:val="center"/>
          </w:tcPr>
          <w:p>
            <w:pPr>
              <w:pStyle w:val="13"/>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减少房屋安全事故，保障群众生命财产安全</w:t>
            </w:r>
          </w:p>
        </w:tc>
        <w:tc>
          <w:tcPr>
            <w:tcW w:w="5386" w:type="dxa"/>
            <w:vAlign w:val="center"/>
          </w:tcPr>
          <w:p>
            <w:pPr>
              <w:pStyle w:val="13"/>
            </w:pPr>
            <w:r>
              <w:t>减少房屋安全事故，保障群众生命财产安全</w:t>
            </w:r>
          </w:p>
        </w:tc>
        <w:tc>
          <w:tcPr>
            <w:tcW w:w="2268" w:type="dxa"/>
            <w:vAlign w:val="center"/>
          </w:tcPr>
          <w:p>
            <w:pPr>
              <w:pStyle w:val="13"/>
            </w:pPr>
            <w:r>
              <w:t>较上年提升</w:t>
            </w:r>
          </w:p>
        </w:tc>
        <w:tc>
          <w:tcPr>
            <w:tcW w:w="1276" w:type="dxa"/>
            <w:vAlign w:val="center"/>
          </w:tcPr>
          <w:p>
            <w:pPr>
              <w:pStyle w:val="13"/>
            </w:pPr>
            <w:r>
              <w:t>项目价值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9、网络运行经费绩效目标表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13010726P00002510072X</w:t>
            </w:r>
          </w:p>
        </w:tc>
        <w:tc>
          <w:tcPr>
            <w:tcW w:w="2835" w:type="dxa"/>
            <w:vAlign w:val="center"/>
          </w:tcPr>
          <w:p>
            <w:pPr>
              <w:pStyle w:val="11"/>
            </w:pPr>
            <w:r>
              <w:t>项目名称</w:t>
            </w:r>
          </w:p>
        </w:tc>
        <w:tc>
          <w:tcPr>
            <w:tcW w:w="6095" w:type="dxa"/>
            <w:gridSpan w:val="3"/>
            <w:vAlign w:val="center"/>
          </w:tcPr>
          <w:p>
            <w:pPr>
              <w:pStyle w:val="13"/>
            </w:pPr>
            <w:r>
              <w:t>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用于单位网络运行费用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w:t>
            </w:r>
          </w:p>
        </w:tc>
        <w:tc>
          <w:tcPr>
            <w:tcW w:w="2551" w:type="dxa"/>
            <w:vAlign w:val="center"/>
          </w:tcPr>
          <w:p>
            <w:pPr>
              <w:pStyle w:val="14"/>
            </w:pPr>
            <w:r>
              <w:t xml:space="preserve"> </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1.通过拨付单位网络运行经费，提高日常工作联网效率及办公质量。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平台数量</w:t>
            </w:r>
          </w:p>
        </w:tc>
        <w:tc>
          <w:tcPr>
            <w:tcW w:w="5386" w:type="dxa"/>
            <w:vAlign w:val="center"/>
          </w:tcPr>
          <w:p>
            <w:pPr>
              <w:pStyle w:val="13"/>
            </w:pPr>
            <w:r>
              <w:t>单位网络运行</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联网工作完成时间</w:t>
            </w:r>
          </w:p>
        </w:tc>
        <w:tc>
          <w:tcPr>
            <w:tcW w:w="5386" w:type="dxa"/>
            <w:vAlign w:val="center"/>
          </w:tcPr>
          <w:p>
            <w:pPr>
              <w:pStyle w:val="13"/>
            </w:pPr>
            <w:r>
              <w:t>联网工作完成时间</w:t>
            </w:r>
          </w:p>
        </w:tc>
        <w:tc>
          <w:tcPr>
            <w:tcW w:w="2268" w:type="dxa"/>
            <w:vAlign w:val="center"/>
          </w:tcPr>
          <w:p>
            <w:pPr>
              <w:pStyle w:val="13"/>
            </w:pPr>
            <w:r>
              <w:t>2026年年底前</w:t>
            </w:r>
          </w:p>
        </w:tc>
        <w:tc>
          <w:tcPr>
            <w:tcW w:w="1276" w:type="dxa"/>
            <w:vAlign w:val="center"/>
          </w:tcPr>
          <w:p>
            <w:pPr>
              <w:pStyle w:val="13"/>
            </w:pPr>
            <w:r>
              <w:t>履行合同约定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维护平台成本</w:t>
            </w:r>
          </w:p>
        </w:tc>
        <w:tc>
          <w:tcPr>
            <w:tcW w:w="5386" w:type="dxa"/>
            <w:vAlign w:val="center"/>
          </w:tcPr>
          <w:p>
            <w:pPr>
              <w:pStyle w:val="13"/>
            </w:pPr>
            <w:r>
              <w:t>维护平台成本</w:t>
            </w:r>
          </w:p>
        </w:tc>
        <w:tc>
          <w:tcPr>
            <w:tcW w:w="2268" w:type="dxa"/>
            <w:vAlign w:val="center"/>
          </w:tcPr>
          <w:p>
            <w:pPr>
              <w:pStyle w:val="13"/>
            </w:pPr>
            <w:r>
              <w:t>≤1.5万元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通过单位联通网络，提高办事效率</w:t>
            </w:r>
          </w:p>
        </w:tc>
        <w:tc>
          <w:tcPr>
            <w:tcW w:w="5386" w:type="dxa"/>
            <w:vAlign w:val="center"/>
          </w:tcPr>
          <w:p>
            <w:pPr>
              <w:pStyle w:val="13"/>
            </w:pPr>
            <w:r>
              <w:t>通过单位联通网络，提高办事效率</w:t>
            </w:r>
          </w:p>
        </w:tc>
        <w:tc>
          <w:tcPr>
            <w:tcW w:w="2268" w:type="dxa"/>
            <w:vAlign w:val="center"/>
          </w:tcPr>
          <w:p>
            <w:pPr>
              <w:pStyle w:val="13"/>
            </w:pPr>
            <w:r>
              <w:t>通过单位联通网络，提高办事效率</w:t>
            </w: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10、污水管网维修维护绩效目标表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13010726P00019410031F</w:t>
            </w:r>
          </w:p>
        </w:tc>
        <w:tc>
          <w:tcPr>
            <w:tcW w:w="2835" w:type="dxa"/>
            <w:vAlign w:val="center"/>
          </w:tcPr>
          <w:p>
            <w:pPr>
              <w:pStyle w:val="11"/>
            </w:pPr>
            <w:r>
              <w:t>项目名称</w:t>
            </w:r>
          </w:p>
        </w:tc>
        <w:tc>
          <w:tcPr>
            <w:tcW w:w="6095" w:type="dxa"/>
            <w:gridSpan w:val="3"/>
            <w:vAlign w:val="center"/>
          </w:tcPr>
          <w:p>
            <w:pPr>
              <w:pStyle w:val="13"/>
            </w:pPr>
            <w:r>
              <w:t>污水管网维修维护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用于城区污水管网工程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15.00</w:t>
            </w:r>
          </w:p>
        </w:tc>
        <w:tc>
          <w:tcPr>
            <w:tcW w:w="2551" w:type="dxa"/>
            <w:vAlign w:val="center"/>
          </w:tcPr>
          <w:p>
            <w:pPr>
              <w:pStyle w:val="14"/>
            </w:pPr>
            <w:r>
              <w:t xml:space="preserve"> </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1.通过对城区18公里内井盖、污水管道等基础设施进行改造修缮，提升城区管网建设，提升居民生活品质，提高居民的幸福感和获得感。</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城区污水管网维修覆盖面积</w:t>
            </w:r>
          </w:p>
        </w:tc>
        <w:tc>
          <w:tcPr>
            <w:tcW w:w="5386" w:type="dxa"/>
            <w:vAlign w:val="center"/>
          </w:tcPr>
          <w:p>
            <w:pPr>
              <w:pStyle w:val="13"/>
            </w:pPr>
            <w:r>
              <w:t>城区污水管网维修覆盖面积</w:t>
            </w:r>
          </w:p>
        </w:tc>
        <w:tc>
          <w:tcPr>
            <w:tcW w:w="2268" w:type="dxa"/>
            <w:vAlign w:val="center"/>
          </w:tcPr>
          <w:p>
            <w:pPr>
              <w:pStyle w:val="13"/>
            </w:pPr>
            <w:r>
              <w:t>≤18公里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污水管网项目验收合格率</w:t>
            </w:r>
          </w:p>
        </w:tc>
        <w:tc>
          <w:tcPr>
            <w:tcW w:w="5386" w:type="dxa"/>
            <w:vAlign w:val="center"/>
          </w:tcPr>
          <w:p>
            <w:pPr>
              <w:pStyle w:val="13"/>
            </w:pPr>
            <w:r>
              <w:t>污水管网项目验收合格率</w:t>
            </w:r>
          </w:p>
        </w:tc>
        <w:tc>
          <w:tcPr>
            <w:tcW w:w="2268" w:type="dxa"/>
            <w:vAlign w:val="center"/>
          </w:tcPr>
          <w:p>
            <w:pPr>
              <w:pStyle w:val="13"/>
            </w:pPr>
            <w:r>
              <w:t>≥95%</w:t>
            </w:r>
          </w:p>
        </w:tc>
        <w:tc>
          <w:tcPr>
            <w:tcW w:w="1276" w:type="dxa"/>
            <w:vAlign w:val="center"/>
          </w:tcPr>
          <w:p>
            <w:pPr>
              <w:pStyle w:val="13"/>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完成2026年管网维修维护</w:t>
            </w:r>
          </w:p>
        </w:tc>
        <w:tc>
          <w:tcPr>
            <w:tcW w:w="5386" w:type="dxa"/>
            <w:vAlign w:val="center"/>
          </w:tcPr>
          <w:p>
            <w:pPr>
              <w:pStyle w:val="13"/>
            </w:pPr>
            <w:r>
              <w:t>完成2026年管网维修维护</w:t>
            </w:r>
          </w:p>
        </w:tc>
        <w:tc>
          <w:tcPr>
            <w:tcW w:w="2268" w:type="dxa"/>
            <w:vAlign w:val="center"/>
          </w:tcPr>
          <w:p>
            <w:pPr>
              <w:pStyle w:val="13"/>
            </w:pPr>
            <w:r>
              <w:t>2026年完成维修维护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城区污水管网预算控制数</w:t>
            </w:r>
          </w:p>
        </w:tc>
        <w:tc>
          <w:tcPr>
            <w:tcW w:w="2268" w:type="dxa"/>
            <w:vAlign w:val="center"/>
          </w:tcPr>
          <w:p>
            <w:pPr>
              <w:pStyle w:val="13"/>
            </w:pPr>
            <w:r>
              <w:t>≤30万元</w:t>
            </w:r>
          </w:p>
        </w:tc>
        <w:tc>
          <w:tcPr>
            <w:tcW w:w="1276" w:type="dxa"/>
            <w:vAlign w:val="center"/>
          </w:tcPr>
          <w:p>
            <w:pPr>
              <w:pStyle w:val="13"/>
            </w:pPr>
            <w:r>
              <w:t>工作任务目标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提高居民的幸福感和获得感，为居民提供一个安全舒适，优美的生活环境</w:t>
            </w:r>
          </w:p>
        </w:tc>
        <w:tc>
          <w:tcPr>
            <w:tcW w:w="2268" w:type="dxa"/>
            <w:vAlign w:val="center"/>
          </w:tcPr>
          <w:p>
            <w:pPr>
              <w:pStyle w:val="13"/>
            </w:pPr>
            <w:r>
              <w:t>较上年提升</w:t>
            </w:r>
          </w:p>
        </w:tc>
        <w:tc>
          <w:tcPr>
            <w:tcW w:w="1276" w:type="dxa"/>
            <w:vAlign w:val="center"/>
          </w:tcPr>
          <w:p>
            <w:pPr>
              <w:pStyle w:val="13"/>
            </w:pPr>
            <w:r>
              <w:t>综合评价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11、新西村中路地下管网及配套设施提升工程EPC总承包费用绩效目标表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13010723P000012100079</w:t>
            </w:r>
          </w:p>
        </w:tc>
        <w:tc>
          <w:tcPr>
            <w:tcW w:w="2835" w:type="dxa"/>
            <w:vAlign w:val="center"/>
          </w:tcPr>
          <w:p>
            <w:pPr>
              <w:pStyle w:val="11"/>
            </w:pPr>
            <w:r>
              <w:t>项目名称</w:t>
            </w:r>
          </w:p>
        </w:tc>
        <w:tc>
          <w:tcPr>
            <w:tcW w:w="6095" w:type="dxa"/>
            <w:gridSpan w:val="3"/>
            <w:vAlign w:val="center"/>
          </w:tcPr>
          <w:p>
            <w:pPr>
              <w:pStyle w:val="13"/>
            </w:pPr>
            <w:r>
              <w:t>新西村中路地下管网及配套设施提升工程EPC总承包费用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77.14</w:t>
            </w:r>
          </w:p>
        </w:tc>
        <w:tc>
          <w:tcPr>
            <w:tcW w:w="2835" w:type="dxa"/>
            <w:vAlign w:val="center"/>
          </w:tcPr>
          <w:p>
            <w:pPr>
              <w:pStyle w:val="11"/>
            </w:pPr>
            <w:r>
              <w:t>其中：财政    资金</w:t>
            </w:r>
          </w:p>
        </w:tc>
        <w:tc>
          <w:tcPr>
            <w:tcW w:w="2551" w:type="dxa"/>
            <w:vAlign w:val="center"/>
          </w:tcPr>
          <w:p>
            <w:pPr>
              <w:pStyle w:val="13"/>
            </w:pPr>
            <w:r>
              <w:t>77.14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通过对新西村中路地下管网及配套设施提升工程EPC总承包进行改造，提升居民生活品质，提高居民的幸福感和获得感。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77.14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1.通过对新西村中路地下管网及配套设施提升工程EPC总承包进行改造，提升居民生活品质，提高居民的幸福感和获得感。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ind w:firstLine="0" w:firstLineChars="0"/>
            </w:pPr>
            <w:r>
              <w:t>地下管网及配套设施提升</w:t>
            </w:r>
            <w:r>
              <w:rPr>
                <w:rFonts w:hint="eastAsia"/>
                <w:lang w:eastAsia="zh-CN"/>
              </w:rPr>
              <w:t>工程</w:t>
            </w:r>
          </w:p>
        </w:tc>
        <w:tc>
          <w:tcPr>
            <w:tcW w:w="5386" w:type="dxa"/>
            <w:vAlign w:val="center"/>
          </w:tcPr>
          <w:p>
            <w:pPr>
              <w:pStyle w:val="13"/>
              <w:ind w:firstLine="0" w:firstLineChars="0"/>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3"/>
              <w:ind w:firstLine="0" w:firstLineChars="0"/>
            </w:pPr>
            <w:r>
              <w:rPr>
                <w:rFonts w:hint="eastAsia"/>
                <w:lang w:val="en-US" w:eastAsia="zh-CN"/>
              </w:rPr>
              <w:t>1</w:t>
            </w:r>
            <w:r>
              <w:rPr>
                <w:rFonts w:hint="eastAsia"/>
                <w:lang w:eastAsia="zh-CN"/>
              </w:rPr>
              <w:t>项</w:t>
            </w:r>
          </w:p>
        </w:tc>
        <w:tc>
          <w:tcPr>
            <w:tcW w:w="1276" w:type="dxa"/>
            <w:vAlign w:val="center"/>
          </w:tcPr>
          <w:p>
            <w:pPr>
              <w:pStyle w:val="13"/>
              <w:ind w:firstLine="0" w:firstLineChars="0"/>
            </w:pPr>
            <w:r>
              <w:t>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ind w:firstLine="0" w:firstLineChars="0"/>
            </w:pPr>
            <w:r>
              <w:t>地下管网及配套设施提升</w:t>
            </w:r>
            <w:r>
              <w:rPr>
                <w:rFonts w:hint="eastAsia"/>
                <w:lang w:eastAsia="zh-CN"/>
              </w:rPr>
              <w:t>工程</w:t>
            </w:r>
            <w:r>
              <w:t>验收合格率</w:t>
            </w:r>
          </w:p>
        </w:tc>
        <w:tc>
          <w:tcPr>
            <w:tcW w:w="5386" w:type="dxa"/>
            <w:vAlign w:val="center"/>
          </w:tcPr>
          <w:p>
            <w:pPr>
              <w:pStyle w:val="13"/>
              <w:ind w:firstLine="0" w:firstLineChars="0"/>
            </w:pPr>
            <w:r>
              <w:t>地下管网及配套设施提升</w:t>
            </w:r>
            <w:r>
              <w:rPr>
                <w:rFonts w:hint="eastAsia"/>
                <w:lang w:eastAsia="zh-CN"/>
              </w:rPr>
              <w:t>工程</w:t>
            </w:r>
            <w:r>
              <w:t>验收合格率</w:t>
            </w:r>
          </w:p>
        </w:tc>
        <w:tc>
          <w:tcPr>
            <w:tcW w:w="2268" w:type="dxa"/>
            <w:vAlign w:val="center"/>
          </w:tcPr>
          <w:p>
            <w:pPr>
              <w:pStyle w:val="13"/>
              <w:ind w:firstLine="0" w:firstLineChars="0"/>
            </w:pPr>
            <w:r>
              <w:t>≥95%</w:t>
            </w:r>
          </w:p>
        </w:tc>
        <w:tc>
          <w:tcPr>
            <w:tcW w:w="1276" w:type="dxa"/>
            <w:vAlign w:val="center"/>
          </w:tcPr>
          <w:p>
            <w:pPr>
              <w:pStyle w:val="13"/>
              <w:ind w:firstLine="0" w:firstLineChars="0"/>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ind w:firstLine="0" w:firstLineChars="0"/>
            </w:pPr>
            <w:r>
              <w:t>地下管网及配套设施提升</w:t>
            </w:r>
            <w:r>
              <w:rPr>
                <w:rFonts w:hint="eastAsia"/>
                <w:lang w:eastAsia="zh-CN"/>
              </w:rPr>
              <w:t>工程</w:t>
            </w:r>
            <w:r>
              <w:t>资金完成支付时间</w:t>
            </w:r>
          </w:p>
        </w:tc>
        <w:tc>
          <w:tcPr>
            <w:tcW w:w="5386" w:type="dxa"/>
            <w:vAlign w:val="center"/>
          </w:tcPr>
          <w:p>
            <w:pPr>
              <w:pStyle w:val="13"/>
              <w:ind w:firstLine="0" w:firstLineChars="0"/>
            </w:pPr>
            <w:r>
              <w:t>地下管网及配套设施提升</w:t>
            </w:r>
            <w:r>
              <w:rPr>
                <w:rFonts w:hint="eastAsia"/>
                <w:lang w:eastAsia="zh-CN"/>
              </w:rPr>
              <w:t>工程</w:t>
            </w:r>
            <w:r>
              <w:t>资金完成支付时间</w:t>
            </w:r>
          </w:p>
        </w:tc>
        <w:tc>
          <w:tcPr>
            <w:tcW w:w="2268" w:type="dxa"/>
            <w:vAlign w:val="center"/>
          </w:tcPr>
          <w:p>
            <w:pPr>
              <w:pStyle w:val="13"/>
              <w:ind w:firstLine="0" w:firstLineChars="0"/>
            </w:pPr>
            <w:r>
              <w:t>202</w:t>
            </w:r>
            <w:r>
              <w:rPr>
                <w:rFonts w:hint="eastAsia"/>
                <w:lang w:val="en-US" w:eastAsia="zh-CN"/>
              </w:rPr>
              <w:t>6</w:t>
            </w:r>
            <w:r>
              <w:t>年年底前</w:t>
            </w:r>
          </w:p>
        </w:tc>
        <w:tc>
          <w:tcPr>
            <w:tcW w:w="1276"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3"/>
              <w:ind w:firstLine="0" w:firstLineChars="0"/>
            </w:pPr>
            <w:r>
              <w:t>≤</w:t>
            </w:r>
            <w:r>
              <w:rPr>
                <w:rFonts w:hint="eastAsia"/>
                <w:lang w:val="en-US" w:eastAsia="zh-CN"/>
              </w:rPr>
              <w:t>77.14</w:t>
            </w:r>
            <w:r>
              <w:t>万元</w:t>
            </w:r>
          </w:p>
        </w:tc>
        <w:tc>
          <w:tcPr>
            <w:tcW w:w="1276" w:type="dxa"/>
            <w:vAlign w:val="center"/>
          </w:tcPr>
          <w:p>
            <w:pPr>
              <w:pStyle w:val="13"/>
              <w:ind w:firstLine="0" w:firstLineChars="0"/>
            </w:pPr>
            <w:r>
              <w:t>结算定案表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ind w:firstLine="0" w:firstLineChars="0"/>
            </w:pPr>
            <w:r>
              <w:t>提升居民生活品质</w:t>
            </w:r>
          </w:p>
        </w:tc>
        <w:tc>
          <w:tcPr>
            <w:tcW w:w="5386" w:type="dxa"/>
            <w:vAlign w:val="center"/>
          </w:tcPr>
          <w:p>
            <w:pPr>
              <w:pStyle w:val="13"/>
              <w:ind w:firstLine="0" w:firstLineChars="0"/>
            </w:pPr>
            <w:r>
              <w:t>提升</w:t>
            </w:r>
            <w:r>
              <w:rPr>
                <w:rFonts w:hint="eastAsia"/>
                <w:lang w:eastAsia="zh-CN"/>
              </w:rPr>
              <w:t>城区</w:t>
            </w:r>
            <w:r>
              <w:t>基础设施及环境面貌，有效提升居民的生活品质</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ind w:firstLine="0" w:firstLineChars="0"/>
            </w:pPr>
            <w:r>
              <w:t>提高居民的幸福感</w:t>
            </w:r>
          </w:p>
        </w:tc>
        <w:tc>
          <w:tcPr>
            <w:tcW w:w="5386" w:type="dxa"/>
            <w:vAlign w:val="center"/>
          </w:tcPr>
          <w:p>
            <w:pPr>
              <w:pStyle w:val="13"/>
              <w:ind w:firstLine="0" w:firstLineChars="0"/>
            </w:pPr>
            <w:r>
              <w:t>提高居民的幸福感和获得感，为居民提供一个安全舒适，优美的生活环境</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ind w:firstLine="0" w:firstLineChars="0"/>
            </w:pPr>
            <w:r>
              <w:t>居民对</w:t>
            </w:r>
            <w:r>
              <w:rPr>
                <w:rFonts w:hint="eastAsia"/>
                <w:lang w:eastAsia="zh-CN"/>
              </w:rPr>
              <w:t>该项目</w:t>
            </w:r>
            <w:r>
              <w:t>的满意度</w:t>
            </w:r>
          </w:p>
        </w:tc>
        <w:tc>
          <w:tcPr>
            <w:tcW w:w="5386" w:type="dxa"/>
            <w:vAlign w:val="center"/>
          </w:tcPr>
          <w:p>
            <w:pPr>
              <w:pStyle w:val="13"/>
              <w:ind w:firstLine="0" w:firstLineChars="0"/>
            </w:pPr>
            <w:r>
              <w:t>居民对</w:t>
            </w:r>
            <w:r>
              <w:rPr>
                <w:rFonts w:hint="eastAsia"/>
                <w:lang w:eastAsia="zh-CN"/>
              </w:rPr>
              <w:t>该项目</w:t>
            </w:r>
            <w:r>
              <w:t>的满意度</w:t>
            </w:r>
          </w:p>
        </w:tc>
        <w:tc>
          <w:tcPr>
            <w:tcW w:w="2268" w:type="dxa"/>
            <w:vAlign w:val="center"/>
          </w:tcPr>
          <w:p>
            <w:pPr>
              <w:pStyle w:val="13"/>
              <w:ind w:firstLine="0" w:firstLineChars="0"/>
            </w:pPr>
            <w:r>
              <w:t>≥98%</w:t>
            </w:r>
          </w:p>
        </w:tc>
        <w:tc>
          <w:tcPr>
            <w:tcW w:w="1276" w:type="dxa"/>
            <w:vAlign w:val="center"/>
          </w:tcPr>
          <w:p>
            <w:pPr>
              <w:pStyle w:val="13"/>
              <w:ind w:firstLine="0" w:firstLineChars="0"/>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12、新西村中路地下管网及配套设施提升工程EPC总承包费用绩效目标表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13010724P000122100282</w:t>
            </w:r>
          </w:p>
        </w:tc>
        <w:tc>
          <w:tcPr>
            <w:tcW w:w="2835" w:type="dxa"/>
            <w:vAlign w:val="center"/>
          </w:tcPr>
          <w:p>
            <w:pPr>
              <w:pStyle w:val="11"/>
            </w:pPr>
            <w:r>
              <w:t>项目名称</w:t>
            </w:r>
          </w:p>
        </w:tc>
        <w:tc>
          <w:tcPr>
            <w:tcW w:w="6095" w:type="dxa"/>
            <w:gridSpan w:val="3"/>
            <w:vAlign w:val="center"/>
          </w:tcPr>
          <w:p>
            <w:pPr>
              <w:pStyle w:val="13"/>
            </w:pPr>
            <w:r>
              <w:t>新西村中路地下管网及配套设施提升工程EPC总承包费用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189.72</w:t>
            </w:r>
          </w:p>
        </w:tc>
        <w:tc>
          <w:tcPr>
            <w:tcW w:w="2835" w:type="dxa"/>
            <w:vAlign w:val="center"/>
          </w:tcPr>
          <w:p>
            <w:pPr>
              <w:pStyle w:val="11"/>
            </w:pPr>
            <w:r>
              <w:t>其中：财政    资金</w:t>
            </w:r>
          </w:p>
        </w:tc>
        <w:tc>
          <w:tcPr>
            <w:tcW w:w="2551" w:type="dxa"/>
            <w:vAlign w:val="center"/>
          </w:tcPr>
          <w:p>
            <w:pPr>
              <w:pStyle w:val="13"/>
            </w:pPr>
            <w:r>
              <w:t>189.72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用于通过对新西村中路地下管网及配套设施提升工程EPC总承包进行改造，提升居民生活品质，提高居民的幸福感和获得感。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189.72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1.通过对通过对新西村中路地下管网及配套设施提升工程EPC总承包进行改造，提升居民生活品质，提高居民的幸福感和获得感。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ind w:firstLine="0" w:firstLineChars="0"/>
            </w:pPr>
            <w:r>
              <w:t>地下管网及配套设施提升</w:t>
            </w:r>
            <w:r>
              <w:rPr>
                <w:rFonts w:hint="eastAsia"/>
                <w:lang w:eastAsia="zh-CN"/>
              </w:rPr>
              <w:t>工程</w:t>
            </w:r>
          </w:p>
        </w:tc>
        <w:tc>
          <w:tcPr>
            <w:tcW w:w="5386" w:type="dxa"/>
            <w:vAlign w:val="center"/>
          </w:tcPr>
          <w:p>
            <w:pPr>
              <w:pStyle w:val="13"/>
              <w:ind w:firstLine="0" w:firstLineChars="0"/>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3"/>
              <w:ind w:firstLine="0" w:firstLineChars="0"/>
            </w:pPr>
            <w:r>
              <w:rPr>
                <w:rFonts w:hint="eastAsia"/>
                <w:lang w:val="en-US" w:eastAsia="zh-CN"/>
              </w:rPr>
              <w:t>1</w:t>
            </w:r>
            <w:r>
              <w:rPr>
                <w:rFonts w:hint="eastAsia"/>
                <w:lang w:eastAsia="zh-CN"/>
              </w:rPr>
              <w:t>项</w:t>
            </w:r>
          </w:p>
        </w:tc>
        <w:tc>
          <w:tcPr>
            <w:tcW w:w="1276" w:type="dxa"/>
            <w:vAlign w:val="center"/>
          </w:tcPr>
          <w:p>
            <w:pPr>
              <w:pStyle w:val="13"/>
              <w:ind w:firstLine="0" w:firstLineChars="0"/>
            </w:pPr>
            <w:r>
              <w:t>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ind w:firstLine="0" w:firstLineChars="0"/>
            </w:pPr>
            <w:r>
              <w:t>地下管网及配套设施提升</w:t>
            </w:r>
            <w:r>
              <w:rPr>
                <w:rFonts w:hint="eastAsia"/>
                <w:lang w:eastAsia="zh-CN"/>
              </w:rPr>
              <w:t>工程</w:t>
            </w:r>
            <w:r>
              <w:t>验收合格率</w:t>
            </w:r>
          </w:p>
        </w:tc>
        <w:tc>
          <w:tcPr>
            <w:tcW w:w="5386" w:type="dxa"/>
            <w:vAlign w:val="center"/>
          </w:tcPr>
          <w:p>
            <w:pPr>
              <w:pStyle w:val="13"/>
              <w:ind w:firstLine="0" w:firstLineChars="0"/>
            </w:pPr>
            <w:r>
              <w:t>地下管网及配套设施提升</w:t>
            </w:r>
            <w:r>
              <w:rPr>
                <w:rFonts w:hint="eastAsia"/>
                <w:lang w:eastAsia="zh-CN"/>
              </w:rPr>
              <w:t>工程</w:t>
            </w:r>
            <w:r>
              <w:t>验收合格率</w:t>
            </w:r>
          </w:p>
        </w:tc>
        <w:tc>
          <w:tcPr>
            <w:tcW w:w="2268" w:type="dxa"/>
            <w:vAlign w:val="center"/>
          </w:tcPr>
          <w:p>
            <w:pPr>
              <w:pStyle w:val="13"/>
              <w:ind w:firstLine="0" w:firstLineChars="0"/>
            </w:pPr>
            <w:r>
              <w:t>≥95%</w:t>
            </w:r>
          </w:p>
        </w:tc>
        <w:tc>
          <w:tcPr>
            <w:tcW w:w="1276" w:type="dxa"/>
            <w:vAlign w:val="center"/>
          </w:tcPr>
          <w:p>
            <w:pPr>
              <w:pStyle w:val="13"/>
              <w:ind w:firstLine="0" w:firstLineChars="0"/>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ind w:firstLine="0" w:firstLineChars="0"/>
            </w:pPr>
            <w:r>
              <w:t>地下管网及配套设施提升</w:t>
            </w:r>
            <w:r>
              <w:rPr>
                <w:rFonts w:hint="eastAsia"/>
                <w:lang w:eastAsia="zh-CN"/>
              </w:rPr>
              <w:t>工程</w:t>
            </w:r>
            <w:r>
              <w:t>资金完成支付时间</w:t>
            </w:r>
          </w:p>
        </w:tc>
        <w:tc>
          <w:tcPr>
            <w:tcW w:w="5386" w:type="dxa"/>
            <w:vAlign w:val="center"/>
          </w:tcPr>
          <w:p>
            <w:pPr>
              <w:pStyle w:val="13"/>
              <w:ind w:firstLine="0" w:firstLineChars="0"/>
            </w:pPr>
            <w:r>
              <w:t>地下管网及配套设施提升</w:t>
            </w:r>
            <w:r>
              <w:rPr>
                <w:rFonts w:hint="eastAsia"/>
                <w:lang w:eastAsia="zh-CN"/>
              </w:rPr>
              <w:t>工程</w:t>
            </w:r>
            <w:r>
              <w:t>资金完成支付时间</w:t>
            </w:r>
          </w:p>
        </w:tc>
        <w:tc>
          <w:tcPr>
            <w:tcW w:w="2268" w:type="dxa"/>
            <w:vAlign w:val="center"/>
          </w:tcPr>
          <w:p>
            <w:pPr>
              <w:pStyle w:val="13"/>
              <w:ind w:firstLine="0" w:firstLineChars="0"/>
            </w:pPr>
            <w:r>
              <w:t>202</w:t>
            </w:r>
            <w:r>
              <w:rPr>
                <w:rFonts w:hint="eastAsia"/>
                <w:lang w:val="en-US" w:eastAsia="zh-CN"/>
              </w:rPr>
              <w:t>6</w:t>
            </w:r>
            <w:r>
              <w:t>年年底前</w:t>
            </w:r>
          </w:p>
        </w:tc>
        <w:tc>
          <w:tcPr>
            <w:tcW w:w="1276" w:type="dxa"/>
            <w:vAlign w:val="center"/>
          </w:tcPr>
          <w:p>
            <w:pPr>
              <w:pStyle w:val="13"/>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3"/>
              <w:ind w:firstLine="0" w:firstLineChars="0"/>
            </w:pPr>
            <w:r>
              <w:t>≤</w:t>
            </w:r>
            <w:r>
              <w:rPr>
                <w:rFonts w:hint="eastAsia"/>
                <w:lang w:val="en-US" w:eastAsia="zh-CN"/>
              </w:rPr>
              <w:t>189.72</w:t>
            </w:r>
            <w:r>
              <w:t>万元</w:t>
            </w:r>
          </w:p>
        </w:tc>
        <w:tc>
          <w:tcPr>
            <w:tcW w:w="1276" w:type="dxa"/>
            <w:vAlign w:val="center"/>
          </w:tcPr>
          <w:p>
            <w:pPr>
              <w:pStyle w:val="13"/>
              <w:ind w:firstLine="0" w:firstLineChars="0"/>
            </w:pPr>
            <w:r>
              <w:t>结算定案表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ind w:firstLine="0" w:firstLineChars="0"/>
            </w:pPr>
            <w:r>
              <w:t>提升居民生活品质</w:t>
            </w:r>
          </w:p>
        </w:tc>
        <w:tc>
          <w:tcPr>
            <w:tcW w:w="5386" w:type="dxa"/>
            <w:vAlign w:val="center"/>
          </w:tcPr>
          <w:p>
            <w:pPr>
              <w:pStyle w:val="13"/>
              <w:ind w:firstLine="0" w:firstLineChars="0"/>
            </w:pPr>
            <w:r>
              <w:t>提升</w:t>
            </w:r>
            <w:r>
              <w:rPr>
                <w:rFonts w:hint="eastAsia"/>
                <w:lang w:eastAsia="zh-CN"/>
              </w:rPr>
              <w:t>城区</w:t>
            </w:r>
            <w:r>
              <w:t>基础设施及环境面貌，有效提升居民的生活品质</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ind w:firstLine="0" w:firstLineChars="0"/>
            </w:pPr>
            <w:r>
              <w:t>提高居民的幸福感</w:t>
            </w:r>
          </w:p>
        </w:tc>
        <w:tc>
          <w:tcPr>
            <w:tcW w:w="5386" w:type="dxa"/>
            <w:vAlign w:val="center"/>
          </w:tcPr>
          <w:p>
            <w:pPr>
              <w:pStyle w:val="13"/>
              <w:ind w:firstLine="0" w:firstLineChars="0"/>
            </w:pPr>
            <w:r>
              <w:t>提高居民的幸福感和获得感，为居民提供一个安全舒适，优美的生活环境</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ind w:firstLine="0" w:firstLineChars="0"/>
            </w:pPr>
            <w:r>
              <w:t>居民对</w:t>
            </w:r>
            <w:r>
              <w:rPr>
                <w:rFonts w:hint="eastAsia"/>
                <w:lang w:eastAsia="zh-CN"/>
              </w:rPr>
              <w:t>该项目</w:t>
            </w:r>
            <w:r>
              <w:t>的满意度</w:t>
            </w:r>
          </w:p>
        </w:tc>
        <w:tc>
          <w:tcPr>
            <w:tcW w:w="5386" w:type="dxa"/>
            <w:vAlign w:val="center"/>
          </w:tcPr>
          <w:p>
            <w:pPr>
              <w:pStyle w:val="13"/>
              <w:ind w:firstLine="0" w:firstLineChars="0"/>
            </w:pPr>
            <w:r>
              <w:t>居民对</w:t>
            </w:r>
            <w:r>
              <w:rPr>
                <w:rFonts w:hint="eastAsia"/>
                <w:lang w:eastAsia="zh-CN"/>
              </w:rPr>
              <w:t>该项目</w:t>
            </w:r>
            <w:r>
              <w:t>的满意度</w:t>
            </w:r>
          </w:p>
        </w:tc>
        <w:tc>
          <w:tcPr>
            <w:tcW w:w="2268" w:type="dxa"/>
            <w:vAlign w:val="center"/>
          </w:tcPr>
          <w:p>
            <w:pPr>
              <w:pStyle w:val="13"/>
              <w:ind w:firstLine="0" w:firstLineChars="0"/>
            </w:pPr>
            <w:r>
              <w:t>≥98%</w:t>
            </w:r>
          </w:p>
        </w:tc>
        <w:tc>
          <w:tcPr>
            <w:tcW w:w="1276" w:type="dxa"/>
            <w:vAlign w:val="center"/>
          </w:tcPr>
          <w:p>
            <w:pPr>
              <w:pStyle w:val="13"/>
              <w:ind w:firstLine="0" w:firstLineChars="0"/>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13、星河湾保障房物业服务绩效目标表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13010726P00021110017A</w:t>
            </w:r>
          </w:p>
        </w:tc>
        <w:tc>
          <w:tcPr>
            <w:tcW w:w="2835" w:type="dxa"/>
            <w:vAlign w:val="center"/>
          </w:tcPr>
          <w:p>
            <w:pPr>
              <w:pStyle w:val="11"/>
            </w:pPr>
            <w:r>
              <w:t>项目名称</w:t>
            </w:r>
          </w:p>
        </w:tc>
        <w:tc>
          <w:tcPr>
            <w:tcW w:w="6095" w:type="dxa"/>
            <w:gridSpan w:val="3"/>
            <w:vAlign w:val="center"/>
          </w:tcPr>
          <w:p>
            <w:pPr>
              <w:pStyle w:val="13"/>
            </w:pPr>
            <w:r>
              <w:t>星河湾保障房物业服务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12.20</w:t>
            </w:r>
          </w:p>
        </w:tc>
        <w:tc>
          <w:tcPr>
            <w:tcW w:w="2835" w:type="dxa"/>
            <w:vAlign w:val="center"/>
          </w:tcPr>
          <w:p>
            <w:pPr>
              <w:pStyle w:val="11"/>
            </w:pPr>
            <w:r>
              <w:t>其中：财政    资金</w:t>
            </w:r>
          </w:p>
        </w:tc>
        <w:tc>
          <w:tcPr>
            <w:tcW w:w="2551" w:type="dxa"/>
            <w:vAlign w:val="center"/>
          </w:tcPr>
          <w:p>
            <w:pPr>
              <w:pStyle w:val="13"/>
            </w:pPr>
            <w:r>
              <w:t>12.20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用于星河湾保障房物业服务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3.05</w:t>
            </w:r>
          </w:p>
        </w:tc>
        <w:tc>
          <w:tcPr>
            <w:tcW w:w="2835" w:type="dxa"/>
            <w:vAlign w:val="center"/>
          </w:tcPr>
          <w:p>
            <w:pPr>
              <w:pStyle w:val="14"/>
            </w:pPr>
            <w:r>
              <w:t>6.10</w:t>
            </w:r>
          </w:p>
        </w:tc>
        <w:tc>
          <w:tcPr>
            <w:tcW w:w="2551" w:type="dxa"/>
            <w:vAlign w:val="center"/>
          </w:tcPr>
          <w:p>
            <w:pPr>
              <w:pStyle w:val="14"/>
            </w:pPr>
            <w:r>
              <w:t>9.15</w:t>
            </w:r>
          </w:p>
        </w:tc>
        <w:tc>
          <w:tcPr>
            <w:tcW w:w="3544" w:type="dxa"/>
            <w:gridSpan w:val="2"/>
            <w:vAlign w:val="center"/>
          </w:tcPr>
          <w:p>
            <w:pPr>
              <w:pStyle w:val="14"/>
            </w:pPr>
            <w:r>
              <w:t>12.20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1.通过支付星河湾保障房物业服务费，提升保障房安全、卫生公共设施完好水平，保障居民正常生活，提升居民舒适度幸福感。</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星河湾保障房户数</w:t>
            </w:r>
          </w:p>
        </w:tc>
        <w:tc>
          <w:tcPr>
            <w:tcW w:w="5386" w:type="dxa"/>
            <w:vAlign w:val="center"/>
          </w:tcPr>
          <w:p>
            <w:pPr>
              <w:pStyle w:val="13"/>
            </w:pPr>
            <w:r>
              <w:t>星河湾保障房户数</w:t>
            </w:r>
          </w:p>
        </w:tc>
        <w:tc>
          <w:tcPr>
            <w:tcW w:w="2268" w:type="dxa"/>
            <w:vAlign w:val="center"/>
          </w:tcPr>
          <w:p>
            <w:pPr>
              <w:pStyle w:val="13"/>
            </w:pPr>
            <w:r>
              <w:t>≤110户</w:t>
            </w:r>
          </w:p>
        </w:tc>
        <w:tc>
          <w:tcPr>
            <w:tcW w:w="1276" w:type="dxa"/>
            <w:vAlign w:val="center"/>
          </w:tcPr>
          <w:p>
            <w:pPr>
              <w:pStyle w:val="13"/>
            </w:pPr>
            <w:r>
              <w:t>星河湾户数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物业服务工作任务完成率</w:t>
            </w:r>
          </w:p>
        </w:tc>
        <w:tc>
          <w:tcPr>
            <w:tcW w:w="5386" w:type="dxa"/>
            <w:vAlign w:val="center"/>
          </w:tcPr>
          <w:p>
            <w:pPr>
              <w:pStyle w:val="13"/>
            </w:pPr>
            <w:r>
              <w:t>物业服务工作任务完成率</w:t>
            </w:r>
          </w:p>
        </w:tc>
        <w:tc>
          <w:tcPr>
            <w:tcW w:w="2268" w:type="dxa"/>
            <w:vAlign w:val="center"/>
          </w:tcPr>
          <w:p>
            <w:pPr>
              <w:pStyle w:val="13"/>
            </w:pPr>
            <w:r>
              <w:t>≥95%</w:t>
            </w:r>
          </w:p>
        </w:tc>
        <w:tc>
          <w:tcPr>
            <w:tcW w:w="1276" w:type="dxa"/>
            <w:vAlign w:val="center"/>
          </w:tcPr>
          <w:p>
            <w:pPr>
              <w:pStyle w:val="13"/>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物业服务成本</w:t>
            </w:r>
          </w:p>
        </w:tc>
        <w:tc>
          <w:tcPr>
            <w:tcW w:w="5386" w:type="dxa"/>
            <w:vAlign w:val="center"/>
          </w:tcPr>
          <w:p>
            <w:pPr>
              <w:pStyle w:val="13"/>
            </w:pPr>
            <w:r>
              <w:t>物业服务成本</w:t>
            </w:r>
          </w:p>
        </w:tc>
        <w:tc>
          <w:tcPr>
            <w:tcW w:w="2268" w:type="dxa"/>
            <w:vAlign w:val="center"/>
          </w:tcPr>
          <w:p>
            <w:pPr>
              <w:pStyle w:val="13"/>
            </w:pPr>
            <w:r>
              <w:t>≤12.2万元</w:t>
            </w:r>
          </w:p>
        </w:tc>
        <w:tc>
          <w:tcPr>
            <w:tcW w:w="1276" w:type="dxa"/>
            <w:vAlign w:val="center"/>
          </w:tcPr>
          <w:p>
            <w:pPr>
              <w:pStyle w:val="13"/>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保障小区住户的便利性，提高居民生活质量</w:t>
            </w:r>
          </w:p>
        </w:tc>
        <w:tc>
          <w:tcPr>
            <w:tcW w:w="2268" w:type="dxa"/>
            <w:vAlign w:val="center"/>
          </w:tcPr>
          <w:p>
            <w:pPr>
              <w:pStyle w:val="13"/>
            </w:pPr>
            <w:r>
              <w:t>较上年提高</w:t>
            </w: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小区居民满意度</w:t>
            </w:r>
          </w:p>
        </w:tc>
        <w:tc>
          <w:tcPr>
            <w:tcW w:w="5386" w:type="dxa"/>
            <w:vAlign w:val="center"/>
          </w:tcPr>
          <w:p>
            <w:pPr>
              <w:pStyle w:val="13"/>
            </w:pPr>
            <w:r>
              <w:t>小区居民满意度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14、云视频系统移动终端年费绩效目标表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13010726P00002510082R</w:t>
            </w:r>
          </w:p>
        </w:tc>
        <w:tc>
          <w:tcPr>
            <w:tcW w:w="2835" w:type="dxa"/>
            <w:vAlign w:val="center"/>
          </w:tcPr>
          <w:p>
            <w:pPr>
              <w:pStyle w:val="11"/>
            </w:pPr>
            <w:r>
              <w:t>项目名称</w:t>
            </w:r>
          </w:p>
        </w:tc>
        <w:tc>
          <w:tcPr>
            <w:tcW w:w="6095" w:type="dxa"/>
            <w:gridSpan w:val="3"/>
            <w:vAlign w:val="center"/>
          </w:tcPr>
          <w:p>
            <w:pPr>
              <w:pStyle w:val="13"/>
            </w:pPr>
            <w:r>
              <w:t>云视频系统移动终端年费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用于云视频系统年费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0.84</w:t>
            </w:r>
          </w:p>
        </w:tc>
        <w:tc>
          <w:tcPr>
            <w:tcW w:w="2551" w:type="dxa"/>
            <w:vAlign w:val="center"/>
          </w:tcPr>
          <w:p>
            <w:pPr>
              <w:pStyle w:val="14"/>
            </w:pPr>
            <w:r>
              <w:t xml:space="preserve"> </w:t>
            </w:r>
          </w:p>
        </w:tc>
        <w:tc>
          <w:tcPr>
            <w:tcW w:w="3544" w:type="dxa"/>
            <w:gridSpan w:val="2"/>
            <w:vAlign w:val="center"/>
          </w:tcPr>
          <w:p>
            <w:pPr>
              <w:pStyle w:val="14"/>
            </w:pPr>
            <w:r>
              <w:t>0.84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1.通过租用云视频建设本单位视频会议系统，实现视频会议需求，提升视频会议及时性，提高工作效率。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云视频系统建设</w:t>
            </w:r>
          </w:p>
        </w:tc>
        <w:tc>
          <w:tcPr>
            <w:tcW w:w="5386" w:type="dxa"/>
            <w:vAlign w:val="center"/>
          </w:tcPr>
          <w:p>
            <w:pPr>
              <w:pStyle w:val="13"/>
            </w:pPr>
            <w:r>
              <w:t>云视频系统建设</w:t>
            </w:r>
          </w:p>
        </w:tc>
        <w:tc>
          <w:tcPr>
            <w:tcW w:w="2268" w:type="dxa"/>
            <w:vAlign w:val="center"/>
          </w:tcPr>
          <w:p>
            <w:pPr>
              <w:pStyle w:val="13"/>
            </w:pPr>
            <w:r>
              <w:t>≥1项</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云视频系统工作完成时间</w:t>
            </w:r>
          </w:p>
        </w:tc>
        <w:tc>
          <w:tcPr>
            <w:tcW w:w="5386" w:type="dxa"/>
            <w:vAlign w:val="center"/>
          </w:tcPr>
          <w:p>
            <w:pPr>
              <w:pStyle w:val="13"/>
            </w:pPr>
            <w:r>
              <w:t>云视频系统工作完成时间</w:t>
            </w:r>
          </w:p>
        </w:tc>
        <w:tc>
          <w:tcPr>
            <w:tcW w:w="2268" w:type="dxa"/>
            <w:vAlign w:val="center"/>
          </w:tcPr>
          <w:p>
            <w:pPr>
              <w:pStyle w:val="13"/>
            </w:pPr>
            <w:r>
              <w:t>2026年年底前</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支付云视频成本</w:t>
            </w:r>
          </w:p>
        </w:tc>
        <w:tc>
          <w:tcPr>
            <w:tcW w:w="5386" w:type="dxa"/>
            <w:vAlign w:val="center"/>
          </w:tcPr>
          <w:p>
            <w:pPr>
              <w:pStyle w:val="13"/>
            </w:pPr>
            <w:r>
              <w:t>支付云视频成本</w:t>
            </w:r>
          </w:p>
        </w:tc>
        <w:tc>
          <w:tcPr>
            <w:tcW w:w="2268" w:type="dxa"/>
            <w:vAlign w:val="center"/>
          </w:tcPr>
          <w:p>
            <w:pPr>
              <w:pStyle w:val="13"/>
            </w:pPr>
            <w:r>
              <w:t>≤0.84万元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促进建筑工地管理能力</w:t>
            </w:r>
          </w:p>
        </w:tc>
        <w:tc>
          <w:tcPr>
            <w:tcW w:w="5386" w:type="dxa"/>
            <w:vAlign w:val="center"/>
          </w:tcPr>
          <w:p>
            <w:pPr>
              <w:pStyle w:val="13"/>
            </w:pPr>
            <w:r>
              <w:t>促进建筑工地管理能力</w:t>
            </w:r>
          </w:p>
        </w:tc>
        <w:tc>
          <w:tcPr>
            <w:tcW w:w="2268" w:type="dxa"/>
            <w:vAlign w:val="center"/>
          </w:tcPr>
          <w:p>
            <w:pPr>
              <w:pStyle w:val="13"/>
            </w:pPr>
            <w:r>
              <w:t>有效促进建筑工地管理能力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15、政务外网、视频平台服务费绩效目标表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13010726P00002510078K</w:t>
            </w:r>
          </w:p>
        </w:tc>
        <w:tc>
          <w:tcPr>
            <w:tcW w:w="2835" w:type="dxa"/>
            <w:vAlign w:val="center"/>
          </w:tcPr>
          <w:p>
            <w:pPr>
              <w:pStyle w:val="11"/>
            </w:pPr>
            <w:r>
              <w:t>项目名称</w:t>
            </w:r>
          </w:p>
        </w:tc>
        <w:tc>
          <w:tcPr>
            <w:tcW w:w="6095" w:type="dxa"/>
            <w:gridSpan w:val="3"/>
            <w:vAlign w:val="center"/>
          </w:tcPr>
          <w:p>
            <w:pPr>
              <w:pStyle w:val="13"/>
            </w:pPr>
            <w:r>
              <w:t>政务外网、视频平台服务费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用于政务外网视频平台服务费用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4.30</w:t>
            </w:r>
          </w:p>
        </w:tc>
        <w:tc>
          <w:tcPr>
            <w:tcW w:w="2551" w:type="dxa"/>
            <w:vAlign w:val="center"/>
          </w:tcPr>
          <w:p>
            <w:pPr>
              <w:pStyle w:val="14"/>
            </w:pPr>
            <w:r>
              <w:t xml:space="preserve"> </w:t>
            </w:r>
          </w:p>
        </w:tc>
        <w:tc>
          <w:tcPr>
            <w:tcW w:w="3544" w:type="dxa"/>
            <w:gridSpan w:val="2"/>
            <w:vAlign w:val="center"/>
          </w:tcPr>
          <w:p>
            <w:pPr>
              <w:pStyle w:val="14"/>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1.通过建立视频监控平台，实现工地视频数据自行录入监管，提升建设工程信息化、智能化管理水平。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建设工程指挥调度中心</w:t>
            </w:r>
          </w:p>
        </w:tc>
        <w:tc>
          <w:tcPr>
            <w:tcW w:w="5386" w:type="dxa"/>
            <w:vAlign w:val="center"/>
          </w:tcPr>
          <w:p>
            <w:pPr>
              <w:pStyle w:val="13"/>
            </w:pPr>
            <w:r>
              <w:t>建设工程指挥调度中心</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方正书宋_GBK"/>
                <w:lang w:eastAsia="zh-CN"/>
              </w:rPr>
            </w:pPr>
            <w:r>
              <w:rPr>
                <w:rFonts w:hint="eastAsia"/>
                <w:lang w:eastAsia="zh-CN"/>
              </w:rPr>
              <w:t>政务外网服务费时效</w:t>
            </w:r>
          </w:p>
        </w:tc>
        <w:tc>
          <w:tcPr>
            <w:tcW w:w="5386" w:type="dxa"/>
            <w:vAlign w:val="center"/>
          </w:tcPr>
          <w:p>
            <w:pPr>
              <w:pStyle w:val="13"/>
            </w:pPr>
            <w:r>
              <w:rPr>
                <w:rFonts w:hint="eastAsia"/>
                <w:lang w:eastAsia="zh-CN"/>
              </w:rPr>
              <w:t>政务外网服务费时效</w:t>
            </w:r>
          </w:p>
        </w:tc>
        <w:tc>
          <w:tcPr>
            <w:tcW w:w="2268" w:type="dxa"/>
            <w:vAlign w:val="center"/>
          </w:tcPr>
          <w:p>
            <w:pPr>
              <w:pStyle w:val="13"/>
              <w:rPr>
                <w:rFonts w:hint="default" w:eastAsia="方正书宋_GBK"/>
                <w:lang w:val="en-US" w:eastAsia="zh-CN"/>
              </w:rPr>
            </w:pPr>
            <w:r>
              <w:rPr>
                <w:rFonts w:hint="eastAsia"/>
                <w:lang w:val="en-US" w:eastAsia="zh-CN"/>
              </w:rPr>
              <w:t>2026年全年</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政务外网视频平台服务项目成本</w:t>
            </w:r>
          </w:p>
        </w:tc>
        <w:tc>
          <w:tcPr>
            <w:tcW w:w="5386" w:type="dxa"/>
            <w:vAlign w:val="center"/>
          </w:tcPr>
          <w:p>
            <w:pPr>
              <w:pStyle w:val="13"/>
            </w:pPr>
            <w:r>
              <w:t>政务外网视频平台服务项目成本</w:t>
            </w:r>
          </w:p>
        </w:tc>
        <w:tc>
          <w:tcPr>
            <w:tcW w:w="2268" w:type="dxa"/>
            <w:vAlign w:val="center"/>
          </w:tcPr>
          <w:p>
            <w:pPr>
              <w:pStyle w:val="13"/>
            </w:pPr>
            <w:r>
              <w:t>≤4.3万元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方正书宋_GBK"/>
                <w:lang w:eastAsia="zh-CN"/>
              </w:rPr>
            </w:pPr>
            <w:r>
              <w:rPr>
                <w:rFonts w:hint="eastAsia"/>
                <w:lang w:eastAsia="zh-CN"/>
              </w:rPr>
              <w:t>跨部门协同办公，</w:t>
            </w:r>
            <w:r>
              <w:t>促进</w:t>
            </w:r>
            <w:r>
              <w:rPr>
                <w:rFonts w:hint="eastAsia"/>
                <w:lang w:eastAsia="zh-CN"/>
              </w:rPr>
              <w:t>政务办事效率</w:t>
            </w:r>
          </w:p>
        </w:tc>
        <w:tc>
          <w:tcPr>
            <w:tcW w:w="5386" w:type="dxa"/>
            <w:vAlign w:val="center"/>
          </w:tcPr>
          <w:p>
            <w:pPr>
              <w:pStyle w:val="13"/>
            </w:pPr>
            <w:r>
              <w:rPr>
                <w:rFonts w:hint="eastAsia"/>
                <w:lang w:eastAsia="zh-CN"/>
              </w:rPr>
              <w:t>跨部门协同办公，</w:t>
            </w:r>
            <w:r>
              <w:t>促进</w:t>
            </w:r>
            <w:r>
              <w:rPr>
                <w:rFonts w:hint="eastAsia"/>
                <w:lang w:eastAsia="zh-CN"/>
              </w:rPr>
              <w:t>政务办事效率</w:t>
            </w:r>
          </w:p>
        </w:tc>
        <w:tc>
          <w:tcPr>
            <w:tcW w:w="2268" w:type="dxa"/>
            <w:vAlign w:val="center"/>
          </w:tcPr>
          <w:p>
            <w:pPr>
              <w:pStyle w:val="13"/>
            </w:pPr>
            <w:r>
              <w:t>较上年提升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单位</w:t>
            </w:r>
            <w:r>
              <w:t>满意度</w:t>
            </w:r>
          </w:p>
        </w:tc>
        <w:tc>
          <w:tcPr>
            <w:tcW w:w="5386" w:type="dxa"/>
            <w:vAlign w:val="center"/>
          </w:tcPr>
          <w:p>
            <w:pPr>
              <w:pStyle w:val="13"/>
            </w:pPr>
            <w:r>
              <w:rPr>
                <w:rFonts w:hint="eastAsia"/>
                <w:lang w:eastAsia="zh-CN"/>
              </w:rPr>
              <w:t>单位</w:t>
            </w:r>
            <w:r>
              <w:t>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16、住建局劳务外包费用绩效目标表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13010726P00021010374W</w:t>
            </w:r>
          </w:p>
        </w:tc>
        <w:tc>
          <w:tcPr>
            <w:tcW w:w="2835" w:type="dxa"/>
            <w:vAlign w:val="center"/>
          </w:tcPr>
          <w:p>
            <w:pPr>
              <w:pStyle w:val="11"/>
            </w:pPr>
            <w:r>
              <w:t>项目名称</w:t>
            </w:r>
          </w:p>
        </w:tc>
        <w:tc>
          <w:tcPr>
            <w:tcW w:w="6095" w:type="dxa"/>
            <w:gridSpan w:val="3"/>
            <w:vAlign w:val="center"/>
          </w:tcPr>
          <w:p>
            <w:pPr>
              <w:pStyle w:val="13"/>
            </w:pPr>
            <w:r>
              <w:t>住建局劳务外包费用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10.99</w:t>
            </w:r>
          </w:p>
        </w:tc>
        <w:tc>
          <w:tcPr>
            <w:tcW w:w="2835" w:type="dxa"/>
            <w:vAlign w:val="center"/>
          </w:tcPr>
          <w:p>
            <w:pPr>
              <w:pStyle w:val="11"/>
            </w:pPr>
            <w:r>
              <w:t>其中：财政    资金</w:t>
            </w:r>
          </w:p>
        </w:tc>
        <w:tc>
          <w:tcPr>
            <w:tcW w:w="2551" w:type="dxa"/>
            <w:vAlign w:val="center"/>
          </w:tcPr>
          <w:p>
            <w:pPr>
              <w:pStyle w:val="13"/>
            </w:pPr>
            <w:r>
              <w:t>10.99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用于发放劳务外包人员工资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2.80</w:t>
            </w:r>
          </w:p>
        </w:tc>
        <w:tc>
          <w:tcPr>
            <w:tcW w:w="2835" w:type="dxa"/>
            <w:vAlign w:val="center"/>
          </w:tcPr>
          <w:p>
            <w:pPr>
              <w:pStyle w:val="14"/>
            </w:pPr>
            <w:r>
              <w:t>5.60</w:t>
            </w:r>
          </w:p>
        </w:tc>
        <w:tc>
          <w:tcPr>
            <w:tcW w:w="2551" w:type="dxa"/>
            <w:vAlign w:val="center"/>
          </w:tcPr>
          <w:p>
            <w:pPr>
              <w:pStyle w:val="14"/>
            </w:pPr>
            <w:r>
              <w:t>8.40</w:t>
            </w:r>
          </w:p>
        </w:tc>
        <w:tc>
          <w:tcPr>
            <w:tcW w:w="3544" w:type="dxa"/>
            <w:gridSpan w:val="2"/>
            <w:vAlign w:val="center"/>
          </w:tcPr>
          <w:p>
            <w:pPr>
              <w:pStyle w:val="14"/>
            </w:pPr>
            <w:r>
              <w:t>10.99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1.保障员工日常生活需求，确保局交办任务顺利完成</w:t>
            </w:r>
            <w:r>
              <w:tab/>
            </w:r>
          </w:p>
          <w:p>
            <w:pPr>
              <w:pStyle w:val="13"/>
            </w:pP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住建局门岗保安及劳务外包</w:t>
            </w:r>
          </w:p>
        </w:tc>
        <w:tc>
          <w:tcPr>
            <w:tcW w:w="5386" w:type="dxa"/>
            <w:vAlign w:val="center"/>
          </w:tcPr>
          <w:p>
            <w:pPr>
              <w:pStyle w:val="13"/>
            </w:pPr>
            <w:r>
              <w:t>住建局门岗保安及劳务外包7人</w:t>
            </w:r>
          </w:p>
        </w:tc>
        <w:tc>
          <w:tcPr>
            <w:tcW w:w="2268" w:type="dxa"/>
            <w:vAlign w:val="center"/>
          </w:tcPr>
          <w:p>
            <w:pPr>
              <w:pStyle w:val="13"/>
            </w:pPr>
            <w:r>
              <w:t>≤7人</w:t>
            </w:r>
          </w:p>
        </w:tc>
        <w:tc>
          <w:tcPr>
            <w:tcW w:w="1276" w:type="dxa"/>
            <w:vAlign w:val="center"/>
          </w:tcPr>
          <w:p>
            <w:pPr>
              <w:pStyle w:val="13"/>
            </w:pPr>
            <w:r>
              <w:t>工资表审批表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每月支付工资额</w:t>
            </w:r>
          </w:p>
        </w:tc>
        <w:tc>
          <w:tcPr>
            <w:tcW w:w="5386" w:type="dxa"/>
            <w:vAlign w:val="center"/>
          </w:tcPr>
          <w:p>
            <w:pPr>
              <w:pStyle w:val="13"/>
            </w:pPr>
            <w:r>
              <w:t>每月支付工资额</w:t>
            </w:r>
          </w:p>
        </w:tc>
        <w:tc>
          <w:tcPr>
            <w:tcW w:w="2268" w:type="dxa"/>
            <w:vAlign w:val="center"/>
          </w:tcPr>
          <w:p>
            <w:pPr>
              <w:pStyle w:val="13"/>
            </w:pPr>
            <w:r>
              <w:t>≤10.99万元</w:t>
            </w:r>
          </w:p>
        </w:tc>
        <w:tc>
          <w:tcPr>
            <w:tcW w:w="1276" w:type="dxa"/>
            <w:vAlign w:val="center"/>
          </w:tcPr>
          <w:p>
            <w:pPr>
              <w:pStyle w:val="13"/>
            </w:pPr>
            <w:r>
              <w:t>工资表审批表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工资发放完成时间</w:t>
            </w:r>
          </w:p>
        </w:tc>
        <w:tc>
          <w:tcPr>
            <w:tcW w:w="5386" w:type="dxa"/>
            <w:vAlign w:val="center"/>
          </w:tcPr>
          <w:p>
            <w:pPr>
              <w:pStyle w:val="13"/>
            </w:pPr>
            <w:r>
              <w:t>工资发放完成时间</w:t>
            </w:r>
          </w:p>
        </w:tc>
        <w:tc>
          <w:tcPr>
            <w:tcW w:w="2268" w:type="dxa"/>
            <w:vAlign w:val="center"/>
          </w:tcPr>
          <w:p>
            <w:pPr>
              <w:pStyle w:val="13"/>
              <w:rPr>
                <w:rFonts w:hint="eastAsia" w:eastAsia="方正书宋_GBK"/>
                <w:lang w:eastAsia="zh-CN"/>
              </w:rPr>
            </w:pPr>
            <w:r>
              <w:t>202</w:t>
            </w:r>
            <w:r>
              <w:rPr>
                <w:rFonts w:hint="eastAsia"/>
                <w:lang w:val="en-US" w:eastAsia="zh-CN"/>
              </w:rPr>
              <w:t>6</w:t>
            </w:r>
            <w:r>
              <w:t>年</w:t>
            </w:r>
            <w:r>
              <w:rPr>
                <w:rFonts w:hint="eastAsia"/>
                <w:lang w:eastAsia="zh-CN"/>
              </w:rP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年度考核合格率</w:t>
            </w:r>
          </w:p>
        </w:tc>
        <w:tc>
          <w:tcPr>
            <w:tcW w:w="5386" w:type="dxa"/>
            <w:vAlign w:val="center"/>
          </w:tcPr>
          <w:p>
            <w:pPr>
              <w:pStyle w:val="13"/>
            </w:pPr>
            <w:r>
              <w:t>年度考核合格率</w:t>
            </w:r>
          </w:p>
        </w:tc>
        <w:tc>
          <w:tcPr>
            <w:tcW w:w="2268" w:type="dxa"/>
            <w:vAlign w:val="center"/>
          </w:tcPr>
          <w:p>
            <w:pPr>
              <w:pStyle w:val="13"/>
            </w:pPr>
            <w:r>
              <w:t>≥100%</w:t>
            </w:r>
          </w:p>
        </w:tc>
        <w:tc>
          <w:tcPr>
            <w:tcW w:w="1276" w:type="dxa"/>
            <w:vAlign w:val="center"/>
          </w:tcPr>
          <w:p>
            <w:pPr>
              <w:pStyle w:val="13"/>
            </w:pPr>
            <w:r>
              <w:t>年度考核表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保障员工权益</w:t>
            </w:r>
          </w:p>
        </w:tc>
        <w:tc>
          <w:tcPr>
            <w:tcW w:w="5386" w:type="dxa"/>
            <w:vAlign w:val="center"/>
          </w:tcPr>
          <w:p>
            <w:pPr>
              <w:pStyle w:val="13"/>
            </w:pPr>
            <w:r>
              <w:t>通过按月发放工资，保障员工权益</w:t>
            </w:r>
          </w:p>
        </w:tc>
        <w:tc>
          <w:tcPr>
            <w:tcW w:w="2268" w:type="dxa"/>
            <w:vAlign w:val="center"/>
          </w:tcPr>
          <w:p>
            <w:pPr>
              <w:pStyle w:val="13"/>
            </w:pPr>
            <w:r>
              <w:t>有效保障员工权益</w:t>
            </w: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临时人员满意度</w:t>
            </w:r>
          </w:p>
        </w:tc>
        <w:tc>
          <w:tcPr>
            <w:tcW w:w="5386" w:type="dxa"/>
            <w:vAlign w:val="center"/>
          </w:tcPr>
          <w:p>
            <w:pPr>
              <w:pStyle w:val="13"/>
            </w:pPr>
            <w:r>
              <w:t>门岗及劳务派遣人员满意度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17、光缆租赁费绩效目标表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13010726P00002510073H</w:t>
            </w:r>
          </w:p>
        </w:tc>
        <w:tc>
          <w:tcPr>
            <w:tcW w:w="2835" w:type="dxa"/>
            <w:vAlign w:val="center"/>
          </w:tcPr>
          <w:p>
            <w:pPr>
              <w:pStyle w:val="11"/>
            </w:pPr>
            <w:r>
              <w:t>项目名称</w:t>
            </w:r>
          </w:p>
        </w:tc>
        <w:tc>
          <w:tcPr>
            <w:tcW w:w="6095" w:type="dxa"/>
            <w:gridSpan w:val="3"/>
            <w:vAlign w:val="center"/>
          </w:tcPr>
          <w:p>
            <w:pPr>
              <w:pStyle w:val="13"/>
            </w:pPr>
            <w:r>
              <w:t>光缆租赁费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通过维护1台终端设备，保障设备的正常运转，实现建立信号和信息的传输与存储。</w:t>
            </w:r>
            <w:r>
              <w:tab/>
            </w:r>
            <w:r>
              <w:tab/>
            </w:r>
            <w:r>
              <w:tab/>
            </w:r>
            <w:r>
              <w:tab/>
            </w:r>
            <w:r>
              <w:tab/>
            </w:r>
            <w:r>
              <w:tab/>
            </w:r>
          </w:p>
          <w:p>
            <w:pPr>
              <w:pStyle w:val="13"/>
            </w:pP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1.通过维护1台终端设备，保障设备的正常运转，实现建立信号和信息的传输与存储。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维护设备的数量/平台数量</w:t>
            </w:r>
          </w:p>
        </w:tc>
        <w:tc>
          <w:tcPr>
            <w:tcW w:w="5386" w:type="dxa"/>
            <w:vAlign w:val="center"/>
          </w:tcPr>
          <w:p>
            <w:pPr>
              <w:pStyle w:val="13"/>
            </w:pPr>
            <w:r>
              <w:t>维护设备的数量/平台数量</w:t>
            </w:r>
          </w:p>
        </w:tc>
        <w:tc>
          <w:tcPr>
            <w:tcW w:w="2268" w:type="dxa"/>
            <w:vAlign w:val="center"/>
          </w:tcPr>
          <w:p>
            <w:pPr>
              <w:pStyle w:val="13"/>
            </w:pPr>
            <w:r>
              <w:t>≥1台/个</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设备正常运行率</w:t>
            </w:r>
          </w:p>
        </w:tc>
        <w:tc>
          <w:tcPr>
            <w:tcW w:w="5386" w:type="dxa"/>
            <w:vAlign w:val="center"/>
          </w:tcPr>
          <w:p>
            <w:pPr>
              <w:pStyle w:val="13"/>
            </w:pPr>
            <w:r>
              <w:t>设备正常运行率</w:t>
            </w:r>
          </w:p>
        </w:tc>
        <w:tc>
          <w:tcPr>
            <w:tcW w:w="2268" w:type="dxa"/>
            <w:vAlign w:val="center"/>
          </w:tcPr>
          <w:p>
            <w:pPr>
              <w:pStyle w:val="13"/>
            </w:pPr>
            <w:r>
              <w:t>≥96%</w:t>
            </w:r>
          </w:p>
        </w:tc>
        <w:tc>
          <w:tcPr>
            <w:tcW w:w="1276" w:type="dxa"/>
            <w:vAlign w:val="center"/>
          </w:tcPr>
          <w:p>
            <w:pPr>
              <w:pStyle w:val="13"/>
            </w:pPr>
            <w:r>
              <w:t>信息信号传输运行标准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合同约定时限</w:t>
            </w:r>
          </w:p>
        </w:tc>
        <w:tc>
          <w:tcPr>
            <w:tcW w:w="5386" w:type="dxa"/>
            <w:vAlign w:val="center"/>
          </w:tcPr>
          <w:p>
            <w:pPr>
              <w:pStyle w:val="13"/>
            </w:pPr>
            <w:r>
              <w:t>合同约定时限</w:t>
            </w:r>
          </w:p>
        </w:tc>
        <w:tc>
          <w:tcPr>
            <w:tcW w:w="2268" w:type="dxa"/>
            <w:vAlign w:val="center"/>
          </w:tcPr>
          <w:p>
            <w:pPr>
              <w:pStyle w:val="13"/>
            </w:pPr>
            <w:r>
              <w:t>36月</w:t>
            </w:r>
          </w:p>
        </w:tc>
        <w:tc>
          <w:tcPr>
            <w:tcW w:w="1276" w:type="dxa"/>
            <w:vAlign w:val="center"/>
          </w:tcPr>
          <w:p>
            <w:pPr>
              <w:pStyle w:val="13"/>
            </w:pPr>
            <w:r>
              <w:t>信息信号传输运行标准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平均每年维护成本</w:t>
            </w:r>
          </w:p>
        </w:tc>
        <w:tc>
          <w:tcPr>
            <w:tcW w:w="5386" w:type="dxa"/>
            <w:vAlign w:val="center"/>
          </w:tcPr>
          <w:p>
            <w:pPr>
              <w:pStyle w:val="13"/>
            </w:pPr>
            <w:r>
              <w:t>平均每年维护成本</w:t>
            </w:r>
          </w:p>
        </w:tc>
        <w:tc>
          <w:tcPr>
            <w:tcW w:w="2268" w:type="dxa"/>
            <w:vAlign w:val="center"/>
          </w:tcPr>
          <w:p>
            <w:pPr>
              <w:pStyle w:val="13"/>
            </w:pPr>
            <w:r>
              <w:t>≤5万元</w:t>
            </w:r>
          </w:p>
        </w:tc>
        <w:tc>
          <w:tcPr>
            <w:tcW w:w="1276" w:type="dxa"/>
            <w:vAlign w:val="center"/>
          </w:tcPr>
          <w:p>
            <w:pPr>
              <w:pStyle w:val="13"/>
            </w:pPr>
            <w:r>
              <w:t>2026年年初预算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通过维护终端，保障信号正常传输</w:t>
            </w:r>
          </w:p>
        </w:tc>
        <w:tc>
          <w:tcPr>
            <w:tcW w:w="5386" w:type="dxa"/>
            <w:vAlign w:val="center"/>
          </w:tcPr>
          <w:p>
            <w:pPr>
              <w:pStyle w:val="13"/>
            </w:pPr>
            <w:r>
              <w:t>通过维护终端，保障信号正常传输</w:t>
            </w:r>
          </w:p>
        </w:tc>
        <w:tc>
          <w:tcPr>
            <w:tcW w:w="2268" w:type="dxa"/>
            <w:vAlign w:val="center"/>
          </w:tcPr>
          <w:p>
            <w:pPr>
              <w:pStyle w:val="13"/>
            </w:pPr>
            <w:r>
              <w:t>通过维护终端，保障信号正常传输</w:t>
            </w:r>
          </w:p>
          <w:p>
            <w:pPr>
              <w:pStyle w:val="13"/>
            </w:pPr>
          </w:p>
        </w:tc>
        <w:tc>
          <w:tcPr>
            <w:tcW w:w="1276" w:type="dxa"/>
            <w:vAlign w:val="center"/>
          </w:tcPr>
          <w:p>
            <w:pPr>
              <w:pStyle w:val="13"/>
            </w:pPr>
            <w:r>
              <w:t>金第三年来工作经验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18、一窗受理系统绩效目标表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13010726P00002510075Q</w:t>
            </w:r>
          </w:p>
        </w:tc>
        <w:tc>
          <w:tcPr>
            <w:tcW w:w="2835" w:type="dxa"/>
            <w:vAlign w:val="center"/>
          </w:tcPr>
          <w:p>
            <w:pPr>
              <w:pStyle w:val="11"/>
            </w:pPr>
            <w:r>
              <w:t>项目名称</w:t>
            </w:r>
          </w:p>
        </w:tc>
        <w:tc>
          <w:tcPr>
            <w:tcW w:w="6095" w:type="dxa"/>
            <w:gridSpan w:val="3"/>
            <w:vAlign w:val="center"/>
          </w:tcPr>
          <w:p>
            <w:pPr>
              <w:pStyle w:val="13"/>
            </w:pPr>
            <w:r>
              <w:t>一窗受理系统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通过房产交易登记“一窗受理”业务平台办理，达到切实便民利企，稳定市场预期目标，提升社会影响力。</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1.通过房产交易登记“一窗受理”业务平台办理，达到切实便民利企，稳定市场预期目标，提升社会影响力。</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系统运维数量</w:t>
            </w:r>
          </w:p>
        </w:tc>
        <w:tc>
          <w:tcPr>
            <w:tcW w:w="5386" w:type="dxa"/>
            <w:vAlign w:val="center"/>
          </w:tcPr>
          <w:p>
            <w:pPr>
              <w:pStyle w:val="13"/>
            </w:pPr>
            <w:r>
              <w:t>系统运维数量</w:t>
            </w:r>
          </w:p>
        </w:tc>
        <w:tc>
          <w:tcPr>
            <w:tcW w:w="2268" w:type="dxa"/>
            <w:vAlign w:val="center"/>
          </w:tcPr>
          <w:p>
            <w:pPr>
              <w:pStyle w:val="13"/>
            </w:pPr>
            <w:r>
              <w:t>≥1台/个</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综合事务管理工作完成率</w:t>
            </w:r>
          </w:p>
        </w:tc>
        <w:tc>
          <w:tcPr>
            <w:tcW w:w="5386" w:type="dxa"/>
            <w:vAlign w:val="center"/>
          </w:tcPr>
          <w:p>
            <w:pPr>
              <w:pStyle w:val="13"/>
            </w:pPr>
            <w:r>
              <w:t>综合事务管理工作完成率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系统运维及时性</w:t>
            </w:r>
          </w:p>
        </w:tc>
        <w:tc>
          <w:tcPr>
            <w:tcW w:w="5386" w:type="dxa"/>
            <w:vAlign w:val="center"/>
          </w:tcPr>
          <w:p>
            <w:pPr>
              <w:pStyle w:val="13"/>
            </w:pPr>
            <w:r>
              <w:t>系统运维及时性</w:t>
            </w:r>
          </w:p>
        </w:tc>
        <w:tc>
          <w:tcPr>
            <w:tcW w:w="2268" w:type="dxa"/>
            <w:vAlign w:val="center"/>
          </w:tcPr>
          <w:p>
            <w:pPr>
              <w:pStyle w:val="13"/>
            </w:pPr>
            <w:r>
              <w:t>≥98%</w:t>
            </w:r>
          </w:p>
        </w:tc>
        <w:tc>
          <w:tcPr>
            <w:tcW w:w="1276" w:type="dxa"/>
            <w:vAlign w:val="center"/>
          </w:tcPr>
          <w:p>
            <w:pPr>
              <w:pStyle w:val="13"/>
            </w:pPr>
            <w:r>
              <w:t>信号信息存储运行标准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≤20万元</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房产交易登记</w:t>
            </w:r>
          </w:p>
        </w:tc>
        <w:tc>
          <w:tcPr>
            <w:tcW w:w="5386" w:type="dxa"/>
            <w:vAlign w:val="center"/>
          </w:tcPr>
          <w:p>
            <w:pPr>
              <w:pStyle w:val="13"/>
            </w:pPr>
            <w:r>
              <w:t>持续保障全区房产办理工作顺利开展</w:t>
            </w:r>
          </w:p>
          <w:p>
            <w:pPr>
              <w:pStyle w:val="13"/>
            </w:pPr>
          </w:p>
        </w:tc>
        <w:tc>
          <w:tcPr>
            <w:tcW w:w="2268" w:type="dxa"/>
            <w:vAlign w:val="center"/>
          </w:tcPr>
          <w:p>
            <w:pPr>
              <w:pStyle w:val="13"/>
            </w:pPr>
            <w:r>
              <w:t>持续保障全区房产办理工作顺利开展</w:t>
            </w:r>
          </w:p>
          <w:p>
            <w:pPr>
              <w:pStyle w:val="13"/>
            </w:pPr>
          </w:p>
          <w:p>
            <w:pPr>
              <w:pStyle w:val="13"/>
            </w:pPr>
          </w:p>
        </w:tc>
        <w:tc>
          <w:tcPr>
            <w:tcW w:w="1276" w:type="dxa"/>
            <w:vAlign w:val="center"/>
          </w:tcPr>
          <w:p>
            <w:pPr>
              <w:pStyle w:val="13"/>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使用部门满意度</w:t>
            </w:r>
          </w:p>
        </w:tc>
        <w:tc>
          <w:tcPr>
            <w:tcW w:w="5386" w:type="dxa"/>
            <w:vAlign w:val="center"/>
          </w:tcPr>
          <w:p>
            <w:pPr>
              <w:pStyle w:val="13"/>
            </w:pPr>
            <w:r>
              <w:t>使用部门满意度</w:t>
            </w:r>
          </w:p>
        </w:tc>
        <w:tc>
          <w:tcPr>
            <w:tcW w:w="2268" w:type="dxa"/>
            <w:vAlign w:val="center"/>
          </w:tcPr>
          <w:p>
            <w:pPr>
              <w:pStyle w:val="13"/>
            </w:pPr>
            <w:r>
              <w:t>≥97%</w:t>
            </w:r>
          </w:p>
        </w:tc>
        <w:tc>
          <w:tcPr>
            <w:tcW w:w="1276" w:type="dxa"/>
            <w:vAlign w:val="center"/>
          </w:tcPr>
          <w:p>
            <w:pPr>
              <w:pStyle w:val="13"/>
            </w:pPr>
            <w:r>
              <w:t>是否持续保障全区房产办理工作开展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19、关于下达重点地区转型发展专项[资源型地区发展方向]—石家庄市井陉矿区采煤沉陷区横涧乡片区一期避险搬迁安置项目绩效目标表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13010726P00021110018X</w:t>
            </w:r>
          </w:p>
        </w:tc>
        <w:tc>
          <w:tcPr>
            <w:tcW w:w="2835" w:type="dxa"/>
            <w:vAlign w:val="center"/>
          </w:tcPr>
          <w:p>
            <w:pPr>
              <w:pStyle w:val="11"/>
            </w:pPr>
            <w:r>
              <w:t>项目名称</w:t>
            </w:r>
          </w:p>
        </w:tc>
        <w:tc>
          <w:tcPr>
            <w:tcW w:w="6095" w:type="dxa"/>
            <w:gridSpan w:val="3"/>
            <w:vAlign w:val="center"/>
          </w:tcPr>
          <w:p>
            <w:pPr>
              <w:pStyle w:val="13"/>
            </w:pPr>
            <w:r>
              <w:t>关于下达重点地区转型发展专项[资源型地区发展方向]—石家庄市井陉矿区采煤沉陷区横涧乡片区一期避险搬迁安置项目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5985.40</w:t>
            </w:r>
          </w:p>
        </w:tc>
        <w:tc>
          <w:tcPr>
            <w:tcW w:w="2835" w:type="dxa"/>
            <w:vAlign w:val="center"/>
          </w:tcPr>
          <w:p>
            <w:pPr>
              <w:pStyle w:val="11"/>
            </w:pPr>
            <w:r>
              <w:t>其中：财政    资金</w:t>
            </w:r>
          </w:p>
        </w:tc>
        <w:tc>
          <w:tcPr>
            <w:tcW w:w="2551" w:type="dxa"/>
            <w:vAlign w:val="center"/>
          </w:tcPr>
          <w:p>
            <w:pPr>
              <w:pStyle w:val="13"/>
            </w:pPr>
            <w:r>
              <w:t>5985.40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用于采煤沉陷区横涧乡片区一期避险搬迁安置项目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3000.00</w:t>
            </w:r>
          </w:p>
        </w:tc>
        <w:tc>
          <w:tcPr>
            <w:tcW w:w="2551" w:type="dxa"/>
            <w:vAlign w:val="center"/>
          </w:tcPr>
          <w:p>
            <w:pPr>
              <w:pStyle w:val="14"/>
            </w:pPr>
            <w:r>
              <w:t xml:space="preserve"> </w:t>
            </w:r>
          </w:p>
        </w:tc>
        <w:tc>
          <w:tcPr>
            <w:tcW w:w="3544" w:type="dxa"/>
            <w:gridSpan w:val="2"/>
            <w:vAlign w:val="center"/>
          </w:tcPr>
          <w:p>
            <w:pPr>
              <w:pStyle w:val="14"/>
            </w:pPr>
            <w:r>
              <w:t>5985.40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1.通过实施采煤沉陷区横涧乡片区一期避险搬迁安置项目，改善居民居住环境，提高居民生活品质。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建设安置楼面积</w:t>
            </w:r>
          </w:p>
        </w:tc>
        <w:tc>
          <w:tcPr>
            <w:tcW w:w="5386" w:type="dxa"/>
            <w:vAlign w:val="center"/>
          </w:tcPr>
          <w:p>
            <w:pPr>
              <w:pStyle w:val="13"/>
            </w:pPr>
            <w:r>
              <w:t>建设安置房面积</w:t>
            </w:r>
          </w:p>
        </w:tc>
        <w:tc>
          <w:tcPr>
            <w:tcW w:w="2268" w:type="dxa"/>
            <w:vAlign w:val="center"/>
          </w:tcPr>
          <w:p>
            <w:pPr>
              <w:pStyle w:val="13"/>
            </w:pPr>
            <w:r>
              <w:t>≤28828.48平方米</w:t>
            </w:r>
          </w:p>
        </w:tc>
        <w:tc>
          <w:tcPr>
            <w:tcW w:w="1276" w:type="dxa"/>
            <w:vAlign w:val="center"/>
          </w:tcPr>
          <w:p>
            <w:pPr>
              <w:pStyle w:val="13"/>
            </w:pPr>
            <w:r>
              <w:t>矿行审投资【2024】50号，54号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项目总投资</w:t>
            </w:r>
          </w:p>
        </w:tc>
        <w:tc>
          <w:tcPr>
            <w:tcW w:w="5386" w:type="dxa"/>
            <w:vAlign w:val="center"/>
          </w:tcPr>
          <w:p>
            <w:pPr>
              <w:pStyle w:val="13"/>
            </w:pPr>
            <w:r>
              <w:t>项目总投资</w:t>
            </w:r>
          </w:p>
        </w:tc>
        <w:tc>
          <w:tcPr>
            <w:tcW w:w="2268" w:type="dxa"/>
            <w:vAlign w:val="center"/>
          </w:tcPr>
          <w:p>
            <w:pPr>
              <w:pStyle w:val="13"/>
            </w:pPr>
            <w:r>
              <w:t>≤7514.99万元</w:t>
            </w:r>
          </w:p>
        </w:tc>
        <w:tc>
          <w:tcPr>
            <w:tcW w:w="1276" w:type="dxa"/>
            <w:vAlign w:val="center"/>
          </w:tcPr>
          <w:p>
            <w:pPr>
              <w:pStyle w:val="13"/>
            </w:pPr>
            <w:r>
              <w:t>矿行审投资【2024】50号，54号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改善居住环境，提升居民生活品质</w:t>
            </w:r>
          </w:p>
        </w:tc>
        <w:tc>
          <w:tcPr>
            <w:tcW w:w="5386" w:type="dxa"/>
            <w:vAlign w:val="center"/>
          </w:tcPr>
          <w:p>
            <w:pPr>
              <w:pStyle w:val="13"/>
            </w:pPr>
            <w:r>
              <w:t>改善居住环境，提升居民生活品质</w:t>
            </w:r>
          </w:p>
        </w:tc>
        <w:tc>
          <w:tcPr>
            <w:tcW w:w="2268" w:type="dxa"/>
            <w:vAlign w:val="center"/>
          </w:tcPr>
          <w:p>
            <w:pPr>
              <w:pStyle w:val="13"/>
            </w:pPr>
            <w:r>
              <w:t>有效改善</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受益居民</w:t>
            </w:r>
            <w:r>
              <w:t>满意度</w:t>
            </w:r>
          </w:p>
        </w:tc>
        <w:tc>
          <w:tcPr>
            <w:tcW w:w="5386" w:type="dxa"/>
            <w:vAlign w:val="center"/>
          </w:tcPr>
          <w:p>
            <w:pPr>
              <w:pStyle w:val="13"/>
            </w:pPr>
            <w:r>
              <w:rPr>
                <w:rFonts w:hint="eastAsia"/>
                <w:lang w:eastAsia="zh-CN"/>
              </w:rPr>
              <w:t>受益居民</w:t>
            </w:r>
            <w:r>
              <w:t>满意度</w:t>
            </w:r>
            <w:bookmarkStart w:id="20" w:name="_GoBack"/>
            <w:bookmarkEnd w:id="20"/>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50.00</w:t>
            </w:r>
          </w:p>
        </w:tc>
        <w:tc>
          <w:tcPr>
            <w:tcW w:w="964" w:type="dxa"/>
            <w:vAlign w:val="center"/>
          </w:tcPr>
          <w:p>
            <w:pPr>
              <w:pStyle w:val="16"/>
            </w:pPr>
            <w:r>
              <w:t>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石家庄市井陉矿区住房和城乡建设局小计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污水管网维修维护</w:t>
            </w:r>
          </w:p>
        </w:tc>
        <w:tc>
          <w:tcPr>
            <w:tcW w:w="964" w:type="dxa"/>
            <w:vAlign w:val="center"/>
          </w:tcPr>
          <w:p>
            <w:pPr>
              <w:pStyle w:val="12"/>
            </w:pPr>
            <w:r>
              <w:t>30.00</w:t>
            </w:r>
          </w:p>
        </w:tc>
        <w:tc>
          <w:tcPr>
            <w:tcW w:w="1134" w:type="dxa"/>
            <w:vAlign w:val="center"/>
          </w:tcPr>
          <w:p>
            <w:pPr>
              <w:pStyle w:val="13"/>
            </w:pPr>
            <w:r>
              <w:t>工程排水施工</w:t>
            </w:r>
          </w:p>
        </w:tc>
        <w:tc>
          <w:tcPr>
            <w:tcW w:w="1134" w:type="dxa"/>
            <w:vAlign w:val="center"/>
          </w:tcPr>
          <w:p>
            <w:pPr>
              <w:pStyle w:val="13"/>
            </w:pPr>
            <w:r>
              <w:t>B03040000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石家庄市井陉矿区房地产管理所小计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20.00</w:t>
            </w:r>
          </w:p>
        </w:tc>
        <w:tc>
          <w:tcPr>
            <w:tcW w:w="964" w:type="dxa"/>
            <w:vAlign w:val="center"/>
          </w:tcPr>
          <w:p>
            <w:pPr>
              <w:pStyle w:val="16"/>
            </w:pPr>
            <w:r>
              <w:t>20.00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一窗受理系统</w:t>
            </w:r>
          </w:p>
        </w:tc>
        <w:tc>
          <w:tcPr>
            <w:tcW w:w="964" w:type="dxa"/>
            <w:vAlign w:val="center"/>
          </w:tcPr>
          <w:p>
            <w:pPr>
              <w:pStyle w:val="12"/>
            </w:pPr>
            <w:r>
              <w:t>20.00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石家庄市井陉矿区住房和城乡建设局（含所属单位）上年末固定资产金额为597.07万元（详见下表）。本年度拟购置固定资产总额为0.00万元，已按要求列入政府采购预算，详见政府采购预算表。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597.07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2582.89</w:t>
            </w:r>
          </w:p>
        </w:tc>
        <w:tc>
          <w:tcPr>
            <w:tcW w:w="2835" w:type="dxa"/>
            <w:vAlign w:val="center"/>
          </w:tcPr>
          <w:p>
            <w:pPr>
              <w:pStyle w:val="12"/>
            </w:pPr>
            <w:r>
              <w:t>117.81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2444.48</w:t>
            </w:r>
          </w:p>
        </w:tc>
        <w:tc>
          <w:tcPr>
            <w:tcW w:w="2835" w:type="dxa"/>
            <w:vAlign w:val="center"/>
          </w:tcPr>
          <w:p>
            <w:pPr>
              <w:pStyle w:val="12"/>
            </w:pPr>
            <w:r>
              <w:t>115.58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120</w:t>
            </w:r>
          </w:p>
        </w:tc>
        <w:tc>
          <w:tcPr>
            <w:tcW w:w="2835" w:type="dxa"/>
            <w:vAlign w:val="center"/>
          </w:tcPr>
          <w:p>
            <w:pPr>
              <w:pStyle w:val="12"/>
            </w:pPr>
            <w:r>
              <w:t>456.21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CEF1EC8"/>
    <w:multiLevelType w:val="singleLevel"/>
    <w:tmpl w:val="DCEF1EC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EA6D75"/>
    <w:rsid w:val="08AE1956"/>
    <w:rsid w:val="0E9E2779"/>
    <w:rsid w:val="0F9E613C"/>
    <w:rsid w:val="35CB51A6"/>
    <w:rsid w:val="36343C11"/>
    <w:rsid w:val="394C40E3"/>
    <w:rsid w:val="441F7D95"/>
    <w:rsid w:val="44F62CA0"/>
    <w:rsid w:val="47B754F9"/>
    <w:rsid w:val="4A3E0527"/>
    <w:rsid w:val="4A81336B"/>
    <w:rsid w:val="4FB80E0B"/>
    <w:rsid w:val="55687095"/>
    <w:rsid w:val="5CC64573"/>
    <w:rsid w:val="5EC264BF"/>
    <w:rsid w:val="60F31886"/>
    <w:rsid w:val="64A41030"/>
    <w:rsid w:val="65E27308"/>
    <w:rsid w:val="6DF932F6"/>
    <w:rsid w:val="76E0680E"/>
    <w:rsid w:val="7A731B3A"/>
    <w:rsid w:val="7B9E69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56</Pages>
  <TotalTime>0</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2026-02-10T11:13:00Z</dcterms:created>
  <dc:creator>Administrator</dc:creator>
  <cp:lastModifiedBy>Administrator</cp:lastModifiedBy>
  <dcterms:modified xsi:type="dcterms:W3CDTF">2026-02-10T06:53:57Z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