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545.89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342.86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140.07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30.35</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32.61</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545.89</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545.89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545.89</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545.89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r>
              <w:t>545.89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20101</w:t>
            </w:r>
          </w:p>
        </w:tc>
        <w:tc>
          <w:tcPr>
            <w:tcW w:w="1559" w:type="dxa"/>
            <w:tcBorders>
              <w:left w:val="single" w:sz="6" w:space="0" w:color="000000"/>
              <w:right w:val="single" w:sz="6" w:space="0" w:color="000000"/>
            </w:tcBorders>
            <w:vAlign w:val="center"/>
          </w:tcPr>
          <w:p>
            <w:pPr>
              <w:pStyle w:val="20"/>
            </w:pPr>
            <w:r>
              <w:t>人大事务</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r>
              <w:t>342.86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r>
              <w:t>321.59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r>
              <w:t>11.27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2010104</w:t>
            </w:r>
          </w:p>
        </w:tc>
        <w:tc>
          <w:tcPr>
            <w:tcW w:w="1559" w:type="dxa"/>
            <w:tcBorders>
              <w:left w:val="single" w:sz="6" w:space="0" w:color="000000"/>
              <w:right w:val="single" w:sz="6" w:space="0" w:color="000000"/>
            </w:tcBorders>
            <w:vAlign w:val="center"/>
          </w:tcPr>
          <w:p>
            <w:pPr>
              <w:pStyle w:val="20"/>
            </w:pPr>
            <w:r>
              <w:t>人大会议</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r>
              <w:t>140.07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r>
              <w:t>138.90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r>
              <w:t>98.93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r>
              <w:t>39.97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r>
              <w:t>1.17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r>
              <w:t>30.35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r>
              <w:t>17.11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r>
              <w:t>13.24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r>
              <w:t>32.61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545.89</w:t>
            </w:r>
          </w:p>
        </w:tc>
        <w:tc>
          <w:tcPr>
            <w:tcW w:w="1361" w:type="dxa"/>
            <w:tcBorders>
              <w:left w:val="single" w:sz="6" w:space="0" w:color="000000"/>
              <w:right w:val="single" w:sz="6" w:space="0" w:color="000000"/>
            </w:tcBorders>
            <w:vAlign w:val="center"/>
          </w:tcPr>
          <w:p>
            <w:pPr>
              <w:pStyle w:val="23"/>
            </w:pPr>
            <w:r>
              <w:t>524.62</w:t>
            </w:r>
          </w:p>
        </w:tc>
        <w:tc>
          <w:tcPr>
            <w:tcW w:w="1361" w:type="dxa"/>
            <w:tcBorders>
              <w:left w:val="single" w:sz="6" w:space="0" w:color="000000"/>
              <w:right w:val="single" w:sz="6" w:space="0" w:color="000000"/>
            </w:tcBorders>
            <w:vAlign w:val="center"/>
          </w:tcPr>
          <w:p>
            <w:pPr>
              <w:pStyle w:val="23"/>
            </w:pPr>
            <w:r>
              <w:t>21.27</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342.86</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21.27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20101</w:t>
            </w:r>
          </w:p>
        </w:tc>
        <w:tc>
          <w:tcPr>
            <w:tcW w:w="4535" w:type="dxa"/>
            <w:tcBorders>
              <w:left w:val="single" w:sz="6" w:space="0" w:color="000000"/>
              <w:right w:val="single" w:sz="6" w:space="0" w:color="000000"/>
            </w:tcBorders>
            <w:vAlign w:val="center"/>
          </w:tcPr>
          <w:p>
            <w:pPr>
              <w:pStyle w:val="20"/>
            </w:pPr>
            <w:r>
              <w:t>人大事务</w:t>
            </w:r>
          </w:p>
        </w:tc>
        <w:tc>
          <w:tcPr>
            <w:tcW w:w="1361" w:type="dxa"/>
            <w:tcBorders>
              <w:left w:val="single" w:sz="6" w:space="0" w:color="000000"/>
              <w:right w:val="single" w:sz="6" w:space="0" w:color="000000"/>
            </w:tcBorders>
            <w:vAlign w:val="center"/>
          </w:tcPr>
          <w:p>
            <w:pPr>
              <w:pStyle w:val="19"/>
            </w:pPr>
            <w:r>
              <w:t>342.86</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21.27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r>
              <w:t>321.59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11.27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11.27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2010104</w:t>
            </w:r>
          </w:p>
        </w:tc>
        <w:tc>
          <w:tcPr>
            <w:tcW w:w="4535" w:type="dxa"/>
            <w:tcBorders>
              <w:left w:val="single" w:sz="6" w:space="0" w:color="000000"/>
              <w:right w:val="single" w:sz="6" w:space="0" w:color="000000"/>
            </w:tcBorders>
            <w:vAlign w:val="center"/>
          </w:tcPr>
          <w:p>
            <w:pPr>
              <w:pStyle w:val="20"/>
            </w:pPr>
            <w:r>
              <w:t>人大会议</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140.07</w:t>
            </w:r>
          </w:p>
        </w:tc>
        <w:tc>
          <w:tcPr>
            <w:tcW w:w="1361" w:type="dxa"/>
            <w:tcBorders>
              <w:left w:val="single" w:sz="6" w:space="0" w:color="000000"/>
              <w:right w:val="single" w:sz="6" w:space="0" w:color="000000"/>
            </w:tcBorders>
            <w:vAlign w:val="center"/>
          </w:tcPr>
          <w:p>
            <w:pPr>
              <w:pStyle w:val="19"/>
            </w:pPr>
            <w:r>
              <w:t>140.07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138.90</w:t>
            </w:r>
          </w:p>
        </w:tc>
        <w:tc>
          <w:tcPr>
            <w:tcW w:w="1361" w:type="dxa"/>
            <w:tcBorders>
              <w:left w:val="single" w:sz="6" w:space="0" w:color="000000"/>
              <w:right w:val="single" w:sz="6" w:space="0" w:color="000000"/>
            </w:tcBorders>
            <w:vAlign w:val="center"/>
          </w:tcPr>
          <w:p>
            <w:pPr>
              <w:pStyle w:val="19"/>
            </w:pPr>
            <w:r>
              <w:t>138.90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98.93</w:t>
            </w:r>
          </w:p>
        </w:tc>
        <w:tc>
          <w:tcPr>
            <w:tcW w:w="1361" w:type="dxa"/>
            <w:tcBorders>
              <w:left w:val="single" w:sz="6" w:space="0" w:color="000000"/>
              <w:right w:val="single" w:sz="6" w:space="0" w:color="000000"/>
            </w:tcBorders>
            <w:vAlign w:val="center"/>
          </w:tcPr>
          <w:p>
            <w:pPr>
              <w:pStyle w:val="19"/>
            </w:pPr>
            <w:r>
              <w:t>98.93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39.97</w:t>
            </w:r>
          </w:p>
        </w:tc>
        <w:tc>
          <w:tcPr>
            <w:tcW w:w="1361" w:type="dxa"/>
            <w:tcBorders>
              <w:left w:val="single" w:sz="6" w:space="0" w:color="000000"/>
              <w:right w:val="single" w:sz="6" w:space="0" w:color="000000"/>
            </w:tcBorders>
            <w:vAlign w:val="center"/>
          </w:tcPr>
          <w:p>
            <w:pPr>
              <w:pStyle w:val="19"/>
            </w:pPr>
            <w:r>
              <w:t>39.97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r>
              <w:t>1.17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r>
              <w:t>30.35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17.11</w:t>
            </w:r>
          </w:p>
        </w:tc>
        <w:tc>
          <w:tcPr>
            <w:tcW w:w="1361" w:type="dxa"/>
            <w:tcBorders>
              <w:left w:val="single" w:sz="6" w:space="0" w:color="000000"/>
              <w:right w:val="single" w:sz="6" w:space="0" w:color="000000"/>
            </w:tcBorders>
            <w:vAlign w:val="center"/>
          </w:tcPr>
          <w:p>
            <w:pPr>
              <w:pStyle w:val="19"/>
            </w:pPr>
            <w:r>
              <w:t>17.11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13.24</w:t>
            </w:r>
          </w:p>
        </w:tc>
        <w:tc>
          <w:tcPr>
            <w:tcW w:w="1361" w:type="dxa"/>
            <w:tcBorders>
              <w:left w:val="single" w:sz="6" w:space="0" w:color="000000"/>
              <w:right w:val="single" w:sz="6" w:space="0" w:color="000000"/>
            </w:tcBorders>
            <w:vAlign w:val="center"/>
          </w:tcPr>
          <w:p>
            <w:pPr>
              <w:pStyle w:val="19"/>
            </w:pPr>
            <w:r>
              <w:t>13.24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r>
              <w:t>32.61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545.89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342.86</w:t>
            </w:r>
          </w:p>
        </w:tc>
        <w:tc>
          <w:tcPr>
            <w:tcW w:w="1474" w:type="dxa"/>
            <w:tcBorders>
              <w:left w:val="single" w:sz="6" w:space="0" w:color="000000"/>
              <w:right w:val="single" w:sz="6" w:space="0" w:color="000000"/>
            </w:tcBorders>
            <w:vAlign w:val="center"/>
          </w:tcPr>
          <w:p>
            <w:pPr>
              <w:pStyle w:val="19"/>
            </w:pPr>
            <w:r>
              <w:t>342.86</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140.07</w:t>
            </w:r>
          </w:p>
        </w:tc>
        <w:tc>
          <w:tcPr>
            <w:tcW w:w="1474" w:type="dxa"/>
            <w:tcBorders>
              <w:left w:val="single" w:sz="6" w:space="0" w:color="000000"/>
              <w:right w:val="single" w:sz="6" w:space="0" w:color="000000"/>
            </w:tcBorders>
            <w:vAlign w:val="center"/>
          </w:tcPr>
          <w:p>
            <w:pPr>
              <w:pStyle w:val="19"/>
            </w:pPr>
            <w:r>
              <w:t>140.07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30.35</w:t>
            </w:r>
          </w:p>
        </w:tc>
        <w:tc>
          <w:tcPr>
            <w:tcW w:w="1474" w:type="dxa"/>
            <w:tcBorders>
              <w:left w:val="single" w:sz="6" w:space="0" w:color="000000"/>
              <w:right w:val="single" w:sz="6" w:space="0" w:color="000000"/>
            </w:tcBorders>
            <w:vAlign w:val="center"/>
          </w:tcPr>
          <w:p>
            <w:pPr>
              <w:pStyle w:val="19"/>
            </w:pPr>
            <w:r>
              <w:t>30.35</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32.61</w:t>
            </w:r>
          </w:p>
        </w:tc>
        <w:tc>
          <w:tcPr>
            <w:tcW w:w="1474" w:type="dxa"/>
            <w:tcBorders>
              <w:left w:val="single" w:sz="6" w:space="0" w:color="000000"/>
              <w:right w:val="single" w:sz="6" w:space="0" w:color="000000"/>
            </w:tcBorders>
            <w:vAlign w:val="center"/>
          </w:tcPr>
          <w:p>
            <w:pPr>
              <w:pStyle w:val="19"/>
            </w:pPr>
            <w:r>
              <w:t>32.61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545.89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545.89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r>
              <w:t>545.89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545.89</w:t>
            </w:r>
          </w:p>
        </w:tc>
        <w:tc>
          <w:tcPr>
            <w:tcW w:w="2551" w:type="dxa"/>
            <w:tcBorders>
              <w:left w:val="single" w:sz="6" w:space="0" w:color="000000"/>
              <w:right w:val="single" w:sz="6" w:space="0" w:color="000000"/>
            </w:tcBorders>
            <w:vAlign w:val="center"/>
          </w:tcPr>
          <w:p>
            <w:pPr>
              <w:pStyle w:val="23"/>
            </w:pPr>
            <w:r>
              <w:t>524.62</w:t>
            </w:r>
          </w:p>
        </w:tc>
        <w:tc>
          <w:tcPr>
            <w:tcW w:w="2551" w:type="dxa"/>
            <w:tcBorders>
              <w:left w:val="single" w:sz="6" w:space="0" w:color="000000"/>
            </w:tcBorders>
            <w:vAlign w:val="center"/>
          </w:tcPr>
          <w:p>
            <w:pPr>
              <w:pStyle w:val="23"/>
            </w:pPr>
            <w:r>
              <w:t>21.27</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342.86</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r>
              <w:t>21.27</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20101</w:t>
            </w:r>
          </w:p>
        </w:tc>
        <w:tc>
          <w:tcPr>
            <w:tcW w:w="4535" w:type="dxa"/>
            <w:tcBorders>
              <w:left w:val="single" w:sz="6" w:space="0" w:color="000000"/>
              <w:right w:val="single" w:sz="6" w:space="0" w:color="000000"/>
            </w:tcBorders>
            <w:vAlign w:val="center"/>
          </w:tcPr>
          <w:p>
            <w:pPr>
              <w:pStyle w:val="20"/>
            </w:pPr>
            <w:r>
              <w:t>人大事务</w:t>
            </w:r>
          </w:p>
        </w:tc>
        <w:tc>
          <w:tcPr>
            <w:tcW w:w="2551" w:type="dxa"/>
            <w:tcBorders>
              <w:left w:val="single" w:sz="6" w:space="0" w:color="000000"/>
              <w:right w:val="single" w:sz="6" w:space="0" w:color="000000"/>
            </w:tcBorders>
            <w:vAlign w:val="center"/>
          </w:tcPr>
          <w:p>
            <w:pPr>
              <w:pStyle w:val="19"/>
            </w:pPr>
            <w:r>
              <w:t>342.86</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r>
              <w:t>21.27</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right w:val="single" w:sz="6" w:space="0" w:color="000000"/>
            </w:tcBorders>
            <w:vAlign w:val="center"/>
          </w:tcPr>
          <w:p>
            <w:pPr>
              <w:pStyle w:val="19"/>
            </w:pPr>
            <w:r>
              <w:t>321.59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2010102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11.27</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11.27</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2010104</w:t>
            </w:r>
          </w:p>
        </w:tc>
        <w:tc>
          <w:tcPr>
            <w:tcW w:w="4535" w:type="dxa"/>
            <w:tcBorders>
              <w:left w:val="single" w:sz="6" w:space="0" w:color="000000"/>
              <w:right w:val="single" w:sz="6" w:space="0" w:color="000000"/>
            </w:tcBorders>
            <w:vAlign w:val="center"/>
          </w:tcPr>
          <w:p>
            <w:pPr>
              <w:pStyle w:val="20"/>
            </w:pPr>
            <w:r>
              <w:t>人大会议</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10.00</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140.07</w:t>
            </w:r>
          </w:p>
        </w:tc>
        <w:tc>
          <w:tcPr>
            <w:tcW w:w="2551" w:type="dxa"/>
            <w:tcBorders>
              <w:left w:val="single" w:sz="6" w:space="0" w:color="000000"/>
              <w:right w:val="single" w:sz="6" w:space="0" w:color="000000"/>
            </w:tcBorders>
            <w:vAlign w:val="center"/>
          </w:tcPr>
          <w:p>
            <w:pPr>
              <w:pStyle w:val="19"/>
            </w:pPr>
            <w:r>
              <w:t>140.07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138.90</w:t>
            </w:r>
          </w:p>
        </w:tc>
        <w:tc>
          <w:tcPr>
            <w:tcW w:w="2551" w:type="dxa"/>
            <w:tcBorders>
              <w:left w:val="single" w:sz="6" w:space="0" w:color="000000"/>
              <w:right w:val="single" w:sz="6" w:space="0" w:color="000000"/>
            </w:tcBorders>
            <w:vAlign w:val="center"/>
          </w:tcPr>
          <w:p>
            <w:pPr>
              <w:pStyle w:val="19"/>
            </w:pPr>
            <w:r>
              <w:t>138.90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right w:val="single" w:sz="6" w:space="0" w:color="000000"/>
            </w:tcBorders>
            <w:vAlign w:val="center"/>
          </w:tcPr>
          <w:p>
            <w:pPr>
              <w:pStyle w:val="19"/>
            </w:pPr>
            <w:r>
              <w:t>30.35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524.62</w:t>
            </w:r>
          </w:p>
        </w:tc>
        <w:tc>
          <w:tcPr>
            <w:tcW w:w="2551" w:type="dxa"/>
            <w:tcBorders>
              <w:left w:val="single" w:sz="6" w:space="0" w:color="000000"/>
              <w:right w:val="single" w:sz="6" w:space="0" w:color="000000"/>
            </w:tcBorders>
            <w:vAlign w:val="center"/>
          </w:tcPr>
          <w:p>
            <w:pPr>
              <w:pStyle w:val="23"/>
            </w:pPr>
            <w:r>
              <w:t>491.67</w:t>
            </w:r>
          </w:p>
        </w:tc>
        <w:tc>
          <w:tcPr>
            <w:tcW w:w="2551" w:type="dxa"/>
            <w:tcBorders>
              <w:left w:val="single" w:sz="6" w:space="0" w:color="000000"/>
            </w:tcBorders>
            <w:vAlign w:val="center"/>
          </w:tcPr>
          <w:p>
            <w:pPr>
              <w:pStyle w:val="23"/>
            </w:pPr>
            <w:r>
              <w:t>32.95</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388.36</w:t>
            </w:r>
          </w:p>
        </w:tc>
        <w:tc>
          <w:tcPr>
            <w:tcW w:w="2551" w:type="dxa"/>
            <w:tcBorders>
              <w:left w:val="single" w:sz="6" w:space="0" w:color="000000"/>
              <w:right w:val="single" w:sz="6" w:space="0" w:color="000000"/>
            </w:tcBorders>
            <w:vAlign w:val="center"/>
          </w:tcPr>
          <w:p>
            <w:pPr>
              <w:pStyle w:val="19"/>
            </w:pPr>
            <w:r>
              <w:t>388.36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126.42</w:t>
            </w:r>
          </w:p>
        </w:tc>
        <w:tc>
          <w:tcPr>
            <w:tcW w:w="2551" w:type="dxa"/>
            <w:tcBorders>
              <w:left w:val="single" w:sz="6" w:space="0" w:color="000000"/>
              <w:right w:val="single" w:sz="6" w:space="0" w:color="000000"/>
            </w:tcBorders>
            <w:vAlign w:val="center"/>
          </w:tcPr>
          <w:p>
            <w:pPr>
              <w:pStyle w:val="19"/>
            </w:pPr>
            <w:r>
              <w:t>126.42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72.69</w:t>
            </w:r>
          </w:p>
        </w:tc>
        <w:tc>
          <w:tcPr>
            <w:tcW w:w="2551" w:type="dxa"/>
            <w:tcBorders>
              <w:left w:val="single" w:sz="6" w:space="0" w:color="000000"/>
              <w:right w:val="single" w:sz="6" w:space="0" w:color="000000"/>
            </w:tcBorders>
            <w:vAlign w:val="center"/>
          </w:tcPr>
          <w:p>
            <w:pPr>
              <w:pStyle w:val="19"/>
            </w:pPr>
            <w:r>
              <w:t>72.69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66.17</w:t>
            </w:r>
          </w:p>
        </w:tc>
        <w:tc>
          <w:tcPr>
            <w:tcW w:w="2551" w:type="dxa"/>
            <w:tcBorders>
              <w:left w:val="single" w:sz="6" w:space="0" w:color="000000"/>
              <w:right w:val="single" w:sz="6" w:space="0" w:color="000000"/>
            </w:tcBorders>
            <w:vAlign w:val="center"/>
          </w:tcPr>
          <w:p>
            <w:pPr>
              <w:pStyle w:val="19"/>
            </w:pPr>
            <w:r>
              <w:t>66.17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18.98</w:t>
            </w:r>
          </w:p>
        </w:tc>
        <w:tc>
          <w:tcPr>
            <w:tcW w:w="2551" w:type="dxa"/>
            <w:tcBorders>
              <w:left w:val="single" w:sz="6" w:space="0" w:color="000000"/>
              <w:right w:val="single" w:sz="6" w:space="0" w:color="000000"/>
            </w:tcBorders>
            <w:vAlign w:val="center"/>
          </w:tcPr>
          <w:p>
            <w:pPr>
              <w:pStyle w:val="19"/>
            </w:pPr>
            <w:r>
              <w:t>18.98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right w:val="single" w:sz="6" w:space="0" w:color="000000"/>
            </w:tcBorders>
            <w:vAlign w:val="center"/>
          </w:tcPr>
          <w:p>
            <w:pPr>
              <w:pStyle w:val="19"/>
            </w:pPr>
            <w:r>
              <w:t>39.97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right w:val="single" w:sz="6" w:space="0" w:color="000000"/>
            </w:tcBorders>
            <w:vAlign w:val="center"/>
          </w:tcPr>
          <w:p>
            <w:pPr>
              <w:pStyle w:val="19"/>
            </w:pPr>
            <w:r>
              <w:t>17.11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right w:val="single" w:sz="6" w:space="0" w:color="000000"/>
            </w:tcBorders>
            <w:vAlign w:val="center"/>
          </w:tcPr>
          <w:p>
            <w:pPr>
              <w:pStyle w:val="19"/>
            </w:pPr>
            <w:r>
              <w:t>13.24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right w:val="single" w:sz="6" w:space="0" w:color="000000"/>
            </w:tcBorders>
            <w:vAlign w:val="center"/>
          </w:tcPr>
          <w:p>
            <w:pPr>
              <w:pStyle w:val="19"/>
            </w:pPr>
            <w:r>
              <w:t>1.17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right w:val="single" w:sz="6" w:space="0" w:color="000000"/>
            </w:tcBorders>
            <w:vAlign w:val="center"/>
          </w:tcPr>
          <w:p>
            <w:pPr>
              <w:pStyle w:val="19"/>
            </w:pPr>
            <w:r>
              <w:t>32.61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32.95</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32.95</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1.58</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1.58</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6.84</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6.84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8.00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15.53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15.53</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103.31</w:t>
            </w:r>
          </w:p>
        </w:tc>
        <w:tc>
          <w:tcPr>
            <w:tcW w:w="2551" w:type="dxa"/>
            <w:tcBorders>
              <w:left w:val="single" w:sz="6" w:space="0" w:color="000000"/>
              <w:right w:val="single" w:sz="6" w:space="0" w:color="000000"/>
            </w:tcBorders>
            <w:vAlign w:val="center"/>
          </w:tcPr>
          <w:p>
            <w:pPr>
              <w:pStyle w:val="19"/>
            </w:pPr>
            <w:r>
              <w:t>103.31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right w:val="single" w:sz="6" w:space="0" w:color="000000"/>
            </w:tcBorders>
            <w:vAlign w:val="center"/>
          </w:tcPr>
          <w:p>
            <w:pPr>
              <w:pStyle w:val="19"/>
            </w:pPr>
            <w:r>
              <w:t>98.93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30304</w:t>
            </w:r>
          </w:p>
        </w:tc>
        <w:tc>
          <w:tcPr>
            <w:tcW w:w="4535" w:type="dxa"/>
            <w:tcBorders>
              <w:left w:val="single" w:sz="6" w:space="0" w:color="000000"/>
              <w:right w:val="single" w:sz="6" w:space="0" w:color="000000"/>
            </w:tcBorders>
            <w:vAlign w:val="center"/>
          </w:tcPr>
          <w:p>
            <w:pPr>
              <w:pStyle w:val="20"/>
            </w:pPr>
            <w:r>
              <w:t>抚恤金</w:t>
            </w:r>
          </w:p>
        </w:tc>
        <w:tc>
          <w:tcPr>
            <w:tcW w:w="2551" w:type="dxa"/>
            <w:tcBorders>
              <w:left w:val="single" w:sz="6" w:space="0" w:color="000000"/>
              <w:right w:val="single" w:sz="6" w:space="0" w:color="000000"/>
            </w:tcBorders>
            <w:vAlign w:val="center"/>
          </w:tcPr>
          <w:p>
            <w:pPr>
              <w:pStyle w:val="19"/>
            </w:pPr>
            <w:r>
              <w:t>2.32</w:t>
            </w:r>
          </w:p>
        </w:tc>
        <w:tc>
          <w:tcPr>
            <w:tcW w:w="2551" w:type="dxa"/>
            <w:tcBorders>
              <w:left w:val="single" w:sz="6" w:space="0" w:color="000000"/>
              <w:right w:val="single" w:sz="6" w:space="0" w:color="000000"/>
            </w:tcBorders>
            <w:vAlign w:val="center"/>
          </w:tcPr>
          <w:p>
            <w:pPr>
              <w:pStyle w:val="19"/>
            </w:pPr>
            <w:r>
              <w:t>2.32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2.06</w:t>
            </w:r>
          </w:p>
        </w:tc>
        <w:tc>
          <w:tcPr>
            <w:tcW w:w="2551" w:type="dxa"/>
            <w:tcBorders>
              <w:left w:val="single" w:sz="6" w:space="0" w:color="000000"/>
              <w:right w:val="single" w:sz="6" w:space="0" w:color="000000"/>
            </w:tcBorders>
            <w:vAlign w:val="center"/>
          </w:tcPr>
          <w:p>
            <w:pPr>
              <w:pStyle w:val="19"/>
            </w:pPr>
            <w:r>
              <w:t>2.06</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0"/>
              <w:jc w:val="center"/>
              <w:rPr>
                <w:b/>
                <w:bCs/>
                <w:sz w:val="22"/>
                <w:szCs w:val="22"/>
              </w:rPr>
            </w:pPr>
            <w:r>
              <w:rPr>
                <w:b/>
                <w:bCs/>
                <w:sz w:val="22"/>
                <w:szCs w:val="22"/>
              </w:rPr>
              <w:t>合计</w:t>
            </w:r>
          </w:p>
        </w:tc>
        <w:tc>
          <w:tcPr>
            <w:tcW w:w="2381" w:type="dxa"/>
            <w:tcBorders>
              <w:left w:val="single" w:sz="6" w:space="0" w:color="000000"/>
              <w:right w:val="single" w:sz="6" w:space="0" w:color="000000"/>
            </w:tcBorders>
            <w:vAlign w:val="center"/>
          </w:tcPr>
          <w:p>
            <w:pPr>
              <w:pStyle w:val="19"/>
              <w:rPr>
                <w:b/>
                <w:bCs/>
                <w:sz w:val="22"/>
                <w:szCs w:val="22"/>
              </w:rPr>
            </w:pPr>
            <w:r>
              <w:rPr>
                <w:b/>
                <w:bCs/>
                <w:sz w:val="22"/>
                <w:szCs w:val="22"/>
              </w:rPr>
              <w:t>8.00</w:t>
            </w:r>
          </w:p>
        </w:tc>
        <w:tc>
          <w:tcPr>
            <w:tcW w:w="2381" w:type="dxa"/>
            <w:tcBorders>
              <w:left w:val="single" w:sz="6" w:space="0" w:color="000000"/>
              <w:right w:val="single" w:sz="6" w:space="0" w:color="000000"/>
            </w:tcBorders>
            <w:vAlign w:val="center"/>
          </w:tcPr>
          <w:p>
            <w:pPr>
              <w:pStyle w:val="19"/>
              <w:rPr>
                <w:b/>
                <w:bCs/>
                <w:sz w:val="22"/>
                <w:szCs w:val="22"/>
              </w:rPr>
            </w:pPr>
            <w:r>
              <w:rPr>
                <w:b/>
                <w:bCs/>
                <w:sz w:val="22"/>
                <w:szCs w:val="22"/>
              </w:rP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rPr>
                <w:rFonts w:hint="eastAsia"/>
              </w:rPr>
              <w:t>“三公”</w:t>
            </w:r>
            <w:r>
              <w:t>经费小计</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公务用车运行维护费</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r>
              <w:t>8.00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石家庄市井陉矿区人民代表大会常务委员会办公室2026年部门预算信息公开情况说明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按照《中华人民共和国预算法》、《地方预决算公开操作规程》和《关于进一步推进预算公开工作的实施意见》规定，现将石家庄市井陉矿区人民代表大会常务委员会办公室2026年部门预算公开如下：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1、讨论、决定本行政区域内各方面工作的重大事项。</w:t>
      </w:r>
    </w:p>
    <w:p>
      <w:pPr>
        <w:pStyle w:val="25"/>
      </w:pPr>
      <w:r>
        <w:t>2、监督本级人民政府、人民法院和人民检察院的工作。</w:t>
      </w:r>
    </w:p>
    <w:p>
      <w:pPr>
        <w:pStyle w:val="25"/>
      </w:pPr>
      <w:r>
        <w:t>3、撤销本级人民政府的不适当的决定和命令。</w:t>
      </w:r>
    </w:p>
    <w:p>
      <w:pPr>
        <w:pStyle w:val="25"/>
      </w:pPr>
      <w:r>
        <w:t>4、撤销下一级人民代表大会的不适当的决议。</w:t>
      </w:r>
    </w:p>
    <w:p>
      <w:pPr>
        <w:pStyle w:val="25"/>
      </w:pPr>
      <w:r>
        <w:t>5、依照法律规定的权限决定国家机关工作人员的任免。</w:t>
      </w:r>
    </w:p>
    <w:p>
      <w:pPr>
        <w:pStyle w:val="25"/>
      </w:pPr>
      <w:r>
        <w:t>6、在本级人民代表大会闭会期间,罢免和补选上一级人民代表大会的个别代表。</w:t>
      </w:r>
    </w:p>
    <w:p>
      <w:pPr>
        <w:pStyle w:val="25"/>
      </w:pPr>
      <w:r>
        <w:t>7、领导和主持本级人民代表大会代表的选举,召集本级人民代表大会会议。</w:t>
      </w:r>
    </w:p>
    <w:p>
      <w:pPr>
        <w:pStyle w:val="25"/>
      </w:pPr>
      <w:r>
        <w:t>8、保证宪法、法律、行政法规和上级人民代表大会及其常务委员会决议的遵守和执行。</w:t>
      </w:r>
    </w:p>
    <w:p>
      <w:pPr>
        <w:pStyle w:val="25"/>
      </w:pPr>
      <w:r>
        <w:t>9、贯彻依法治囯的方略,加强法律监督与工作监督，推进依法治区和民主政治建设进程。</w:t>
      </w:r>
    </w:p>
    <w:p>
      <w:pPr>
        <w:pStyle w:val="25"/>
      </w:pPr>
    </w:p>
    <w:p>
      <w:pPr>
        <w:pStyle w:val="25"/>
        <w:ind w:left="0" w:firstLine="0"/>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石家庄市井陉矿区人民代表大会常务委员会办公室</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正处（县）级</w:t>
            </w:r>
          </w:p>
        </w:tc>
        <w:tc>
          <w:tcPr>
            <w:tcW w:w="3827" w:type="dxa"/>
            <w:tcBorders>
              <w:left w:val="single" w:sz="6" w:space="0" w:color="000000"/>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按照预算管理有关规定，目前部门预算的编制实行综合预算管理，即全部收入和支出都反映在预算中。石家庄市井陉矿区人民代表大会常务委员会办公室机关及所属事业单位的收支包含在部门预算中。</w:t>
      </w:r>
    </w:p>
    <w:p>
      <w:pPr>
        <w:pStyle w:val="26"/>
      </w:pPr>
      <w:r>
        <w:t>1、收入说明</w:t>
      </w:r>
    </w:p>
    <w:p>
      <w:pPr>
        <w:pStyle w:val="26"/>
      </w:pPr>
      <w:r>
        <w:t>反映本部门当年全部收入。2026年预算收入545.89万元，其中：一般公共预算收入545.89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人民代表大会常务委员会办公室年度部门预算中支出预算的总体情况。2026年支出预算545.89万元，其中基本支出524.62万元，包括人员经费491.67万元和日常公用经费32.95万元；项目支出21.27万元，主要为区人大第十六届六次会议、区人大换届选举经费、云视频经费。预计下年使用的单位资金结余0.00万元。委托业务费共计安排0.00万元，主要用于因技术原因确需对外委托的辅助性工作和确有必要对外委托开展咨询、评审、规划等工作。</w:t>
      </w:r>
    </w:p>
    <w:p>
      <w:pPr>
        <w:pStyle w:val="26"/>
      </w:pPr>
    </w:p>
    <w:p>
      <w:pPr>
        <w:pStyle w:val="26"/>
      </w:pPr>
      <w:bookmarkStart w:id="11" w:name="_GoBack"/>
      <w:bookmarkEnd w:id="11"/>
      <w:r>
        <w:t>3、比上年增减情况</w:t>
      </w:r>
    </w:p>
    <w:p>
      <w:pPr>
        <w:pStyle w:val="26"/>
      </w:pPr>
      <w:r>
        <w:t>2026年预算收支安排545.89万元，较2025年预算减少9.04万元，其中：基本支出增加11.86万元，主要为人员经费调整及保障单位正常运行所需公用经费增加。项目支出减少20.90万元，主要为厉行节约、精打细算，过紧日子。预计下年使用的单位资金结余增加0.00万元。</w:t>
      </w:r>
    </w:p>
    <w:p>
      <w:pPr>
        <w:spacing w:before="10" w:after="10" w:line="360" w:lineRule="auto"/>
        <w:ind w:firstLine="640"/>
        <w:outlineLvl w:val="2"/>
        <w:rPr>
          <w:rFonts w:ascii="黑体" w:eastAsia="黑体" w:cs="黑体" w:hAnsi="黑体"/>
          <w:color w:val="000000"/>
          <w:sz w:val="32"/>
        </w:rPr>
      </w:pPr>
      <w:bookmarkStart w:id="12" w:name="_Toc_3_3_0000000012"/>
      <w:r>
        <w:rPr>
          <w:rFonts w:ascii="黑体" w:eastAsia="黑体" w:cs="黑体" w:hAnsi="黑体"/>
          <w:color w:val="000000"/>
          <w:sz w:val="32"/>
        </w:rPr>
        <w:t>三、机关运行经费安排情况</w:t>
      </w:r>
      <w:bookmarkEnd w:id="12"/>
    </w:p>
    <w:p>
      <w:pPr>
        <w:spacing w:before="10" w:after="10" w:line="360" w:lineRule="auto"/>
        <w:ind w:firstLine="640"/>
        <w:outlineLvl w:val="2"/>
        <w:rPr>
          <w:rFonts w:eastAsia="方正仿宋_GBK"/>
          <w:sz w:val="28"/>
        </w:rPr>
      </w:pPr>
      <w:r>
        <w:rPr>
          <w:rFonts w:eastAsia="方正仿宋_GBK"/>
          <w:sz w:val="28"/>
        </w:rPr>
        <w:t>2026年，我部门机关运行经费共计安排32.95万元，主要用于日常维修、办公用房水电费、办公用房取暖费、办公用房物业管理费等日常运行支出。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8.00万元，其中因公出国（境）费0.00万元；公务用车购置及运维费8.00万元（其中：公务用车购置费为0.00万元，公务用车运维费8.00万元)；公务接待费0.00万元。与2025年持平。</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2025年，使命在肩、初心如磐。一年来，在区委的坚强领导下，区人大常委会坚持以习近平新时代中国特色社会主义思想为指导，深入学习贯彻党的二十大及二十届历次全会精神，聚焦党中央和省、市、区委重大决策部署，紧紧围绕区委中心工作和全区发展大局，坚持党的领导、人民当家作主、依法治国有机统一，依法履行宪法和法律赋予的各项职责，为推动我区经济社会高质量发展和民主法治建设作出了积极贡献。在区委的坚强领导下，高举习近平新时代中国特色社会主义思想伟大旗帜，全面贯彻落实党的二十大和二十届历次全会精神，深入贯彻习近平总书记视察河北、视察石家庄重要讲话和重要指示精神，坚持党的领导、人民当家作主、依法治国有机统一，紧扣区委重大决策部署，依法履行法定职责、回应群众重大关切，为开创我区“十五五”时期经济社会高质量发展新局面提供民主法治保障，为加快建设省会城市美丽“后花园”贡献人大智慧和力量。</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 xml:space="preserve">1、区人大第十六届六次会议经费 </w:t>
      </w:r>
    </w:p>
    <w:p>
      <w:pPr>
        <w:pStyle w:val="30"/>
      </w:pPr>
      <w:r>
        <w:t>绩效目标：通过召开两会，保证会议圆满完成报告、审议、票决、选举、决议等各项议程</w:t>
      </w:r>
    </w:p>
    <w:p>
      <w:pPr>
        <w:pStyle w:val="30"/>
      </w:pPr>
      <w:r>
        <w:t>绩效指标:完成区“两会”用品、文件印刷、会场布置、食宿、后勤保障等各项工作</w:t>
      </w:r>
    </w:p>
    <w:p>
      <w:pPr>
        <w:pStyle w:val="30"/>
      </w:pPr>
      <w:r>
        <w:t>2、云视频经费</w:t>
      </w:r>
    </w:p>
    <w:p>
      <w:pPr>
        <w:pStyle w:val="30"/>
      </w:pPr>
      <w:r>
        <w:t>绩效目标：加快信息上传下达，提高人大工作效率</w:t>
      </w:r>
    </w:p>
    <w:p>
      <w:pPr>
        <w:pStyle w:val="30"/>
      </w:pPr>
      <w:r>
        <w:t>绩效指标：保证视频会议质量及完成率</w:t>
      </w:r>
    </w:p>
    <w:p>
      <w:pPr>
        <w:pStyle w:val="30"/>
      </w:pPr>
      <w:r>
        <w:t>3、区人大换届选举经费</w:t>
      </w:r>
    </w:p>
    <w:p>
      <w:pPr>
        <w:pStyle w:val="30"/>
      </w:pPr>
      <w:r>
        <w:t>绩效目标：换届前培训，培训选举工作骨干；召开阶段性会议；召开总结会议；印制材料表格；宣传动员工作；组织投票选举；组织新代表培训。</w:t>
      </w:r>
    </w:p>
    <w:p>
      <w:pPr>
        <w:pStyle w:val="30"/>
      </w:pPr>
      <w:r>
        <w:t>绩效指标：保障区人大换届选举工作圆满完成</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一、不断深化监督工作；二、依法决定重大事项；三、深化选举任免工作；四、发挥代表主体作用；五、提升依法履职能力；六、继续加大创新力度。</w:t>
      </w:r>
    </w:p>
    <w:p>
      <w:pPr>
        <w:pStyle w:val="31"/>
        <w:sectPr>
          <w:pgSz w:w="16840" w:h="11900" w:orient="landscape"/>
          <w:pgMar w:top="1361" w:right="1020" w:bottom="1361" w:left="1020" w:header="720" w:footer="720" w:gutter="0"/>
          <w:docGrid w:linePitch="326" w:charSpace="0"/>
        </w:sectPr>
      </w:pP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rPr>
          <w:rFonts w:eastAsia="方正仿宋_GBK"/>
          <w:sz w:val="28"/>
        </w:rPr>
        <w:sectPr>
          <w:pgSz w:w="16840" w:h="11900" w:orient="landscape"/>
          <w:pgMar w:top="1361" w:right="1020" w:bottom="1134" w:left="1020" w:header="720" w:footer="720" w:gutter="0"/>
          <w:docGrid w:linePitch="326" w:charSpace="0"/>
        </w:sectPr>
      </w:pPr>
      <w:r>
        <w:rPr>
          <w:rFonts w:eastAsia="方正仿宋_GBK" w:hAnsi="黑体"/>
          <w:sz w:val="28"/>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1、区人大第十六届六次会议经费绩效目标表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13010726P00004510004G</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区人大第十六届六次会议经费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通过召开人代会，保证会议圆满完成报告、审议、票决、选举、决议等各项议程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5.00</w:t>
            </w:r>
          </w:p>
        </w:tc>
        <w:tc>
          <w:tcPr>
            <w:tcW w:w="2835" w:type="dxa"/>
            <w:tcBorders>
              <w:left w:val="single" w:sz="6" w:space="0" w:color="000000"/>
              <w:right w:val="single" w:sz="6" w:space="0" w:color="000000"/>
            </w:tcBorders>
            <w:vAlign w:val="center"/>
          </w:tcPr>
          <w:p>
            <w:pPr>
              <w:pStyle w:val="21"/>
            </w:pPr>
            <w:r>
              <w:t>10.00</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1.通过召开人代会，保证会议圆满完成报告、审议、票决、选举、决议等各项议程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会议次数</w:t>
            </w:r>
          </w:p>
        </w:tc>
        <w:tc>
          <w:tcPr>
            <w:tcW w:w="5386" w:type="dxa"/>
            <w:tcBorders>
              <w:left w:val="single" w:sz="6" w:space="0" w:color="000000"/>
              <w:right w:val="single" w:sz="6" w:space="0" w:color="000000"/>
            </w:tcBorders>
            <w:vAlign w:val="center"/>
          </w:tcPr>
          <w:p>
            <w:pPr>
              <w:pStyle w:val="20"/>
            </w:pPr>
            <w:r>
              <w:t>会议召开的次数</w:t>
            </w:r>
          </w:p>
        </w:tc>
        <w:tc>
          <w:tcPr>
            <w:tcW w:w="2268" w:type="dxa"/>
            <w:tcBorders>
              <w:left w:val="single" w:sz="6" w:space="0" w:color="000000"/>
              <w:right w:val="single" w:sz="6" w:space="0" w:color="000000"/>
            </w:tcBorders>
            <w:vAlign w:val="center"/>
          </w:tcPr>
          <w:p>
            <w:pPr>
              <w:pStyle w:val="20"/>
            </w:pPr>
            <w:r>
              <w:t>1次</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会议资料保管率</w:t>
            </w:r>
          </w:p>
        </w:tc>
        <w:tc>
          <w:tcPr>
            <w:tcW w:w="5386" w:type="dxa"/>
            <w:tcBorders>
              <w:left w:val="single" w:sz="6" w:space="0" w:color="000000"/>
              <w:right w:val="single" w:sz="6" w:space="0" w:color="000000"/>
            </w:tcBorders>
            <w:vAlign w:val="center"/>
          </w:tcPr>
          <w:p>
            <w:pPr>
              <w:pStyle w:val="20"/>
            </w:pPr>
            <w:r>
              <w:t>会议资料保管率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项目预算控制额</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区人大第十六届六次会议经费</w:t>
            </w:r>
          </w:p>
        </w:tc>
        <w:tc>
          <w:tcPr>
            <w:tcW w:w="1276" w:type="dxa"/>
            <w:tcBorders>
              <w:left w:val="single" w:sz="6" w:space="0" w:color="000000"/>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会议完成时限</w:t>
            </w:r>
          </w:p>
        </w:tc>
        <w:tc>
          <w:tcPr>
            <w:tcW w:w="5386" w:type="dxa"/>
            <w:tcBorders>
              <w:left w:val="single" w:sz="6" w:space="0" w:color="000000"/>
              <w:right w:val="single" w:sz="6" w:space="0" w:color="000000"/>
            </w:tcBorders>
            <w:vAlign w:val="center"/>
          </w:tcPr>
          <w:p>
            <w:pPr>
              <w:pStyle w:val="20"/>
            </w:pPr>
            <w:r>
              <w:t>会议完成时限</w:t>
            </w:r>
          </w:p>
        </w:tc>
        <w:tc>
          <w:tcPr>
            <w:tcW w:w="2268" w:type="dxa"/>
            <w:tcBorders>
              <w:left w:val="single" w:sz="6" w:space="0" w:color="000000"/>
              <w:right w:val="single" w:sz="6" w:space="0" w:color="000000"/>
            </w:tcBorders>
            <w:vAlign w:val="center"/>
          </w:tcPr>
          <w:p>
            <w:pPr>
              <w:pStyle w:val="20"/>
            </w:pPr>
            <w:r>
              <w:t>按照会议议程安排</w:t>
            </w:r>
          </w:p>
        </w:tc>
        <w:tc>
          <w:tcPr>
            <w:tcW w:w="1276" w:type="dxa"/>
            <w:tcBorders>
              <w:left w:val="single" w:sz="6" w:space="0" w:color="000000"/>
            </w:tcBorders>
            <w:vAlign w:val="center"/>
          </w:tcPr>
          <w:p>
            <w:pPr>
              <w:pStyle w:val="20"/>
            </w:pPr>
            <w:r>
              <w:t>会议工作安排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收集意见建议</w:t>
            </w:r>
          </w:p>
        </w:tc>
        <w:tc>
          <w:tcPr>
            <w:tcW w:w="5386" w:type="dxa"/>
            <w:tcBorders>
              <w:left w:val="single" w:sz="6" w:space="0" w:color="000000"/>
              <w:right w:val="single" w:sz="6" w:space="0" w:color="000000"/>
            </w:tcBorders>
            <w:vAlign w:val="center"/>
          </w:tcPr>
          <w:p>
            <w:pPr>
              <w:pStyle w:val="20"/>
            </w:pPr>
            <w:r>
              <w:t>收集意见建议条数</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历史经验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代表满意度</w:t>
            </w:r>
          </w:p>
        </w:tc>
        <w:tc>
          <w:tcPr>
            <w:tcW w:w="5386" w:type="dxa"/>
            <w:tcBorders>
              <w:left w:val="single" w:sz="6" w:space="0" w:color="000000"/>
              <w:right w:val="single" w:sz="6" w:space="0" w:color="000000"/>
            </w:tcBorders>
            <w:vAlign w:val="center"/>
          </w:tcPr>
          <w:p>
            <w:pPr>
              <w:pStyle w:val="20"/>
            </w:pPr>
            <w:r>
              <w:t>代表满意度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2、区人大换届选举经费绩效目标表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13010726P000045100054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区人大换届选举经费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换届前培训，培训选举工作骨干；召开阶段性会议；召开总结会议；印制材料表格；宣传动员工作；组织投票选举；组织新代表培训。</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2.50</w:t>
            </w:r>
          </w:p>
        </w:tc>
        <w:tc>
          <w:tcPr>
            <w:tcW w:w="2835" w:type="dxa"/>
            <w:tcBorders>
              <w:left w:val="single" w:sz="6" w:space="0" w:color="000000"/>
              <w:right w:val="single" w:sz="6" w:space="0" w:color="000000"/>
            </w:tcBorders>
            <w:vAlign w:val="center"/>
          </w:tcPr>
          <w:p>
            <w:pPr>
              <w:pStyle w:val="21"/>
            </w:pPr>
            <w:r>
              <w:t>5.00</w:t>
            </w:r>
          </w:p>
        </w:tc>
        <w:tc>
          <w:tcPr>
            <w:tcW w:w="2551" w:type="dxa"/>
            <w:tcBorders>
              <w:left w:val="single" w:sz="6" w:space="0" w:color="000000"/>
              <w:right w:val="single" w:sz="6" w:space="0" w:color="000000"/>
            </w:tcBorders>
            <w:vAlign w:val="center"/>
          </w:tcPr>
          <w:p>
            <w:pPr>
              <w:pStyle w:val="21"/>
            </w:pPr>
            <w:r>
              <w:t>7.50</w:t>
            </w:r>
          </w:p>
        </w:tc>
        <w:tc>
          <w:tcPr>
            <w:tcW w:w="3544" w:type="dxa"/>
            <w:gridSpan w:val="2"/>
            <w:tcBorders>
              <w:left w:val="single" w:sz="6" w:space="0" w:color="000000"/>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1.换届前培训，培训选举工作骨干；召开阶段性会议；召开总结会议；印制材料表格；宣传动员工作；组织投票选举；组织新代表培训。</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选举前各项准备工作</w:t>
            </w:r>
          </w:p>
        </w:tc>
        <w:tc>
          <w:tcPr>
            <w:tcW w:w="5386" w:type="dxa"/>
            <w:tcBorders>
              <w:left w:val="single" w:sz="6" w:space="0" w:color="000000"/>
              <w:right w:val="single" w:sz="6" w:space="0" w:color="000000"/>
            </w:tcBorders>
            <w:vAlign w:val="center"/>
          </w:tcPr>
          <w:p>
            <w:pPr>
              <w:pStyle w:val="20"/>
            </w:pPr>
            <w:r>
              <w:t>各项准备工作按时到位</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选举期间各项后勤保障</w:t>
            </w:r>
          </w:p>
        </w:tc>
        <w:tc>
          <w:tcPr>
            <w:tcW w:w="5386" w:type="dxa"/>
            <w:tcBorders>
              <w:left w:val="single" w:sz="6" w:space="0" w:color="000000"/>
              <w:right w:val="single" w:sz="6" w:space="0" w:color="000000"/>
            </w:tcBorders>
            <w:vAlign w:val="center"/>
          </w:tcPr>
          <w:p>
            <w:pPr>
              <w:pStyle w:val="20"/>
            </w:pPr>
            <w:r>
              <w:t>保证选举顺利进行</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运行保障成本</w:t>
            </w:r>
          </w:p>
        </w:tc>
        <w:tc>
          <w:tcPr>
            <w:tcW w:w="5386" w:type="dxa"/>
            <w:tcBorders>
              <w:left w:val="single" w:sz="6" w:space="0" w:color="000000"/>
              <w:right w:val="single" w:sz="6" w:space="0" w:color="000000"/>
            </w:tcBorders>
            <w:vAlign w:val="center"/>
          </w:tcPr>
          <w:p>
            <w:pPr>
              <w:pStyle w:val="20"/>
            </w:pPr>
            <w:r>
              <w:t>运行保障成本</w:t>
            </w:r>
          </w:p>
        </w:tc>
        <w:tc>
          <w:tcPr>
            <w:tcW w:w="2268" w:type="dxa"/>
            <w:tcBorders>
              <w:left w:val="single" w:sz="6" w:space="0" w:color="000000"/>
              <w:right w:val="single" w:sz="6" w:space="0" w:color="000000"/>
            </w:tcBorders>
            <w:vAlign w:val="center"/>
          </w:tcPr>
          <w:p>
            <w:pPr>
              <w:pStyle w:val="20"/>
            </w:pPr>
            <w:r>
              <w:t>按照会议议程安排</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按期完成率</w:t>
            </w:r>
          </w:p>
        </w:tc>
        <w:tc>
          <w:tcPr>
            <w:tcW w:w="5386" w:type="dxa"/>
            <w:tcBorders>
              <w:left w:val="single" w:sz="6" w:space="0" w:color="000000"/>
              <w:right w:val="single" w:sz="6" w:space="0" w:color="000000"/>
            </w:tcBorders>
            <w:vAlign w:val="center"/>
          </w:tcPr>
          <w:p>
            <w:pPr>
              <w:pStyle w:val="20"/>
            </w:pPr>
            <w:r>
              <w:t>按期完成的选举计划占总计划比率</w:t>
            </w:r>
          </w:p>
        </w:tc>
        <w:tc>
          <w:tcPr>
            <w:tcW w:w="2268" w:type="dxa"/>
            <w:tcBorders>
              <w:left w:val="single" w:sz="6" w:space="0" w:color="000000"/>
              <w:right w:val="single" w:sz="6" w:space="0" w:color="000000"/>
            </w:tcBorders>
            <w:vAlign w:val="center"/>
          </w:tcPr>
          <w:p>
            <w:pPr>
              <w:pStyle w:val="20"/>
            </w:pPr>
            <w:r>
              <w:t>10万元</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会议各项工作任务圆满完成</w:t>
            </w:r>
          </w:p>
        </w:tc>
        <w:tc>
          <w:tcPr>
            <w:tcW w:w="5386" w:type="dxa"/>
            <w:tcBorders>
              <w:left w:val="single" w:sz="6" w:space="0" w:color="000000"/>
              <w:right w:val="single" w:sz="6" w:space="0" w:color="000000"/>
            </w:tcBorders>
            <w:vAlign w:val="center"/>
          </w:tcPr>
          <w:p>
            <w:pPr>
              <w:pStyle w:val="20"/>
            </w:pPr>
            <w:r>
              <w:t>各项工作完成率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根据换届选举工作安排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人员满意度（%）</w:t>
            </w:r>
          </w:p>
        </w:tc>
        <w:tc>
          <w:tcPr>
            <w:tcW w:w="5386" w:type="dxa"/>
            <w:tcBorders>
              <w:left w:val="single" w:sz="6" w:space="0" w:color="000000"/>
              <w:right w:val="single" w:sz="6" w:space="0" w:color="000000"/>
            </w:tcBorders>
            <w:vAlign w:val="center"/>
          </w:tcPr>
          <w:p>
            <w:pPr>
              <w:pStyle w:val="20"/>
            </w:pPr>
            <w:r>
              <w:t>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3、云视频绩效目标表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13010726P00002510065W</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云视频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1.27</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1.27</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云视频系统平台使用费用及网络费用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0.64</w:t>
            </w:r>
          </w:p>
        </w:tc>
        <w:tc>
          <w:tcPr>
            <w:tcW w:w="2835" w:type="dxa"/>
            <w:tcBorders>
              <w:left w:val="single" w:sz="6" w:space="0" w:color="000000"/>
              <w:right w:val="single" w:sz="6" w:space="0" w:color="000000"/>
            </w:tcBorders>
            <w:vAlign w:val="center"/>
          </w:tcPr>
          <w:p>
            <w:pPr>
              <w:pStyle w:val="21"/>
            </w:pPr>
            <w:r>
              <w:t>1.27</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1.云视频系统平台使用费用及网络费用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系统数量</w:t>
            </w:r>
          </w:p>
        </w:tc>
        <w:tc>
          <w:tcPr>
            <w:tcW w:w="5386" w:type="dxa"/>
            <w:tcBorders>
              <w:left w:val="single" w:sz="6" w:space="0" w:color="000000"/>
              <w:right w:val="single" w:sz="6" w:space="0" w:color="000000"/>
            </w:tcBorders>
            <w:vAlign w:val="center"/>
          </w:tcPr>
          <w:p>
            <w:pPr>
              <w:pStyle w:val="20"/>
            </w:pPr>
            <w:r>
              <w:t>系统数量</w:t>
            </w:r>
          </w:p>
        </w:tc>
        <w:tc>
          <w:tcPr>
            <w:tcW w:w="2268" w:type="dxa"/>
            <w:tcBorders>
              <w:left w:val="single" w:sz="6" w:space="0" w:color="000000"/>
              <w:right w:val="single" w:sz="6" w:space="0" w:color="000000"/>
            </w:tcBorders>
            <w:vAlign w:val="center"/>
          </w:tcPr>
          <w:p>
            <w:pPr>
              <w:pStyle w:val="20"/>
            </w:pPr>
            <w:r>
              <w:t>1台</w:t>
            </w:r>
          </w:p>
        </w:tc>
        <w:tc>
          <w:tcPr>
            <w:tcW w:w="1276" w:type="dxa"/>
            <w:tcBorders>
              <w:left w:val="single" w:sz="6" w:space="0" w:color="000000"/>
            </w:tcBorders>
            <w:vAlign w:val="center"/>
          </w:tcPr>
          <w:p>
            <w:pPr>
              <w:pStyle w:val="20"/>
            </w:pPr>
            <w:r>
              <w:t>协议合同</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系统平稳运行</w:t>
            </w:r>
          </w:p>
        </w:tc>
        <w:tc>
          <w:tcPr>
            <w:tcW w:w="5386" w:type="dxa"/>
            <w:tcBorders>
              <w:left w:val="single" w:sz="6" w:space="0" w:color="000000"/>
              <w:right w:val="single" w:sz="6" w:space="0" w:color="000000"/>
            </w:tcBorders>
            <w:vAlign w:val="center"/>
          </w:tcPr>
          <w:p>
            <w:pPr>
              <w:pStyle w:val="20"/>
            </w:pPr>
            <w:r>
              <w:t>保证收听收看效果</w:t>
            </w:r>
          </w:p>
        </w:tc>
        <w:tc>
          <w:tcPr>
            <w:tcW w:w="2268" w:type="dxa"/>
            <w:tcBorders>
              <w:left w:val="single" w:sz="6" w:space="0" w:color="000000"/>
              <w:right w:val="single" w:sz="6" w:space="0" w:color="000000"/>
            </w:tcBorders>
            <w:vAlign w:val="center"/>
          </w:tcPr>
          <w:p>
            <w:pPr>
              <w:pStyle w:val="20"/>
            </w:pPr>
            <w:r>
              <w:t>接收视频清晰</w:t>
            </w:r>
          </w:p>
        </w:tc>
        <w:tc>
          <w:tcPr>
            <w:tcW w:w="1276" w:type="dxa"/>
            <w:tcBorders>
              <w:left w:val="single" w:sz="6" w:space="0" w:color="000000"/>
            </w:tcBorders>
            <w:vAlign w:val="center"/>
          </w:tcPr>
          <w:p>
            <w:pPr>
              <w:pStyle w:val="20"/>
            </w:pPr>
            <w:r>
              <w:t>协议合同</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项目预算控制额</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1.272万元</w:t>
            </w:r>
          </w:p>
        </w:tc>
        <w:tc>
          <w:tcPr>
            <w:tcW w:w="1276" w:type="dxa"/>
            <w:tcBorders>
              <w:left w:val="single" w:sz="6" w:space="0" w:color="000000"/>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及时率</w:t>
            </w:r>
          </w:p>
        </w:tc>
        <w:tc>
          <w:tcPr>
            <w:tcW w:w="5386" w:type="dxa"/>
            <w:tcBorders>
              <w:left w:val="single" w:sz="6" w:space="0" w:color="000000"/>
              <w:right w:val="single" w:sz="6" w:space="0" w:color="000000"/>
            </w:tcBorders>
            <w:vAlign w:val="center"/>
          </w:tcPr>
          <w:p>
            <w:pPr>
              <w:pStyle w:val="20"/>
            </w:pPr>
            <w:r>
              <w:t>及时完成</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保障设备正常运行</w:t>
            </w:r>
          </w:p>
        </w:tc>
        <w:tc>
          <w:tcPr>
            <w:tcW w:w="5386" w:type="dxa"/>
            <w:tcBorders>
              <w:left w:val="single" w:sz="6" w:space="0" w:color="000000"/>
              <w:right w:val="single" w:sz="6" w:space="0" w:color="000000"/>
            </w:tcBorders>
            <w:vAlign w:val="center"/>
          </w:tcPr>
          <w:p>
            <w:pPr>
              <w:pStyle w:val="20"/>
            </w:pPr>
            <w:r>
              <w:t>保障设备正常运行</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参会人员满意度</w:t>
            </w:r>
          </w:p>
        </w:tc>
        <w:tc>
          <w:tcPr>
            <w:tcW w:w="5386" w:type="dxa"/>
            <w:tcBorders>
              <w:left w:val="single" w:sz="6" w:space="0" w:color="000000"/>
              <w:right w:val="single" w:sz="6" w:space="0" w:color="000000"/>
            </w:tcBorders>
            <w:vAlign w:val="center"/>
          </w:tcPr>
          <w:p>
            <w:pPr>
              <w:pStyle w:val="20"/>
            </w:pPr>
            <w:r>
              <w:t>参会人员满意度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tcBorders>
            <w:vAlign w:val="center"/>
          </w:tcPr>
          <w:p>
            <w:pPr>
              <w:pStyle w:val="23"/>
            </w:pPr>
            <w:r>
              <w:t>8.00</w:t>
            </w:r>
          </w:p>
        </w:tc>
      </w:tr>
      <w:tr>
        <w:tc>
          <w:tcPr>
            <w:tcW w:w="1701" w:type="dxa"/>
            <w:vAlign w:val="center"/>
          </w:tcPr>
          <w:p>
            <w:pPr>
              <w:pStyle w:val="22"/>
            </w:pPr>
            <w:r>
              <w:t>石家庄市井陉矿区人民代表大会常务委员会办公室小计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r>
              <w:t>8.00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tcBorders>
            <w:vAlign w:val="center"/>
          </w:tcPr>
          <w:p>
            <w:pPr>
              <w:pStyle w:val="23"/>
            </w:pPr>
            <w:r>
              <w:t>8.00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财产保险服务</w:t>
            </w:r>
          </w:p>
        </w:tc>
        <w:tc>
          <w:tcPr>
            <w:tcW w:w="1134" w:type="dxa"/>
            <w:tcBorders>
              <w:left w:val="single" w:sz="6" w:space="0" w:color="000000"/>
              <w:right w:val="single" w:sz="6" w:space="0" w:color="000000"/>
            </w:tcBorders>
            <w:vAlign w:val="center"/>
          </w:tcPr>
          <w:p>
            <w:pPr>
              <w:pStyle w:val="20"/>
            </w:pPr>
            <w:r>
              <w:t>C18040102</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1.25</w:t>
            </w:r>
          </w:p>
        </w:tc>
        <w:tc>
          <w:tcPr>
            <w:tcW w:w="964" w:type="dxa"/>
            <w:tcBorders>
              <w:left w:val="single" w:sz="6" w:space="0" w:color="000000"/>
              <w:right w:val="single" w:sz="6" w:space="0" w:color="000000"/>
            </w:tcBorders>
            <w:vAlign w:val="center"/>
          </w:tcPr>
          <w:p>
            <w:pPr>
              <w:pStyle w:val="19"/>
            </w:pPr>
            <w:r>
              <w:t>5.00</w:t>
            </w:r>
          </w:p>
        </w:tc>
        <w:tc>
          <w:tcPr>
            <w:tcW w:w="964" w:type="dxa"/>
            <w:tcBorders>
              <w:left w:val="single" w:sz="6" w:space="0" w:color="000000"/>
              <w:right w:val="single" w:sz="6" w:space="0" w:color="000000"/>
            </w:tcBorders>
            <w:vAlign w:val="center"/>
          </w:tcPr>
          <w:p>
            <w:pPr>
              <w:pStyle w:val="19"/>
            </w:pPr>
            <w:r>
              <w:t>5.00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5.00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车辆维修和保养服务</w:t>
            </w:r>
          </w:p>
        </w:tc>
        <w:tc>
          <w:tcPr>
            <w:tcW w:w="1134" w:type="dxa"/>
            <w:tcBorders>
              <w:left w:val="single" w:sz="6" w:space="0" w:color="000000"/>
              <w:right w:val="single" w:sz="6" w:space="0" w:color="000000"/>
            </w:tcBorders>
            <w:vAlign w:val="center"/>
          </w:tcPr>
          <w:p>
            <w:pPr>
              <w:pStyle w:val="20"/>
            </w:pPr>
            <w:r>
              <w:t>C23120301</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0.38</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1.50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11.78</w:t>
            </w:r>
          </w:p>
        </w:tc>
        <w:tc>
          <w:tcPr>
            <w:tcW w:w="1134" w:type="dxa"/>
            <w:tcBorders>
              <w:left w:val="single" w:sz="6" w:space="0" w:color="000000"/>
              <w:right w:val="single" w:sz="6" w:space="0" w:color="000000"/>
            </w:tcBorders>
            <w:vAlign w:val="center"/>
          </w:tcPr>
          <w:p>
            <w:pPr>
              <w:pStyle w:val="20"/>
            </w:pPr>
            <w:r>
              <w:t>车辆加油、添加燃料服务</w:t>
            </w:r>
          </w:p>
        </w:tc>
        <w:tc>
          <w:tcPr>
            <w:tcW w:w="1134" w:type="dxa"/>
            <w:tcBorders>
              <w:left w:val="single" w:sz="6" w:space="0" w:color="000000"/>
              <w:right w:val="single" w:sz="6" w:space="0" w:color="000000"/>
            </w:tcBorders>
            <w:vAlign w:val="center"/>
          </w:tcPr>
          <w:p>
            <w:pPr>
              <w:pStyle w:val="20"/>
            </w:pPr>
            <w:r>
              <w:t>C23120302</w:t>
            </w:r>
          </w:p>
        </w:tc>
        <w:tc>
          <w:tcPr>
            <w:tcW w:w="709" w:type="dxa"/>
            <w:tcBorders>
              <w:left w:val="single" w:sz="6" w:space="0" w:color="000000"/>
              <w:right w:val="single" w:sz="6" w:space="0" w:color="000000"/>
            </w:tcBorders>
            <w:vAlign w:val="center"/>
          </w:tcPr>
          <w:p>
            <w:pPr>
              <w:pStyle w:val="21"/>
            </w:pPr>
            <w:r>
              <w:t>项</w:t>
            </w:r>
          </w:p>
        </w:tc>
        <w:tc>
          <w:tcPr>
            <w:tcW w:w="850" w:type="dxa"/>
            <w:tcBorders>
              <w:left w:val="single" w:sz="6" w:space="0" w:color="000000"/>
              <w:right w:val="single" w:sz="6" w:space="0" w:color="000000"/>
            </w:tcBorders>
            <w:vAlign w:val="center"/>
          </w:tcPr>
          <w:p>
            <w:pPr>
              <w:pStyle w:val="19"/>
            </w:pPr>
            <w:r>
              <w:t>4</w:t>
            </w:r>
          </w:p>
        </w:tc>
        <w:tc>
          <w:tcPr>
            <w:tcW w:w="850" w:type="dxa"/>
            <w:tcBorders>
              <w:left w:val="single" w:sz="6" w:space="0" w:color="000000"/>
              <w:right w:val="single" w:sz="6" w:space="0" w:color="000000"/>
            </w:tcBorders>
            <w:vAlign w:val="center"/>
          </w:tcPr>
          <w:p>
            <w:pPr>
              <w:pStyle w:val="19"/>
            </w:pPr>
            <w:r>
              <w:t>0.38</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r>
              <w:t>1.50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r>
              <w:t>1.50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rPr>
          <w:rFonts w:ascii="黑体" w:eastAsia="黑体" w:cs="黑体" w:hAnsi="黑体"/>
          <w:color w:val="000000"/>
          <w:sz w:val="32"/>
        </w:rPr>
      </w:pPr>
      <w:bookmarkStart w:id="18" w:name="_Toc_3_3_0000000018"/>
    </w:p>
    <w:p>
      <w:pPr>
        <w:spacing w:before="10" w:after="10" w:line="240" w:lineRule="auto"/>
        <w:ind w:firstLine="640"/>
        <w:jc w:val="left"/>
        <w:outlineLvl w:val="2"/>
        <w:rPr>
          <w:rFonts w:ascii="黑体" w:eastAsia="黑体" w:cs="黑体" w:hAnsi="黑体"/>
          <w:color w:val="000000"/>
          <w:sz w:val="32"/>
        </w:rPr>
      </w:pPr>
    </w:p>
    <w:p>
      <w:pPr>
        <w:spacing w:before="10" w:after="10" w:line="240" w:lineRule="auto"/>
        <w:ind w:firstLine="640"/>
        <w:jc w:val="left"/>
        <w:outlineLvl w:val="2"/>
        <w:rPr>
          <w:rFonts w:ascii="黑体" w:eastAsia="黑体" w:cs="黑体" w:hAnsi="黑体"/>
          <w:color w:val="000000"/>
          <w:sz w:val="32"/>
        </w:rPr>
      </w:pPr>
    </w:p>
    <w:p>
      <w:pPr>
        <w:spacing w:before="10" w:after="10" w:line="240" w:lineRule="auto"/>
        <w:ind w:firstLine="640"/>
        <w:jc w:val="left"/>
        <w:outlineLvl w:val="2"/>
      </w:pPr>
      <w:r>
        <w:rPr>
          <w:rFonts w:ascii="黑体" w:eastAsia="黑体" w:cs="黑体" w:hAnsi="黑体"/>
          <w:color w:val="000000"/>
          <w:sz w:val="32"/>
        </w:rPr>
        <w:t>九、国有资产信息</w:t>
      </w:r>
      <w:bookmarkEnd w:id="18"/>
    </w:p>
    <w:p>
      <w:pPr>
        <w:spacing w:before="0" w:after="0" w:line="500" w:lineRule="exact"/>
        <w:ind w:firstLine="560"/>
        <w:jc w:val="left"/>
      </w:pPr>
      <w:r>
        <w:rPr>
          <w:rFonts w:ascii="Times New Roman" w:eastAsia="方正仿宋_GBK" w:cs="Times New Roman" w:hAnsi="Times New Roman"/>
          <w:b w:val="0"/>
          <w:color w:val="000000"/>
          <w:sz w:val="28"/>
        </w:rPr>
        <w:t>石家庄市井陉矿区人民代表大会常务委员会办公室（含所属单位）上年末固定资产金额为225.25万元（详见下表）。本年度拟购置固定资产总额为0.00万元，已按要求列入政府采购预算，详见政府采购预算表。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101石家庄市井陉矿区人民代表大会常务委员会办公室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r>
              <w:t>155</w:t>
            </w:r>
          </w:p>
        </w:tc>
        <w:tc>
          <w:tcPr>
            <w:tcW w:w="2835" w:type="dxa"/>
            <w:tcBorders>
              <w:left w:val="single" w:sz="6" w:space="0" w:color="000000"/>
            </w:tcBorders>
            <w:vAlign w:val="center"/>
          </w:tcPr>
          <w:p>
            <w:pPr>
              <w:pStyle w:val="19"/>
            </w:pPr>
            <w:r>
              <w:t>225.25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7</w:t>
            </w:r>
          </w:p>
        </w:tc>
        <w:tc>
          <w:tcPr>
            <w:tcW w:w="2835" w:type="dxa"/>
            <w:tcBorders>
              <w:left w:val="single" w:sz="6" w:space="0" w:color="000000"/>
            </w:tcBorders>
            <w:vAlign w:val="center"/>
          </w:tcPr>
          <w:p>
            <w:pPr>
              <w:pStyle w:val="19"/>
            </w:pPr>
            <w:r>
              <w:t>154.35</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148</w:t>
            </w:r>
          </w:p>
        </w:tc>
        <w:tc>
          <w:tcPr>
            <w:tcW w:w="2835" w:type="dxa"/>
            <w:tcBorders>
              <w:left w:val="single" w:sz="6" w:space="0" w:color="000000"/>
            </w:tcBorders>
            <w:vAlign w:val="center"/>
          </w:tcPr>
          <w:p>
            <w:pPr>
              <w:pStyle w:val="19"/>
            </w:pPr>
            <w:r>
              <w:t>70.90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22F425E-FA21-4A72-A495-AC84E7DDA4D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17</TotalTime>
  <Application>Yozo_Office9.0.4819.102ZH</Application>
  <Pages>28</Pages>
  <Words>0</Words>
  <Characters>9744</Characters>
  <Lines>0</Lines>
  <Paragraphs>143</Paragraphs>
  <CharactersWithSpaces>12993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2026-02-09T15:29:55Z</dcterms:created>
  <dcterms:modified xsi:type="dcterms:W3CDTF">2026-02-10T02:02:24Z</dcterms:modified>
</cp:coreProperties>
</file>