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一、中共石家庄市井陉矿区委社会工作部收支预算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bookmarkStart w:id="0" w:name="_GoBack"/>
      <w:bookmarkEnd w:id="0"/>
    </w:p>
    <w:p>
      <w:pPr>
        <w:spacing w:before="0" w:after="0"/>
        <w:ind w:firstLine="0"/>
        <w:jc w:val="center"/>
        <w:outlineLvl w:val="3"/>
      </w:pPr>
      <w:bookmarkStart w:id="1" w:name="_Toc_4_4_0000000002"/>
      <w:r>
        <w:rPr>
          <w:rFonts w:ascii="方正小标宋_GBK" w:eastAsia="方正小标宋_GBK" w:cs="方正小标宋_GBK" w:hAnsi="方正小标宋_GBK"/>
          <w:b w:val="0"/>
          <w:color w:val="000000"/>
          <w:sz w:val="44"/>
        </w:rPr>
        <w:t>一、中共石家庄市井陉矿区委社会工作部收支预算</w:t>
      </w:r>
      <w:bookmarkEnd w:id="1"/>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122.96</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91.91</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11.73</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9.13</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r>
              <w:t>0.43</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9.76</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122.96</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122.96</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122.96</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122.96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9"/>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20139</w:t>
            </w:r>
          </w:p>
        </w:tc>
        <w:tc>
          <w:tcPr>
            <w:tcW w:w="1559" w:type="dxa"/>
            <w:tcBorders>
              <w:left w:val="single" w:sz="6" w:space="0" w:color="000000"/>
              <w:right w:val="single" w:sz="6" w:space="0" w:color="000000"/>
            </w:tcBorders>
            <w:vAlign w:val="center"/>
          </w:tcPr>
          <w:p>
            <w:pPr>
              <w:pStyle w:val="20"/>
            </w:pPr>
            <w:r>
              <w:t>社会工作事务</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2013901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2013902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pPr>
            <w:r>
              <w:t>城乡社区支出</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21201</w:t>
            </w:r>
          </w:p>
        </w:tc>
        <w:tc>
          <w:tcPr>
            <w:tcW w:w="1559" w:type="dxa"/>
            <w:tcBorders>
              <w:left w:val="single" w:sz="6" w:space="0" w:color="000000"/>
              <w:right w:val="single" w:sz="6" w:space="0" w:color="000000"/>
            </w:tcBorders>
            <w:vAlign w:val="center"/>
          </w:tcPr>
          <w:p>
            <w:pPr>
              <w:pStyle w:val="20"/>
            </w:pPr>
            <w:r>
              <w:t>城乡社区管理事务</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2120101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9"/>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122.96</w:t>
            </w:r>
          </w:p>
        </w:tc>
        <w:tc>
          <w:tcPr>
            <w:tcW w:w="1361" w:type="dxa"/>
            <w:tcBorders>
              <w:left w:val="single" w:sz="6" w:space="0" w:color="000000"/>
              <w:right w:val="single" w:sz="6" w:space="0" w:color="000000"/>
            </w:tcBorders>
            <w:vAlign w:val="center"/>
          </w:tcPr>
          <w:p>
            <w:pPr>
              <w:pStyle w:val="23"/>
            </w:pPr>
            <w:r>
              <w:t>121.53</w:t>
            </w:r>
          </w:p>
        </w:tc>
        <w:tc>
          <w:tcPr>
            <w:tcW w:w="1361" w:type="dxa"/>
            <w:tcBorders>
              <w:left w:val="single" w:sz="6" w:space="0" w:color="000000"/>
              <w:right w:val="single" w:sz="6" w:space="0" w:color="000000"/>
            </w:tcBorders>
            <w:vAlign w:val="center"/>
          </w:tcPr>
          <w:p>
            <w:pPr>
              <w:pStyle w:val="23"/>
            </w:pPr>
            <w:r>
              <w:t>1.43</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91.91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1361" w:type="dxa"/>
            <w:tcBorders>
              <w:left w:val="single" w:sz="6" w:space="0" w:color="000000"/>
              <w:right w:val="single" w:sz="6" w:space="0" w:color="000000"/>
            </w:tcBorders>
            <w:vAlign w:val="center"/>
          </w:tcPr>
          <w:p>
            <w:pPr>
              <w:pStyle w:val="19"/>
            </w:pPr>
            <w:r>
              <w:t>91.91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2013901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2013902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11.73</w:t>
            </w:r>
          </w:p>
        </w:tc>
        <w:tc>
          <w:tcPr>
            <w:tcW w:w="1361" w:type="dxa"/>
            <w:tcBorders>
              <w:left w:val="single" w:sz="6" w:space="0" w:color="000000"/>
              <w:right w:val="single" w:sz="6" w:space="0" w:color="000000"/>
            </w:tcBorders>
            <w:vAlign w:val="center"/>
          </w:tcPr>
          <w:p>
            <w:pPr>
              <w:pStyle w:val="19"/>
            </w:pPr>
            <w:r>
              <w:t>11.73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5.18</w:t>
            </w:r>
          </w:p>
        </w:tc>
        <w:tc>
          <w:tcPr>
            <w:tcW w:w="1361" w:type="dxa"/>
            <w:tcBorders>
              <w:left w:val="single" w:sz="6" w:space="0" w:color="000000"/>
              <w:right w:val="single" w:sz="6" w:space="0" w:color="000000"/>
            </w:tcBorders>
            <w:vAlign w:val="center"/>
          </w:tcPr>
          <w:p>
            <w:pPr>
              <w:pStyle w:val="19"/>
            </w:pPr>
            <w:r>
              <w:t>5.18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3.95</w:t>
            </w:r>
          </w:p>
        </w:tc>
        <w:tc>
          <w:tcPr>
            <w:tcW w:w="1361" w:type="dxa"/>
            <w:tcBorders>
              <w:left w:val="single" w:sz="6" w:space="0" w:color="000000"/>
              <w:right w:val="single" w:sz="6" w:space="0" w:color="000000"/>
            </w:tcBorders>
            <w:vAlign w:val="center"/>
          </w:tcPr>
          <w:p>
            <w:pPr>
              <w:pStyle w:val="19"/>
            </w:pPr>
            <w:r>
              <w:t>3.95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21201</w:t>
            </w:r>
          </w:p>
        </w:tc>
        <w:tc>
          <w:tcPr>
            <w:tcW w:w="4535" w:type="dxa"/>
            <w:tcBorders>
              <w:left w:val="single" w:sz="6" w:space="0" w:color="000000"/>
              <w:right w:val="single" w:sz="6" w:space="0" w:color="000000"/>
            </w:tcBorders>
            <w:vAlign w:val="center"/>
          </w:tcPr>
          <w:p>
            <w:pPr>
              <w:pStyle w:val="20"/>
            </w:pPr>
            <w:r>
              <w:t>城乡社区管理事务</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2120101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122.96</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91.91</w:t>
            </w:r>
          </w:p>
        </w:tc>
        <w:tc>
          <w:tcPr>
            <w:tcW w:w="1474" w:type="dxa"/>
            <w:tcBorders>
              <w:left w:val="single" w:sz="6" w:space="0" w:color="000000"/>
              <w:right w:val="single" w:sz="6" w:space="0" w:color="000000"/>
            </w:tcBorders>
            <w:vAlign w:val="center"/>
          </w:tcPr>
          <w:p>
            <w:pPr>
              <w:pStyle w:val="19"/>
            </w:pPr>
            <w:r>
              <w:t>91.91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11.73</w:t>
            </w:r>
          </w:p>
        </w:tc>
        <w:tc>
          <w:tcPr>
            <w:tcW w:w="1474" w:type="dxa"/>
            <w:tcBorders>
              <w:left w:val="single" w:sz="6" w:space="0" w:color="000000"/>
              <w:right w:val="single" w:sz="6" w:space="0" w:color="000000"/>
            </w:tcBorders>
            <w:vAlign w:val="center"/>
          </w:tcPr>
          <w:p>
            <w:pPr>
              <w:pStyle w:val="19"/>
            </w:pPr>
            <w:r>
              <w:t>11.73</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9.13</w:t>
            </w:r>
          </w:p>
        </w:tc>
        <w:tc>
          <w:tcPr>
            <w:tcW w:w="1474" w:type="dxa"/>
            <w:tcBorders>
              <w:left w:val="single" w:sz="6" w:space="0" w:color="000000"/>
              <w:right w:val="single" w:sz="6" w:space="0" w:color="000000"/>
            </w:tcBorders>
            <w:vAlign w:val="center"/>
          </w:tcPr>
          <w:p>
            <w:pPr>
              <w:pStyle w:val="19"/>
            </w:pPr>
            <w:r>
              <w:t>9.13</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r>
              <w:t>0.43</w:t>
            </w:r>
          </w:p>
        </w:tc>
        <w:tc>
          <w:tcPr>
            <w:tcW w:w="1474" w:type="dxa"/>
            <w:tcBorders>
              <w:left w:val="single" w:sz="6" w:space="0" w:color="000000"/>
              <w:right w:val="single" w:sz="6" w:space="0" w:color="000000"/>
            </w:tcBorders>
            <w:vAlign w:val="center"/>
          </w:tcPr>
          <w:p>
            <w:pPr>
              <w:pStyle w:val="19"/>
            </w:pPr>
            <w:r>
              <w:t>0.43</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9.76</w:t>
            </w:r>
          </w:p>
        </w:tc>
        <w:tc>
          <w:tcPr>
            <w:tcW w:w="1474" w:type="dxa"/>
            <w:tcBorders>
              <w:left w:val="single" w:sz="6" w:space="0" w:color="000000"/>
              <w:right w:val="single" w:sz="6" w:space="0" w:color="000000"/>
            </w:tcBorders>
            <w:vAlign w:val="center"/>
          </w:tcPr>
          <w:p>
            <w:pPr>
              <w:pStyle w:val="19"/>
            </w:pPr>
            <w:r>
              <w:t>9.76</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122.96</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122.96</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9"/>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122.96</w:t>
            </w:r>
          </w:p>
        </w:tc>
        <w:tc>
          <w:tcPr>
            <w:tcW w:w="2551" w:type="dxa"/>
            <w:tcBorders>
              <w:left w:val="single" w:sz="6" w:space="0" w:color="000000"/>
              <w:right w:val="single" w:sz="6" w:space="0" w:color="000000"/>
            </w:tcBorders>
            <w:vAlign w:val="center"/>
          </w:tcPr>
          <w:p>
            <w:pPr>
              <w:pStyle w:val="23"/>
            </w:pPr>
            <w:r>
              <w:t>121.53</w:t>
            </w:r>
          </w:p>
        </w:tc>
        <w:tc>
          <w:tcPr>
            <w:tcW w:w="2551" w:type="dxa"/>
            <w:tcBorders>
              <w:left w:val="single" w:sz="6" w:space="0" w:color="000000"/>
            </w:tcBorders>
            <w:vAlign w:val="center"/>
          </w:tcPr>
          <w:p>
            <w:pPr>
              <w:pStyle w:val="23"/>
            </w:pPr>
            <w:r>
              <w:t>1.43</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91.91</w:t>
            </w:r>
          </w:p>
        </w:tc>
        <w:tc>
          <w:tcPr>
            <w:tcW w:w="2551" w:type="dxa"/>
            <w:tcBorders>
              <w:left w:val="single" w:sz="6" w:space="0" w:color="000000"/>
              <w:right w:val="single" w:sz="6" w:space="0" w:color="000000"/>
            </w:tcBorders>
            <w:vAlign w:val="center"/>
          </w:tcPr>
          <w:p>
            <w:pPr>
              <w:pStyle w:val="19"/>
            </w:pPr>
            <w:r>
              <w:t>90.91</w:t>
            </w: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2551" w:type="dxa"/>
            <w:tcBorders>
              <w:left w:val="single" w:sz="6" w:space="0" w:color="000000"/>
              <w:right w:val="single" w:sz="6" w:space="0" w:color="000000"/>
            </w:tcBorders>
            <w:vAlign w:val="center"/>
          </w:tcPr>
          <w:p>
            <w:pPr>
              <w:pStyle w:val="19"/>
            </w:pPr>
            <w:r>
              <w:t>91.91</w:t>
            </w:r>
          </w:p>
        </w:tc>
        <w:tc>
          <w:tcPr>
            <w:tcW w:w="2551" w:type="dxa"/>
            <w:tcBorders>
              <w:left w:val="single" w:sz="6" w:space="0" w:color="000000"/>
              <w:right w:val="single" w:sz="6" w:space="0" w:color="000000"/>
            </w:tcBorders>
            <w:vAlign w:val="center"/>
          </w:tcPr>
          <w:p>
            <w:pPr>
              <w:pStyle w:val="19"/>
            </w:pPr>
            <w:r>
              <w:t>90.91</w:t>
            </w: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2013901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90.91</w:t>
            </w:r>
          </w:p>
        </w:tc>
        <w:tc>
          <w:tcPr>
            <w:tcW w:w="2551" w:type="dxa"/>
            <w:tcBorders>
              <w:left w:val="single" w:sz="6" w:space="0" w:color="000000"/>
              <w:right w:val="single" w:sz="6" w:space="0" w:color="000000"/>
            </w:tcBorders>
            <w:vAlign w:val="center"/>
          </w:tcPr>
          <w:p>
            <w:pPr>
              <w:pStyle w:val="19"/>
            </w:pPr>
            <w:r>
              <w:t>90.91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2013902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11.73</w:t>
            </w:r>
          </w:p>
        </w:tc>
        <w:tc>
          <w:tcPr>
            <w:tcW w:w="2551" w:type="dxa"/>
            <w:tcBorders>
              <w:left w:val="single" w:sz="6" w:space="0" w:color="000000"/>
              <w:right w:val="single" w:sz="6" w:space="0" w:color="000000"/>
            </w:tcBorders>
            <w:vAlign w:val="center"/>
          </w:tcPr>
          <w:p>
            <w:pPr>
              <w:pStyle w:val="19"/>
            </w:pPr>
            <w:r>
              <w:t>11.73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0.43</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21201</w:t>
            </w:r>
          </w:p>
        </w:tc>
        <w:tc>
          <w:tcPr>
            <w:tcW w:w="4535" w:type="dxa"/>
            <w:tcBorders>
              <w:left w:val="single" w:sz="6" w:space="0" w:color="000000"/>
              <w:right w:val="single" w:sz="6" w:space="0" w:color="000000"/>
            </w:tcBorders>
            <w:vAlign w:val="center"/>
          </w:tcPr>
          <w:p>
            <w:pPr>
              <w:pStyle w:val="20"/>
            </w:pPr>
            <w:r>
              <w:t>城乡社区管理事务</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0.43</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2120101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0.43</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9"/>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121.53</w:t>
            </w:r>
          </w:p>
        </w:tc>
        <w:tc>
          <w:tcPr>
            <w:tcW w:w="2551" w:type="dxa"/>
            <w:tcBorders>
              <w:left w:val="single" w:sz="6" w:space="0" w:color="000000"/>
              <w:right w:val="single" w:sz="6" w:space="0" w:color="000000"/>
            </w:tcBorders>
            <w:vAlign w:val="center"/>
          </w:tcPr>
          <w:p>
            <w:pPr>
              <w:pStyle w:val="23"/>
            </w:pPr>
            <w:r>
              <w:t>115.89</w:t>
            </w:r>
          </w:p>
        </w:tc>
        <w:tc>
          <w:tcPr>
            <w:tcW w:w="2551" w:type="dxa"/>
            <w:tcBorders>
              <w:left w:val="single" w:sz="6" w:space="0" w:color="000000"/>
            </w:tcBorders>
            <w:vAlign w:val="center"/>
          </w:tcPr>
          <w:p>
            <w:pPr>
              <w:pStyle w:val="23"/>
            </w:pPr>
            <w:r>
              <w:t>5.64</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115.89</w:t>
            </w:r>
          </w:p>
        </w:tc>
        <w:tc>
          <w:tcPr>
            <w:tcW w:w="2551" w:type="dxa"/>
            <w:tcBorders>
              <w:left w:val="single" w:sz="6" w:space="0" w:color="000000"/>
              <w:right w:val="single" w:sz="6" w:space="0" w:color="000000"/>
            </w:tcBorders>
            <w:vAlign w:val="center"/>
          </w:tcPr>
          <w:p>
            <w:pPr>
              <w:pStyle w:val="19"/>
            </w:pPr>
            <w:r>
              <w:t>115.89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31.00</w:t>
            </w:r>
          </w:p>
        </w:tc>
        <w:tc>
          <w:tcPr>
            <w:tcW w:w="2551" w:type="dxa"/>
            <w:tcBorders>
              <w:left w:val="single" w:sz="6" w:space="0" w:color="000000"/>
              <w:right w:val="single" w:sz="6" w:space="0" w:color="000000"/>
            </w:tcBorders>
            <w:vAlign w:val="center"/>
          </w:tcPr>
          <w:p>
            <w:pPr>
              <w:pStyle w:val="19"/>
            </w:pPr>
            <w:r>
              <w:t>31.00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20.95</w:t>
            </w:r>
          </w:p>
        </w:tc>
        <w:tc>
          <w:tcPr>
            <w:tcW w:w="2551" w:type="dxa"/>
            <w:tcBorders>
              <w:left w:val="single" w:sz="6" w:space="0" w:color="000000"/>
              <w:right w:val="single" w:sz="6" w:space="0" w:color="000000"/>
            </w:tcBorders>
            <w:vAlign w:val="center"/>
          </w:tcPr>
          <w:p>
            <w:pPr>
              <w:pStyle w:val="19"/>
            </w:pPr>
            <w:r>
              <w:t>20.95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20.93</w:t>
            </w:r>
          </w:p>
        </w:tc>
        <w:tc>
          <w:tcPr>
            <w:tcW w:w="2551" w:type="dxa"/>
            <w:tcBorders>
              <w:left w:val="single" w:sz="6" w:space="0" w:color="000000"/>
              <w:right w:val="single" w:sz="6" w:space="0" w:color="000000"/>
            </w:tcBorders>
            <w:vAlign w:val="center"/>
          </w:tcPr>
          <w:p>
            <w:pPr>
              <w:pStyle w:val="19"/>
            </w:pPr>
            <w:r>
              <w:t>20.93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12.39</w:t>
            </w:r>
          </w:p>
        </w:tc>
        <w:tc>
          <w:tcPr>
            <w:tcW w:w="2551" w:type="dxa"/>
            <w:tcBorders>
              <w:left w:val="single" w:sz="6" w:space="0" w:color="000000"/>
              <w:right w:val="single" w:sz="6" w:space="0" w:color="000000"/>
            </w:tcBorders>
            <w:vAlign w:val="center"/>
          </w:tcPr>
          <w:p>
            <w:pPr>
              <w:pStyle w:val="19"/>
            </w:pPr>
            <w:r>
              <w:t>12.39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5.64</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0.86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0.86</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30202</w:t>
            </w:r>
          </w:p>
        </w:tc>
        <w:tc>
          <w:tcPr>
            <w:tcW w:w="4535" w:type="dxa"/>
            <w:tcBorders>
              <w:left w:val="single" w:sz="6" w:space="0" w:color="000000"/>
              <w:right w:val="single" w:sz="6" w:space="0" w:color="000000"/>
            </w:tcBorders>
            <w:vAlign w:val="center"/>
          </w:tcPr>
          <w:p>
            <w:pPr>
              <w:pStyle w:val="20"/>
            </w:pPr>
            <w:r>
              <w:t>印刷费</w:t>
            </w:r>
          </w:p>
        </w:tc>
        <w:tc>
          <w:tcPr>
            <w:tcW w:w="2551" w:type="dxa"/>
            <w:tcBorders>
              <w:left w:val="single" w:sz="6" w:space="0" w:color="000000"/>
              <w:right w:val="single" w:sz="6" w:space="0" w:color="000000"/>
            </w:tcBorders>
            <w:vAlign w:val="center"/>
          </w:tcPr>
          <w:p>
            <w:pPr>
              <w:pStyle w:val="19"/>
            </w:pPr>
            <w:r>
              <w:t>0.14</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0.14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0.82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0.82</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0.40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0.40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3.42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3.42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中共石家庄市井陉矿区委社会工作部2026年单位预算信息公开情况说明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按照《中华人民共和国预算法》、《地方预决算公开操作规程》和《关于进一步推进预算公开工作的实施意见》规定，现将中共石家庄市井陉矿区委社会工作部2026年单位预算公开如下：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4"/>
      </w:pPr>
      <w:r>
        <w:t>(一)研究相关理论、政策和规划，拟订社会工作方面相关规范性文件并组织实施。负责区委非公有制经济组织和社会组织工作委员会日常工作。深入调查研究，及时向区委报告工作情况并提出建议。</w:t>
      </w:r>
    </w:p>
    <w:p>
      <w:pPr>
        <w:pStyle w:val="24"/>
      </w:pPr>
      <w:r>
        <w:t>(二)统筹指导群众利益协调、诉求表达、矛盾调处、权益保障等人民信访工作，协调解决人民群众急难愁盼的重大问题。指导人民建议征集工作，负责征集、办理公民、法人和其他组织提出的意见建议，向区委、区政府及时反映公民、法人和其他组织对党和国家事业发展提出的重要意见建议。</w:t>
      </w:r>
    </w:p>
    <w:p>
      <w:pPr>
        <w:pStyle w:val="24"/>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pPr>
        <w:pStyle w:val="24"/>
      </w:pPr>
      <w:r>
        <w:t>(四)统筹指导社会组织、行业协会商会党建工作，协调推动行业协会商会深化改革和转型发展。</w:t>
      </w:r>
    </w:p>
    <w:p>
      <w:pPr>
        <w:pStyle w:val="24"/>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24"/>
      </w:pPr>
      <w:r>
        <w:t>(六)拟订全区社会工作发展规划、志愿服务规范和标准并组织实施，负责全区志愿服务工作的统筹规划、协调指导、督促检查。会同有关部门推进社会工作人才队伍建设和志愿者队伍建设。</w:t>
      </w:r>
    </w:p>
    <w:p>
      <w:pPr>
        <w:pStyle w:val="24"/>
      </w:pPr>
      <w:r>
        <w:t>(七)完成区委交办的其他任务。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中共石家庄市井陉矿区委社会工作部</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5"/>
      </w:pPr>
      <w:r>
        <w:t>按照预算管理有关规定，目前单位预算的编制实行综合预算管理，即全部收入和支出都反映在预算中。</w:t>
      </w:r>
    </w:p>
    <w:p>
      <w:pPr>
        <w:pStyle w:val="25"/>
      </w:pPr>
      <w:r>
        <w:t>1、收入说明</w:t>
      </w:r>
    </w:p>
    <w:p>
      <w:pPr>
        <w:pStyle w:val="25"/>
      </w:pPr>
      <w:r>
        <w:t>反映本单位当年全部收入。2026年预算收入122.96万元，其中：一般公共预算收入122.96万元，基金预算收入0.00万元，国有资本经营预算收入0.00万元，财政专户核拨收入0.00万元，单位资金收入0.00万元，上年结转结余0.00万元。</w:t>
      </w:r>
    </w:p>
    <w:p>
      <w:pPr>
        <w:pStyle w:val="25"/>
      </w:pPr>
      <w:r>
        <w:t>2、支出说明</w:t>
      </w:r>
    </w:p>
    <w:p>
      <w:pPr>
        <w:pStyle w:val="25"/>
      </w:pPr>
      <w:r>
        <w:t>收支预算总表支出栏、基本支出表、项目支出表按经济分类和支出功能分类科目编制，反映中共石家庄市井陉矿区委社会工作部年度单位预算中支出预算的总体情况。2026年支出预算122.96万元，其中基本支出121.53万元，包括人员经费115.89万元和日常公用经费5.64万元；项目支出1.43万元，主要为人员经费用于在职基本工资、津贴补贴、奖金及各项保险缴纳；公用经费用于购买日常办公用品、印刷费、在职人员取暖补贴；项目支出为居委会“两委”换届经费和开通党政协同办公平台年费。；预计下年使用的单位资金结余0.00万元。委托业务费共计安排0.00万元，主要用于因技术原因确需对外委托的辅助性工作和确有必要对外委托开展咨询、评审、规划等工作。</w:t>
      </w:r>
    </w:p>
    <w:p>
      <w:pPr>
        <w:pStyle w:val="25"/>
      </w:pPr>
      <w:r>
        <w:t>3、比上年增减情况</w:t>
      </w:r>
    </w:p>
    <w:p>
      <w:pPr>
        <w:pStyle w:val="25"/>
      </w:pPr>
      <w:r>
        <w:t>2026年预算收支安排122.96万元，较2025年预算增加45.73万元，其中：基本支出增加44.30万元，主要为2025年度新招录公务员1人，事业编2人。项目支出增加1.43万元，主要为项目支出为居委会“两委”换届经费和开通党政协同办公平台年费。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6"/>
      </w:pPr>
      <w:r>
        <w:t>2026年，我单位机关运行经费共计安排5.64万元，主要用于日常维修、办公用房水电费、办公用房取暖费、办公用房物业管理费等日常运行支出。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7"/>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1、居委会、志愿者换届经费绩效目标表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13010726P00007910033W</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居委会、志愿者换届经费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1.用于41个居委会换届费用支出。</w:t>
            </w:r>
          </w:p>
          <w:p>
            <w:pPr>
              <w:pStyle w:val="20"/>
            </w:pPr>
            <w:r>
              <w:t>2.用于志愿者换届证件制作费、资料印刷费、场地费等费用。</w:t>
            </w:r>
          </w:p>
          <w:p>
            <w:pPr>
              <w:pStyle w:val="20"/>
            </w:pPr>
            <w:r>
              <w:t>3.组织全区志愿者活动。</w:t>
            </w:r>
          </w:p>
          <w:p>
            <w:pPr>
              <w:pStyle w:val="20"/>
            </w:pPr>
            <w:r>
              <w:t>4.购买志愿者马甲。</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0.25</w:t>
            </w:r>
          </w:p>
        </w:tc>
        <w:tc>
          <w:tcPr>
            <w:tcW w:w="2835" w:type="dxa"/>
            <w:tcBorders>
              <w:left w:val="single" w:sz="6" w:space="0" w:color="000000"/>
              <w:right w:val="single" w:sz="6" w:space="0" w:color="000000"/>
            </w:tcBorders>
            <w:vAlign w:val="center"/>
          </w:tcPr>
          <w:p>
            <w:pPr>
              <w:pStyle w:val="21"/>
            </w:pPr>
            <w:r>
              <w:t>0.50</w:t>
            </w:r>
          </w:p>
        </w:tc>
        <w:tc>
          <w:tcPr>
            <w:tcW w:w="2551" w:type="dxa"/>
            <w:tcBorders>
              <w:left w:val="single" w:sz="6" w:space="0" w:color="000000"/>
              <w:right w:val="single" w:sz="6" w:space="0" w:color="000000"/>
            </w:tcBorders>
            <w:vAlign w:val="center"/>
          </w:tcPr>
          <w:p>
            <w:pPr>
              <w:pStyle w:val="21"/>
            </w:pPr>
            <w:r>
              <w:t>0.75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1.根据工作需要，用于志愿者换届证件制作费、资料印刷费、场地费等费用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人员数量</w:t>
            </w:r>
          </w:p>
        </w:tc>
        <w:tc>
          <w:tcPr>
            <w:tcW w:w="5386" w:type="dxa"/>
            <w:tcBorders>
              <w:left w:val="single" w:sz="6" w:space="0" w:color="000000"/>
              <w:right w:val="single" w:sz="6" w:space="0" w:color="000000"/>
            </w:tcBorders>
            <w:vAlign w:val="center"/>
          </w:tcPr>
          <w:p>
            <w:pPr>
              <w:pStyle w:val="20"/>
            </w:pPr>
            <w:r>
              <w:t>保障人员数量</w:t>
            </w:r>
          </w:p>
        </w:tc>
        <w:tc>
          <w:tcPr>
            <w:tcW w:w="2268" w:type="dxa"/>
            <w:tcBorders>
              <w:left w:val="single" w:sz="6" w:space="0" w:color="000000"/>
              <w:right w:val="single" w:sz="6" w:space="0" w:color="000000"/>
            </w:tcBorders>
            <w:vAlign w:val="center"/>
          </w:tcPr>
          <w:p>
            <w:pPr>
              <w:pStyle w:val="20"/>
            </w:pPr>
            <w:r>
              <w:t>≥8人</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人员正常工作率</w:t>
            </w:r>
          </w:p>
        </w:tc>
        <w:tc>
          <w:tcPr>
            <w:tcW w:w="5386" w:type="dxa"/>
            <w:tcBorders>
              <w:left w:val="single" w:sz="6" w:space="0" w:color="000000"/>
              <w:right w:val="single" w:sz="6" w:space="0" w:color="000000"/>
            </w:tcBorders>
            <w:vAlign w:val="center"/>
          </w:tcPr>
          <w:p>
            <w:pPr>
              <w:pStyle w:val="20"/>
            </w:pPr>
            <w:r>
              <w:t>人员正常工作率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任务完成及时率</w:t>
            </w:r>
          </w:p>
        </w:tc>
        <w:tc>
          <w:tcPr>
            <w:tcW w:w="5386" w:type="dxa"/>
            <w:tcBorders>
              <w:left w:val="single" w:sz="6" w:space="0" w:color="000000"/>
              <w:right w:val="single" w:sz="6" w:space="0" w:color="000000"/>
            </w:tcBorders>
            <w:vAlign w:val="center"/>
          </w:tcPr>
          <w:p>
            <w:pPr>
              <w:pStyle w:val="20"/>
            </w:pPr>
            <w:r>
              <w:t>任务完成及时率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≤1万元</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部门正常运转率</w:t>
            </w:r>
          </w:p>
        </w:tc>
        <w:tc>
          <w:tcPr>
            <w:tcW w:w="5386" w:type="dxa"/>
            <w:tcBorders>
              <w:left w:val="single" w:sz="6" w:space="0" w:color="000000"/>
              <w:right w:val="single" w:sz="6" w:space="0" w:color="000000"/>
            </w:tcBorders>
            <w:vAlign w:val="center"/>
          </w:tcPr>
          <w:p>
            <w:pPr>
              <w:pStyle w:val="20"/>
            </w:pPr>
            <w:r>
              <w:t>部门正常运转率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2、市级文件传输专网绩效目标表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13010726P00002510069B</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市级文件传输专网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0.43</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0.43</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用于开通党政协同办公平台</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0.11</w:t>
            </w:r>
          </w:p>
        </w:tc>
        <w:tc>
          <w:tcPr>
            <w:tcW w:w="2835" w:type="dxa"/>
            <w:tcBorders>
              <w:left w:val="single" w:sz="6" w:space="0" w:color="000000"/>
              <w:right w:val="single" w:sz="6" w:space="0" w:color="000000"/>
            </w:tcBorders>
            <w:vAlign w:val="center"/>
          </w:tcPr>
          <w:p>
            <w:pPr>
              <w:pStyle w:val="21"/>
            </w:pPr>
            <w:r>
              <w:t>0.22</w:t>
            </w:r>
          </w:p>
        </w:tc>
        <w:tc>
          <w:tcPr>
            <w:tcW w:w="2551" w:type="dxa"/>
            <w:tcBorders>
              <w:left w:val="single" w:sz="6" w:space="0" w:color="000000"/>
              <w:right w:val="single" w:sz="6" w:space="0" w:color="000000"/>
            </w:tcBorders>
            <w:vAlign w:val="center"/>
          </w:tcPr>
          <w:p>
            <w:pPr>
              <w:pStyle w:val="21"/>
            </w:pPr>
            <w:r>
              <w:t>0.33</w:t>
            </w:r>
          </w:p>
        </w:tc>
        <w:tc>
          <w:tcPr>
            <w:tcW w:w="3544" w:type="dxa"/>
            <w:gridSpan w:val="2"/>
            <w:tcBorders>
              <w:left w:val="single" w:sz="6" w:space="0" w:color="000000"/>
            </w:tcBorders>
            <w:vAlign w:val="center"/>
          </w:tcPr>
          <w:p>
            <w:pPr>
              <w:pStyle w:val="21"/>
            </w:pPr>
            <w:r>
              <w:t>0.43</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1.接收市委社会工作部文件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人员数量</w:t>
            </w:r>
          </w:p>
        </w:tc>
        <w:tc>
          <w:tcPr>
            <w:tcW w:w="5386" w:type="dxa"/>
            <w:tcBorders>
              <w:left w:val="single" w:sz="6" w:space="0" w:color="000000"/>
              <w:right w:val="single" w:sz="6" w:space="0" w:color="000000"/>
            </w:tcBorders>
            <w:vAlign w:val="center"/>
          </w:tcPr>
          <w:p>
            <w:pPr>
              <w:pStyle w:val="20"/>
            </w:pPr>
            <w:r>
              <w:t>保障人员数量</w:t>
            </w:r>
          </w:p>
        </w:tc>
        <w:tc>
          <w:tcPr>
            <w:tcW w:w="2268" w:type="dxa"/>
            <w:tcBorders>
              <w:left w:val="single" w:sz="6" w:space="0" w:color="000000"/>
              <w:right w:val="single" w:sz="6" w:space="0" w:color="000000"/>
            </w:tcBorders>
            <w:vAlign w:val="center"/>
          </w:tcPr>
          <w:p>
            <w:pPr>
              <w:pStyle w:val="20"/>
            </w:pPr>
            <w:r>
              <w:t>≥5人</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人员正常工作率</w:t>
            </w:r>
          </w:p>
        </w:tc>
        <w:tc>
          <w:tcPr>
            <w:tcW w:w="5386" w:type="dxa"/>
            <w:tcBorders>
              <w:left w:val="single" w:sz="6" w:space="0" w:color="000000"/>
              <w:right w:val="single" w:sz="6" w:space="0" w:color="000000"/>
            </w:tcBorders>
            <w:vAlign w:val="center"/>
          </w:tcPr>
          <w:p>
            <w:pPr>
              <w:pStyle w:val="20"/>
            </w:pPr>
            <w:r>
              <w:t>人员正常工作率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任务完成及时率</w:t>
            </w:r>
          </w:p>
        </w:tc>
        <w:tc>
          <w:tcPr>
            <w:tcW w:w="5386" w:type="dxa"/>
            <w:tcBorders>
              <w:left w:val="single" w:sz="6" w:space="0" w:color="000000"/>
              <w:right w:val="single" w:sz="6" w:space="0" w:color="000000"/>
            </w:tcBorders>
            <w:vAlign w:val="center"/>
          </w:tcPr>
          <w:p>
            <w:pPr>
              <w:pStyle w:val="20"/>
            </w:pPr>
            <w:r>
              <w:t>任务完成及时率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网点销售网络专线租用成本控制率</w:t>
            </w:r>
          </w:p>
        </w:tc>
        <w:tc>
          <w:tcPr>
            <w:tcW w:w="5386" w:type="dxa"/>
            <w:tcBorders>
              <w:left w:val="single" w:sz="6" w:space="0" w:color="000000"/>
              <w:right w:val="single" w:sz="6" w:space="0" w:color="000000"/>
            </w:tcBorders>
            <w:vAlign w:val="center"/>
          </w:tcPr>
          <w:p>
            <w:pPr>
              <w:pStyle w:val="20"/>
            </w:pPr>
            <w:r>
              <w:t>网点销售网络专线租用成本控制率</w:t>
            </w:r>
          </w:p>
        </w:tc>
        <w:tc>
          <w:tcPr>
            <w:tcW w:w="2268" w:type="dxa"/>
            <w:tcBorders>
              <w:left w:val="single" w:sz="6" w:space="0" w:color="000000"/>
              <w:right w:val="single" w:sz="6" w:space="0" w:color="000000"/>
            </w:tcBorders>
            <w:vAlign w:val="center"/>
          </w:tcPr>
          <w:p>
            <w:pPr>
              <w:pStyle w:val="20"/>
            </w:pPr>
            <w:r>
              <w:t>≤0.43万元</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部门正常运转率</w:t>
            </w:r>
          </w:p>
        </w:tc>
        <w:tc>
          <w:tcPr>
            <w:tcW w:w="5386" w:type="dxa"/>
            <w:tcBorders>
              <w:left w:val="single" w:sz="6" w:space="0" w:color="000000"/>
              <w:right w:val="single" w:sz="6" w:space="0" w:color="000000"/>
            </w:tcBorders>
            <w:vAlign w:val="center"/>
          </w:tcPr>
          <w:p>
            <w:pPr>
              <w:pStyle w:val="20"/>
            </w:pPr>
            <w:r>
              <w:t>部门正常运转率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8676" w:type="dxa"/>
            <w:gridSpan w:val="9"/>
            <w:tcBorders>
              <w:top w:val="single" w:sz="6" w:space="0" w:color="FFFFFF"/>
              <w:left w:val="single" w:sz="6" w:space="0" w:color="FFFFFF"/>
              <w:right w:val="single" w:sz="6" w:space="0" w:color="FFFFFF"/>
            </w:tcBorders>
            <w:vAlign w:val="center"/>
          </w:tcPr>
          <w:p>
            <w:pPr>
              <w:pStyle w:val="28"/>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中共石家庄市井陉矿区委社会工作部上年末固定资产金额为0.10万元（详见下表）。本年度拟购置固定资产总额为0.00万元，已按要求列入政府采购预算，详见政府采购预算表。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217002中共石家庄市井陉矿区委社会工作部</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r>
              <w:t>0.10</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13</w:t>
            </w:r>
          </w:p>
        </w:tc>
        <w:tc>
          <w:tcPr>
            <w:tcW w:w="2835" w:type="dxa"/>
            <w:tcBorders>
              <w:left w:val="single" w:sz="6" w:space="0" w:color="000000"/>
            </w:tcBorders>
            <w:vAlign w:val="center"/>
          </w:tcPr>
          <w:p>
            <w:pPr>
              <w:pStyle w:val="19"/>
            </w:pPr>
            <w:r>
              <w:t>0.10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5">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29">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76961356-DAA3-4248-8EFA-7EFA228B5D1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15</TotalTime>
  <Application>Yozo_Office9.0.4819.102ZH</Application>
  <Pages>24</Pages>
  <Words>0</Words>
  <Characters>7287</Characters>
  <Lines>0</Lines>
  <Paragraphs>93</Paragraphs>
  <CharactersWithSpaces>9717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2026-02-10T11:16:29Z</dcterms:created>
  <dcterms:modified xsi:type="dcterms:W3CDTF">2026-02-11T05:20:47Z</dcterms:modified>
</cp:coreProperties>
</file>