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t>8</w:t>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t>9</w:t>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t>1</w:t>
      </w:r>
      <w:r>
        <w:fldChar w:fldCharType="end"/>
      </w:r>
      <w:r>
        <w:t>1</w:t>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t>1</w:t>
      </w:r>
      <w:r>
        <w:fldChar w:fldCharType="end"/>
      </w:r>
      <w:r>
        <w:t>2</w:t>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w:t>
      </w:r>
      <w:r>
        <w:fldChar w:fldCharType="end"/>
      </w:r>
      <w:r>
        <w:fldChar w:fldCharType="end"/>
      </w:r>
      <w:r>
        <w:t>3</w:t>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w:t>
      </w:r>
      <w:r>
        <w:fldChar w:fldCharType="end"/>
      </w:r>
      <w:r>
        <w:fldChar w:fldCharType="end"/>
      </w:r>
      <w:r>
        <w:t>4</w:t>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w:t>
      </w:r>
      <w:r>
        <w:fldChar w:fldCharType="end"/>
      </w:r>
      <w:r>
        <w:fldChar w:fldCharType="end"/>
      </w:r>
      <w:r>
        <w:t>5</w:t>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w:t>
      </w:r>
      <w:r>
        <w:fldChar w:fldCharType="end"/>
      </w:r>
      <w:r>
        <w:fldChar w:fldCharType="end"/>
      </w:r>
      <w:r>
        <w:t>6</w:t>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w:t>
      </w:r>
      <w:r>
        <w:fldChar w:fldCharType="end"/>
      </w:r>
      <w:r>
        <w:fldChar w:fldCharType="end"/>
      </w:r>
      <w:r>
        <w:t>6</w:t>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w:t>
      </w:r>
      <w:r>
        <w:fldChar w:fldCharType="end"/>
      </w:r>
      <w:r>
        <w:fldChar w:fldCharType="end"/>
      </w:r>
      <w:r>
        <w:t>7</w:t>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t>1</w:t>
      </w:r>
      <w:r>
        <w:fldChar w:fldCharType="end"/>
      </w:r>
      <w:r>
        <w:t>9</w:t>
      </w:r>
    </w:p>
    <w:p>
      <w:pPr>
        <w:pStyle w:val="35"/>
        <w:tabs>
          <w:tab w:val="right" w:leader="dot" w:pos="14562"/>
        </w:tabs>
      </w:pPr>
      <w:r>
        <w:fldChar w:fldCharType="begin"/>
      </w:r>
      <w:r>
        <w:instrText>HYPERLINK \l _Toc_3_3_0000000016</w:instrText>
      </w:r>
      <w:r>
        <w:fldChar w:fldCharType="separate"/>
      </w:r>
      <w:r>
        <w:t>七、部门项目预算安排情况及绩效目标</w:t>
        <w:tab/>
        <w:t>2</w:t>
      </w:r>
      <w:r>
        <w:fldChar w:fldCharType="end"/>
      </w:r>
      <w:r>
        <w:t>0</w:t>
      </w:r>
    </w:p>
    <w:p>
      <w:pPr>
        <w:pStyle w:val="35"/>
        <w:tabs>
          <w:tab w:val="right" w:leader="dot" w:pos="14562"/>
        </w:tabs>
      </w:pPr>
      <w:r>
        <w:fldChar w:fldCharType="begin"/>
      </w:r>
      <w:r>
        <w:instrText>HYPERLINK \l _Toc_3_3_0000000017</w:instrText>
      </w:r>
      <w:r>
        <w:fldChar w:fldCharType="separate"/>
      </w:r>
      <w:r>
        <w:t>八、政府采购预算情况</w:t>
        <w:tab/>
        <w:t>2</w:t>
      </w:r>
      <w:r>
        <w:fldChar w:fldCharType="end"/>
      </w:r>
      <w:r>
        <w:t>2</w:t>
      </w:r>
    </w:p>
    <w:p>
      <w:pPr>
        <w:pStyle w:val="35"/>
        <w:tabs>
          <w:tab w:val="right" w:leader="dot" w:pos="14562"/>
        </w:tabs>
      </w:pPr>
      <w:r>
        <w:fldChar w:fldCharType="begin"/>
      </w:r>
      <w:r>
        <w:instrText>HYPERLINK \l _Toc_3_3_0000000018</w:instrText>
      </w:r>
      <w:r>
        <w:fldChar w:fldCharType="separate"/>
      </w:r>
      <w:r>
        <w:t>九、国有资产信息</w:t>
        <w:tab/>
        <w:t>2</w:t>
      </w:r>
      <w:r>
        <w:fldChar w:fldCharType="end"/>
      </w:r>
      <w:r>
        <w:t>2</w:t>
      </w:r>
    </w:p>
    <w:p>
      <w:pPr>
        <w:pStyle w:val="35"/>
        <w:tabs>
          <w:tab w:val="right" w:leader="dot" w:pos="14562"/>
        </w:tabs>
      </w:pPr>
      <w:r>
        <w:fldChar w:fldCharType="begin"/>
      </w:r>
      <w:r>
        <w:instrText>HYPERLINK \l _Toc_3_3_0000000019</w:instrText>
      </w:r>
      <w:r>
        <w:fldChar w:fldCharType="separate"/>
      </w:r>
      <w:r>
        <w:t>十、名词解释</w:t>
        <w:tab/>
        <w:t>22</w:t>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w:t>
      </w:r>
      <w:r>
        <w:fldChar w:fldCharType="end"/>
      </w:r>
      <w:r>
        <w:fldChar w:fldCharType="end"/>
      </w:r>
      <w:r>
        <w:t>4</w:t>
      </w:r>
    </w:p>
    <w:p>
      <w:pPr>
        <w:sectPr>
          <w:pgSz w:w="16840" w:h="11900" w:orient="landscape"/>
          <w:pgMar w:top="1587" w:right="1134" w:bottom="1361" w:left="1134" w:header="720" w:footer="720" w:gutter="0"/>
          <w:pgNumType w:start="1"/>
          <w:docGrid w:linePitch="326" w:charSpace="0"/>
        </w:sectPr>
      </w:pPr>
      <w:r>
        <w:fldChar w:fldCharType="end"/>
      </w:r>
      <w:bookmarkStart w:id="0" w:name="_GoBack"/>
      <w:bookmarkEnd w:id="0"/>
    </w:p>
    <w:p>
      <w:pPr>
        <w:spacing w:before="0" w:after="0" w:line="240" w:lineRule="auto"/>
        <w:ind w:firstLine="0"/>
        <w:jc w:val="center"/>
        <w:outlineLvl w:val="1"/>
      </w:pPr>
      <w:bookmarkStart w:id="1" w:name="_Toc_2_2_0000000001"/>
      <w:r>
        <w:rPr>
          <w:rFonts w:ascii="方正小标宋_GBK" w:eastAsia="方正小标宋_GBK" w:cs="方正小标宋_GBK" w:hAnsi="方正小标宋_GBK"/>
          <w:color w:val="000000"/>
          <w:sz w:val="36"/>
        </w:rPr>
        <w:t>部门预算收支总表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140.14</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103.43</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16.79</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9.37</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10.55</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140.14</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140.14</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140.14</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140.14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2" w:name="_Toc_2_2_0000000002"/>
      <w:r>
        <w:rPr>
          <w:rFonts w:ascii="方正小标宋_GBK" w:eastAsia="方正小标宋_GBK" w:cs="方正小标宋_GBK" w:hAnsi="方正小标宋_GBK"/>
          <w:color w:val="000000"/>
          <w:sz w:val="36"/>
        </w:rPr>
        <w:t>部门预算收入总表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140.14</w:t>
            </w:r>
          </w:p>
        </w:tc>
        <w:tc>
          <w:tcPr>
            <w:tcW w:w="1134" w:type="dxa"/>
            <w:tcBorders>
              <w:left w:val="single" w:sz="6" w:space="0" w:color="000000"/>
              <w:right w:val="single" w:sz="6" w:space="0" w:color="000000"/>
            </w:tcBorders>
            <w:vAlign w:val="center"/>
          </w:tcPr>
          <w:p>
            <w:pPr>
              <w:pStyle w:val="23"/>
            </w:pPr>
            <w:r>
              <w:t>140.14</w:t>
            </w:r>
          </w:p>
        </w:tc>
        <w:tc>
          <w:tcPr>
            <w:tcW w:w="1134" w:type="dxa"/>
            <w:tcBorders>
              <w:left w:val="single" w:sz="6" w:space="0" w:color="000000"/>
              <w:right w:val="single" w:sz="6" w:space="0" w:color="000000"/>
            </w:tcBorders>
            <w:vAlign w:val="center"/>
          </w:tcPr>
          <w:p>
            <w:pPr>
              <w:pStyle w:val="23"/>
            </w:pPr>
            <w:r>
              <w:t>140.14</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20132</w:t>
            </w:r>
          </w:p>
        </w:tc>
        <w:tc>
          <w:tcPr>
            <w:tcW w:w="1559" w:type="dxa"/>
            <w:tcBorders>
              <w:left w:val="single" w:sz="6" w:space="0" w:color="000000"/>
              <w:right w:val="single" w:sz="6" w:space="0" w:color="000000"/>
            </w:tcBorders>
            <w:vAlign w:val="center"/>
          </w:tcPr>
          <w:p>
            <w:pPr>
              <w:pStyle w:val="20"/>
            </w:pPr>
            <w:r>
              <w:t>组织事务</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2013299</w:t>
            </w:r>
          </w:p>
        </w:tc>
        <w:tc>
          <w:tcPr>
            <w:tcW w:w="1559" w:type="dxa"/>
            <w:tcBorders>
              <w:left w:val="single" w:sz="6" w:space="0" w:color="000000"/>
              <w:right w:val="single" w:sz="6" w:space="0" w:color="000000"/>
            </w:tcBorders>
            <w:vAlign w:val="center"/>
          </w:tcPr>
          <w:p>
            <w:pPr>
              <w:pStyle w:val="20"/>
            </w:pPr>
            <w:r>
              <w:t>其他组织事务支出</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16.79</w:t>
            </w:r>
          </w:p>
        </w:tc>
        <w:tc>
          <w:tcPr>
            <w:tcW w:w="1134" w:type="dxa"/>
            <w:tcBorders>
              <w:left w:val="single" w:sz="6" w:space="0" w:color="000000"/>
              <w:right w:val="single" w:sz="6" w:space="0" w:color="000000"/>
            </w:tcBorders>
            <w:vAlign w:val="center"/>
          </w:tcPr>
          <w:p>
            <w:pPr>
              <w:pStyle w:val="19"/>
            </w:pPr>
            <w:r>
              <w:t>16.79</w:t>
            </w:r>
          </w:p>
        </w:tc>
        <w:tc>
          <w:tcPr>
            <w:tcW w:w="1134" w:type="dxa"/>
            <w:tcBorders>
              <w:left w:val="single" w:sz="6" w:space="0" w:color="000000"/>
              <w:right w:val="single" w:sz="6" w:space="0" w:color="000000"/>
            </w:tcBorders>
            <w:vAlign w:val="center"/>
          </w:tcPr>
          <w:p>
            <w:pPr>
              <w:pStyle w:val="19"/>
            </w:pPr>
            <w:r>
              <w:t>16.79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16.25</w:t>
            </w:r>
          </w:p>
        </w:tc>
        <w:tc>
          <w:tcPr>
            <w:tcW w:w="1134" w:type="dxa"/>
            <w:tcBorders>
              <w:left w:val="single" w:sz="6" w:space="0" w:color="000000"/>
              <w:right w:val="single" w:sz="6" w:space="0" w:color="000000"/>
            </w:tcBorders>
            <w:vAlign w:val="center"/>
          </w:tcPr>
          <w:p>
            <w:pPr>
              <w:pStyle w:val="19"/>
            </w:pPr>
            <w:r>
              <w:t>16.25</w:t>
            </w:r>
          </w:p>
        </w:tc>
        <w:tc>
          <w:tcPr>
            <w:tcW w:w="1134" w:type="dxa"/>
            <w:tcBorders>
              <w:left w:val="single" w:sz="6" w:space="0" w:color="000000"/>
              <w:right w:val="single" w:sz="6" w:space="0" w:color="000000"/>
            </w:tcBorders>
            <w:vAlign w:val="center"/>
          </w:tcPr>
          <w:p>
            <w:pPr>
              <w:pStyle w:val="19"/>
            </w:pPr>
            <w:r>
              <w:t>16.25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3.40</w:t>
            </w:r>
          </w:p>
        </w:tc>
        <w:tc>
          <w:tcPr>
            <w:tcW w:w="1134" w:type="dxa"/>
            <w:tcBorders>
              <w:left w:val="single" w:sz="6" w:space="0" w:color="000000"/>
              <w:right w:val="single" w:sz="6" w:space="0" w:color="000000"/>
            </w:tcBorders>
            <w:vAlign w:val="center"/>
          </w:tcPr>
          <w:p>
            <w:pPr>
              <w:pStyle w:val="19"/>
            </w:pPr>
            <w:r>
              <w:t>3.40</w:t>
            </w:r>
          </w:p>
        </w:tc>
        <w:tc>
          <w:tcPr>
            <w:tcW w:w="1134" w:type="dxa"/>
            <w:tcBorders>
              <w:left w:val="single" w:sz="6" w:space="0" w:color="000000"/>
              <w:right w:val="single" w:sz="6" w:space="0" w:color="000000"/>
            </w:tcBorders>
            <w:vAlign w:val="center"/>
          </w:tcPr>
          <w:p>
            <w:pPr>
              <w:pStyle w:val="19"/>
            </w:pPr>
            <w:r>
              <w:t>3.40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12.85</w:t>
            </w:r>
          </w:p>
        </w:tc>
        <w:tc>
          <w:tcPr>
            <w:tcW w:w="1134" w:type="dxa"/>
            <w:tcBorders>
              <w:left w:val="single" w:sz="6" w:space="0" w:color="000000"/>
              <w:right w:val="single" w:sz="6" w:space="0" w:color="000000"/>
            </w:tcBorders>
            <w:vAlign w:val="center"/>
          </w:tcPr>
          <w:p>
            <w:pPr>
              <w:pStyle w:val="19"/>
            </w:pPr>
            <w:r>
              <w:t>12.85</w:t>
            </w:r>
          </w:p>
        </w:tc>
        <w:tc>
          <w:tcPr>
            <w:tcW w:w="1134" w:type="dxa"/>
            <w:tcBorders>
              <w:left w:val="single" w:sz="6" w:space="0" w:color="000000"/>
              <w:right w:val="single" w:sz="6" w:space="0" w:color="000000"/>
            </w:tcBorders>
            <w:vAlign w:val="center"/>
          </w:tcPr>
          <w:p>
            <w:pPr>
              <w:pStyle w:val="19"/>
            </w:pPr>
            <w:r>
              <w:t>12.85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5.28</w:t>
            </w:r>
          </w:p>
        </w:tc>
        <w:tc>
          <w:tcPr>
            <w:tcW w:w="1134" w:type="dxa"/>
            <w:tcBorders>
              <w:left w:val="single" w:sz="6" w:space="0" w:color="000000"/>
              <w:right w:val="single" w:sz="6" w:space="0" w:color="000000"/>
            </w:tcBorders>
            <w:vAlign w:val="center"/>
          </w:tcPr>
          <w:p>
            <w:pPr>
              <w:pStyle w:val="19"/>
            </w:pPr>
            <w:r>
              <w:t>5.28</w:t>
            </w:r>
          </w:p>
        </w:tc>
        <w:tc>
          <w:tcPr>
            <w:tcW w:w="1134" w:type="dxa"/>
            <w:tcBorders>
              <w:left w:val="single" w:sz="6" w:space="0" w:color="000000"/>
              <w:right w:val="single" w:sz="6" w:space="0" w:color="000000"/>
            </w:tcBorders>
            <w:vAlign w:val="center"/>
          </w:tcPr>
          <w:p>
            <w:pPr>
              <w:pStyle w:val="19"/>
            </w:pPr>
            <w:r>
              <w:t>5.28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4.09</w:t>
            </w:r>
          </w:p>
        </w:tc>
        <w:tc>
          <w:tcPr>
            <w:tcW w:w="1134" w:type="dxa"/>
            <w:tcBorders>
              <w:left w:val="single" w:sz="6" w:space="0" w:color="000000"/>
              <w:right w:val="single" w:sz="6" w:space="0" w:color="000000"/>
            </w:tcBorders>
            <w:vAlign w:val="center"/>
          </w:tcPr>
          <w:p>
            <w:pPr>
              <w:pStyle w:val="19"/>
            </w:pPr>
            <w:r>
              <w:t>4.09</w:t>
            </w:r>
          </w:p>
        </w:tc>
        <w:tc>
          <w:tcPr>
            <w:tcW w:w="1134" w:type="dxa"/>
            <w:tcBorders>
              <w:left w:val="single" w:sz="6" w:space="0" w:color="000000"/>
              <w:right w:val="single" w:sz="6" w:space="0" w:color="000000"/>
            </w:tcBorders>
            <w:vAlign w:val="center"/>
          </w:tcPr>
          <w:p>
            <w:pPr>
              <w:pStyle w:val="19"/>
            </w:pPr>
            <w:r>
              <w:t>4.09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140.14</w:t>
            </w:r>
          </w:p>
        </w:tc>
        <w:tc>
          <w:tcPr>
            <w:tcW w:w="1361" w:type="dxa"/>
            <w:tcBorders>
              <w:left w:val="single" w:sz="6" w:space="0" w:color="000000"/>
              <w:right w:val="single" w:sz="6" w:space="0" w:color="000000"/>
            </w:tcBorders>
            <w:vAlign w:val="center"/>
          </w:tcPr>
          <w:p>
            <w:pPr>
              <w:pStyle w:val="23"/>
            </w:pPr>
            <w:r>
              <w:t>138.14</w:t>
            </w:r>
          </w:p>
        </w:tc>
        <w:tc>
          <w:tcPr>
            <w:tcW w:w="1361" w:type="dxa"/>
            <w:tcBorders>
              <w:left w:val="single" w:sz="6" w:space="0" w:color="000000"/>
              <w:right w:val="single" w:sz="6" w:space="0" w:color="000000"/>
            </w:tcBorders>
            <w:vAlign w:val="center"/>
          </w:tcPr>
          <w:p>
            <w:pPr>
              <w:pStyle w:val="23"/>
            </w:pPr>
            <w:r>
              <w:t>2.00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103.43</w:t>
            </w:r>
          </w:p>
        </w:tc>
        <w:tc>
          <w:tcPr>
            <w:tcW w:w="1361" w:type="dxa"/>
            <w:tcBorders>
              <w:left w:val="single" w:sz="6" w:space="0" w:color="000000"/>
              <w:right w:val="single" w:sz="6" w:space="0" w:color="000000"/>
            </w:tcBorders>
            <w:vAlign w:val="center"/>
          </w:tcPr>
          <w:p>
            <w:pPr>
              <w:pStyle w:val="19"/>
            </w:pPr>
            <w:r>
              <w:t>101.43</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20132</w:t>
            </w:r>
          </w:p>
        </w:tc>
        <w:tc>
          <w:tcPr>
            <w:tcW w:w="4535" w:type="dxa"/>
            <w:tcBorders>
              <w:left w:val="single" w:sz="6" w:space="0" w:color="000000"/>
              <w:right w:val="single" w:sz="6" w:space="0" w:color="000000"/>
            </w:tcBorders>
            <w:vAlign w:val="center"/>
          </w:tcPr>
          <w:p>
            <w:pPr>
              <w:pStyle w:val="20"/>
            </w:pPr>
            <w:r>
              <w:t>组织事务</w:t>
            </w:r>
          </w:p>
        </w:tc>
        <w:tc>
          <w:tcPr>
            <w:tcW w:w="1361" w:type="dxa"/>
            <w:tcBorders>
              <w:left w:val="single" w:sz="6" w:space="0" w:color="000000"/>
              <w:right w:val="single" w:sz="6" w:space="0" w:color="000000"/>
            </w:tcBorders>
            <w:vAlign w:val="center"/>
          </w:tcPr>
          <w:p>
            <w:pPr>
              <w:pStyle w:val="19"/>
            </w:pPr>
            <w:r>
              <w:t>103.43</w:t>
            </w:r>
          </w:p>
        </w:tc>
        <w:tc>
          <w:tcPr>
            <w:tcW w:w="1361" w:type="dxa"/>
            <w:tcBorders>
              <w:left w:val="single" w:sz="6" w:space="0" w:color="000000"/>
              <w:right w:val="single" w:sz="6" w:space="0" w:color="000000"/>
            </w:tcBorders>
            <w:vAlign w:val="center"/>
          </w:tcPr>
          <w:p>
            <w:pPr>
              <w:pStyle w:val="19"/>
            </w:pPr>
            <w:r>
              <w:t>101.43</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2013299</w:t>
            </w:r>
          </w:p>
        </w:tc>
        <w:tc>
          <w:tcPr>
            <w:tcW w:w="4535" w:type="dxa"/>
            <w:tcBorders>
              <w:left w:val="single" w:sz="6" w:space="0" w:color="000000"/>
              <w:right w:val="single" w:sz="6" w:space="0" w:color="000000"/>
            </w:tcBorders>
            <w:vAlign w:val="center"/>
          </w:tcPr>
          <w:p>
            <w:pPr>
              <w:pStyle w:val="20"/>
            </w:pPr>
            <w:r>
              <w:t>其他组织事务支出</w:t>
            </w:r>
          </w:p>
        </w:tc>
        <w:tc>
          <w:tcPr>
            <w:tcW w:w="1361" w:type="dxa"/>
            <w:tcBorders>
              <w:left w:val="single" w:sz="6" w:space="0" w:color="000000"/>
              <w:right w:val="single" w:sz="6" w:space="0" w:color="000000"/>
            </w:tcBorders>
            <w:vAlign w:val="center"/>
          </w:tcPr>
          <w:p>
            <w:pPr>
              <w:pStyle w:val="19"/>
            </w:pPr>
            <w:r>
              <w:t>103.43</w:t>
            </w:r>
          </w:p>
        </w:tc>
        <w:tc>
          <w:tcPr>
            <w:tcW w:w="1361" w:type="dxa"/>
            <w:tcBorders>
              <w:left w:val="single" w:sz="6" w:space="0" w:color="000000"/>
              <w:right w:val="single" w:sz="6" w:space="0" w:color="000000"/>
            </w:tcBorders>
            <w:vAlign w:val="center"/>
          </w:tcPr>
          <w:p>
            <w:pPr>
              <w:pStyle w:val="19"/>
            </w:pPr>
            <w:r>
              <w:t>101.43</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16.79</w:t>
            </w:r>
          </w:p>
        </w:tc>
        <w:tc>
          <w:tcPr>
            <w:tcW w:w="1361" w:type="dxa"/>
            <w:tcBorders>
              <w:left w:val="single" w:sz="6" w:space="0" w:color="000000"/>
              <w:right w:val="single" w:sz="6" w:space="0" w:color="000000"/>
            </w:tcBorders>
            <w:vAlign w:val="center"/>
          </w:tcPr>
          <w:p>
            <w:pPr>
              <w:pStyle w:val="19"/>
            </w:pPr>
            <w:r>
              <w:t>16.79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16.25</w:t>
            </w:r>
          </w:p>
        </w:tc>
        <w:tc>
          <w:tcPr>
            <w:tcW w:w="1361" w:type="dxa"/>
            <w:tcBorders>
              <w:left w:val="single" w:sz="6" w:space="0" w:color="000000"/>
              <w:right w:val="single" w:sz="6" w:space="0" w:color="000000"/>
            </w:tcBorders>
            <w:vAlign w:val="center"/>
          </w:tcPr>
          <w:p>
            <w:pPr>
              <w:pStyle w:val="19"/>
            </w:pPr>
            <w:r>
              <w:t>16.25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3.40</w:t>
            </w:r>
          </w:p>
        </w:tc>
        <w:tc>
          <w:tcPr>
            <w:tcW w:w="1361" w:type="dxa"/>
            <w:tcBorders>
              <w:left w:val="single" w:sz="6" w:space="0" w:color="000000"/>
              <w:right w:val="single" w:sz="6" w:space="0" w:color="000000"/>
            </w:tcBorders>
            <w:vAlign w:val="center"/>
          </w:tcPr>
          <w:p>
            <w:pPr>
              <w:pStyle w:val="19"/>
            </w:pPr>
            <w:r>
              <w:t>3.40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12.85</w:t>
            </w:r>
          </w:p>
        </w:tc>
        <w:tc>
          <w:tcPr>
            <w:tcW w:w="1361" w:type="dxa"/>
            <w:tcBorders>
              <w:left w:val="single" w:sz="6" w:space="0" w:color="000000"/>
              <w:right w:val="single" w:sz="6" w:space="0" w:color="000000"/>
            </w:tcBorders>
            <w:vAlign w:val="center"/>
          </w:tcPr>
          <w:p>
            <w:pPr>
              <w:pStyle w:val="19"/>
            </w:pPr>
            <w:r>
              <w:t>12.85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5.28</w:t>
            </w:r>
          </w:p>
        </w:tc>
        <w:tc>
          <w:tcPr>
            <w:tcW w:w="1361" w:type="dxa"/>
            <w:tcBorders>
              <w:left w:val="single" w:sz="6" w:space="0" w:color="000000"/>
              <w:right w:val="single" w:sz="6" w:space="0" w:color="000000"/>
            </w:tcBorders>
            <w:vAlign w:val="center"/>
          </w:tcPr>
          <w:p>
            <w:pPr>
              <w:pStyle w:val="19"/>
            </w:pPr>
            <w:r>
              <w:t>5.28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4.09</w:t>
            </w:r>
          </w:p>
        </w:tc>
        <w:tc>
          <w:tcPr>
            <w:tcW w:w="1361" w:type="dxa"/>
            <w:tcBorders>
              <w:left w:val="single" w:sz="6" w:space="0" w:color="000000"/>
              <w:right w:val="single" w:sz="6" w:space="0" w:color="000000"/>
            </w:tcBorders>
            <w:vAlign w:val="center"/>
          </w:tcPr>
          <w:p>
            <w:pPr>
              <w:pStyle w:val="19"/>
            </w:pPr>
            <w:r>
              <w:t>4.09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140.14</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103.43</w:t>
            </w:r>
          </w:p>
        </w:tc>
        <w:tc>
          <w:tcPr>
            <w:tcW w:w="1474" w:type="dxa"/>
            <w:tcBorders>
              <w:left w:val="single" w:sz="6" w:space="0" w:color="000000"/>
              <w:right w:val="single" w:sz="6" w:space="0" w:color="000000"/>
            </w:tcBorders>
            <w:vAlign w:val="center"/>
          </w:tcPr>
          <w:p>
            <w:pPr>
              <w:pStyle w:val="19"/>
            </w:pPr>
            <w:r>
              <w:t>103.43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16.79</w:t>
            </w:r>
          </w:p>
        </w:tc>
        <w:tc>
          <w:tcPr>
            <w:tcW w:w="1474" w:type="dxa"/>
            <w:tcBorders>
              <w:left w:val="single" w:sz="6" w:space="0" w:color="000000"/>
              <w:right w:val="single" w:sz="6" w:space="0" w:color="000000"/>
            </w:tcBorders>
            <w:vAlign w:val="center"/>
          </w:tcPr>
          <w:p>
            <w:pPr>
              <w:pStyle w:val="19"/>
            </w:pPr>
            <w:r>
              <w:t>16.79</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9.37</w:t>
            </w:r>
          </w:p>
        </w:tc>
        <w:tc>
          <w:tcPr>
            <w:tcW w:w="1474" w:type="dxa"/>
            <w:tcBorders>
              <w:left w:val="single" w:sz="6" w:space="0" w:color="000000"/>
              <w:right w:val="single" w:sz="6" w:space="0" w:color="000000"/>
            </w:tcBorders>
            <w:vAlign w:val="center"/>
          </w:tcPr>
          <w:p>
            <w:pPr>
              <w:pStyle w:val="19"/>
            </w:pPr>
            <w:r>
              <w:t>9.37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10.55</w:t>
            </w:r>
          </w:p>
        </w:tc>
        <w:tc>
          <w:tcPr>
            <w:tcW w:w="1474" w:type="dxa"/>
            <w:tcBorders>
              <w:left w:val="single" w:sz="6" w:space="0" w:color="000000"/>
              <w:right w:val="single" w:sz="6" w:space="0" w:color="000000"/>
            </w:tcBorders>
            <w:vAlign w:val="center"/>
          </w:tcPr>
          <w:p>
            <w:pPr>
              <w:pStyle w:val="19"/>
            </w:pPr>
            <w:r>
              <w:t>10.55</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140.14</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140.14</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140.14</w:t>
            </w:r>
          </w:p>
        </w:tc>
        <w:tc>
          <w:tcPr>
            <w:tcW w:w="2551" w:type="dxa"/>
            <w:tcBorders>
              <w:left w:val="single" w:sz="6" w:space="0" w:color="000000"/>
              <w:right w:val="single" w:sz="6" w:space="0" w:color="000000"/>
            </w:tcBorders>
            <w:vAlign w:val="center"/>
          </w:tcPr>
          <w:p>
            <w:pPr>
              <w:pStyle w:val="23"/>
            </w:pPr>
            <w:r>
              <w:t>138.14</w:t>
            </w:r>
          </w:p>
        </w:tc>
        <w:tc>
          <w:tcPr>
            <w:tcW w:w="2551" w:type="dxa"/>
            <w:vAlign w:val="center"/>
          </w:tcPr>
          <w:p>
            <w:pPr>
              <w:pStyle w:val="23"/>
            </w:pPr>
            <w:r>
              <w:t>2.00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103.43</w:t>
            </w:r>
          </w:p>
        </w:tc>
        <w:tc>
          <w:tcPr>
            <w:tcW w:w="2551" w:type="dxa"/>
            <w:tcBorders>
              <w:left w:val="single" w:sz="6" w:space="0" w:color="000000"/>
              <w:right w:val="single" w:sz="6" w:space="0" w:color="000000"/>
            </w:tcBorders>
            <w:vAlign w:val="center"/>
          </w:tcPr>
          <w:p>
            <w:pPr>
              <w:pStyle w:val="19"/>
            </w:pPr>
            <w:r>
              <w:t>101.43</w:t>
            </w:r>
          </w:p>
        </w:tc>
        <w:tc>
          <w:tcPr>
            <w:tcW w:w="2551" w:type="dxa"/>
            <w:vAlign w:val="center"/>
          </w:tcPr>
          <w:p>
            <w:pPr>
              <w:pStyle w:val="19"/>
            </w:pPr>
            <w:r>
              <w:t>2.00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20132</w:t>
            </w:r>
          </w:p>
        </w:tc>
        <w:tc>
          <w:tcPr>
            <w:tcW w:w="4535" w:type="dxa"/>
            <w:tcBorders>
              <w:left w:val="single" w:sz="6" w:space="0" w:color="000000"/>
              <w:right w:val="single" w:sz="6" w:space="0" w:color="000000"/>
            </w:tcBorders>
            <w:vAlign w:val="center"/>
          </w:tcPr>
          <w:p>
            <w:pPr>
              <w:pStyle w:val="20"/>
            </w:pPr>
            <w:r>
              <w:t>组织事务</w:t>
            </w:r>
          </w:p>
        </w:tc>
        <w:tc>
          <w:tcPr>
            <w:tcW w:w="2551" w:type="dxa"/>
            <w:tcBorders>
              <w:left w:val="single" w:sz="6" w:space="0" w:color="000000"/>
              <w:right w:val="single" w:sz="6" w:space="0" w:color="000000"/>
            </w:tcBorders>
            <w:vAlign w:val="center"/>
          </w:tcPr>
          <w:p>
            <w:pPr>
              <w:pStyle w:val="19"/>
            </w:pPr>
            <w:r>
              <w:t>103.43</w:t>
            </w:r>
          </w:p>
        </w:tc>
        <w:tc>
          <w:tcPr>
            <w:tcW w:w="2551" w:type="dxa"/>
            <w:tcBorders>
              <w:left w:val="single" w:sz="6" w:space="0" w:color="000000"/>
              <w:right w:val="single" w:sz="6" w:space="0" w:color="000000"/>
            </w:tcBorders>
            <w:vAlign w:val="center"/>
          </w:tcPr>
          <w:p>
            <w:pPr>
              <w:pStyle w:val="19"/>
            </w:pPr>
            <w:r>
              <w:t>101.43</w:t>
            </w:r>
          </w:p>
        </w:tc>
        <w:tc>
          <w:tcPr>
            <w:tcW w:w="2551" w:type="dxa"/>
            <w:vAlign w:val="center"/>
          </w:tcPr>
          <w:p>
            <w:pPr>
              <w:pStyle w:val="19"/>
            </w:pPr>
            <w:r>
              <w:t>2.00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2013299</w:t>
            </w:r>
          </w:p>
        </w:tc>
        <w:tc>
          <w:tcPr>
            <w:tcW w:w="4535" w:type="dxa"/>
            <w:tcBorders>
              <w:left w:val="single" w:sz="6" w:space="0" w:color="000000"/>
              <w:right w:val="single" w:sz="6" w:space="0" w:color="000000"/>
            </w:tcBorders>
            <w:vAlign w:val="center"/>
          </w:tcPr>
          <w:p>
            <w:pPr>
              <w:pStyle w:val="20"/>
            </w:pPr>
            <w:r>
              <w:t>其他组织事务支出</w:t>
            </w:r>
          </w:p>
        </w:tc>
        <w:tc>
          <w:tcPr>
            <w:tcW w:w="2551" w:type="dxa"/>
            <w:tcBorders>
              <w:left w:val="single" w:sz="6" w:space="0" w:color="000000"/>
              <w:right w:val="single" w:sz="6" w:space="0" w:color="000000"/>
            </w:tcBorders>
            <w:vAlign w:val="center"/>
          </w:tcPr>
          <w:p>
            <w:pPr>
              <w:pStyle w:val="19"/>
            </w:pPr>
            <w:r>
              <w:t>103.43</w:t>
            </w:r>
          </w:p>
        </w:tc>
        <w:tc>
          <w:tcPr>
            <w:tcW w:w="2551" w:type="dxa"/>
            <w:tcBorders>
              <w:left w:val="single" w:sz="6" w:space="0" w:color="000000"/>
              <w:right w:val="single" w:sz="6" w:space="0" w:color="000000"/>
            </w:tcBorders>
            <w:vAlign w:val="center"/>
          </w:tcPr>
          <w:p>
            <w:pPr>
              <w:pStyle w:val="19"/>
            </w:pPr>
            <w:r>
              <w:t>101.43</w:t>
            </w:r>
          </w:p>
        </w:tc>
        <w:tc>
          <w:tcPr>
            <w:tcW w:w="2551" w:type="dxa"/>
            <w:vAlign w:val="center"/>
          </w:tcPr>
          <w:p>
            <w:pPr>
              <w:pStyle w:val="19"/>
            </w:pPr>
            <w:r>
              <w:t>2.00</w:t>
            </w: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16.79</w:t>
            </w:r>
          </w:p>
        </w:tc>
        <w:tc>
          <w:tcPr>
            <w:tcW w:w="2551" w:type="dxa"/>
            <w:tcBorders>
              <w:left w:val="single" w:sz="6" w:space="0" w:color="000000"/>
              <w:right w:val="single" w:sz="6" w:space="0" w:color="000000"/>
            </w:tcBorders>
            <w:vAlign w:val="center"/>
          </w:tcPr>
          <w:p>
            <w:pPr>
              <w:pStyle w:val="19"/>
            </w:pPr>
            <w:r>
              <w:t>16.79</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16.25</w:t>
            </w:r>
          </w:p>
        </w:tc>
        <w:tc>
          <w:tcPr>
            <w:tcW w:w="2551" w:type="dxa"/>
            <w:tcBorders>
              <w:left w:val="single" w:sz="6" w:space="0" w:color="000000"/>
              <w:right w:val="single" w:sz="6" w:space="0" w:color="000000"/>
            </w:tcBorders>
            <w:vAlign w:val="center"/>
          </w:tcPr>
          <w:p>
            <w:pPr>
              <w:pStyle w:val="19"/>
            </w:pPr>
            <w:r>
              <w:t>16.25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3.40</w:t>
            </w:r>
          </w:p>
        </w:tc>
        <w:tc>
          <w:tcPr>
            <w:tcW w:w="2551" w:type="dxa"/>
            <w:tcBorders>
              <w:left w:val="single" w:sz="6" w:space="0" w:color="000000"/>
              <w:right w:val="single" w:sz="6" w:space="0" w:color="000000"/>
            </w:tcBorders>
            <w:vAlign w:val="center"/>
          </w:tcPr>
          <w:p>
            <w:pPr>
              <w:pStyle w:val="19"/>
            </w:pPr>
            <w:r>
              <w:t>3.40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12.85</w:t>
            </w:r>
          </w:p>
        </w:tc>
        <w:tc>
          <w:tcPr>
            <w:tcW w:w="2551" w:type="dxa"/>
            <w:tcBorders>
              <w:left w:val="single" w:sz="6" w:space="0" w:color="000000"/>
              <w:right w:val="single" w:sz="6" w:space="0" w:color="000000"/>
            </w:tcBorders>
            <w:vAlign w:val="center"/>
          </w:tcPr>
          <w:p>
            <w:pPr>
              <w:pStyle w:val="19"/>
            </w:pPr>
            <w:r>
              <w:t>12.85</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9.37</w:t>
            </w:r>
          </w:p>
        </w:tc>
        <w:tc>
          <w:tcPr>
            <w:tcW w:w="2551" w:type="dxa"/>
            <w:tcBorders>
              <w:left w:val="single" w:sz="6" w:space="0" w:color="000000"/>
              <w:right w:val="single" w:sz="6" w:space="0" w:color="000000"/>
            </w:tcBorders>
            <w:vAlign w:val="center"/>
          </w:tcPr>
          <w:p>
            <w:pPr>
              <w:pStyle w:val="19"/>
            </w:pPr>
            <w:r>
              <w:t>9.37</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9.37</w:t>
            </w:r>
          </w:p>
        </w:tc>
        <w:tc>
          <w:tcPr>
            <w:tcW w:w="2551" w:type="dxa"/>
            <w:tcBorders>
              <w:left w:val="single" w:sz="6" w:space="0" w:color="000000"/>
              <w:right w:val="single" w:sz="6" w:space="0" w:color="000000"/>
            </w:tcBorders>
            <w:vAlign w:val="center"/>
          </w:tcPr>
          <w:p>
            <w:pPr>
              <w:pStyle w:val="19"/>
            </w:pPr>
            <w:r>
              <w:t>9.37</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5.28</w:t>
            </w:r>
          </w:p>
        </w:tc>
        <w:tc>
          <w:tcPr>
            <w:tcW w:w="2551" w:type="dxa"/>
            <w:tcBorders>
              <w:left w:val="single" w:sz="6" w:space="0" w:color="000000"/>
              <w:right w:val="single" w:sz="6" w:space="0" w:color="000000"/>
            </w:tcBorders>
            <w:vAlign w:val="center"/>
          </w:tcPr>
          <w:p>
            <w:pPr>
              <w:pStyle w:val="19"/>
            </w:pPr>
            <w:r>
              <w:t>5.28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4.09</w:t>
            </w:r>
          </w:p>
        </w:tc>
        <w:tc>
          <w:tcPr>
            <w:tcW w:w="2551" w:type="dxa"/>
            <w:tcBorders>
              <w:left w:val="single" w:sz="6" w:space="0" w:color="000000"/>
              <w:right w:val="single" w:sz="6" w:space="0" w:color="000000"/>
            </w:tcBorders>
            <w:vAlign w:val="center"/>
          </w:tcPr>
          <w:p>
            <w:pPr>
              <w:pStyle w:val="19"/>
            </w:pPr>
            <w:r>
              <w:t>4.09</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138.14</w:t>
            </w:r>
          </w:p>
        </w:tc>
        <w:tc>
          <w:tcPr>
            <w:tcW w:w="2551" w:type="dxa"/>
            <w:tcBorders>
              <w:left w:val="single" w:sz="6" w:space="0" w:color="000000"/>
              <w:right w:val="single" w:sz="6" w:space="0" w:color="000000"/>
            </w:tcBorders>
            <w:vAlign w:val="center"/>
          </w:tcPr>
          <w:p>
            <w:pPr>
              <w:pStyle w:val="23"/>
            </w:pPr>
            <w:r>
              <w:t>129.92</w:t>
            </w:r>
          </w:p>
        </w:tc>
        <w:tc>
          <w:tcPr>
            <w:tcW w:w="2551" w:type="dxa"/>
            <w:vAlign w:val="center"/>
          </w:tcPr>
          <w:p>
            <w:pPr>
              <w:pStyle w:val="23"/>
            </w:pPr>
            <w:r>
              <w:t>8.22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126.52</w:t>
            </w:r>
          </w:p>
        </w:tc>
        <w:tc>
          <w:tcPr>
            <w:tcW w:w="2551" w:type="dxa"/>
            <w:tcBorders>
              <w:left w:val="single" w:sz="6" w:space="0" w:color="000000"/>
              <w:right w:val="single" w:sz="6" w:space="0" w:color="000000"/>
            </w:tcBorders>
            <w:vAlign w:val="center"/>
          </w:tcPr>
          <w:p>
            <w:pPr>
              <w:pStyle w:val="19"/>
            </w:pPr>
            <w:r>
              <w:t>126.52</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36.61</w:t>
            </w:r>
          </w:p>
        </w:tc>
        <w:tc>
          <w:tcPr>
            <w:tcW w:w="2551" w:type="dxa"/>
            <w:tcBorders>
              <w:left w:val="single" w:sz="6" w:space="0" w:color="000000"/>
              <w:right w:val="single" w:sz="6" w:space="0" w:color="000000"/>
            </w:tcBorders>
            <w:vAlign w:val="center"/>
          </w:tcPr>
          <w:p>
            <w:pPr>
              <w:pStyle w:val="19"/>
            </w:pPr>
            <w:r>
              <w:t>36.61</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17.00</w:t>
            </w:r>
          </w:p>
        </w:tc>
        <w:tc>
          <w:tcPr>
            <w:tcW w:w="2551" w:type="dxa"/>
            <w:tcBorders>
              <w:left w:val="single" w:sz="6" w:space="0" w:color="000000"/>
              <w:right w:val="single" w:sz="6" w:space="0" w:color="000000"/>
            </w:tcBorders>
            <w:vAlign w:val="center"/>
          </w:tcPr>
          <w:p>
            <w:pPr>
              <w:pStyle w:val="19"/>
            </w:pPr>
            <w:r>
              <w:t>17.00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14.24</w:t>
            </w:r>
          </w:p>
        </w:tc>
        <w:tc>
          <w:tcPr>
            <w:tcW w:w="2551" w:type="dxa"/>
            <w:tcBorders>
              <w:left w:val="single" w:sz="6" w:space="0" w:color="000000"/>
              <w:right w:val="single" w:sz="6" w:space="0" w:color="000000"/>
            </w:tcBorders>
            <w:vAlign w:val="center"/>
          </w:tcPr>
          <w:p>
            <w:pPr>
              <w:pStyle w:val="19"/>
            </w:pPr>
            <w:r>
              <w:t>14.24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25.36</w:t>
            </w:r>
          </w:p>
        </w:tc>
        <w:tc>
          <w:tcPr>
            <w:tcW w:w="2551" w:type="dxa"/>
            <w:tcBorders>
              <w:left w:val="single" w:sz="6" w:space="0" w:color="000000"/>
              <w:right w:val="single" w:sz="6" w:space="0" w:color="000000"/>
            </w:tcBorders>
            <w:vAlign w:val="center"/>
          </w:tcPr>
          <w:p>
            <w:pPr>
              <w:pStyle w:val="19"/>
            </w:pPr>
            <w:r>
              <w:t>25.36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12.85</w:t>
            </w:r>
          </w:p>
        </w:tc>
        <w:tc>
          <w:tcPr>
            <w:tcW w:w="2551" w:type="dxa"/>
            <w:tcBorders>
              <w:left w:val="single" w:sz="6" w:space="0" w:color="000000"/>
              <w:right w:val="single" w:sz="6" w:space="0" w:color="000000"/>
            </w:tcBorders>
            <w:vAlign w:val="center"/>
          </w:tcPr>
          <w:p>
            <w:pPr>
              <w:pStyle w:val="19"/>
            </w:pPr>
            <w:r>
              <w:t>12.85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5.28</w:t>
            </w:r>
          </w:p>
        </w:tc>
        <w:tc>
          <w:tcPr>
            <w:tcW w:w="2551" w:type="dxa"/>
            <w:tcBorders>
              <w:left w:val="single" w:sz="6" w:space="0" w:color="000000"/>
              <w:right w:val="single" w:sz="6" w:space="0" w:color="000000"/>
            </w:tcBorders>
            <w:vAlign w:val="center"/>
          </w:tcPr>
          <w:p>
            <w:pPr>
              <w:pStyle w:val="19"/>
            </w:pPr>
            <w:r>
              <w:t>5.28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4.09</w:t>
            </w:r>
          </w:p>
        </w:tc>
        <w:tc>
          <w:tcPr>
            <w:tcW w:w="2551" w:type="dxa"/>
            <w:tcBorders>
              <w:left w:val="single" w:sz="6" w:space="0" w:color="000000"/>
              <w:right w:val="single" w:sz="6" w:space="0" w:color="000000"/>
            </w:tcBorders>
            <w:vAlign w:val="center"/>
          </w:tcPr>
          <w:p>
            <w:pPr>
              <w:pStyle w:val="19"/>
            </w:pPr>
            <w:r>
              <w:t>4.09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8.22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8.22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0.74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0.74</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0.80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0.80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0.50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3.36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3.36</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0.82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0.82</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3.40</w:t>
            </w:r>
          </w:p>
        </w:tc>
        <w:tc>
          <w:tcPr>
            <w:tcW w:w="2551" w:type="dxa"/>
            <w:tcBorders>
              <w:left w:val="single" w:sz="6" w:space="0" w:color="000000"/>
              <w:right w:val="single" w:sz="6" w:space="0" w:color="000000"/>
            </w:tcBorders>
            <w:vAlign w:val="center"/>
          </w:tcPr>
          <w:p>
            <w:pPr>
              <w:pStyle w:val="19"/>
            </w:pPr>
            <w:r>
              <w:t>3.40</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3.40</w:t>
            </w:r>
          </w:p>
        </w:tc>
        <w:tc>
          <w:tcPr>
            <w:tcW w:w="2551" w:type="dxa"/>
            <w:tcBorders>
              <w:left w:val="single" w:sz="6" w:space="0" w:color="000000"/>
              <w:right w:val="single" w:sz="6" w:space="0" w:color="000000"/>
            </w:tcBorders>
            <w:vAlign w:val="center"/>
          </w:tcPr>
          <w:p>
            <w:pPr>
              <w:pStyle w:val="19"/>
            </w:pPr>
            <w:r>
              <w:t>3.40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7"/>
      <w:r>
        <w:rPr>
          <w:rFonts w:ascii="方正小标宋_GBK" w:eastAsia="方正小标宋_GBK" w:cs="方正小标宋_GBK" w:hAnsi="方正小标宋_GBK"/>
          <w:color w:val="000000"/>
          <w:sz w:val="36"/>
        </w:rPr>
        <w:t>部门预算政府性基金预算财政拨款支出表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bookmarkEnd w:id="9"/>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0"/>
            </w:pPr>
            <w:r>
              <w:t>公务用车运维费</w:t>
            </w:r>
          </w:p>
        </w:tc>
        <w:tc>
          <w:tcPr>
            <w:tcW w:w="2381" w:type="dxa"/>
            <w:tcBorders>
              <w:left w:val="single" w:sz="6" w:space="0" w:color="000000"/>
              <w:right w:val="single" w:sz="6" w:space="0" w:color="000000"/>
            </w:tcBorders>
            <w:vAlign w:val="center"/>
          </w:tcPr>
          <w:p>
            <w:pPr>
              <w:pStyle w:val="19"/>
            </w:pPr>
            <w:r>
              <w:t>2</w:t>
            </w:r>
          </w:p>
        </w:tc>
        <w:tc>
          <w:tcPr>
            <w:tcW w:w="2381" w:type="dxa"/>
            <w:tcBorders>
              <w:left w:val="single" w:sz="6" w:space="0" w:color="000000"/>
              <w:right w:val="single" w:sz="6" w:space="0" w:color="000000"/>
            </w:tcBorders>
            <w:vAlign w:val="center"/>
          </w:tcPr>
          <w:p>
            <w:pPr>
              <w:pStyle w:val="19"/>
            </w:pPr>
            <w:r>
              <w:t>2</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中共石家庄市井陉矿区委机构编制委员会办公室2026年部门预算信息公开情况说明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中共石家庄市井陉矿区委机构编制委员会办公室2026年部门预算信息公开情况说明</w:t>
      </w:r>
    </w:p>
    <w:p>
      <w:pPr>
        <w:spacing w:before="0" w:after="0" w:line="500" w:lineRule="exact"/>
        <w:ind w:firstLine="560"/>
        <w:jc w:val="both"/>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按照《中华人民共和国预算法》、《地方预决算公开操作规程》和《关于进一步推进预算公开工作的实施意见》规定，现将中共石家庄市井陉矿区委机构编制委员会办公室2026年部门预算公开如下：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jc w:val="both"/>
      </w:pPr>
      <w:r>
        <w:t>（一）贯彻落实党中央和省、市、区委关于行政管理体制和机构改革以及机构编制管理的政策法规，组织起草相关政策规定和地方性法规、规章等规范性文件草案并监督实施。管理和指导全区党政群机关以及事业单位机构编制工作。组织开展行政管理体制改革、事业单位管理体制改革及机构编制工作基础性、创新性和前瞻性研究。</w:t>
      </w:r>
    </w:p>
    <w:p>
      <w:pPr>
        <w:pStyle w:val="25"/>
        <w:jc w:val="both"/>
      </w:pPr>
      <w:r>
        <w:t>（二）组织拟订全区行政管理体制改革和区委、区政府机构改革方案并组织实施。负责全区行政管理体制和机构改革以及机构编制管理工作；负责行政执法体制改革工作。</w:t>
      </w:r>
    </w:p>
    <w:p>
      <w:pPr>
        <w:pStyle w:val="25"/>
        <w:jc w:val="both"/>
      </w:pPr>
      <w:r>
        <w:t>（三）按照规定权限，负责区级党政群机关以及部门派出机构的职能配置、机构设置、人员编制和领导职数管理工作；负责协调区委、区政府各部门职能配置及其调整，协调区委、区政府各部门之间以及区直部门与乡（镇、街道）之间职责分工；负责需要承办的省以下垂直管理部门或双重管理部门（单位）机构编制有关工作。</w:t>
      </w:r>
    </w:p>
    <w:p>
      <w:pPr>
        <w:pStyle w:val="25"/>
        <w:jc w:val="both"/>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pStyle w:val="25"/>
        <w:jc w:val="both"/>
      </w:pPr>
      <w:r>
        <w:t>（五）指导各乡（镇、街道）的行政管理体制改革、事业单位管理体制改革和机构改革工作，审核机构改革方案。审核各乡（镇）机构编制分类。</w:t>
      </w:r>
    </w:p>
    <w:p>
      <w:pPr>
        <w:pStyle w:val="25"/>
        <w:jc w:val="both"/>
      </w:pPr>
      <w:r>
        <w:t>（六）负责全区党政群机关统一社会信用代码赋码管理工作，负责全区事业单位法人登记管理和监督检查工作。</w:t>
      </w:r>
    </w:p>
    <w:p>
      <w:pPr>
        <w:pStyle w:val="25"/>
        <w:jc w:val="both"/>
      </w:pPr>
      <w:r>
        <w:t>（七）负责全区开发区（园区）行政管理体制改革工作。组织拟订开发区（园区）机构编制管理办法并组织实施；负责全区省级以上开发区（园区）职能配置、机构设置、人员编制和领导职数审核及上报工作。</w:t>
      </w:r>
    </w:p>
    <w:p>
      <w:pPr>
        <w:pStyle w:val="25"/>
        <w:jc w:val="both"/>
      </w:pPr>
      <w:r>
        <w:t>（八）负责全区机构编制的总量控制、动态管理。组织拟订区本级及乡（镇、街道）年度编制使用计划，审核区直部门及乡（镇、街道）机关事业单位招录、招聘和政策性安置等计划；负责区直部门及乡（镇、街道）机关事业单位编制使用核准；负责机构编制实名制管理工作；建立健全机构编制部门与有关部门的协调配合约束机制。</w:t>
      </w:r>
    </w:p>
    <w:p>
      <w:pPr>
        <w:pStyle w:val="25"/>
        <w:jc w:val="both"/>
      </w:pPr>
      <w:r>
        <w:t>（九）负责跟踪评估、监督检查全区各级行政、事业单位管理体制改革、机构改革及机构编制政策执行情况；负责受理违反机构编制法规、纪律的检举、控告和投诉，对违反机构编制法规、纪律问题进行调查处理。</w:t>
      </w:r>
    </w:p>
    <w:p>
      <w:pPr>
        <w:pStyle w:val="25"/>
        <w:jc w:val="both"/>
      </w:pPr>
      <w:r>
        <w:t>（十）负责全区机构编制电子政务和信息化工作。负责全区机构编制统计工作；负责机构编制网站的管理、使用和维护；负责党政群机关、事业单位和其他非营利性单位网上名称管理工作。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中共石家庄市井陉矿区委机构编制委员会办公室</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jc w:val="both"/>
      </w:pPr>
      <w:r>
        <w:t>按照预算管理有关规定，目前部门预算的编制实行综合预算管理，即全部收入和支出都反映在预算中。中共石家庄市井陉矿区委机构编制委员会办公室机关及所属事业单位的收支包含在部门预算中。</w:t>
      </w:r>
    </w:p>
    <w:p>
      <w:pPr>
        <w:pStyle w:val="26"/>
        <w:jc w:val="both"/>
      </w:pPr>
      <w:r>
        <w:t>1、收入说明</w:t>
      </w:r>
    </w:p>
    <w:p>
      <w:pPr>
        <w:pStyle w:val="26"/>
        <w:jc w:val="both"/>
      </w:pPr>
      <w:r>
        <w:t>反映本部门当年全部收入。2025年预算收入133.14万元，其中：一般公共预算收入133.14万元，基金预算收入0.00万元，国有资本经营预算收入0.00万元，财政专户核拨收入0.00万元，单位资金收入0.00万元，上年结转结余0.00万元。</w:t>
      </w:r>
    </w:p>
    <w:p>
      <w:pPr>
        <w:pStyle w:val="26"/>
        <w:jc w:val="both"/>
      </w:pPr>
      <w:r>
        <w:t>2、支出说明</w:t>
      </w:r>
    </w:p>
    <w:p>
      <w:pPr>
        <w:pStyle w:val="26"/>
        <w:jc w:val="both"/>
      </w:pPr>
      <w:r>
        <w:t>收支预算总表支出栏、基本支出表、项目支出表按经济分类和支出功能分类科目编制，反映中共石家庄市井陉矿区委机构编制委员会办公室年度部门预算中支出预算的总体情况。2025年支出预算133.14万元，其中基本支出129.58万元，包括人员经费121.36万元和日常公用经费8.22万元；项目支出3.56万元，主要为劳务派遣工资及社保费。</w:t>
      </w:r>
    </w:p>
    <w:p>
      <w:pPr>
        <w:pStyle w:val="26"/>
        <w:jc w:val="both"/>
      </w:pPr>
      <w:r>
        <w:t>3、比上年增减情况</w:t>
      </w:r>
    </w:p>
    <w:p>
      <w:pPr>
        <w:pStyle w:val="26"/>
        <w:jc w:val="both"/>
      </w:pPr>
      <w:r>
        <w:t>2025年预算收支安排133.14万元，较2024年预算增加0.48万元，其中：基本支出增加5.56万元，主要为人员有所增加项目支出减少5.08万元，主要为节约开支。</w:t>
      </w:r>
    </w:p>
    <w:p>
      <w:pPr>
        <w:spacing w:before="10" w:after="10" w:line="360" w:lineRule="auto"/>
        <w:ind w:firstLine="640"/>
        <w:jc w:val="both"/>
        <w:outlineLvl w:val="2"/>
      </w:pPr>
      <w:bookmarkStart w:id="12" w:name="_Toc_3_3_0000000012"/>
      <w:r>
        <w:rPr>
          <w:rFonts w:ascii="黑体" w:eastAsia="黑体" w:cs="黑体" w:hAnsi="黑体"/>
          <w:color w:val="000000"/>
          <w:sz w:val="32"/>
        </w:rPr>
        <w:t>三、机关运行经费安排情况</w:t>
      </w:r>
      <w:bookmarkEnd w:id="12"/>
    </w:p>
    <w:p>
      <w:pPr>
        <w:pStyle w:val="27"/>
        <w:jc w:val="both"/>
      </w:pPr>
      <w:r>
        <w:t>2025年，我部门机关运行经费共计安排8.22万元，主要用于日常维修、办公用房水电费、办公用房取暖费、办公用房物业管理费等日常运行支出。</w:t>
      </w:r>
    </w:p>
    <w:p>
      <w:pPr>
        <w:spacing w:before="10" w:after="10" w:line="360" w:lineRule="auto"/>
        <w:ind w:firstLine="640"/>
        <w:jc w:val="both"/>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jc w:val="both"/>
      </w:pPr>
      <w:r>
        <w:t>2026年，我部门财政拨款“三公”经费预算安排0.00万元，其中因公出国（境）费0.00万元；公务用车购置及运维费2.00万元（其中：公务用车购置费为0.00万元，公务用车运维费2.00万元)；公务接待费0.00万元。与2025年相比无变化。</w:t>
      </w:r>
    </w:p>
    <w:p>
      <w:pPr>
        <w:spacing w:before="10" w:after="10" w:line="360" w:lineRule="auto"/>
        <w:ind w:firstLine="640"/>
        <w:jc w:val="both"/>
        <w:outlineLvl w:val="2"/>
      </w:pPr>
      <w:bookmarkStart w:id="14" w:name="_Toc_3_3_0000000014"/>
      <w:r>
        <w:rPr>
          <w:rFonts w:ascii="黑体" w:eastAsia="黑体" w:cs="黑体" w:hAnsi="黑体"/>
          <w:color w:val="000000"/>
          <w:sz w:val="32"/>
        </w:rPr>
        <w:t>五、部门整体绩效目标</w:t>
      </w:r>
      <w:bookmarkEnd w:id="14"/>
    </w:p>
    <w:p>
      <w:pPr>
        <w:pStyle w:val="29"/>
        <w:jc w:val="both"/>
      </w:pPr>
      <w:r>
        <w:t>（一）总体绩效目标</w:t>
      </w:r>
    </w:p>
    <w:p>
      <w:pPr>
        <w:pStyle w:val="29"/>
        <w:jc w:val="both"/>
      </w:pPr>
      <w:r>
        <w:t>坚持以习近平新时代中国特色社会主义思想为指导，全面提升机构编制工作服务保障区委区政府重大决策部署的能力水平；巩固深化机构改革成果；聚焦全区中心任务和重要领域，优化配置机构编制资源；学习贯彻《中国共产党机构编制工作条例》，强化机构编制管理刚性约束；坚持以党的建设为统领，全面提升机关自身建设质量和水平。</w:t>
      </w:r>
    </w:p>
    <w:p>
      <w:pPr>
        <w:spacing w:before="0" w:after="0" w:line="500" w:lineRule="exact"/>
        <w:ind w:firstLine="560"/>
        <w:jc w:val="both"/>
        <w:outlineLvl w:val="9"/>
      </w:pPr>
      <w:r>
        <w:rPr>
          <w:rFonts w:ascii="Times New Roman" w:eastAsia="方正仿宋_GBK" w:cs="Times New Roman" w:hAnsi="Times New Roman"/>
          <w:color w:val="000000"/>
          <w:sz w:val="28"/>
        </w:rPr>
        <w:t>（二）分项绩效目标</w:t>
      </w:r>
    </w:p>
    <w:p>
      <w:pPr>
        <w:pStyle w:val="30"/>
        <w:jc w:val="both"/>
      </w:pPr>
      <w:r>
        <w:t>优化配置机构编制资源</w:t>
      </w:r>
    </w:p>
    <w:p>
      <w:pPr>
        <w:pStyle w:val="30"/>
        <w:jc w:val="both"/>
      </w:pPr>
      <w:r>
        <w:t>绩效目标：充分发挥编制部门作为党委决策参谋助手作用，聚焦发展所需，将编制资源向重点领域部位倾斜。坚持将创新挖潜作为科学配置机构编制资源的有效途径，加大各类编制统筹调配力度，切实管好用好机构编制资源。</w:t>
      </w:r>
    </w:p>
    <w:p>
      <w:pPr>
        <w:pStyle w:val="30"/>
        <w:jc w:val="both"/>
      </w:pPr>
      <w:r>
        <w:t>数量指标：机构编制管理工作完成情况、电子政务和信息化工作完成情况、网上名称管理工作完成情况。</w:t>
      </w:r>
    </w:p>
    <w:p>
      <w:pPr>
        <w:pStyle w:val="30"/>
        <w:jc w:val="both"/>
      </w:pPr>
      <w:r>
        <w:t>质量指标：机构编制管理工作完成合格情况、电子政务和信息化工作完成合格情况、网上名称管理工作完成合格情况。</w:t>
      </w:r>
    </w:p>
    <w:p>
      <w:pPr>
        <w:pStyle w:val="30"/>
        <w:jc w:val="both"/>
      </w:pPr>
      <w:r>
        <w:t>时效指标：机构编制管理工作按期完成情况、电子政务和信息化工作按期完成情况、网上名称管理工作按期完成情况。</w:t>
      </w:r>
    </w:p>
    <w:p>
      <w:pPr>
        <w:pStyle w:val="30"/>
        <w:jc w:val="both"/>
      </w:pPr>
      <w:r>
        <w:t>成本指标：机构现在管理工作成本情况、电子政务和信息化工作成本情况、网上名称管理工作成本情况、提供机构编制管理的服务保障能力情况。</w:t>
      </w:r>
    </w:p>
    <w:p>
      <w:pPr>
        <w:pStyle w:val="30"/>
        <w:jc w:val="both"/>
      </w:pPr>
      <w:r>
        <w:t>服务对象满意度指标：服务对象满意情况。</w:t>
      </w:r>
    </w:p>
    <w:p>
      <w:pPr>
        <w:pStyle w:val="31"/>
        <w:jc w:val="both"/>
      </w:pPr>
      <w:r>
        <w:t>（三）工作保障措施</w:t>
      </w:r>
    </w:p>
    <w:p>
      <w:pPr>
        <w:pStyle w:val="31"/>
        <w:jc w:val="both"/>
      </w:pPr>
      <w:r>
        <w:t>完善制度建设。通过制定完善预算绩效管理制度、资金管理办法、工作保障制度等，为全年预算绩效目标的实现奠定制度基础。</w:t>
      </w:r>
    </w:p>
    <w:p>
      <w:pPr>
        <w:pStyle w:val="31"/>
        <w:jc w:val="both"/>
      </w:pPr>
      <w:r>
        <w:t>加强支出管理。通过优化支出结构、编细编实预算、加快履行政府采购手续、尽快启动项目、及时支付资金等多种措施，确保支出进度达标。</w:t>
      </w:r>
    </w:p>
    <w:p>
      <w:pPr>
        <w:pStyle w:val="31"/>
        <w:jc w:val="both"/>
      </w:pPr>
      <w:r>
        <w:t>加强绩效运行监控。按要求开展绩效运行监控，发现问题及时采取措施，确保绩效目标如期保质实现。</w:t>
      </w:r>
    </w:p>
    <w:p>
      <w:pPr>
        <w:pStyle w:val="31"/>
        <w:jc w:val="both"/>
      </w:pPr>
      <w:r>
        <w:t>做好绩效自评。按要求开展上年度部门预算绩效自评和重点评价工作，对评价中发现的问题及时整改，调整优化支出结构，提高财政资金使用效益。</w:t>
      </w:r>
    </w:p>
    <w:p>
      <w:pPr>
        <w:pStyle w:val="31"/>
        <w:jc w:val="both"/>
      </w:pPr>
      <w:r>
        <w:t>规范财务资产管理。完善财务管理制度，严格审批程序，加强固定资产登记、使用和报废处置管理，做到支出合理，物尽其用。</w:t>
      </w:r>
    </w:p>
    <w:p>
      <w:pPr>
        <w:pStyle w:val="31"/>
        <w:jc w:val="both"/>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jc w:val="both"/>
        <w:sectPr>
          <w:pgSz w:w="16840" w:h="11900" w:orient="landscape"/>
          <w:pgMar w:top="1361" w:right="1020" w:bottom="1361" w:left="1020" w:header="720" w:footer="720" w:gutter="0"/>
          <w:docGrid w:linePitch="326" w:charSpace="0"/>
        </w:sectPr>
      </w:pPr>
      <w:r>
        <w:t>加强宣传培训调研等。加强人员培训，提高本部门职工业务素质；加大宣传力度，强化预算绩效管理意识，促进预算绩效管理水平进一步提升。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1、机构编制管理工作经费绩效目标表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13010726P000079100354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机构编制管理工作经费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用于机构编制管理工作有关费用的支出。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1.00</w:t>
            </w:r>
          </w:p>
        </w:tc>
        <w:tc>
          <w:tcPr>
            <w:tcW w:w="2551" w:type="dxa"/>
            <w:tcBorders>
              <w:left w:val="single" w:sz="6" w:space="0" w:color="000000"/>
              <w:right w:val="single" w:sz="6" w:space="0" w:color="000000"/>
            </w:tcBorders>
            <w:vAlign w:val="center"/>
          </w:tcPr>
          <w:p>
            <w:pPr>
              <w:pStyle w:val="21"/>
            </w:pPr>
            <w:r>
              <w:t>1.50</w:t>
            </w:r>
          </w:p>
        </w:tc>
        <w:tc>
          <w:tcPr>
            <w:tcW w:w="3544" w:type="dxa"/>
            <w:gridSpan w:val="2"/>
            <w:vAlign w:val="center"/>
          </w:tcPr>
          <w:p>
            <w:pPr>
              <w:pStyle w:val="21"/>
            </w:pPr>
            <w:r>
              <w:t>2.00</w:t>
            </w:r>
          </w:p>
        </w:tc>
      </w:tr>
      <w:tr>
        <w:trPr>
          <w:trHeight w:val="369"/>
        </w:trPr>
        <w:tc>
          <w:tcPr>
            <w:tcW w:w="1276" w:type="dxa"/>
            <w:vAlign w:val="center"/>
          </w:tcPr>
          <w:p>
            <w:pPr>
              <w:pStyle w:val="18"/>
            </w:pPr>
            <w:r>
              <w:t>绩效目标</w:t>
            </w:r>
          </w:p>
        </w:tc>
        <w:tc>
          <w:tcPr>
            <w:tcW w:w="14033" w:type="dxa"/>
            <w:gridSpan w:val="6"/>
            <w:vAlign w:val="center"/>
          </w:tcPr>
          <w:p>
            <w:pPr>
              <w:pStyle w:val="20"/>
            </w:pPr>
            <w:r>
              <w:t>1.充分发挥机构编制部门作为党委决策参谋助手作用，坚持创新挖潜作为科学配置机构编制资源的有效途径，加大各类编制统筹调配力度，切实做好机构编制管理工作。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机构编制管理工作完成率</w:t>
            </w:r>
          </w:p>
        </w:tc>
        <w:tc>
          <w:tcPr>
            <w:tcW w:w="5386" w:type="dxa"/>
            <w:tcBorders>
              <w:left w:val="single" w:sz="6" w:space="0" w:color="000000"/>
              <w:right w:val="single" w:sz="6" w:space="0" w:color="000000"/>
            </w:tcBorders>
            <w:vAlign w:val="center"/>
          </w:tcPr>
          <w:p>
            <w:pPr>
              <w:pStyle w:val="20"/>
            </w:pPr>
            <w:r>
              <w:t>机构编制管理工作完成情况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电子政务和信息化工作完成率</w:t>
            </w:r>
          </w:p>
        </w:tc>
        <w:tc>
          <w:tcPr>
            <w:tcW w:w="5386" w:type="dxa"/>
            <w:tcBorders>
              <w:left w:val="single" w:sz="6" w:space="0" w:color="000000"/>
              <w:right w:val="single" w:sz="6" w:space="0" w:color="000000"/>
            </w:tcBorders>
            <w:vAlign w:val="center"/>
          </w:tcPr>
          <w:p>
            <w:pPr>
              <w:pStyle w:val="20"/>
            </w:pPr>
            <w:r>
              <w:t>电子政务和信息化工作完成情况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网上名称管理工作完成率</w:t>
            </w:r>
          </w:p>
        </w:tc>
        <w:tc>
          <w:tcPr>
            <w:tcW w:w="5386" w:type="dxa"/>
            <w:tcBorders>
              <w:left w:val="single" w:sz="6" w:space="0" w:color="000000"/>
              <w:right w:val="single" w:sz="6" w:space="0" w:color="000000"/>
            </w:tcBorders>
            <w:vAlign w:val="center"/>
          </w:tcPr>
          <w:p>
            <w:pPr>
              <w:pStyle w:val="20"/>
            </w:pPr>
            <w:r>
              <w:t>网上名称管理工作完成情况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机构编制管理工作完成合格率</w:t>
            </w:r>
          </w:p>
        </w:tc>
        <w:tc>
          <w:tcPr>
            <w:tcW w:w="5386" w:type="dxa"/>
            <w:tcBorders>
              <w:left w:val="single" w:sz="6" w:space="0" w:color="000000"/>
              <w:right w:val="single" w:sz="6" w:space="0" w:color="000000"/>
            </w:tcBorders>
            <w:vAlign w:val="center"/>
          </w:tcPr>
          <w:p>
            <w:pPr>
              <w:pStyle w:val="20"/>
            </w:pPr>
            <w:r>
              <w:t>机构编制管理工作完成合格情况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电子政务和信息化工作完成合格率</w:t>
            </w:r>
          </w:p>
        </w:tc>
        <w:tc>
          <w:tcPr>
            <w:tcW w:w="5386" w:type="dxa"/>
            <w:tcBorders>
              <w:left w:val="single" w:sz="6" w:space="0" w:color="000000"/>
              <w:right w:val="single" w:sz="6" w:space="0" w:color="000000"/>
            </w:tcBorders>
            <w:vAlign w:val="center"/>
          </w:tcPr>
          <w:p>
            <w:pPr>
              <w:pStyle w:val="20"/>
            </w:pPr>
            <w:r>
              <w:t>电子政务和信息化工作完成合格情况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网上名称管理工作完成合格率</w:t>
            </w:r>
          </w:p>
        </w:tc>
        <w:tc>
          <w:tcPr>
            <w:tcW w:w="5386" w:type="dxa"/>
            <w:tcBorders>
              <w:left w:val="single" w:sz="6" w:space="0" w:color="000000"/>
              <w:right w:val="single" w:sz="6" w:space="0" w:color="000000"/>
            </w:tcBorders>
            <w:vAlign w:val="center"/>
          </w:tcPr>
          <w:p>
            <w:pPr>
              <w:pStyle w:val="20"/>
            </w:pPr>
            <w:r>
              <w:t>网上名称管理工作完成合格情况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机构编制管理工作按期完成率</w:t>
            </w:r>
          </w:p>
        </w:tc>
        <w:tc>
          <w:tcPr>
            <w:tcW w:w="5386" w:type="dxa"/>
            <w:tcBorders>
              <w:left w:val="single" w:sz="6" w:space="0" w:color="000000"/>
              <w:right w:val="single" w:sz="6" w:space="0" w:color="000000"/>
            </w:tcBorders>
            <w:vAlign w:val="center"/>
          </w:tcPr>
          <w:p>
            <w:pPr>
              <w:pStyle w:val="20"/>
            </w:pPr>
            <w:r>
              <w:t>机构编制管理工作按期完成情况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电子政务和信息化工作按期完成率</w:t>
            </w:r>
          </w:p>
        </w:tc>
        <w:tc>
          <w:tcPr>
            <w:tcW w:w="5386" w:type="dxa"/>
            <w:tcBorders>
              <w:left w:val="single" w:sz="6" w:space="0" w:color="000000"/>
              <w:right w:val="single" w:sz="6" w:space="0" w:color="000000"/>
            </w:tcBorders>
            <w:vAlign w:val="center"/>
          </w:tcPr>
          <w:p>
            <w:pPr>
              <w:pStyle w:val="20"/>
            </w:pPr>
            <w:r>
              <w:t>电子政务和信息化工作按期完成情况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网上名称管理工作按期完成率</w:t>
            </w:r>
          </w:p>
        </w:tc>
        <w:tc>
          <w:tcPr>
            <w:tcW w:w="5386" w:type="dxa"/>
            <w:tcBorders>
              <w:left w:val="single" w:sz="6" w:space="0" w:color="000000"/>
              <w:right w:val="single" w:sz="6" w:space="0" w:color="000000"/>
            </w:tcBorders>
            <w:vAlign w:val="center"/>
          </w:tcPr>
          <w:p>
            <w:pPr>
              <w:pStyle w:val="20"/>
            </w:pPr>
            <w:r>
              <w:t>网上名称管理工作按期完成情况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机构编制管理工作成本</w:t>
            </w:r>
          </w:p>
        </w:tc>
        <w:tc>
          <w:tcPr>
            <w:tcW w:w="5386" w:type="dxa"/>
            <w:tcBorders>
              <w:left w:val="single" w:sz="6" w:space="0" w:color="000000"/>
              <w:right w:val="single" w:sz="6" w:space="0" w:color="000000"/>
            </w:tcBorders>
            <w:vAlign w:val="center"/>
          </w:tcPr>
          <w:p>
            <w:pPr>
              <w:pStyle w:val="20"/>
            </w:pPr>
            <w:r>
              <w:t>机构现在管理工作成本情况</w:t>
            </w:r>
          </w:p>
        </w:tc>
        <w:tc>
          <w:tcPr>
            <w:tcW w:w="2268" w:type="dxa"/>
            <w:tcBorders>
              <w:left w:val="single" w:sz="6" w:space="0" w:color="000000"/>
              <w:right w:val="single" w:sz="6" w:space="0" w:color="000000"/>
            </w:tcBorders>
            <w:vAlign w:val="center"/>
          </w:tcPr>
          <w:p>
            <w:pPr>
              <w:pStyle w:val="20"/>
            </w:pPr>
            <w:r>
              <w:t>≤1万元</w:t>
            </w:r>
          </w:p>
        </w:tc>
        <w:tc>
          <w:tcPr>
            <w:tcW w:w="1276" w:type="dxa"/>
            <w:vAlign w:val="center"/>
          </w:tcPr>
          <w:p>
            <w:pPr>
              <w:pStyle w:val="20"/>
            </w:pPr>
            <w:r>
              <w:t>2026年预算测算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电子政务和信息化工作成本</w:t>
            </w:r>
          </w:p>
        </w:tc>
        <w:tc>
          <w:tcPr>
            <w:tcW w:w="5386" w:type="dxa"/>
            <w:tcBorders>
              <w:left w:val="single" w:sz="6" w:space="0" w:color="000000"/>
              <w:right w:val="single" w:sz="6" w:space="0" w:color="000000"/>
            </w:tcBorders>
            <w:vAlign w:val="center"/>
          </w:tcPr>
          <w:p>
            <w:pPr>
              <w:pStyle w:val="20"/>
            </w:pPr>
            <w:r>
              <w:t>电子政务和信息化工作成本情况</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2026年预算测算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网上名称管理工作成本</w:t>
            </w:r>
          </w:p>
        </w:tc>
        <w:tc>
          <w:tcPr>
            <w:tcW w:w="5386" w:type="dxa"/>
            <w:tcBorders>
              <w:left w:val="single" w:sz="6" w:space="0" w:color="000000"/>
              <w:right w:val="single" w:sz="6" w:space="0" w:color="000000"/>
            </w:tcBorders>
            <w:vAlign w:val="center"/>
          </w:tcPr>
          <w:p>
            <w:pPr>
              <w:pStyle w:val="20"/>
            </w:pPr>
            <w:r>
              <w:t>网上名称管理工作成本情况</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2026年预算测算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提供机构编制管理的服务保障能力</w:t>
            </w:r>
          </w:p>
        </w:tc>
        <w:tc>
          <w:tcPr>
            <w:tcW w:w="5386" w:type="dxa"/>
            <w:tcBorders>
              <w:left w:val="single" w:sz="6" w:space="0" w:color="000000"/>
              <w:right w:val="single" w:sz="6" w:space="0" w:color="000000"/>
            </w:tcBorders>
            <w:vAlign w:val="center"/>
          </w:tcPr>
          <w:p>
            <w:pPr>
              <w:pStyle w:val="20"/>
            </w:pPr>
            <w:r>
              <w:t>提供机构编制管理的服务保障能力情况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服务对象满意程度</w:t>
            </w:r>
          </w:p>
        </w:tc>
        <w:tc>
          <w:tcPr>
            <w:tcW w:w="5386" w:type="dxa"/>
            <w:tcBorders>
              <w:left w:val="single" w:sz="6" w:space="0" w:color="000000"/>
              <w:right w:val="single" w:sz="6" w:space="0" w:color="000000"/>
            </w:tcBorders>
            <w:vAlign w:val="center"/>
          </w:tcPr>
          <w:p>
            <w:pPr>
              <w:pStyle w:val="20"/>
            </w:pPr>
            <w:r>
              <w:t>服务对象满意情况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both"/>
        <w:outlineLvl w:val="9"/>
      </w:pPr>
      <w:r>
        <w:rPr>
          <w:rFonts w:ascii="Times New Roman" w:eastAsia="方正仿宋_GBK" w:cs="Times New Roman" w:hAnsi="Times New Roman"/>
          <w:b w:val="0"/>
          <w:color w:val="000000"/>
          <w:sz w:val="28"/>
        </w:rPr>
        <w:t>中共石家庄市井陉矿区委机构编制委员会办公室（含所属单位）上年末固定资产金额为19.75万元（详见下表）。本年度拟购置固定资产总额为0.00万元，已按要求列入政府采购预算，详见政府采购预算表。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316中共石家庄市井陉矿区委机构编制委员会办公室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19.75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9.80</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62</w:t>
            </w:r>
          </w:p>
        </w:tc>
        <w:tc>
          <w:tcPr>
            <w:tcW w:w="2835" w:type="dxa"/>
            <w:vAlign w:val="center"/>
          </w:tcPr>
          <w:p>
            <w:pPr>
              <w:pStyle w:val="19"/>
            </w:pPr>
            <w:r>
              <w:t>9.95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both"/>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both"/>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both"/>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825C20D-7F95-49CB-9A9B-85EEA20BCBB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28</TotalTime>
  <Application>Yozo_Office27021597764231179</Application>
  <Pages>26</Pages>
  <Words>0</Words>
  <Characters>9243</Characters>
  <Lines>0</Lines>
  <Paragraphs>134</Paragraphs>
  <CharactersWithSpaces>12325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ZXK</cp:lastModifiedBy>
  <cp:revision>1</cp:revision>
  <dcterms:created xsi:type="dcterms:W3CDTF">2026-02-09T14:40:18Z</dcterms:created>
  <dcterms:modified xsi:type="dcterms:W3CDTF">2026-02-10T01:12:28Z</dcterms:modified>
</cp:coreProperties>
</file>