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一、中共石家庄市井陉矿区委机构编制委员会办公室收支预算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一、中共石家庄市井陉矿区委机构编制委员会办公室收支预算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140.14</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103.43</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16.79</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9.37</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10.55</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140.14</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140.14</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140.14</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140.14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140.14</w:t>
            </w:r>
          </w:p>
        </w:tc>
        <w:tc>
          <w:tcPr>
            <w:tcW w:w="1134" w:type="dxa"/>
            <w:tcBorders>
              <w:left w:val="single" w:sz="6" w:space="0" w:color="000000"/>
              <w:right w:val="single" w:sz="6" w:space="0" w:color="000000"/>
            </w:tcBorders>
            <w:vAlign w:val="center"/>
          </w:tcPr>
          <w:p>
            <w:pPr>
              <w:pStyle w:val="23"/>
            </w:pPr>
            <w:r>
              <w:t>140.14</w:t>
            </w:r>
          </w:p>
        </w:tc>
        <w:tc>
          <w:tcPr>
            <w:tcW w:w="1134" w:type="dxa"/>
            <w:tcBorders>
              <w:left w:val="single" w:sz="6" w:space="0" w:color="000000"/>
              <w:right w:val="single" w:sz="6" w:space="0" w:color="000000"/>
            </w:tcBorders>
            <w:vAlign w:val="center"/>
          </w:tcPr>
          <w:p>
            <w:pPr>
              <w:pStyle w:val="23"/>
            </w:pPr>
            <w:r>
              <w:t>140.14</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20132</w:t>
            </w:r>
          </w:p>
        </w:tc>
        <w:tc>
          <w:tcPr>
            <w:tcW w:w="1559" w:type="dxa"/>
            <w:tcBorders>
              <w:left w:val="single" w:sz="6" w:space="0" w:color="000000"/>
              <w:right w:val="single" w:sz="6" w:space="0" w:color="000000"/>
            </w:tcBorders>
            <w:vAlign w:val="center"/>
          </w:tcPr>
          <w:p>
            <w:pPr>
              <w:pStyle w:val="20"/>
            </w:pPr>
            <w:r>
              <w:t>组织事务</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2013299</w:t>
            </w:r>
          </w:p>
        </w:tc>
        <w:tc>
          <w:tcPr>
            <w:tcW w:w="1559" w:type="dxa"/>
            <w:tcBorders>
              <w:left w:val="single" w:sz="6" w:space="0" w:color="000000"/>
              <w:right w:val="single" w:sz="6" w:space="0" w:color="000000"/>
            </w:tcBorders>
            <w:vAlign w:val="center"/>
          </w:tcPr>
          <w:p>
            <w:pPr>
              <w:pStyle w:val="20"/>
            </w:pPr>
            <w:r>
              <w:t>其他组织事务支出</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r>
              <w:t>103.43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16.79</w:t>
            </w:r>
          </w:p>
        </w:tc>
        <w:tc>
          <w:tcPr>
            <w:tcW w:w="1134" w:type="dxa"/>
            <w:tcBorders>
              <w:left w:val="single" w:sz="6" w:space="0" w:color="000000"/>
              <w:right w:val="single" w:sz="6" w:space="0" w:color="000000"/>
            </w:tcBorders>
            <w:vAlign w:val="center"/>
          </w:tcPr>
          <w:p>
            <w:pPr>
              <w:pStyle w:val="19"/>
            </w:pPr>
            <w:r>
              <w:t>16.79</w:t>
            </w:r>
          </w:p>
        </w:tc>
        <w:tc>
          <w:tcPr>
            <w:tcW w:w="1134" w:type="dxa"/>
            <w:tcBorders>
              <w:left w:val="single" w:sz="6" w:space="0" w:color="000000"/>
              <w:right w:val="single" w:sz="6" w:space="0" w:color="000000"/>
            </w:tcBorders>
            <w:vAlign w:val="center"/>
          </w:tcPr>
          <w:p>
            <w:pPr>
              <w:pStyle w:val="19"/>
            </w:pPr>
            <w:r>
              <w:t>16.79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16.25</w:t>
            </w:r>
          </w:p>
        </w:tc>
        <w:tc>
          <w:tcPr>
            <w:tcW w:w="1134" w:type="dxa"/>
            <w:tcBorders>
              <w:left w:val="single" w:sz="6" w:space="0" w:color="000000"/>
              <w:right w:val="single" w:sz="6" w:space="0" w:color="000000"/>
            </w:tcBorders>
            <w:vAlign w:val="center"/>
          </w:tcPr>
          <w:p>
            <w:pPr>
              <w:pStyle w:val="19"/>
            </w:pPr>
            <w:r>
              <w:t>16.25</w:t>
            </w:r>
          </w:p>
        </w:tc>
        <w:tc>
          <w:tcPr>
            <w:tcW w:w="1134" w:type="dxa"/>
            <w:tcBorders>
              <w:left w:val="single" w:sz="6" w:space="0" w:color="000000"/>
              <w:right w:val="single" w:sz="6" w:space="0" w:color="000000"/>
            </w:tcBorders>
            <w:vAlign w:val="center"/>
          </w:tcPr>
          <w:p>
            <w:pPr>
              <w:pStyle w:val="19"/>
            </w:pPr>
            <w:r>
              <w:t>16.25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3.40</w:t>
            </w:r>
          </w:p>
        </w:tc>
        <w:tc>
          <w:tcPr>
            <w:tcW w:w="1134" w:type="dxa"/>
            <w:tcBorders>
              <w:left w:val="single" w:sz="6" w:space="0" w:color="000000"/>
              <w:right w:val="single" w:sz="6" w:space="0" w:color="000000"/>
            </w:tcBorders>
            <w:vAlign w:val="center"/>
          </w:tcPr>
          <w:p>
            <w:pPr>
              <w:pStyle w:val="19"/>
            </w:pPr>
            <w:r>
              <w:t>3.40</w:t>
            </w:r>
          </w:p>
        </w:tc>
        <w:tc>
          <w:tcPr>
            <w:tcW w:w="1134" w:type="dxa"/>
            <w:tcBorders>
              <w:left w:val="single" w:sz="6" w:space="0" w:color="000000"/>
              <w:right w:val="single" w:sz="6" w:space="0" w:color="000000"/>
            </w:tcBorders>
            <w:vAlign w:val="center"/>
          </w:tcPr>
          <w:p>
            <w:pPr>
              <w:pStyle w:val="19"/>
            </w:pPr>
            <w:r>
              <w:t>3.40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12.85</w:t>
            </w:r>
          </w:p>
        </w:tc>
        <w:tc>
          <w:tcPr>
            <w:tcW w:w="1134" w:type="dxa"/>
            <w:tcBorders>
              <w:left w:val="single" w:sz="6" w:space="0" w:color="000000"/>
              <w:right w:val="single" w:sz="6" w:space="0" w:color="000000"/>
            </w:tcBorders>
            <w:vAlign w:val="center"/>
          </w:tcPr>
          <w:p>
            <w:pPr>
              <w:pStyle w:val="19"/>
            </w:pPr>
            <w:r>
              <w:t>12.85</w:t>
            </w:r>
          </w:p>
        </w:tc>
        <w:tc>
          <w:tcPr>
            <w:tcW w:w="1134" w:type="dxa"/>
            <w:tcBorders>
              <w:left w:val="single" w:sz="6" w:space="0" w:color="000000"/>
              <w:right w:val="single" w:sz="6" w:space="0" w:color="000000"/>
            </w:tcBorders>
            <w:vAlign w:val="center"/>
          </w:tcPr>
          <w:p>
            <w:pPr>
              <w:pStyle w:val="19"/>
            </w:pPr>
            <w:r>
              <w:t>12.85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r>
              <w:t>9.37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5.28</w:t>
            </w:r>
          </w:p>
        </w:tc>
        <w:tc>
          <w:tcPr>
            <w:tcW w:w="1134" w:type="dxa"/>
            <w:tcBorders>
              <w:left w:val="single" w:sz="6" w:space="0" w:color="000000"/>
              <w:right w:val="single" w:sz="6" w:space="0" w:color="000000"/>
            </w:tcBorders>
            <w:vAlign w:val="center"/>
          </w:tcPr>
          <w:p>
            <w:pPr>
              <w:pStyle w:val="19"/>
            </w:pPr>
            <w:r>
              <w:t>5.28</w:t>
            </w:r>
          </w:p>
        </w:tc>
        <w:tc>
          <w:tcPr>
            <w:tcW w:w="1134" w:type="dxa"/>
            <w:tcBorders>
              <w:left w:val="single" w:sz="6" w:space="0" w:color="000000"/>
              <w:right w:val="single" w:sz="6" w:space="0" w:color="000000"/>
            </w:tcBorders>
            <w:vAlign w:val="center"/>
          </w:tcPr>
          <w:p>
            <w:pPr>
              <w:pStyle w:val="19"/>
            </w:pPr>
            <w:r>
              <w:t>5.28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4.09</w:t>
            </w:r>
          </w:p>
        </w:tc>
        <w:tc>
          <w:tcPr>
            <w:tcW w:w="1134" w:type="dxa"/>
            <w:tcBorders>
              <w:left w:val="single" w:sz="6" w:space="0" w:color="000000"/>
              <w:right w:val="single" w:sz="6" w:space="0" w:color="000000"/>
            </w:tcBorders>
            <w:vAlign w:val="center"/>
          </w:tcPr>
          <w:p>
            <w:pPr>
              <w:pStyle w:val="19"/>
            </w:pPr>
            <w:r>
              <w:t>4.09</w:t>
            </w:r>
          </w:p>
        </w:tc>
        <w:tc>
          <w:tcPr>
            <w:tcW w:w="1134" w:type="dxa"/>
            <w:tcBorders>
              <w:left w:val="single" w:sz="6" w:space="0" w:color="000000"/>
              <w:right w:val="single" w:sz="6" w:space="0" w:color="000000"/>
            </w:tcBorders>
            <w:vAlign w:val="center"/>
          </w:tcPr>
          <w:p>
            <w:pPr>
              <w:pStyle w:val="19"/>
            </w:pPr>
            <w:r>
              <w:t>4.09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140.14</w:t>
            </w:r>
          </w:p>
        </w:tc>
        <w:tc>
          <w:tcPr>
            <w:tcW w:w="1361" w:type="dxa"/>
            <w:tcBorders>
              <w:left w:val="single" w:sz="6" w:space="0" w:color="000000"/>
              <w:right w:val="single" w:sz="6" w:space="0" w:color="000000"/>
            </w:tcBorders>
            <w:vAlign w:val="center"/>
          </w:tcPr>
          <w:p>
            <w:pPr>
              <w:pStyle w:val="23"/>
            </w:pPr>
            <w:r>
              <w:t>138.14</w:t>
            </w:r>
          </w:p>
        </w:tc>
        <w:tc>
          <w:tcPr>
            <w:tcW w:w="1361" w:type="dxa"/>
            <w:tcBorders>
              <w:left w:val="single" w:sz="6" w:space="0" w:color="000000"/>
              <w:right w:val="single" w:sz="6" w:space="0" w:color="000000"/>
            </w:tcBorders>
            <w:vAlign w:val="center"/>
          </w:tcPr>
          <w:p>
            <w:pPr>
              <w:pStyle w:val="23"/>
            </w:pPr>
            <w:r>
              <w:t>2.00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103.43</w:t>
            </w:r>
          </w:p>
        </w:tc>
        <w:tc>
          <w:tcPr>
            <w:tcW w:w="1361" w:type="dxa"/>
            <w:tcBorders>
              <w:left w:val="single" w:sz="6" w:space="0" w:color="000000"/>
              <w:right w:val="single" w:sz="6" w:space="0" w:color="000000"/>
            </w:tcBorders>
            <w:vAlign w:val="center"/>
          </w:tcPr>
          <w:p>
            <w:pPr>
              <w:pStyle w:val="19"/>
            </w:pPr>
            <w:r>
              <w:t>101.43</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20132</w:t>
            </w:r>
          </w:p>
        </w:tc>
        <w:tc>
          <w:tcPr>
            <w:tcW w:w="4535" w:type="dxa"/>
            <w:tcBorders>
              <w:left w:val="single" w:sz="6" w:space="0" w:color="000000"/>
              <w:right w:val="single" w:sz="6" w:space="0" w:color="000000"/>
            </w:tcBorders>
            <w:vAlign w:val="center"/>
          </w:tcPr>
          <w:p>
            <w:pPr>
              <w:pStyle w:val="20"/>
            </w:pPr>
            <w:r>
              <w:t>组织事务</w:t>
            </w:r>
          </w:p>
        </w:tc>
        <w:tc>
          <w:tcPr>
            <w:tcW w:w="1361" w:type="dxa"/>
            <w:tcBorders>
              <w:left w:val="single" w:sz="6" w:space="0" w:color="000000"/>
              <w:right w:val="single" w:sz="6" w:space="0" w:color="000000"/>
            </w:tcBorders>
            <w:vAlign w:val="center"/>
          </w:tcPr>
          <w:p>
            <w:pPr>
              <w:pStyle w:val="19"/>
            </w:pPr>
            <w:r>
              <w:t>103.43</w:t>
            </w:r>
          </w:p>
        </w:tc>
        <w:tc>
          <w:tcPr>
            <w:tcW w:w="1361" w:type="dxa"/>
            <w:tcBorders>
              <w:left w:val="single" w:sz="6" w:space="0" w:color="000000"/>
              <w:right w:val="single" w:sz="6" w:space="0" w:color="000000"/>
            </w:tcBorders>
            <w:vAlign w:val="center"/>
          </w:tcPr>
          <w:p>
            <w:pPr>
              <w:pStyle w:val="19"/>
            </w:pPr>
            <w:r>
              <w:t>101.43</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2013299</w:t>
            </w:r>
          </w:p>
        </w:tc>
        <w:tc>
          <w:tcPr>
            <w:tcW w:w="4535" w:type="dxa"/>
            <w:tcBorders>
              <w:left w:val="single" w:sz="6" w:space="0" w:color="000000"/>
              <w:right w:val="single" w:sz="6" w:space="0" w:color="000000"/>
            </w:tcBorders>
            <w:vAlign w:val="center"/>
          </w:tcPr>
          <w:p>
            <w:pPr>
              <w:pStyle w:val="20"/>
            </w:pPr>
            <w:r>
              <w:t>其他组织事务支出</w:t>
            </w:r>
          </w:p>
        </w:tc>
        <w:tc>
          <w:tcPr>
            <w:tcW w:w="1361" w:type="dxa"/>
            <w:tcBorders>
              <w:left w:val="single" w:sz="6" w:space="0" w:color="000000"/>
              <w:right w:val="single" w:sz="6" w:space="0" w:color="000000"/>
            </w:tcBorders>
            <w:vAlign w:val="center"/>
          </w:tcPr>
          <w:p>
            <w:pPr>
              <w:pStyle w:val="19"/>
            </w:pPr>
            <w:r>
              <w:t>103.43</w:t>
            </w:r>
          </w:p>
        </w:tc>
        <w:tc>
          <w:tcPr>
            <w:tcW w:w="1361" w:type="dxa"/>
            <w:tcBorders>
              <w:left w:val="single" w:sz="6" w:space="0" w:color="000000"/>
              <w:right w:val="single" w:sz="6" w:space="0" w:color="000000"/>
            </w:tcBorders>
            <w:vAlign w:val="center"/>
          </w:tcPr>
          <w:p>
            <w:pPr>
              <w:pStyle w:val="19"/>
            </w:pPr>
            <w:r>
              <w:t>101.43</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16.79</w:t>
            </w:r>
          </w:p>
        </w:tc>
        <w:tc>
          <w:tcPr>
            <w:tcW w:w="1361" w:type="dxa"/>
            <w:tcBorders>
              <w:left w:val="single" w:sz="6" w:space="0" w:color="000000"/>
              <w:right w:val="single" w:sz="6" w:space="0" w:color="000000"/>
            </w:tcBorders>
            <w:vAlign w:val="center"/>
          </w:tcPr>
          <w:p>
            <w:pPr>
              <w:pStyle w:val="19"/>
            </w:pPr>
            <w:r>
              <w:t>16.79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16.25</w:t>
            </w:r>
          </w:p>
        </w:tc>
        <w:tc>
          <w:tcPr>
            <w:tcW w:w="1361" w:type="dxa"/>
            <w:tcBorders>
              <w:left w:val="single" w:sz="6" w:space="0" w:color="000000"/>
              <w:right w:val="single" w:sz="6" w:space="0" w:color="000000"/>
            </w:tcBorders>
            <w:vAlign w:val="center"/>
          </w:tcPr>
          <w:p>
            <w:pPr>
              <w:pStyle w:val="19"/>
            </w:pPr>
            <w:r>
              <w:t>16.25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3.40</w:t>
            </w:r>
          </w:p>
        </w:tc>
        <w:tc>
          <w:tcPr>
            <w:tcW w:w="1361" w:type="dxa"/>
            <w:tcBorders>
              <w:left w:val="single" w:sz="6" w:space="0" w:color="000000"/>
              <w:right w:val="single" w:sz="6" w:space="0" w:color="000000"/>
            </w:tcBorders>
            <w:vAlign w:val="center"/>
          </w:tcPr>
          <w:p>
            <w:pPr>
              <w:pStyle w:val="19"/>
            </w:pPr>
            <w:r>
              <w:t>3.40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12.85</w:t>
            </w:r>
          </w:p>
        </w:tc>
        <w:tc>
          <w:tcPr>
            <w:tcW w:w="1361" w:type="dxa"/>
            <w:tcBorders>
              <w:left w:val="single" w:sz="6" w:space="0" w:color="000000"/>
              <w:right w:val="single" w:sz="6" w:space="0" w:color="000000"/>
            </w:tcBorders>
            <w:vAlign w:val="center"/>
          </w:tcPr>
          <w:p>
            <w:pPr>
              <w:pStyle w:val="19"/>
            </w:pPr>
            <w:r>
              <w:t>12.85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r>
              <w:t>9.37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5.28</w:t>
            </w:r>
          </w:p>
        </w:tc>
        <w:tc>
          <w:tcPr>
            <w:tcW w:w="1361" w:type="dxa"/>
            <w:tcBorders>
              <w:left w:val="single" w:sz="6" w:space="0" w:color="000000"/>
              <w:right w:val="single" w:sz="6" w:space="0" w:color="000000"/>
            </w:tcBorders>
            <w:vAlign w:val="center"/>
          </w:tcPr>
          <w:p>
            <w:pPr>
              <w:pStyle w:val="19"/>
            </w:pPr>
            <w:r>
              <w:t>5.28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4.09</w:t>
            </w:r>
          </w:p>
        </w:tc>
        <w:tc>
          <w:tcPr>
            <w:tcW w:w="1361" w:type="dxa"/>
            <w:tcBorders>
              <w:left w:val="single" w:sz="6" w:space="0" w:color="000000"/>
              <w:right w:val="single" w:sz="6" w:space="0" w:color="000000"/>
            </w:tcBorders>
            <w:vAlign w:val="center"/>
          </w:tcPr>
          <w:p>
            <w:pPr>
              <w:pStyle w:val="19"/>
            </w:pPr>
            <w:r>
              <w:t>4.09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r>
              <w:t>10.55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140.14</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103.43</w:t>
            </w:r>
          </w:p>
        </w:tc>
        <w:tc>
          <w:tcPr>
            <w:tcW w:w="1474" w:type="dxa"/>
            <w:tcBorders>
              <w:left w:val="single" w:sz="6" w:space="0" w:color="000000"/>
              <w:right w:val="single" w:sz="6" w:space="0" w:color="000000"/>
            </w:tcBorders>
            <w:vAlign w:val="center"/>
          </w:tcPr>
          <w:p>
            <w:pPr>
              <w:pStyle w:val="19"/>
            </w:pPr>
            <w:r>
              <w:t>103.43</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16.79</w:t>
            </w:r>
          </w:p>
        </w:tc>
        <w:tc>
          <w:tcPr>
            <w:tcW w:w="1474" w:type="dxa"/>
            <w:tcBorders>
              <w:left w:val="single" w:sz="6" w:space="0" w:color="000000"/>
              <w:right w:val="single" w:sz="6" w:space="0" w:color="000000"/>
            </w:tcBorders>
            <w:vAlign w:val="center"/>
          </w:tcPr>
          <w:p>
            <w:pPr>
              <w:pStyle w:val="19"/>
            </w:pPr>
            <w:r>
              <w:t>16.79</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9.37</w:t>
            </w:r>
          </w:p>
        </w:tc>
        <w:tc>
          <w:tcPr>
            <w:tcW w:w="1474" w:type="dxa"/>
            <w:tcBorders>
              <w:left w:val="single" w:sz="6" w:space="0" w:color="000000"/>
              <w:right w:val="single" w:sz="6" w:space="0" w:color="000000"/>
            </w:tcBorders>
            <w:vAlign w:val="center"/>
          </w:tcPr>
          <w:p>
            <w:pPr>
              <w:pStyle w:val="19"/>
            </w:pPr>
            <w:r>
              <w:t>9.37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10.55</w:t>
            </w:r>
          </w:p>
        </w:tc>
        <w:tc>
          <w:tcPr>
            <w:tcW w:w="1474" w:type="dxa"/>
            <w:tcBorders>
              <w:left w:val="single" w:sz="6" w:space="0" w:color="000000"/>
              <w:right w:val="single" w:sz="6" w:space="0" w:color="000000"/>
            </w:tcBorders>
            <w:vAlign w:val="center"/>
          </w:tcPr>
          <w:p>
            <w:pPr>
              <w:pStyle w:val="19"/>
            </w:pPr>
            <w:r>
              <w:t>10.55</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140.14</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140.14</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r>
              <w:t>140.14</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140.14</w:t>
            </w:r>
          </w:p>
        </w:tc>
        <w:tc>
          <w:tcPr>
            <w:tcW w:w="2551" w:type="dxa"/>
            <w:tcBorders>
              <w:left w:val="single" w:sz="6" w:space="0" w:color="000000"/>
              <w:right w:val="single" w:sz="6" w:space="0" w:color="000000"/>
            </w:tcBorders>
            <w:vAlign w:val="center"/>
          </w:tcPr>
          <w:p>
            <w:pPr>
              <w:pStyle w:val="23"/>
            </w:pPr>
            <w:r>
              <w:t>138.14</w:t>
            </w:r>
          </w:p>
        </w:tc>
        <w:tc>
          <w:tcPr>
            <w:tcW w:w="2551" w:type="dxa"/>
            <w:vAlign w:val="center"/>
          </w:tcPr>
          <w:p>
            <w:pPr>
              <w:pStyle w:val="23"/>
            </w:pPr>
            <w:r>
              <w:t>2.00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103.43</w:t>
            </w:r>
          </w:p>
        </w:tc>
        <w:tc>
          <w:tcPr>
            <w:tcW w:w="2551" w:type="dxa"/>
            <w:tcBorders>
              <w:left w:val="single" w:sz="6" w:space="0" w:color="000000"/>
              <w:right w:val="single" w:sz="6" w:space="0" w:color="000000"/>
            </w:tcBorders>
            <w:vAlign w:val="center"/>
          </w:tcPr>
          <w:p>
            <w:pPr>
              <w:pStyle w:val="19"/>
            </w:pPr>
            <w:r>
              <w:t>101.43</w:t>
            </w:r>
          </w:p>
        </w:tc>
        <w:tc>
          <w:tcPr>
            <w:tcW w:w="2551" w:type="dxa"/>
            <w:vAlign w:val="center"/>
          </w:tcPr>
          <w:p>
            <w:pPr>
              <w:pStyle w:val="19"/>
            </w:pPr>
            <w:r>
              <w:t>2.00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20132</w:t>
            </w:r>
          </w:p>
        </w:tc>
        <w:tc>
          <w:tcPr>
            <w:tcW w:w="4535" w:type="dxa"/>
            <w:tcBorders>
              <w:left w:val="single" w:sz="6" w:space="0" w:color="000000"/>
              <w:right w:val="single" w:sz="6" w:space="0" w:color="000000"/>
            </w:tcBorders>
            <w:vAlign w:val="center"/>
          </w:tcPr>
          <w:p>
            <w:pPr>
              <w:pStyle w:val="20"/>
            </w:pPr>
            <w:r>
              <w:t>组织事务</w:t>
            </w:r>
          </w:p>
        </w:tc>
        <w:tc>
          <w:tcPr>
            <w:tcW w:w="2551" w:type="dxa"/>
            <w:tcBorders>
              <w:left w:val="single" w:sz="6" w:space="0" w:color="000000"/>
              <w:right w:val="single" w:sz="6" w:space="0" w:color="000000"/>
            </w:tcBorders>
            <w:vAlign w:val="center"/>
          </w:tcPr>
          <w:p>
            <w:pPr>
              <w:pStyle w:val="19"/>
            </w:pPr>
            <w:r>
              <w:t>103.43</w:t>
            </w:r>
          </w:p>
        </w:tc>
        <w:tc>
          <w:tcPr>
            <w:tcW w:w="2551" w:type="dxa"/>
            <w:tcBorders>
              <w:left w:val="single" w:sz="6" w:space="0" w:color="000000"/>
              <w:right w:val="single" w:sz="6" w:space="0" w:color="000000"/>
            </w:tcBorders>
            <w:vAlign w:val="center"/>
          </w:tcPr>
          <w:p>
            <w:pPr>
              <w:pStyle w:val="19"/>
            </w:pPr>
            <w:r>
              <w:t>101.43</w:t>
            </w:r>
          </w:p>
        </w:tc>
        <w:tc>
          <w:tcPr>
            <w:tcW w:w="2551" w:type="dxa"/>
            <w:vAlign w:val="center"/>
          </w:tcPr>
          <w:p>
            <w:pPr>
              <w:pStyle w:val="19"/>
            </w:pPr>
            <w:r>
              <w:t>2.00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2013299</w:t>
            </w:r>
          </w:p>
        </w:tc>
        <w:tc>
          <w:tcPr>
            <w:tcW w:w="4535" w:type="dxa"/>
            <w:tcBorders>
              <w:left w:val="single" w:sz="6" w:space="0" w:color="000000"/>
              <w:right w:val="single" w:sz="6" w:space="0" w:color="000000"/>
            </w:tcBorders>
            <w:vAlign w:val="center"/>
          </w:tcPr>
          <w:p>
            <w:pPr>
              <w:pStyle w:val="20"/>
            </w:pPr>
            <w:r>
              <w:t>其他组织事务支出</w:t>
            </w:r>
          </w:p>
        </w:tc>
        <w:tc>
          <w:tcPr>
            <w:tcW w:w="2551" w:type="dxa"/>
            <w:tcBorders>
              <w:left w:val="single" w:sz="6" w:space="0" w:color="000000"/>
              <w:right w:val="single" w:sz="6" w:space="0" w:color="000000"/>
            </w:tcBorders>
            <w:vAlign w:val="center"/>
          </w:tcPr>
          <w:p>
            <w:pPr>
              <w:pStyle w:val="19"/>
            </w:pPr>
            <w:r>
              <w:t>103.43</w:t>
            </w:r>
          </w:p>
        </w:tc>
        <w:tc>
          <w:tcPr>
            <w:tcW w:w="2551" w:type="dxa"/>
            <w:tcBorders>
              <w:left w:val="single" w:sz="6" w:space="0" w:color="000000"/>
              <w:right w:val="single" w:sz="6" w:space="0" w:color="000000"/>
            </w:tcBorders>
            <w:vAlign w:val="center"/>
          </w:tcPr>
          <w:p>
            <w:pPr>
              <w:pStyle w:val="19"/>
            </w:pPr>
            <w:r>
              <w:t>101.43</w:t>
            </w:r>
          </w:p>
        </w:tc>
        <w:tc>
          <w:tcPr>
            <w:tcW w:w="2551" w:type="dxa"/>
            <w:vAlign w:val="center"/>
          </w:tcPr>
          <w:p>
            <w:pPr>
              <w:pStyle w:val="19"/>
            </w:pPr>
            <w:r>
              <w:t>2.00</w:t>
            </w: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16.79</w:t>
            </w:r>
          </w:p>
        </w:tc>
        <w:tc>
          <w:tcPr>
            <w:tcW w:w="2551" w:type="dxa"/>
            <w:tcBorders>
              <w:left w:val="single" w:sz="6" w:space="0" w:color="000000"/>
              <w:right w:val="single" w:sz="6" w:space="0" w:color="000000"/>
            </w:tcBorders>
            <w:vAlign w:val="center"/>
          </w:tcPr>
          <w:p>
            <w:pPr>
              <w:pStyle w:val="19"/>
            </w:pPr>
            <w:r>
              <w:t>16.79</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16.25</w:t>
            </w:r>
          </w:p>
        </w:tc>
        <w:tc>
          <w:tcPr>
            <w:tcW w:w="2551" w:type="dxa"/>
            <w:tcBorders>
              <w:left w:val="single" w:sz="6" w:space="0" w:color="000000"/>
              <w:right w:val="single" w:sz="6" w:space="0" w:color="000000"/>
            </w:tcBorders>
            <w:vAlign w:val="center"/>
          </w:tcPr>
          <w:p>
            <w:pPr>
              <w:pStyle w:val="19"/>
            </w:pPr>
            <w:r>
              <w:t>16.25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3.40</w:t>
            </w:r>
          </w:p>
        </w:tc>
        <w:tc>
          <w:tcPr>
            <w:tcW w:w="2551" w:type="dxa"/>
            <w:tcBorders>
              <w:left w:val="single" w:sz="6" w:space="0" w:color="000000"/>
              <w:right w:val="single" w:sz="6" w:space="0" w:color="000000"/>
            </w:tcBorders>
            <w:vAlign w:val="center"/>
          </w:tcPr>
          <w:p>
            <w:pPr>
              <w:pStyle w:val="19"/>
            </w:pPr>
            <w:r>
              <w:t>3.40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12.85</w:t>
            </w:r>
          </w:p>
        </w:tc>
        <w:tc>
          <w:tcPr>
            <w:tcW w:w="2551" w:type="dxa"/>
            <w:tcBorders>
              <w:left w:val="single" w:sz="6" w:space="0" w:color="000000"/>
              <w:right w:val="single" w:sz="6" w:space="0" w:color="000000"/>
            </w:tcBorders>
            <w:vAlign w:val="center"/>
          </w:tcPr>
          <w:p>
            <w:pPr>
              <w:pStyle w:val="19"/>
            </w:pPr>
            <w:r>
              <w:t>12.85</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9.37</w:t>
            </w:r>
          </w:p>
        </w:tc>
        <w:tc>
          <w:tcPr>
            <w:tcW w:w="2551" w:type="dxa"/>
            <w:tcBorders>
              <w:left w:val="single" w:sz="6" w:space="0" w:color="000000"/>
              <w:right w:val="single" w:sz="6" w:space="0" w:color="000000"/>
            </w:tcBorders>
            <w:vAlign w:val="center"/>
          </w:tcPr>
          <w:p>
            <w:pPr>
              <w:pStyle w:val="19"/>
            </w:pPr>
            <w:r>
              <w:t>9.37</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9.37</w:t>
            </w:r>
          </w:p>
        </w:tc>
        <w:tc>
          <w:tcPr>
            <w:tcW w:w="2551" w:type="dxa"/>
            <w:tcBorders>
              <w:left w:val="single" w:sz="6" w:space="0" w:color="000000"/>
              <w:right w:val="single" w:sz="6" w:space="0" w:color="000000"/>
            </w:tcBorders>
            <w:vAlign w:val="center"/>
          </w:tcPr>
          <w:p>
            <w:pPr>
              <w:pStyle w:val="19"/>
            </w:pPr>
            <w:r>
              <w:t>9.37</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5.28</w:t>
            </w:r>
          </w:p>
        </w:tc>
        <w:tc>
          <w:tcPr>
            <w:tcW w:w="2551" w:type="dxa"/>
            <w:tcBorders>
              <w:left w:val="single" w:sz="6" w:space="0" w:color="000000"/>
              <w:right w:val="single" w:sz="6" w:space="0" w:color="000000"/>
            </w:tcBorders>
            <w:vAlign w:val="center"/>
          </w:tcPr>
          <w:p>
            <w:pPr>
              <w:pStyle w:val="19"/>
            </w:pPr>
            <w:r>
              <w:t>5.28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4.09</w:t>
            </w:r>
          </w:p>
        </w:tc>
        <w:tc>
          <w:tcPr>
            <w:tcW w:w="2551" w:type="dxa"/>
            <w:tcBorders>
              <w:left w:val="single" w:sz="6" w:space="0" w:color="000000"/>
              <w:right w:val="single" w:sz="6" w:space="0" w:color="000000"/>
            </w:tcBorders>
            <w:vAlign w:val="center"/>
          </w:tcPr>
          <w:p>
            <w:pPr>
              <w:pStyle w:val="19"/>
            </w:pPr>
            <w:r>
              <w:t>4.09</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138.14</w:t>
            </w:r>
          </w:p>
        </w:tc>
        <w:tc>
          <w:tcPr>
            <w:tcW w:w="2551" w:type="dxa"/>
            <w:tcBorders>
              <w:left w:val="single" w:sz="6" w:space="0" w:color="000000"/>
              <w:right w:val="single" w:sz="6" w:space="0" w:color="000000"/>
            </w:tcBorders>
            <w:vAlign w:val="center"/>
          </w:tcPr>
          <w:p>
            <w:pPr>
              <w:pStyle w:val="23"/>
            </w:pPr>
            <w:r>
              <w:t>129.92</w:t>
            </w:r>
          </w:p>
        </w:tc>
        <w:tc>
          <w:tcPr>
            <w:tcW w:w="2551" w:type="dxa"/>
            <w:vAlign w:val="center"/>
          </w:tcPr>
          <w:p>
            <w:pPr>
              <w:pStyle w:val="23"/>
            </w:pPr>
            <w:r>
              <w:t>8.22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126.52</w:t>
            </w:r>
          </w:p>
        </w:tc>
        <w:tc>
          <w:tcPr>
            <w:tcW w:w="2551" w:type="dxa"/>
            <w:tcBorders>
              <w:left w:val="single" w:sz="6" w:space="0" w:color="000000"/>
              <w:right w:val="single" w:sz="6" w:space="0" w:color="000000"/>
            </w:tcBorders>
            <w:vAlign w:val="center"/>
          </w:tcPr>
          <w:p>
            <w:pPr>
              <w:pStyle w:val="19"/>
            </w:pPr>
            <w:r>
              <w:t>126.52</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36.61</w:t>
            </w:r>
          </w:p>
        </w:tc>
        <w:tc>
          <w:tcPr>
            <w:tcW w:w="2551" w:type="dxa"/>
            <w:tcBorders>
              <w:left w:val="single" w:sz="6" w:space="0" w:color="000000"/>
              <w:right w:val="single" w:sz="6" w:space="0" w:color="000000"/>
            </w:tcBorders>
            <w:vAlign w:val="center"/>
          </w:tcPr>
          <w:p>
            <w:pPr>
              <w:pStyle w:val="19"/>
            </w:pPr>
            <w:r>
              <w:t>36.61</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17.00</w:t>
            </w:r>
          </w:p>
        </w:tc>
        <w:tc>
          <w:tcPr>
            <w:tcW w:w="2551" w:type="dxa"/>
            <w:tcBorders>
              <w:left w:val="single" w:sz="6" w:space="0" w:color="000000"/>
              <w:right w:val="single" w:sz="6" w:space="0" w:color="000000"/>
            </w:tcBorders>
            <w:vAlign w:val="center"/>
          </w:tcPr>
          <w:p>
            <w:pPr>
              <w:pStyle w:val="19"/>
            </w:pPr>
            <w:r>
              <w:t>17.00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14.24</w:t>
            </w:r>
          </w:p>
        </w:tc>
        <w:tc>
          <w:tcPr>
            <w:tcW w:w="2551" w:type="dxa"/>
            <w:tcBorders>
              <w:left w:val="single" w:sz="6" w:space="0" w:color="000000"/>
              <w:right w:val="single" w:sz="6" w:space="0" w:color="000000"/>
            </w:tcBorders>
            <w:vAlign w:val="center"/>
          </w:tcPr>
          <w:p>
            <w:pPr>
              <w:pStyle w:val="19"/>
            </w:pPr>
            <w:r>
              <w:t>14.24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25.36</w:t>
            </w:r>
          </w:p>
        </w:tc>
        <w:tc>
          <w:tcPr>
            <w:tcW w:w="2551" w:type="dxa"/>
            <w:tcBorders>
              <w:left w:val="single" w:sz="6" w:space="0" w:color="000000"/>
              <w:right w:val="single" w:sz="6" w:space="0" w:color="000000"/>
            </w:tcBorders>
            <w:vAlign w:val="center"/>
          </w:tcPr>
          <w:p>
            <w:pPr>
              <w:pStyle w:val="19"/>
            </w:pPr>
            <w:r>
              <w:t>25.36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12.85</w:t>
            </w:r>
          </w:p>
        </w:tc>
        <w:tc>
          <w:tcPr>
            <w:tcW w:w="2551" w:type="dxa"/>
            <w:tcBorders>
              <w:left w:val="single" w:sz="6" w:space="0" w:color="000000"/>
              <w:right w:val="single" w:sz="6" w:space="0" w:color="000000"/>
            </w:tcBorders>
            <w:vAlign w:val="center"/>
          </w:tcPr>
          <w:p>
            <w:pPr>
              <w:pStyle w:val="19"/>
            </w:pPr>
            <w:r>
              <w:t>12.85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5.28</w:t>
            </w:r>
          </w:p>
        </w:tc>
        <w:tc>
          <w:tcPr>
            <w:tcW w:w="2551" w:type="dxa"/>
            <w:tcBorders>
              <w:left w:val="single" w:sz="6" w:space="0" w:color="000000"/>
              <w:right w:val="single" w:sz="6" w:space="0" w:color="000000"/>
            </w:tcBorders>
            <w:vAlign w:val="center"/>
          </w:tcPr>
          <w:p>
            <w:pPr>
              <w:pStyle w:val="19"/>
            </w:pPr>
            <w:r>
              <w:t>5.28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4.09</w:t>
            </w:r>
          </w:p>
        </w:tc>
        <w:tc>
          <w:tcPr>
            <w:tcW w:w="2551" w:type="dxa"/>
            <w:tcBorders>
              <w:left w:val="single" w:sz="6" w:space="0" w:color="000000"/>
              <w:right w:val="single" w:sz="6" w:space="0" w:color="000000"/>
            </w:tcBorders>
            <w:vAlign w:val="center"/>
          </w:tcPr>
          <w:p>
            <w:pPr>
              <w:pStyle w:val="19"/>
            </w:pPr>
            <w:r>
              <w:t>4.09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10.55</w:t>
            </w:r>
          </w:p>
        </w:tc>
        <w:tc>
          <w:tcPr>
            <w:tcW w:w="2551" w:type="dxa"/>
            <w:tcBorders>
              <w:left w:val="single" w:sz="6" w:space="0" w:color="000000"/>
              <w:right w:val="single" w:sz="6" w:space="0" w:color="000000"/>
            </w:tcBorders>
            <w:vAlign w:val="center"/>
          </w:tcPr>
          <w:p>
            <w:pPr>
              <w:pStyle w:val="19"/>
            </w:pPr>
            <w:r>
              <w:t>10.55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8.22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8.22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0.74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0.74</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0.80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0.80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0.50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3.36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3.36</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0.82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0.82</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3.40</w:t>
            </w:r>
          </w:p>
        </w:tc>
        <w:tc>
          <w:tcPr>
            <w:tcW w:w="2551" w:type="dxa"/>
            <w:tcBorders>
              <w:left w:val="single" w:sz="6" w:space="0" w:color="000000"/>
              <w:right w:val="single" w:sz="6" w:space="0" w:color="000000"/>
            </w:tcBorders>
            <w:vAlign w:val="center"/>
          </w:tcPr>
          <w:p>
            <w:pPr>
              <w:pStyle w:val="19"/>
            </w:pPr>
            <w:r>
              <w:t>3.40</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3.40</w:t>
            </w:r>
          </w:p>
        </w:tc>
        <w:tc>
          <w:tcPr>
            <w:tcW w:w="2551" w:type="dxa"/>
            <w:tcBorders>
              <w:left w:val="single" w:sz="6" w:space="0" w:color="000000"/>
              <w:right w:val="single" w:sz="6" w:space="0" w:color="000000"/>
            </w:tcBorders>
            <w:vAlign w:val="center"/>
          </w:tcPr>
          <w:p>
            <w:pPr>
              <w:pStyle w:val="19"/>
            </w:pPr>
            <w:r>
              <w:t>3.40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0"/>
            </w:pPr>
            <w:r>
              <w:t>公务用车运维费</w:t>
            </w:r>
          </w:p>
        </w:tc>
        <w:tc>
          <w:tcPr>
            <w:tcW w:w="2381" w:type="dxa"/>
            <w:tcBorders>
              <w:left w:val="single" w:sz="6" w:space="0" w:color="000000"/>
              <w:right w:val="single" w:sz="6" w:space="0" w:color="000000"/>
            </w:tcBorders>
            <w:vAlign w:val="center"/>
          </w:tcPr>
          <w:p>
            <w:pPr>
              <w:pStyle w:val="19"/>
            </w:pPr>
            <w:r>
              <w:t>2</w:t>
            </w:r>
          </w:p>
        </w:tc>
        <w:tc>
          <w:tcPr>
            <w:tcW w:w="2381" w:type="dxa"/>
            <w:tcBorders>
              <w:left w:val="single" w:sz="6" w:space="0" w:color="000000"/>
              <w:right w:val="single" w:sz="6" w:space="0" w:color="000000"/>
            </w:tcBorders>
            <w:vAlign w:val="center"/>
          </w:tcPr>
          <w:p>
            <w:pPr>
              <w:pStyle w:val="19"/>
            </w:pPr>
            <w:r>
              <w:t>2</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中共石家庄市井陉矿区委机构编制委员会办公室2026年单位预算信息公开情况说明</w:t>
      </w:r>
    </w:p>
    <w:p>
      <w:pPr>
        <w:spacing w:before="0" w:after="0" w:line="500" w:lineRule="exact"/>
        <w:ind w:firstLine="560"/>
        <w:jc w:val="both"/>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按照《中华人民共和国预算法》、《地方预决算公开操作规程》和《关于进一步推进预算公开工作的实施意见》规定，现将中共石家庄市井陉矿区委机构编制委员会办公室2026年单位预算公开如下：</w:t>
      </w:r>
    </w:p>
    <w:p>
      <w:pPr>
        <w:spacing w:before="10" w:after="10" w:line="240" w:lineRule="auto"/>
        <w:ind w:firstLine="640"/>
        <w:jc w:val="both"/>
        <w:outlineLvl w:val="5"/>
      </w:pPr>
      <w:r>
        <w:rPr>
          <w:rFonts w:ascii="黑体" w:eastAsia="黑体" w:cs="黑体" w:hAnsi="黑体"/>
          <w:color w:val="000000"/>
          <w:sz w:val="32"/>
        </w:rPr>
        <w:t>一、单位职责及机构设置情况</w:t>
      </w:r>
    </w:p>
    <w:p>
      <w:pPr>
        <w:spacing w:before="0" w:after="0" w:line="240" w:lineRule="auto"/>
        <w:ind w:firstLine="640"/>
        <w:jc w:val="both"/>
        <w:outlineLvl w:val="9"/>
      </w:pPr>
      <w:r>
        <w:rPr>
          <w:rFonts w:ascii="方正楷体_GBK" w:eastAsia="方正楷体_GBK" w:cs="方正楷体_GBK" w:hAnsi="方正楷体_GBK"/>
          <w:b/>
          <w:color w:val="000000"/>
          <w:sz w:val="32"/>
        </w:rPr>
        <w:t>单位职责：</w:t>
      </w:r>
    </w:p>
    <w:p>
      <w:pPr>
        <w:pStyle w:val="25"/>
        <w:jc w:val="both"/>
      </w:pPr>
      <w:r>
        <w:t>（一）贯彻落实党中央和省、市、区委关于行政管理体制和机构改革以及机构编制管理的政策法规，组织起草相关政策规定和地方性法规、规章等规范性文件草案并监督实施。管理和指导全区党政群机关以及事业单位机构编制工作。组织开展行政管理体制改革、事业单位管理体制改革及机构编制工作基础性、创新性和前瞻性研究。</w:t>
      </w:r>
    </w:p>
    <w:p>
      <w:pPr>
        <w:pStyle w:val="25"/>
        <w:jc w:val="both"/>
      </w:pPr>
      <w:r>
        <w:t>（二）组织拟订全区行政管理体制改革和区委、区政府机构改革方案并组织实施。负责全区行政管理体制和机构改革以及机构编制管理工作；负责行政执法体制改革工作。</w:t>
      </w:r>
    </w:p>
    <w:p>
      <w:pPr>
        <w:pStyle w:val="25"/>
        <w:jc w:val="both"/>
      </w:pPr>
      <w:r>
        <w:t>（三）按照规定权限，负责区级党政群机关以及部门派出机构的职能配置、机构设置、人员编制和领导职数管理工作；负责协调区委、区政府各部门职能配置及其调整，协调区委、区政府各部门之间以及区直部门与乡（镇、街道）之间职责分工；负责需要承办的省以下垂直管理部门或双重管理部门（单位）机构编制有关工作。</w:t>
      </w:r>
    </w:p>
    <w:p>
      <w:pPr>
        <w:pStyle w:val="25"/>
        <w:jc w:val="both"/>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pStyle w:val="25"/>
        <w:jc w:val="both"/>
      </w:pPr>
      <w:r>
        <w:t>（五）指导各乡（镇、街道）的行政管理体制改革、事业单位管理体制改革和机构改革工作，审核机构改革方案。审核各乡（镇）机构编制分类。</w:t>
      </w:r>
    </w:p>
    <w:p>
      <w:pPr>
        <w:pStyle w:val="25"/>
        <w:jc w:val="both"/>
      </w:pPr>
      <w:r>
        <w:t>（六）负责全区党政群机关统一社会信用代码赋码管理工作，负责全区事业单位法人登记管理和监督检查工作。</w:t>
      </w:r>
    </w:p>
    <w:p>
      <w:pPr>
        <w:pStyle w:val="25"/>
        <w:jc w:val="both"/>
      </w:pPr>
      <w:r>
        <w:t>（七）负责全区开发区（园区）行政管理体制改革工作。组织拟订开发区（园区）机构编制管理办法并组织实施；负责全区省级以上开发区（园区）职能配置、机构设置、人员编制和领导职数审核及上报工作。</w:t>
      </w:r>
    </w:p>
    <w:p>
      <w:pPr>
        <w:pStyle w:val="25"/>
        <w:jc w:val="both"/>
      </w:pPr>
      <w:r>
        <w:t>（八）负责全区机构编制的总量控制、动态管理。组织拟订区本级及乡（镇、街道）年度编制使用计划，审核区直部门及乡（镇、街道）机关事业单位招录、招聘和政策性安置等计划；负责区直部门及乡（镇、街道）机关事业单位编制使用核准；负责机构编制实名制管理工作；建立健全机构编制部门与有关部门的协调配合约束机制。</w:t>
      </w:r>
    </w:p>
    <w:p>
      <w:pPr>
        <w:pStyle w:val="25"/>
        <w:jc w:val="both"/>
      </w:pPr>
      <w:r>
        <w:t>（九）负责跟踪评估、监督检查全区各级行政、事业单位管理体制改革、机构改革及机构编制政策执行情况；负责受理违反机构编制法规、纪律的检举、控告和投诉，对违反机构编制法规、纪律问题进行调查处理。</w:t>
      </w:r>
    </w:p>
    <w:p>
      <w:pPr>
        <w:pStyle w:val="25"/>
        <w:jc w:val="both"/>
      </w:pPr>
      <w:r>
        <w:t>（十）负责全区机构编制电子政务和信息化工作。负责全区机构编制统计工作；负责机构编制网站的管理、使用和维护；负责党政群机关、事业单位和其他非营利性单位网上名称管理工作。</w:t>
      </w:r>
    </w:p>
    <w:p>
      <w:pPr>
        <w:spacing w:before="0" w:after="0" w:line="240" w:lineRule="auto"/>
        <w:ind w:firstLine="640"/>
        <w:jc w:val="both"/>
        <w:outlineLvl w:val="9"/>
      </w:pPr>
      <w:r>
        <w:rPr>
          <w:rFonts w:ascii="方正楷体_GBK" w:eastAsia="方正楷体_GBK" w:cs="方正楷体_GBK" w:hAnsi="方正楷体_GBK"/>
          <w:b/>
          <w:color w:val="000000"/>
          <w:sz w:val="32"/>
        </w:rPr>
        <w:t>机构设置：</w:t>
      </w:r>
    </w:p>
    <w:p>
      <w:pPr>
        <w:spacing w:before="0" w:after="0" w:line="240" w:lineRule="auto"/>
        <w:ind w:firstLine="0"/>
        <w:jc w:val="both"/>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jc w:val="both"/>
            </w:pPr>
            <w:r>
              <w:t>单位名称</w:t>
            </w:r>
          </w:p>
        </w:tc>
        <w:tc>
          <w:tcPr>
            <w:tcW w:w="1843" w:type="dxa"/>
            <w:vAlign w:val="center"/>
          </w:tcPr>
          <w:p>
            <w:pPr>
              <w:pStyle w:val="18"/>
              <w:jc w:val="both"/>
            </w:pPr>
            <w:r>
              <w:t>单位性质</w:t>
            </w:r>
          </w:p>
        </w:tc>
        <w:tc>
          <w:tcPr>
            <w:tcW w:w="2126" w:type="dxa"/>
            <w:vAlign w:val="center"/>
          </w:tcPr>
          <w:p>
            <w:pPr>
              <w:pStyle w:val="18"/>
              <w:jc w:val="both"/>
            </w:pPr>
            <w:r>
              <w:t>单位规格</w:t>
            </w:r>
          </w:p>
        </w:tc>
        <w:tc>
          <w:tcPr>
            <w:tcW w:w="3827" w:type="dxa"/>
            <w:vAlign w:val="center"/>
          </w:tcPr>
          <w:p>
            <w:pPr>
              <w:pStyle w:val="18"/>
              <w:jc w:val="both"/>
            </w:pPr>
            <w:r>
              <w:t>经费保障形式</w:t>
            </w:r>
          </w:p>
        </w:tc>
      </w:tr>
      <w:tr>
        <w:trPr>
          <w:trHeight w:val="369"/>
        </w:trPr>
        <w:tc>
          <w:tcPr>
            <w:tcW w:w="5669" w:type="dxa"/>
            <w:vAlign w:val="center"/>
          </w:tcPr>
          <w:p>
            <w:pPr>
              <w:pStyle w:val="20"/>
              <w:jc w:val="both"/>
            </w:pPr>
            <w:r>
              <w:t>中共石家庄市井陉矿区委机构编制委员会办公室</w:t>
            </w:r>
          </w:p>
        </w:tc>
        <w:tc>
          <w:tcPr>
            <w:tcW w:w="1843" w:type="dxa"/>
            <w:tcBorders>
              <w:left w:val="single" w:sz="6" w:space="0" w:color="000000"/>
              <w:right w:val="single" w:sz="6" w:space="0" w:color="000000"/>
            </w:tcBorders>
            <w:vAlign w:val="center"/>
          </w:tcPr>
          <w:p>
            <w:pPr>
              <w:pStyle w:val="21"/>
              <w:jc w:val="both"/>
            </w:pPr>
            <w:r>
              <w:t>行政</w:t>
            </w:r>
          </w:p>
        </w:tc>
        <w:tc>
          <w:tcPr>
            <w:tcW w:w="2126" w:type="dxa"/>
            <w:tcBorders>
              <w:left w:val="single" w:sz="6" w:space="0" w:color="000000"/>
              <w:right w:val="single" w:sz="6" w:space="0" w:color="000000"/>
            </w:tcBorders>
            <w:vAlign w:val="center"/>
          </w:tcPr>
          <w:p>
            <w:pPr>
              <w:pStyle w:val="21"/>
              <w:jc w:val="both"/>
            </w:pPr>
            <w:r>
              <w:t>正科级</w:t>
            </w:r>
          </w:p>
        </w:tc>
        <w:tc>
          <w:tcPr>
            <w:tcW w:w="3827" w:type="dxa"/>
            <w:vAlign w:val="center"/>
          </w:tcPr>
          <w:p>
            <w:pPr>
              <w:pStyle w:val="21"/>
              <w:jc w:val="both"/>
            </w:pPr>
            <w:r>
              <w:t>财政拨款</w:t>
            </w:r>
          </w:p>
        </w:tc>
      </w:tr>
    </w:tbl>
    <w:p>
      <w:pPr>
        <w:spacing w:before="10" w:after="10" w:line="240" w:lineRule="auto"/>
        <w:ind w:firstLine="640"/>
        <w:jc w:val="both"/>
        <w:outlineLvl w:val="5"/>
      </w:pPr>
      <w:r>
        <w:rPr>
          <w:rFonts w:ascii="黑体" w:eastAsia="黑体" w:cs="黑体" w:hAnsi="黑体"/>
          <w:color w:val="000000"/>
          <w:sz w:val="32"/>
        </w:rPr>
        <w:t>二、单位预算安排的总体情况</w:t>
      </w:r>
    </w:p>
    <w:p>
      <w:pPr>
        <w:pStyle w:val="26"/>
        <w:jc w:val="both"/>
      </w:pPr>
      <w:r>
        <w:t>按照预算管理有关规定，目前部门预算的编制实行综合预算管理，即全部收入和支出都反映在预算中。 中共石家庄市井陉矿区委机构编制委员会办公室机关及所属事业单位的收支包含在部门预算中。</w:t>
      </w:r>
    </w:p>
    <w:p>
      <w:pPr>
        <w:pStyle w:val="26"/>
        <w:jc w:val="both"/>
      </w:pPr>
      <w:r>
        <w:t>1、收入说明</w:t>
      </w:r>
    </w:p>
    <w:p>
      <w:pPr>
        <w:pStyle w:val="26"/>
        <w:jc w:val="both"/>
      </w:pPr>
      <w:r>
        <w:t>反映本部门当年全部收入。2026年预算收入140.14万元，其中：一般公共预算收入140.14万元，基金预算收入0.00万元， 国有资本经营预算收入0.00万元，财政专户核拨收入0.00万元，单位资金收入0.00万元，上年结转结余0.00万元。</w:t>
      </w:r>
    </w:p>
    <w:p>
      <w:pPr>
        <w:pStyle w:val="26"/>
        <w:jc w:val="both"/>
      </w:pPr>
      <w:r>
        <w:t>2、支出说明</w:t>
      </w:r>
    </w:p>
    <w:p>
      <w:pPr>
        <w:pStyle w:val="26"/>
        <w:jc w:val="both"/>
      </w:pPr>
      <w:r>
        <w:t>收支预算总表支出栏、基本支出表、项目支出表按经济分类和支出功能分类科目编制，反映中共石家庄市井陉矿区委机构编制委员会办公室年度部门预算中支出预算的总体情况。 2026年支出预算140.14万元，其中基本支出138.14万元，包括人员经费129.92万元和日常公用经费8.22万元；项目支出2.00万元， 主要为:机构编制管理工作的各项支出；预计下年使用的单位资金结余0.00万元。委托业务费共计安排0.00万元，主要用于因技术原因确需对外委托的辅助性工作和确有必要对外委托开展咨询、评审、规划等工作。</w:t>
      </w:r>
    </w:p>
    <w:p>
      <w:pPr>
        <w:pStyle w:val="26"/>
        <w:jc w:val="both"/>
      </w:pPr>
      <w:r>
        <w:t>3、比上年增减情况</w:t>
      </w:r>
    </w:p>
    <w:p>
      <w:pPr>
        <w:pStyle w:val="26"/>
        <w:jc w:val="both"/>
      </w:pPr>
      <w:r>
        <w:t>2026年预算收支安排140.14万元，较2025年预算增加7.00万元， 其中：基本支出增加8.56万元，主要为：人员工资的变动。项目支出减少1.56万元，主要为：减少劳务派遣经费支出；节约开支。预计下年使用的单位资金结余增加0.00万元。</w:t>
      </w:r>
    </w:p>
    <w:p>
      <w:pPr>
        <w:spacing w:before="10" w:after="10"/>
        <w:ind w:firstLine="640"/>
        <w:jc w:val="both"/>
        <w:outlineLvl w:val="5"/>
        <w:rPr>
          <w:rFonts w:ascii="黑体" w:eastAsia="黑体" w:cs="黑体" w:hAnsi="黑体"/>
          <w:color w:val="000000"/>
          <w:sz w:val="32"/>
        </w:rPr>
      </w:pPr>
      <w:r>
        <w:rPr>
          <w:rFonts w:ascii="黑体" w:eastAsia="黑体" w:cs="黑体" w:hAnsi="黑体"/>
          <w:color w:val="000000"/>
          <w:sz w:val="32"/>
        </w:rPr>
        <w:t>三、机关运行经费安排情况</w:t>
      </w:r>
    </w:p>
    <w:p>
      <w:pPr>
        <w:pStyle w:val="26"/>
        <w:jc w:val="both"/>
        <w:rPr>
          <w:rFonts w:cs="Arial"/>
        </w:rPr>
      </w:pPr>
      <w:r>
        <w:rPr>
          <w:rFonts w:cs="Arial"/>
        </w:rPr>
        <w:t>2026年，我部门机关运行经费共计安排8.22万元，主要用于日常维修、办公用房水电费、办公用房取暖费、 办公用房物业管理费等日常运行支出。</w:t>
      </w:r>
    </w:p>
    <w:p>
      <w:pPr>
        <w:spacing w:before="10" w:after="10" w:line="240" w:lineRule="auto"/>
        <w:ind w:firstLine="640"/>
        <w:jc w:val="both"/>
        <w:outlineLvl w:val="5"/>
      </w:pPr>
      <w:r>
        <w:rPr>
          <w:rFonts w:ascii="黑体" w:eastAsia="黑体" w:cs="黑体" w:hAnsi="黑体"/>
          <w:color w:val="000000"/>
          <w:sz w:val="32"/>
        </w:rPr>
        <w:t>四、财政拨款“三公”经费预算情况及增减变化原因</w:t>
      </w:r>
    </w:p>
    <w:p>
      <w:pPr>
        <w:pStyle w:val="28"/>
        <w:jc w:val="both"/>
      </w:pPr>
      <w:r>
        <w:t>2026年，我部门财政拨款“三公”经费预算安排0.00万元，其中因公出国（境）费0.00万元； 公务用车购置及运维费2.00万元（其中：公务用车购置费为0.00万元，公务用车运维费2.00万元)； 公务接待费0.00万元。与2025年相比，无变化。</w:t>
      </w:r>
    </w:p>
    <w:p>
      <w:pPr>
        <w:spacing w:before="10" w:after="10"/>
        <w:ind w:firstLine="640"/>
        <w:jc w:val="both"/>
        <w:outlineLvl w:val="5"/>
        <w:rPr>
          <w:rFonts w:ascii="黑体" w:eastAsia="黑体" w:cs="黑体" w:hAnsi="黑体"/>
          <w:color w:val="000000"/>
          <w:sz w:val="32"/>
        </w:rPr>
      </w:pPr>
      <w:r>
        <w:rPr>
          <w:rFonts w:ascii="黑体" w:eastAsia="黑体" w:cs="黑体" w:hAnsi="黑体"/>
          <w:color w:val="000000"/>
          <w:sz w:val="32"/>
        </w:rPr>
        <w:t>五、单位项目预算安排情况及绩效目标</w:t>
      </w:r>
    </w:p>
    <w:p>
      <w:pPr>
        <w:spacing w:before="10" w:after="10"/>
        <w:ind w:firstLine="640"/>
        <w:outlineLvl w:val="5"/>
        <w:rPr>
          <w:rFonts w:ascii="黑体" w:eastAsia="黑体" w:cs="黑体" w:hAnsi="黑体"/>
          <w:color w:val="000000"/>
          <w:sz w:val="32"/>
        </w:rPr>
        <w:sectPr>
          <w:pgSz w:w="16840" w:h="11900" w:orient="landscape"/>
          <w:pgMar w:top="1361" w:right="1020" w:bottom="1361"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1、机构编制管理工作经费绩效目标表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13010726P000079100354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机构编制管理工作经费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用于机构编制管理工作有关费用的支出。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1.00</w:t>
            </w:r>
          </w:p>
        </w:tc>
        <w:tc>
          <w:tcPr>
            <w:tcW w:w="2551" w:type="dxa"/>
            <w:tcBorders>
              <w:left w:val="single" w:sz="6" w:space="0" w:color="000000"/>
              <w:right w:val="single" w:sz="6" w:space="0" w:color="000000"/>
            </w:tcBorders>
            <w:vAlign w:val="center"/>
          </w:tcPr>
          <w:p>
            <w:pPr>
              <w:pStyle w:val="21"/>
            </w:pPr>
            <w:r>
              <w:t>1.50</w:t>
            </w:r>
          </w:p>
        </w:tc>
        <w:tc>
          <w:tcPr>
            <w:tcW w:w="3544" w:type="dxa"/>
            <w:gridSpan w:val="2"/>
            <w:vAlign w:val="center"/>
          </w:tcPr>
          <w:p>
            <w:pPr>
              <w:pStyle w:val="21"/>
            </w:pPr>
            <w:r>
              <w:t>2.00</w:t>
            </w:r>
          </w:p>
        </w:tc>
      </w:tr>
      <w:tr>
        <w:trPr>
          <w:trHeight w:val="369"/>
        </w:trPr>
        <w:tc>
          <w:tcPr>
            <w:tcW w:w="1276" w:type="dxa"/>
            <w:vAlign w:val="center"/>
          </w:tcPr>
          <w:p>
            <w:pPr>
              <w:pStyle w:val="18"/>
            </w:pPr>
            <w:r>
              <w:t>绩效目标</w:t>
            </w:r>
          </w:p>
        </w:tc>
        <w:tc>
          <w:tcPr>
            <w:tcW w:w="14033" w:type="dxa"/>
            <w:gridSpan w:val="6"/>
            <w:vAlign w:val="center"/>
          </w:tcPr>
          <w:p>
            <w:pPr>
              <w:pStyle w:val="20"/>
            </w:pPr>
            <w:r>
              <w:t>1.充分发挥机构编制部门作为党委决策参谋助手作用，坚持创新挖潜作为科学配置机构编制资源的有效途径，加大各类编制统筹调配力度，切实做好机构编制管理工作。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机构编制管理工作完成率</w:t>
            </w:r>
          </w:p>
        </w:tc>
        <w:tc>
          <w:tcPr>
            <w:tcW w:w="5386" w:type="dxa"/>
            <w:tcBorders>
              <w:left w:val="single" w:sz="6" w:space="0" w:color="000000"/>
              <w:right w:val="single" w:sz="6" w:space="0" w:color="000000"/>
            </w:tcBorders>
            <w:vAlign w:val="center"/>
          </w:tcPr>
          <w:p>
            <w:pPr>
              <w:pStyle w:val="20"/>
            </w:pPr>
            <w:r>
              <w:t>机构编制管理工作完成情况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电子政务和信息化工作完成率</w:t>
            </w:r>
          </w:p>
        </w:tc>
        <w:tc>
          <w:tcPr>
            <w:tcW w:w="5386" w:type="dxa"/>
            <w:tcBorders>
              <w:left w:val="single" w:sz="6" w:space="0" w:color="000000"/>
              <w:right w:val="single" w:sz="6" w:space="0" w:color="000000"/>
            </w:tcBorders>
            <w:vAlign w:val="center"/>
          </w:tcPr>
          <w:p>
            <w:pPr>
              <w:pStyle w:val="20"/>
            </w:pPr>
            <w:r>
              <w:t>电子政务和信息化工作完成情况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网上名称管理工作完成率</w:t>
            </w:r>
          </w:p>
        </w:tc>
        <w:tc>
          <w:tcPr>
            <w:tcW w:w="5386" w:type="dxa"/>
            <w:tcBorders>
              <w:left w:val="single" w:sz="6" w:space="0" w:color="000000"/>
              <w:right w:val="single" w:sz="6" w:space="0" w:color="000000"/>
            </w:tcBorders>
            <w:vAlign w:val="center"/>
          </w:tcPr>
          <w:p>
            <w:pPr>
              <w:pStyle w:val="20"/>
            </w:pPr>
            <w:r>
              <w:t>网上名称管理工作完成情况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机构编制管理工作完成合格率</w:t>
            </w:r>
          </w:p>
        </w:tc>
        <w:tc>
          <w:tcPr>
            <w:tcW w:w="5386" w:type="dxa"/>
            <w:tcBorders>
              <w:left w:val="single" w:sz="6" w:space="0" w:color="000000"/>
              <w:right w:val="single" w:sz="6" w:space="0" w:color="000000"/>
            </w:tcBorders>
            <w:vAlign w:val="center"/>
          </w:tcPr>
          <w:p>
            <w:pPr>
              <w:pStyle w:val="20"/>
            </w:pPr>
            <w:r>
              <w:t>机构编制管理工作完成合格情况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电子政务和信息化工作完成合格率</w:t>
            </w:r>
          </w:p>
        </w:tc>
        <w:tc>
          <w:tcPr>
            <w:tcW w:w="5386" w:type="dxa"/>
            <w:tcBorders>
              <w:left w:val="single" w:sz="6" w:space="0" w:color="000000"/>
              <w:right w:val="single" w:sz="6" w:space="0" w:color="000000"/>
            </w:tcBorders>
            <w:vAlign w:val="center"/>
          </w:tcPr>
          <w:p>
            <w:pPr>
              <w:pStyle w:val="20"/>
            </w:pPr>
            <w:r>
              <w:t>电子政务和信息化工作完成合格情况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网上名称管理工作完成合格率</w:t>
            </w:r>
          </w:p>
        </w:tc>
        <w:tc>
          <w:tcPr>
            <w:tcW w:w="5386" w:type="dxa"/>
            <w:tcBorders>
              <w:left w:val="single" w:sz="6" w:space="0" w:color="000000"/>
              <w:right w:val="single" w:sz="6" w:space="0" w:color="000000"/>
            </w:tcBorders>
            <w:vAlign w:val="center"/>
          </w:tcPr>
          <w:p>
            <w:pPr>
              <w:pStyle w:val="20"/>
            </w:pPr>
            <w:r>
              <w:t>网上名称管理工作完成合格情况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机构编制管理工作按期完成率</w:t>
            </w:r>
          </w:p>
        </w:tc>
        <w:tc>
          <w:tcPr>
            <w:tcW w:w="5386" w:type="dxa"/>
            <w:tcBorders>
              <w:left w:val="single" w:sz="6" w:space="0" w:color="000000"/>
              <w:right w:val="single" w:sz="6" w:space="0" w:color="000000"/>
            </w:tcBorders>
            <w:vAlign w:val="center"/>
          </w:tcPr>
          <w:p>
            <w:pPr>
              <w:pStyle w:val="20"/>
            </w:pPr>
            <w:r>
              <w:t>机构编制管理工作按期完成情况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电子政务和信息化工作按期完成率</w:t>
            </w:r>
          </w:p>
        </w:tc>
        <w:tc>
          <w:tcPr>
            <w:tcW w:w="5386" w:type="dxa"/>
            <w:tcBorders>
              <w:left w:val="single" w:sz="6" w:space="0" w:color="000000"/>
              <w:right w:val="single" w:sz="6" w:space="0" w:color="000000"/>
            </w:tcBorders>
            <w:vAlign w:val="center"/>
          </w:tcPr>
          <w:p>
            <w:pPr>
              <w:pStyle w:val="20"/>
            </w:pPr>
            <w:r>
              <w:t>电子政务和信息化工作按期完成情况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网上名称管理工作按期完成率</w:t>
            </w:r>
          </w:p>
        </w:tc>
        <w:tc>
          <w:tcPr>
            <w:tcW w:w="5386" w:type="dxa"/>
            <w:tcBorders>
              <w:left w:val="single" w:sz="6" w:space="0" w:color="000000"/>
              <w:right w:val="single" w:sz="6" w:space="0" w:color="000000"/>
            </w:tcBorders>
            <w:vAlign w:val="center"/>
          </w:tcPr>
          <w:p>
            <w:pPr>
              <w:pStyle w:val="20"/>
            </w:pPr>
            <w:r>
              <w:t>网上名称管理工作按期完成情况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机构编制管理工作成本</w:t>
            </w:r>
          </w:p>
        </w:tc>
        <w:tc>
          <w:tcPr>
            <w:tcW w:w="5386" w:type="dxa"/>
            <w:tcBorders>
              <w:left w:val="single" w:sz="6" w:space="0" w:color="000000"/>
              <w:right w:val="single" w:sz="6" w:space="0" w:color="000000"/>
            </w:tcBorders>
            <w:vAlign w:val="center"/>
          </w:tcPr>
          <w:p>
            <w:pPr>
              <w:pStyle w:val="20"/>
            </w:pPr>
            <w:r>
              <w:t>机构现在管理工作成本情况</w:t>
            </w:r>
          </w:p>
        </w:tc>
        <w:tc>
          <w:tcPr>
            <w:tcW w:w="2268" w:type="dxa"/>
            <w:tcBorders>
              <w:left w:val="single" w:sz="6" w:space="0" w:color="000000"/>
              <w:right w:val="single" w:sz="6" w:space="0" w:color="000000"/>
            </w:tcBorders>
            <w:vAlign w:val="center"/>
          </w:tcPr>
          <w:p>
            <w:pPr>
              <w:pStyle w:val="20"/>
            </w:pPr>
            <w:r>
              <w:t>≤1万元</w:t>
            </w:r>
          </w:p>
        </w:tc>
        <w:tc>
          <w:tcPr>
            <w:tcW w:w="1276" w:type="dxa"/>
            <w:vAlign w:val="center"/>
          </w:tcPr>
          <w:p>
            <w:pPr>
              <w:pStyle w:val="20"/>
            </w:pPr>
            <w:r>
              <w:t>2026年预算测算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电子政务和信息化工作成本</w:t>
            </w:r>
          </w:p>
        </w:tc>
        <w:tc>
          <w:tcPr>
            <w:tcW w:w="5386" w:type="dxa"/>
            <w:tcBorders>
              <w:left w:val="single" w:sz="6" w:space="0" w:color="000000"/>
              <w:right w:val="single" w:sz="6" w:space="0" w:color="000000"/>
            </w:tcBorders>
            <w:vAlign w:val="center"/>
          </w:tcPr>
          <w:p>
            <w:pPr>
              <w:pStyle w:val="20"/>
            </w:pPr>
            <w:r>
              <w:t>电子政务和信息化工作成本情况</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2026年预算测算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网上名称管理工作成本</w:t>
            </w:r>
          </w:p>
        </w:tc>
        <w:tc>
          <w:tcPr>
            <w:tcW w:w="5386" w:type="dxa"/>
            <w:tcBorders>
              <w:left w:val="single" w:sz="6" w:space="0" w:color="000000"/>
              <w:right w:val="single" w:sz="6" w:space="0" w:color="000000"/>
            </w:tcBorders>
            <w:vAlign w:val="center"/>
          </w:tcPr>
          <w:p>
            <w:pPr>
              <w:pStyle w:val="20"/>
            </w:pPr>
            <w:r>
              <w:t>网上名称管理工作成本情况</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2026年预算测算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提供机构编制管理的服务保障能力</w:t>
            </w:r>
          </w:p>
        </w:tc>
        <w:tc>
          <w:tcPr>
            <w:tcW w:w="5386" w:type="dxa"/>
            <w:tcBorders>
              <w:left w:val="single" w:sz="6" w:space="0" w:color="000000"/>
              <w:right w:val="single" w:sz="6" w:space="0" w:color="000000"/>
            </w:tcBorders>
            <w:vAlign w:val="center"/>
          </w:tcPr>
          <w:p>
            <w:pPr>
              <w:pStyle w:val="20"/>
            </w:pPr>
            <w:r>
              <w:t>提供机构编制管理的服务保障能力情况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2026年工作计划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服务对象满意程度</w:t>
            </w:r>
          </w:p>
        </w:tc>
        <w:tc>
          <w:tcPr>
            <w:tcW w:w="5386" w:type="dxa"/>
            <w:tcBorders>
              <w:left w:val="single" w:sz="6" w:space="0" w:color="000000"/>
              <w:right w:val="single" w:sz="6" w:space="0" w:color="000000"/>
            </w:tcBorders>
            <w:vAlign w:val="center"/>
          </w:tcPr>
          <w:p>
            <w:pPr>
              <w:pStyle w:val="20"/>
            </w:pPr>
            <w:r>
              <w:t>服务对象满意情况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中共石家庄市井陉矿区委机构编制委员会办公室上年末固定资产金额为19.75万元（详见下表）。本年度拟购置固定资产总额为0.00万元，已按要求列入政府采购预算，详见政府采购预算表。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316001中共石家庄市井陉矿区委机构编制委员会办公室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19.75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9.80</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62</w:t>
            </w:r>
          </w:p>
        </w:tc>
        <w:tc>
          <w:tcPr>
            <w:tcW w:w="2835" w:type="dxa"/>
            <w:vAlign w:val="center"/>
          </w:tcPr>
          <w:p>
            <w:pPr>
              <w:pStyle w:val="19"/>
            </w:pPr>
            <w:r>
              <w:t>9.95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both"/>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both"/>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5"/>
      </w:pPr>
      <w:r>
        <w:rPr>
          <w:rFonts w:ascii="黑体" w:eastAsia="黑体" w:cs="黑体" w:hAnsi="黑体"/>
          <w:color w:val="000000"/>
          <w:sz w:val="32"/>
        </w:rPr>
        <w:t>九、其他需要说明的事项</w:t>
      </w:r>
    </w:p>
    <w:p>
      <w:pPr>
        <w:spacing w:before="0" w:after="0" w:line="500" w:lineRule="exact"/>
        <w:ind w:firstLine="560"/>
        <w:jc w:val="both"/>
        <w:outlineLvl w:val="9"/>
      </w:pPr>
      <w:r>
        <w:rPr>
          <w:rFonts w:ascii="Times New Roman" w:eastAsia="方正仿宋_GBK" w:cs="Times New Roman" w:hAnsi="Times New Roman"/>
          <w:b w:val="0"/>
          <w:color w:val="000000"/>
          <w:sz w:val="28"/>
        </w:rPr>
        <w:t>我单位无其他需要说明的事项。</w:t>
      </w:r>
      <w:bookmarkStart w:id="1" w:name="_GoBack"/>
      <w:bookmarkEnd w:id="1"/>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Arial">
    <w:panose1 w:val="020B0604020202020204"/>
    <w:charset w:val="00"/>
    <w:family w:val="auto"/>
    <w:pitch w:val="variable"/>
    <w:sig w:usb0="00007A87" w:usb1="80000000" w:usb2="00000008" w:usb3="00000000" w:csb0="400001FF" w:csb1="FFFF0000"/>
  </w:font>
  <w:font w:name="宋体">
    <w:panose1 w:val="02010600030101010101"/>
    <w:charset w:val="86"/>
    <w:family w:val="auto"/>
    <w:pitch w:val="variable"/>
    <w:sig w:usb0="00000003" w:usb1="080E0000" w:usb2="00000000"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2">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customProps>
</customData>
</file>

<file path=customXml/itemProps1.xml><?xml version="1.0" encoding="utf-8"?>
<ds:datastoreItem xmlns:ds="http://schemas.openxmlformats.org/officeDocument/2006/customXml" ds:itemID="{EC59EAE4-7613-42E8-81E1-D2F161B45A2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TotalTime>
  <Application>Yozo_Office27021597764231179</Application>
  <Pages>24</Pages>
  <Words>0</Words>
  <Characters>7556</Characters>
  <Lines>0</Lines>
  <Paragraphs>92</Paragraphs>
  <CharactersWithSpaces>10075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ZXK</cp:lastModifiedBy>
  <cp:revision>1</cp:revision>
  <dcterms:created xsi:type="dcterms:W3CDTF">2026-02-09T14:42:35Z</dcterms:created>
  <dcterms:modified xsi:type="dcterms:W3CDTF">2026-02-10T01:14:42Z</dcterms:modified>
</cp:coreProperties>
</file>