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112.19</w:t>
            </w:r>
          </w:p>
        </w:tc>
        <w:tc>
          <w:tcPr>
            <w:tcW w:w="4535" w:type="dxa"/>
            <w:vAlign w:val="center"/>
          </w:tcPr>
          <w:p>
            <w:pPr>
              <w:pStyle w:val="13"/>
            </w:pPr>
            <w:r>
              <w:t>一、一般公共服务支出</w:t>
            </w:r>
          </w:p>
        </w:tc>
        <w:tc>
          <w:tcPr>
            <w:tcW w:w="2126" w:type="dxa"/>
            <w:vAlign w:val="center"/>
          </w:tcPr>
          <w:p>
            <w:pPr>
              <w:pStyle w:val="12"/>
            </w:pPr>
            <w:r>
              <w:t>85.28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112.19</w:t>
            </w:r>
          </w:p>
        </w:tc>
        <w:tc>
          <w:tcPr>
            <w:tcW w:w="4535" w:type="dxa"/>
            <w:vAlign w:val="center"/>
          </w:tcPr>
          <w:p>
            <w:pPr>
              <w:pStyle w:val="15"/>
            </w:pPr>
            <w:r>
              <w:t>本年支出合计</w:t>
            </w:r>
          </w:p>
        </w:tc>
        <w:tc>
          <w:tcPr>
            <w:tcW w:w="2126" w:type="dxa"/>
            <w:vAlign w:val="center"/>
          </w:tcPr>
          <w:p>
            <w:pPr>
              <w:pStyle w:val="16"/>
            </w:pPr>
            <w:r>
              <w:t>112.19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112.19</w:t>
            </w:r>
          </w:p>
        </w:tc>
        <w:tc>
          <w:tcPr>
            <w:tcW w:w="4535" w:type="dxa"/>
            <w:vAlign w:val="center"/>
          </w:tcPr>
          <w:p>
            <w:pPr>
              <w:pStyle w:val="15"/>
            </w:pPr>
            <w:r>
              <w:t>支出总计</w:t>
            </w:r>
          </w:p>
        </w:tc>
        <w:tc>
          <w:tcPr>
            <w:tcW w:w="2126" w:type="dxa"/>
            <w:vAlign w:val="center"/>
          </w:tcPr>
          <w:p>
            <w:pPr>
              <w:pStyle w:val="16"/>
            </w:pPr>
            <w:r>
              <w:t>112.19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112.19</w:t>
            </w:r>
          </w:p>
        </w:tc>
        <w:tc>
          <w:tcPr>
            <w:tcW w:w="1134" w:type="dxa"/>
            <w:vAlign w:val="center"/>
          </w:tcPr>
          <w:p>
            <w:pPr>
              <w:pStyle w:val="16"/>
            </w:pPr>
            <w:r>
              <w:t>112.19</w:t>
            </w:r>
          </w:p>
        </w:tc>
        <w:tc>
          <w:tcPr>
            <w:tcW w:w="1134" w:type="dxa"/>
            <w:vAlign w:val="center"/>
          </w:tcPr>
          <w:p>
            <w:pPr>
              <w:pStyle w:val="16"/>
            </w:pPr>
            <w:r>
              <w:t>112.19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85.28</w:t>
            </w:r>
          </w:p>
        </w:tc>
        <w:tc>
          <w:tcPr>
            <w:tcW w:w="1134" w:type="dxa"/>
            <w:vAlign w:val="center"/>
          </w:tcPr>
          <w:p>
            <w:pPr>
              <w:pStyle w:val="12"/>
            </w:pPr>
            <w:r>
              <w:t>85.28</w:t>
            </w:r>
          </w:p>
        </w:tc>
        <w:tc>
          <w:tcPr>
            <w:tcW w:w="1134" w:type="dxa"/>
            <w:vAlign w:val="center"/>
          </w:tcPr>
          <w:p>
            <w:pPr>
              <w:pStyle w:val="12"/>
            </w:pPr>
            <w:r>
              <w:t>85.28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0.04</w:t>
            </w:r>
          </w:p>
        </w:tc>
        <w:tc>
          <w:tcPr>
            <w:tcW w:w="1134" w:type="dxa"/>
            <w:vAlign w:val="center"/>
          </w:tcPr>
          <w:p>
            <w:pPr>
              <w:pStyle w:val="12"/>
            </w:pPr>
            <w:r>
              <w:t>0.04</w:t>
            </w:r>
          </w:p>
        </w:tc>
        <w:tc>
          <w:tcPr>
            <w:tcW w:w="1134" w:type="dxa"/>
            <w:vAlign w:val="center"/>
          </w:tcPr>
          <w:p>
            <w:pPr>
              <w:pStyle w:val="12"/>
            </w:pPr>
            <w:r>
              <w:t>0.04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0.04</w:t>
            </w:r>
          </w:p>
        </w:tc>
        <w:tc>
          <w:tcPr>
            <w:tcW w:w="1134" w:type="dxa"/>
            <w:vAlign w:val="center"/>
          </w:tcPr>
          <w:p>
            <w:pPr>
              <w:pStyle w:val="12"/>
            </w:pPr>
            <w:r>
              <w:t>0.04</w:t>
            </w:r>
          </w:p>
        </w:tc>
        <w:tc>
          <w:tcPr>
            <w:tcW w:w="1134" w:type="dxa"/>
            <w:vAlign w:val="center"/>
          </w:tcPr>
          <w:p>
            <w:pPr>
              <w:pStyle w:val="12"/>
            </w:pPr>
            <w:r>
              <w:t>0.04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85.24</w:t>
            </w:r>
          </w:p>
        </w:tc>
        <w:tc>
          <w:tcPr>
            <w:tcW w:w="1134" w:type="dxa"/>
            <w:vAlign w:val="center"/>
          </w:tcPr>
          <w:p>
            <w:pPr>
              <w:pStyle w:val="12"/>
            </w:pPr>
            <w:r>
              <w:t>85.24</w:t>
            </w:r>
          </w:p>
        </w:tc>
        <w:tc>
          <w:tcPr>
            <w:tcW w:w="1134" w:type="dxa"/>
            <w:vAlign w:val="center"/>
          </w:tcPr>
          <w:p>
            <w:pPr>
              <w:pStyle w:val="12"/>
            </w:pPr>
            <w:r>
              <w:t>85.24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2011101</w:t>
            </w:r>
          </w:p>
        </w:tc>
        <w:tc>
          <w:tcPr>
            <w:tcW w:w="1559" w:type="dxa"/>
            <w:vAlign w:val="center"/>
          </w:tcPr>
          <w:p>
            <w:pPr>
              <w:pStyle w:val="13"/>
            </w:pPr>
            <w:r>
              <w:t>行政运行</w:t>
            </w:r>
          </w:p>
        </w:tc>
        <w:tc>
          <w:tcPr>
            <w:tcW w:w="1134" w:type="dxa"/>
            <w:vAlign w:val="center"/>
          </w:tcPr>
          <w:p>
            <w:pPr>
              <w:pStyle w:val="12"/>
            </w:pPr>
            <w:r>
              <w:t>85.24</w:t>
            </w:r>
          </w:p>
        </w:tc>
        <w:tc>
          <w:tcPr>
            <w:tcW w:w="1134" w:type="dxa"/>
            <w:vAlign w:val="center"/>
          </w:tcPr>
          <w:p>
            <w:pPr>
              <w:pStyle w:val="12"/>
            </w:pPr>
            <w:r>
              <w:t>85.24</w:t>
            </w:r>
          </w:p>
        </w:tc>
        <w:tc>
          <w:tcPr>
            <w:tcW w:w="1134" w:type="dxa"/>
            <w:vAlign w:val="center"/>
          </w:tcPr>
          <w:p>
            <w:pPr>
              <w:pStyle w:val="12"/>
            </w:pPr>
            <w:r>
              <w:t>85.24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10.66</w:t>
            </w:r>
          </w:p>
        </w:tc>
        <w:tc>
          <w:tcPr>
            <w:tcW w:w="1134" w:type="dxa"/>
            <w:vAlign w:val="center"/>
          </w:tcPr>
          <w:p>
            <w:pPr>
              <w:pStyle w:val="12"/>
            </w:pPr>
            <w:r>
              <w:t>10.66</w:t>
            </w:r>
          </w:p>
        </w:tc>
        <w:tc>
          <w:tcPr>
            <w:tcW w:w="1134" w:type="dxa"/>
            <w:vAlign w:val="center"/>
          </w:tcPr>
          <w:p>
            <w:pPr>
              <w:pStyle w:val="12"/>
            </w:pPr>
            <w:r>
              <w:t>10.66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10.40</w:t>
            </w:r>
          </w:p>
        </w:tc>
        <w:tc>
          <w:tcPr>
            <w:tcW w:w="1134" w:type="dxa"/>
            <w:vAlign w:val="center"/>
          </w:tcPr>
          <w:p>
            <w:pPr>
              <w:pStyle w:val="12"/>
            </w:pPr>
            <w:r>
              <w:t>10.40</w:t>
            </w:r>
          </w:p>
        </w:tc>
        <w:tc>
          <w:tcPr>
            <w:tcW w:w="1134" w:type="dxa"/>
            <w:vAlign w:val="center"/>
          </w:tcPr>
          <w:p>
            <w:pPr>
              <w:pStyle w:val="12"/>
            </w:pPr>
            <w:r>
              <w:t>10.40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10.40</w:t>
            </w:r>
          </w:p>
        </w:tc>
        <w:tc>
          <w:tcPr>
            <w:tcW w:w="1134" w:type="dxa"/>
            <w:vAlign w:val="center"/>
          </w:tcPr>
          <w:p>
            <w:pPr>
              <w:pStyle w:val="12"/>
            </w:pPr>
            <w:r>
              <w:t>10.40</w:t>
            </w:r>
          </w:p>
        </w:tc>
        <w:tc>
          <w:tcPr>
            <w:tcW w:w="1134" w:type="dxa"/>
            <w:vAlign w:val="center"/>
          </w:tcPr>
          <w:p>
            <w:pPr>
              <w:pStyle w:val="12"/>
            </w:pPr>
            <w:r>
              <w:t>10.40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0.26</w:t>
            </w:r>
          </w:p>
        </w:tc>
        <w:tc>
          <w:tcPr>
            <w:tcW w:w="1134" w:type="dxa"/>
            <w:vAlign w:val="center"/>
          </w:tcPr>
          <w:p>
            <w:pPr>
              <w:pStyle w:val="12"/>
            </w:pPr>
            <w:r>
              <w:t>0.26</w:t>
            </w:r>
          </w:p>
        </w:tc>
        <w:tc>
          <w:tcPr>
            <w:tcW w:w="1134" w:type="dxa"/>
            <w:vAlign w:val="center"/>
          </w:tcPr>
          <w:p>
            <w:pPr>
              <w:pStyle w:val="12"/>
            </w:pPr>
            <w:r>
              <w:t>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0.26</w:t>
            </w:r>
          </w:p>
        </w:tc>
        <w:tc>
          <w:tcPr>
            <w:tcW w:w="1134" w:type="dxa"/>
            <w:vAlign w:val="center"/>
          </w:tcPr>
          <w:p>
            <w:pPr>
              <w:pStyle w:val="12"/>
            </w:pPr>
            <w:r>
              <w:t>0.26</w:t>
            </w:r>
          </w:p>
        </w:tc>
        <w:tc>
          <w:tcPr>
            <w:tcW w:w="1134" w:type="dxa"/>
            <w:vAlign w:val="center"/>
          </w:tcPr>
          <w:p>
            <w:pPr>
              <w:pStyle w:val="12"/>
            </w:pPr>
            <w:r>
              <w:t>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7.77</w:t>
            </w:r>
          </w:p>
        </w:tc>
        <w:tc>
          <w:tcPr>
            <w:tcW w:w="1134" w:type="dxa"/>
            <w:vAlign w:val="center"/>
          </w:tcPr>
          <w:p>
            <w:pPr>
              <w:pStyle w:val="12"/>
            </w:pPr>
            <w:r>
              <w:t>7.77</w:t>
            </w:r>
          </w:p>
        </w:tc>
        <w:tc>
          <w:tcPr>
            <w:tcW w:w="1134" w:type="dxa"/>
            <w:vAlign w:val="center"/>
          </w:tcPr>
          <w:p>
            <w:pPr>
              <w:pStyle w:val="12"/>
            </w:pPr>
            <w:r>
              <w:t>7.77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7.77</w:t>
            </w:r>
          </w:p>
        </w:tc>
        <w:tc>
          <w:tcPr>
            <w:tcW w:w="1134" w:type="dxa"/>
            <w:vAlign w:val="center"/>
          </w:tcPr>
          <w:p>
            <w:pPr>
              <w:pStyle w:val="12"/>
            </w:pPr>
            <w:r>
              <w:t>7.77</w:t>
            </w:r>
          </w:p>
        </w:tc>
        <w:tc>
          <w:tcPr>
            <w:tcW w:w="1134" w:type="dxa"/>
            <w:vAlign w:val="center"/>
          </w:tcPr>
          <w:p>
            <w:pPr>
              <w:pStyle w:val="12"/>
            </w:pPr>
            <w:r>
              <w:t>7.77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4.40</w:t>
            </w:r>
          </w:p>
        </w:tc>
        <w:tc>
          <w:tcPr>
            <w:tcW w:w="1134" w:type="dxa"/>
            <w:vAlign w:val="center"/>
          </w:tcPr>
          <w:p>
            <w:pPr>
              <w:pStyle w:val="12"/>
            </w:pPr>
            <w:r>
              <w:t>4.40</w:t>
            </w:r>
          </w:p>
        </w:tc>
        <w:tc>
          <w:tcPr>
            <w:tcW w:w="1134" w:type="dxa"/>
            <w:vAlign w:val="center"/>
          </w:tcPr>
          <w:p>
            <w:pPr>
              <w:pStyle w:val="12"/>
            </w:pPr>
            <w:r>
              <w:t>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3.37</w:t>
            </w:r>
          </w:p>
        </w:tc>
        <w:tc>
          <w:tcPr>
            <w:tcW w:w="1134" w:type="dxa"/>
            <w:vAlign w:val="center"/>
          </w:tcPr>
          <w:p>
            <w:pPr>
              <w:pStyle w:val="12"/>
            </w:pPr>
            <w:r>
              <w:t>3.37</w:t>
            </w:r>
          </w:p>
        </w:tc>
        <w:tc>
          <w:tcPr>
            <w:tcW w:w="1134" w:type="dxa"/>
            <w:vAlign w:val="center"/>
          </w:tcPr>
          <w:p>
            <w:pPr>
              <w:pStyle w:val="12"/>
            </w:pPr>
            <w:r>
              <w:t>3.37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8.48</w:t>
            </w:r>
          </w:p>
        </w:tc>
        <w:tc>
          <w:tcPr>
            <w:tcW w:w="1134" w:type="dxa"/>
            <w:vAlign w:val="center"/>
          </w:tcPr>
          <w:p>
            <w:pPr>
              <w:pStyle w:val="12"/>
            </w:pPr>
            <w:r>
              <w:t>8.48</w:t>
            </w:r>
          </w:p>
        </w:tc>
        <w:tc>
          <w:tcPr>
            <w:tcW w:w="1134" w:type="dxa"/>
            <w:vAlign w:val="center"/>
          </w:tcPr>
          <w:p>
            <w:pPr>
              <w:pStyle w:val="12"/>
            </w:pPr>
            <w:r>
              <w:t>8.48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8.48</w:t>
            </w:r>
          </w:p>
        </w:tc>
        <w:tc>
          <w:tcPr>
            <w:tcW w:w="1134" w:type="dxa"/>
            <w:vAlign w:val="center"/>
          </w:tcPr>
          <w:p>
            <w:pPr>
              <w:pStyle w:val="12"/>
            </w:pPr>
            <w:r>
              <w:t>8.48</w:t>
            </w:r>
          </w:p>
        </w:tc>
        <w:tc>
          <w:tcPr>
            <w:tcW w:w="1134" w:type="dxa"/>
            <w:vAlign w:val="center"/>
          </w:tcPr>
          <w:p>
            <w:pPr>
              <w:pStyle w:val="12"/>
            </w:pPr>
            <w:r>
              <w:t>8.48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8.48</w:t>
            </w:r>
          </w:p>
        </w:tc>
        <w:tc>
          <w:tcPr>
            <w:tcW w:w="1134" w:type="dxa"/>
            <w:vAlign w:val="center"/>
          </w:tcPr>
          <w:p>
            <w:pPr>
              <w:pStyle w:val="12"/>
            </w:pPr>
            <w:r>
              <w:t>8.48</w:t>
            </w:r>
          </w:p>
        </w:tc>
        <w:tc>
          <w:tcPr>
            <w:tcW w:w="1134" w:type="dxa"/>
            <w:vAlign w:val="center"/>
          </w:tcPr>
          <w:p>
            <w:pPr>
              <w:pStyle w:val="12"/>
            </w:pPr>
            <w:r>
              <w:t>8.48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112.19</w:t>
            </w:r>
          </w:p>
        </w:tc>
        <w:tc>
          <w:tcPr>
            <w:tcW w:w="1361" w:type="dxa"/>
            <w:vAlign w:val="center"/>
          </w:tcPr>
          <w:p>
            <w:pPr>
              <w:pStyle w:val="16"/>
            </w:pPr>
            <w:r>
              <w:t>112.19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85.28</w:t>
            </w:r>
          </w:p>
        </w:tc>
        <w:tc>
          <w:tcPr>
            <w:tcW w:w="1361" w:type="dxa"/>
            <w:vAlign w:val="center"/>
          </w:tcPr>
          <w:p>
            <w:pPr>
              <w:pStyle w:val="12"/>
            </w:pPr>
            <w:r>
              <w:t>85.28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0.04</w:t>
            </w:r>
          </w:p>
        </w:tc>
        <w:tc>
          <w:tcPr>
            <w:tcW w:w="1361" w:type="dxa"/>
            <w:vAlign w:val="center"/>
          </w:tcPr>
          <w:p>
            <w:pPr>
              <w:pStyle w:val="12"/>
            </w:pPr>
            <w:r>
              <w:t>0.04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0.04</w:t>
            </w:r>
          </w:p>
        </w:tc>
        <w:tc>
          <w:tcPr>
            <w:tcW w:w="1361" w:type="dxa"/>
            <w:vAlign w:val="center"/>
          </w:tcPr>
          <w:p>
            <w:pPr>
              <w:pStyle w:val="12"/>
            </w:pPr>
            <w:r>
              <w:t>0.04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85.24</w:t>
            </w:r>
          </w:p>
        </w:tc>
        <w:tc>
          <w:tcPr>
            <w:tcW w:w="1361" w:type="dxa"/>
            <w:vAlign w:val="center"/>
          </w:tcPr>
          <w:p>
            <w:pPr>
              <w:pStyle w:val="12"/>
            </w:pPr>
            <w:r>
              <w:t>85.24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2011101</w:t>
            </w:r>
          </w:p>
        </w:tc>
        <w:tc>
          <w:tcPr>
            <w:tcW w:w="4535" w:type="dxa"/>
            <w:vAlign w:val="center"/>
          </w:tcPr>
          <w:p>
            <w:pPr>
              <w:pStyle w:val="13"/>
            </w:pPr>
            <w:r>
              <w:t>行政运行</w:t>
            </w:r>
          </w:p>
        </w:tc>
        <w:tc>
          <w:tcPr>
            <w:tcW w:w="1361" w:type="dxa"/>
            <w:vAlign w:val="center"/>
          </w:tcPr>
          <w:p>
            <w:pPr>
              <w:pStyle w:val="12"/>
            </w:pPr>
            <w:r>
              <w:t>85.24</w:t>
            </w:r>
          </w:p>
        </w:tc>
        <w:tc>
          <w:tcPr>
            <w:tcW w:w="1361" w:type="dxa"/>
            <w:vAlign w:val="center"/>
          </w:tcPr>
          <w:p>
            <w:pPr>
              <w:pStyle w:val="12"/>
            </w:pPr>
            <w:r>
              <w:t>85.24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10.66</w:t>
            </w:r>
          </w:p>
        </w:tc>
        <w:tc>
          <w:tcPr>
            <w:tcW w:w="1361" w:type="dxa"/>
            <w:vAlign w:val="center"/>
          </w:tcPr>
          <w:p>
            <w:pPr>
              <w:pStyle w:val="12"/>
            </w:pPr>
            <w:r>
              <w:t>10.66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10.40</w:t>
            </w:r>
          </w:p>
        </w:tc>
        <w:tc>
          <w:tcPr>
            <w:tcW w:w="1361" w:type="dxa"/>
            <w:vAlign w:val="center"/>
          </w:tcPr>
          <w:p>
            <w:pPr>
              <w:pStyle w:val="12"/>
            </w:pPr>
            <w:r>
              <w:t>10.40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10.40</w:t>
            </w:r>
          </w:p>
        </w:tc>
        <w:tc>
          <w:tcPr>
            <w:tcW w:w="1361" w:type="dxa"/>
            <w:vAlign w:val="center"/>
          </w:tcPr>
          <w:p>
            <w:pPr>
              <w:pStyle w:val="12"/>
            </w:pPr>
            <w:r>
              <w:t>10.40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0.26</w:t>
            </w: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0.26</w:t>
            </w:r>
          </w:p>
        </w:tc>
        <w:tc>
          <w:tcPr>
            <w:tcW w:w="1361" w:type="dxa"/>
            <w:vAlign w:val="center"/>
          </w:tcPr>
          <w:p>
            <w:pPr>
              <w:pStyle w:val="12"/>
            </w:pPr>
            <w:r>
              <w:t>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7.77</w:t>
            </w:r>
          </w:p>
        </w:tc>
        <w:tc>
          <w:tcPr>
            <w:tcW w:w="1361" w:type="dxa"/>
            <w:vAlign w:val="center"/>
          </w:tcPr>
          <w:p>
            <w:pPr>
              <w:pStyle w:val="12"/>
            </w:pPr>
            <w:r>
              <w:t>7.77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7.77</w:t>
            </w:r>
          </w:p>
        </w:tc>
        <w:tc>
          <w:tcPr>
            <w:tcW w:w="1361" w:type="dxa"/>
            <w:vAlign w:val="center"/>
          </w:tcPr>
          <w:p>
            <w:pPr>
              <w:pStyle w:val="12"/>
            </w:pPr>
            <w:r>
              <w:t>7.77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4.40</w:t>
            </w:r>
          </w:p>
        </w:tc>
        <w:tc>
          <w:tcPr>
            <w:tcW w:w="1361" w:type="dxa"/>
            <w:vAlign w:val="center"/>
          </w:tcPr>
          <w:p>
            <w:pPr>
              <w:pStyle w:val="12"/>
            </w:pPr>
            <w:r>
              <w:t>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3.37</w:t>
            </w:r>
          </w:p>
        </w:tc>
        <w:tc>
          <w:tcPr>
            <w:tcW w:w="1361" w:type="dxa"/>
            <w:vAlign w:val="center"/>
          </w:tcPr>
          <w:p>
            <w:pPr>
              <w:pStyle w:val="12"/>
            </w:pPr>
            <w:r>
              <w:t>3.37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8.48</w:t>
            </w:r>
          </w:p>
        </w:tc>
        <w:tc>
          <w:tcPr>
            <w:tcW w:w="1361" w:type="dxa"/>
            <w:vAlign w:val="center"/>
          </w:tcPr>
          <w:p>
            <w:pPr>
              <w:pStyle w:val="12"/>
            </w:pPr>
            <w:r>
              <w:t>8.48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8.48</w:t>
            </w:r>
          </w:p>
        </w:tc>
        <w:tc>
          <w:tcPr>
            <w:tcW w:w="1361" w:type="dxa"/>
            <w:vAlign w:val="center"/>
          </w:tcPr>
          <w:p>
            <w:pPr>
              <w:pStyle w:val="12"/>
            </w:pPr>
            <w:r>
              <w:t>8.48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8.48</w:t>
            </w:r>
          </w:p>
        </w:tc>
        <w:tc>
          <w:tcPr>
            <w:tcW w:w="1361" w:type="dxa"/>
            <w:vAlign w:val="center"/>
          </w:tcPr>
          <w:p>
            <w:pPr>
              <w:pStyle w:val="12"/>
            </w:pPr>
            <w:r>
              <w:t>8.48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112.19</w:t>
            </w:r>
          </w:p>
        </w:tc>
        <w:tc>
          <w:tcPr>
            <w:tcW w:w="3402" w:type="dxa"/>
            <w:vAlign w:val="center"/>
          </w:tcPr>
          <w:p>
            <w:pPr>
              <w:pStyle w:val="13"/>
            </w:pPr>
            <w:r>
              <w:t>一、一般公共服务支出</w:t>
            </w:r>
          </w:p>
        </w:tc>
        <w:tc>
          <w:tcPr>
            <w:tcW w:w="1474" w:type="dxa"/>
            <w:vAlign w:val="center"/>
          </w:tcPr>
          <w:p>
            <w:pPr>
              <w:pStyle w:val="12"/>
            </w:pPr>
            <w:r>
              <w:t>85.28</w:t>
            </w:r>
          </w:p>
        </w:tc>
        <w:tc>
          <w:tcPr>
            <w:tcW w:w="1474" w:type="dxa"/>
            <w:vAlign w:val="center"/>
          </w:tcPr>
          <w:p>
            <w:pPr>
              <w:pStyle w:val="12"/>
            </w:pPr>
            <w:r>
              <w:t>85.28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10.66</w:t>
            </w:r>
          </w:p>
        </w:tc>
        <w:tc>
          <w:tcPr>
            <w:tcW w:w="1474" w:type="dxa"/>
            <w:vAlign w:val="center"/>
          </w:tcPr>
          <w:p>
            <w:pPr>
              <w:pStyle w:val="12"/>
            </w:pPr>
            <w:r>
              <w:t>10.66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7.77</w:t>
            </w:r>
          </w:p>
        </w:tc>
        <w:tc>
          <w:tcPr>
            <w:tcW w:w="1474" w:type="dxa"/>
            <w:vAlign w:val="center"/>
          </w:tcPr>
          <w:p>
            <w:pPr>
              <w:pStyle w:val="12"/>
            </w:pPr>
            <w:r>
              <w:t>7.77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8.48</w:t>
            </w:r>
          </w:p>
        </w:tc>
        <w:tc>
          <w:tcPr>
            <w:tcW w:w="1474" w:type="dxa"/>
            <w:vAlign w:val="center"/>
          </w:tcPr>
          <w:p>
            <w:pPr>
              <w:pStyle w:val="12"/>
            </w:pPr>
            <w:r>
              <w:t>8.48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112.19</w:t>
            </w:r>
          </w:p>
        </w:tc>
        <w:tc>
          <w:tcPr>
            <w:tcW w:w="3402" w:type="dxa"/>
            <w:vAlign w:val="center"/>
          </w:tcPr>
          <w:p>
            <w:pPr>
              <w:pStyle w:val="15"/>
            </w:pPr>
            <w:r>
              <w:t>本年支出合计</w:t>
            </w:r>
          </w:p>
        </w:tc>
        <w:tc>
          <w:tcPr>
            <w:tcW w:w="1474" w:type="dxa"/>
            <w:vAlign w:val="center"/>
          </w:tcPr>
          <w:p>
            <w:pPr>
              <w:pStyle w:val="16"/>
            </w:pPr>
            <w:r>
              <w:t>112.19</w:t>
            </w:r>
          </w:p>
        </w:tc>
        <w:tc>
          <w:tcPr>
            <w:tcW w:w="1474" w:type="dxa"/>
            <w:vAlign w:val="center"/>
          </w:tcPr>
          <w:p>
            <w:pPr>
              <w:pStyle w:val="16"/>
            </w:pPr>
            <w:r>
              <w:t>112.19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112.19</w:t>
            </w:r>
          </w:p>
        </w:tc>
        <w:tc>
          <w:tcPr>
            <w:tcW w:w="3402" w:type="dxa"/>
            <w:vAlign w:val="center"/>
          </w:tcPr>
          <w:p>
            <w:pPr>
              <w:pStyle w:val="15"/>
            </w:pPr>
            <w:r>
              <w:t>支出总计</w:t>
            </w:r>
          </w:p>
        </w:tc>
        <w:tc>
          <w:tcPr>
            <w:tcW w:w="1474" w:type="dxa"/>
            <w:vAlign w:val="center"/>
          </w:tcPr>
          <w:p>
            <w:pPr>
              <w:pStyle w:val="16"/>
            </w:pPr>
            <w:r>
              <w:t>112.19</w:t>
            </w:r>
          </w:p>
        </w:tc>
        <w:tc>
          <w:tcPr>
            <w:tcW w:w="1474" w:type="dxa"/>
            <w:vAlign w:val="center"/>
          </w:tcPr>
          <w:p>
            <w:pPr>
              <w:pStyle w:val="16"/>
            </w:pPr>
            <w:r>
              <w:t>112.19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112.19</w:t>
            </w:r>
          </w:p>
        </w:tc>
        <w:tc>
          <w:tcPr>
            <w:tcW w:w="2551" w:type="dxa"/>
            <w:vAlign w:val="center"/>
          </w:tcPr>
          <w:p>
            <w:pPr>
              <w:pStyle w:val="16"/>
            </w:pPr>
            <w:r>
              <w:t>112.19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85.28</w:t>
            </w:r>
          </w:p>
        </w:tc>
        <w:tc>
          <w:tcPr>
            <w:tcW w:w="2551" w:type="dxa"/>
            <w:vAlign w:val="center"/>
          </w:tcPr>
          <w:p>
            <w:pPr>
              <w:pStyle w:val="12"/>
            </w:pPr>
            <w:r>
              <w:t>85.28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0.04</w:t>
            </w:r>
          </w:p>
        </w:tc>
        <w:tc>
          <w:tcPr>
            <w:tcW w:w="2551" w:type="dxa"/>
            <w:vAlign w:val="center"/>
          </w:tcPr>
          <w:p>
            <w:pPr>
              <w:pStyle w:val="12"/>
            </w:pPr>
            <w:r>
              <w:t>0.04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0.04</w:t>
            </w:r>
          </w:p>
        </w:tc>
        <w:tc>
          <w:tcPr>
            <w:tcW w:w="2551" w:type="dxa"/>
            <w:vAlign w:val="center"/>
          </w:tcPr>
          <w:p>
            <w:pPr>
              <w:pStyle w:val="12"/>
            </w:pPr>
            <w:r>
              <w:t>0.04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85.24</w:t>
            </w:r>
          </w:p>
        </w:tc>
        <w:tc>
          <w:tcPr>
            <w:tcW w:w="2551" w:type="dxa"/>
            <w:vAlign w:val="center"/>
          </w:tcPr>
          <w:p>
            <w:pPr>
              <w:pStyle w:val="12"/>
            </w:pPr>
            <w:r>
              <w:t>85.24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2011101</w:t>
            </w:r>
          </w:p>
        </w:tc>
        <w:tc>
          <w:tcPr>
            <w:tcW w:w="4535" w:type="dxa"/>
            <w:vAlign w:val="center"/>
          </w:tcPr>
          <w:p>
            <w:pPr>
              <w:pStyle w:val="13"/>
            </w:pPr>
            <w:r>
              <w:t>行政运行</w:t>
            </w:r>
          </w:p>
        </w:tc>
        <w:tc>
          <w:tcPr>
            <w:tcW w:w="2551" w:type="dxa"/>
            <w:vAlign w:val="center"/>
          </w:tcPr>
          <w:p>
            <w:pPr>
              <w:pStyle w:val="12"/>
            </w:pPr>
            <w:r>
              <w:t>85.24</w:t>
            </w:r>
          </w:p>
        </w:tc>
        <w:tc>
          <w:tcPr>
            <w:tcW w:w="2551" w:type="dxa"/>
            <w:vAlign w:val="center"/>
          </w:tcPr>
          <w:p>
            <w:pPr>
              <w:pStyle w:val="12"/>
            </w:pPr>
            <w:r>
              <w:t>85.24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10.66</w:t>
            </w:r>
          </w:p>
        </w:tc>
        <w:tc>
          <w:tcPr>
            <w:tcW w:w="2551" w:type="dxa"/>
            <w:vAlign w:val="center"/>
          </w:tcPr>
          <w:p>
            <w:pPr>
              <w:pStyle w:val="12"/>
            </w:pPr>
            <w:r>
              <w:t>10.66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10.40</w:t>
            </w:r>
          </w:p>
        </w:tc>
        <w:tc>
          <w:tcPr>
            <w:tcW w:w="2551" w:type="dxa"/>
            <w:vAlign w:val="center"/>
          </w:tcPr>
          <w:p>
            <w:pPr>
              <w:pStyle w:val="12"/>
            </w:pPr>
            <w:r>
              <w:t>10.40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10.40</w:t>
            </w:r>
          </w:p>
        </w:tc>
        <w:tc>
          <w:tcPr>
            <w:tcW w:w="2551" w:type="dxa"/>
            <w:vAlign w:val="center"/>
          </w:tcPr>
          <w:p>
            <w:pPr>
              <w:pStyle w:val="12"/>
            </w:pPr>
            <w:r>
              <w:t>10.40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0.26</w:t>
            </w:r>
          </w:p>
        </w:tc>
        <w:tc>
          <w:tcPr>
            <w:tcW w:w="2551" w:type="dxa"/>
            <w:vAlign w:val="center"/>
          </w:tcPr>
          <w:p>
            <w:pPr>
              <w:pStyle w:val="12"/>
            </w:pPr>
            <w:r>
              <w:t>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0.26</w:t>
            </w:r>
          </w:p>
        </w:tc>
        <w:tc>
          <w:tcPr>
            <w:tcW w:w="2551" w:type="dxa"/>
            <w:vAlign w:val="center"/>
          </w:tcPr>
          <w:p>
            <w:pPr>
              <w:pStyle w:val="12"/>
            </w:pPr>
            <w:r>
              <w:t>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7.77</w:t>
            </w:r>
          </w:p>
        </w:tc>
        <w:tc>
          <w:tcPr>
            <w:tcW w:w="2551" w:type="dxa"/>
            <w:vAlign w:val="center"/>
          </w:tcPr>
          <w:p>
            <w:pPr>
              <w:pStyle w:val="12"/>
            </w:pPr>
            <w:r>
              <w:t>7.77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7.77</w:t>
            </w:r>
          </w:p>
        </w:tc>
        <w:tc>
          <w:tcPr>
            <w:tcW w:w="2551" w:type="dxa"/>
            <w:vAlign w:val="center"/>
          </w:tcPr>
          <w:p>
            <w:pPr>
              <w:pStyle w:val="12"/>
            </w:pPr>
            <w:r>
              <w:t>7.77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4.40</w:t>
            </w:r>
          </w:p>
        </w:tc>
        <w:tc>
          <w:tcPr>
            <w:tcW w:w="2551" w:type="dxa"/>
            <w:vAlign w:val="center"/>
          </w:tcPr>
          <w:p>
            <w:pPr>
              <w:pStyle w:val="12"/>
            </w:pPr>
            <w:r>
              <w:t>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3.37</w:t>
            </w:r>
          </w:p>
        </w:tc>
        <w:tc>
          <w:tcPr>
            <w:tcW w:w="2551" w:type="dxa"/>
            <w:vAlign w:val="center"/>
          </w:tcPr>
          <w:p>
            <w:pPr>
              <w:pStyle w:val="12"/>
            </w:pPr>
            <w:r>
              <w:t>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8.48</w:t>
            </w:r>
          </w:p>
        </w:tc>
        <w:tc>
          <w:tcPr>
            <w:tcW w:w="2551" w:type="dxa"/>
            <w:vAlign w:val="center"/>
          </w:tcPr>
          <w:p>
            <w:pPr>
              <w:pStyle w:val="12"/>
            </w:pPr>
            <w:r>
              <w:t>8.48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8.48</w:t>
            </w:r>
          </w:p>
        </w:tc>
        <w:tc>
          <w:tcPr>
            <w:tcW w:w="2551" w:type="dxa"/>
            <w:vAlign w:val="center"/>
          </w:tcPr>
          <w:p>
            <w:pPr>
              <w:pStyle w:val="12"/>
            </w:pPr>
            <w:r>
              <w:t>8.48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8.48</w:t>
            </w:r>
          </w:p>
        </w:tc>
        <w:tc>
          <w:tcPr>
            <w:tcW w:w="2551" w:type="dxa"/>
            <w:vAlign w:val="center"/>
          </w:tcPr>
          <w:p>
            <w:pPr>
              <w:pStyle w:val="12"/>
            </w:pPr>
            <w:r>
              <w:t>8.48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112.19</w:t>
            </w:r>
          </w:p>
        </w:tc>
        <w:tc>
          <w:tcPr>
            <w:tcW w:w="2551" w:type="dxa"/>
            <w:vAlign w:val="center"/>
          </w:tcPr>
          <w:p>
            <w:pPr>
              <w:pStyle w:val="16"/>
            </w:pPr>
            <w:r>
              <w:t>102.90</w:t>
            </w:r>
          </w:p>
        </w:tc>
        <w:tc>
          <w:tcPr>
            <w:tcW w:w="2551" w:type="dxa"/>
            <w:vAlign w:val="center"/>
          </w:tcPr>
          <w:p>
            <w:pPr>
              <w:pStyle w:val="16"/>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102.90</w:t>
            </w:r>
          </w:p>
        </w:tc>
        <w:tc>
          <w:tcPr>
            <w:tcW w:w="2551" w:type="dxa"/>
            <w:vAlign w:val="center"/>
          </w:tcPr>
          <w:p>
            <w:pPr>
              <w:pStyle w:val="12"/>
            </w:pPr>
            <w:r>
              <w:t>102.90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31.27</w:t>
            </w:r>
          </w:p>
        </w:tc>
        <w:tc>
          <w:tcPr>
            <w:tcW w:w="2551" w:type="dxa"/>
            <w:vAlign w:val="center"/>
          </w:tcPr>
          <w:p>
            <w:pPr>
              <w:pStyle w:val="12"/>
            </w:pPr>
            <w:r>
              <w:t>31.27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23.27</w:t>
            </w:r>
          </w:p>
        </w:tc>
        <w:tc>
          <w:tcPr>
            <w:tcW w:w="2551" w:type="dxa"/>
            <w:vAlign w:val="center"/>
          </w:tcPr>
          <w:p>
            <w:pPr>
              <w:pStyle w:val="12"/>
            </w:pPr>
            <w:r>
              <w:t>23.27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21.45</w:t>
            </w:r>
          </w:p>
        </w:tc>
        <w:tc>
          <w:tcPr>
            <w:tcW w:w="2551" w:type="dxa"/>
            <w:vAlign w:val="center"/>
          </w:tcPr>
          <w:p>
            <w:pPr>
              <w:pStyle w:val="12"/>
            </w:pPr>
            <w:r>
              <w:t>21.45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10.40</w:t>
            </w:r>
          </w:p>
        </w:tc>
        <w:tc>
          <w:tcPr>
            <w:tcW w:w="2551" w:type="dxa"/>
            <w:vAlign w:val="center"/>
          </w:tcPr>
          <w:p>
            <w:pPr>
              <w:pStyle w:val="12"/>
            </w:pPr>
            <w:r>
              <w:t>10.40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4.40</w:t>
            </w:r>
          </w:p>
        </w:tc>
        <w:tc>
          <w:tcPr>
            <w:tcW w:w="2551" w:type="dxa"/>
            <w:vAlign w:val="center"/>
          </w:tcPr>
          <w:p>
            <w:pPr>
              <w:pStyle w:val="12"/>
            </w:pPr>
            <w:r>
              <w:t>4.40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3.37</w:t>
            </w:r>
          </w:p>
        </w:tc>
        <w:tc>
          <w:tcPr>
            <w:tcW w:w="2551" w:type="dxa"/>
            <w:vAlign w:val="center"/>
          </w:tcPr>
          <w:p>
            <w:pPr>
              <w:pStyle w:val="12"/>
            </w:pPr>
            <w:r>
              <w:t>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0.26</w:t>
            </w:r>
          </w:p>
        </w:tc>
        <w:tc>
          <w:tcPr>
            <w:tcW w:w="2551" w:type="dxa"/>
            <w:vAlign w:val="center"/>
          </w:tcPr>
          <w:p>
            <w:pPr>
              <w:pStyle w:val="12"/>
            </w:pPr>
            <w:r>
              <w:t>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8.48</w:t>
            </w:r>
          </w:p>
        </w:tc>
        <w:tc>
          <w:tcPr>
            <w:tcW w:w="2551" w:type="dxa"/>
            <w:vAlign w:val="center"/>
          </w:tcPr>
          <w:p>
            <w:pPr>
              <w:pStyle w:val="12"/>
            </w:pPr>
            <w:r>
              <w:t>8.48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9.29</w:t>
            </w:r>
          </w:p>
        </w:tc>
        <w:tc>
          <w:tcPr>
            <w:tcW w:w="2551" w:type="dxa"/>
            <w:vAlign w:val="center"/>
          </w:tcPr>
          <w:p>
            <w:pPr>
              <w:pStyle w:val="12"/>
            </w:pPr>
          </w:p>
        </w:tc>
        <w:tc>
          <w:tcPr>
            <w:tcW w:w="2551" w:type="dxa"/>
            <w:vAlign w:val="center"/>
          </w:tcPr>
          <w:p>
            <w:pPr>
              <w:pStyle w:val="12"/>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0.48</w:t>
            </w:r>
          </w:p>
        </w:tc>
        <w:tc>
          <w:tcPr>
            <w:tcW w:w="2551" w:type="dxa"/>
            <w:vAlign w:val="center"/>
          </w:tcPr>
          <w:p>
            <w:pPr>
              <w:pStyle w:val="12"/>
            </w:pPr>
          </w:p>
        </w:tc>
        <w:tc>
          <w:tcPr>
            <w:tcW w:w="2551"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4.20</w:t>
            </w:r>
          </w:p>
        </w:tc>
        <w:tc>
          <w:tcPr>
            <w:tcW w:w="2551" w:type="dxa"/>
            <w:vAlign w:val="center"/>
          </w:tcPr>
          <w:p>
            <w:pPr>
              <w:pStyle w:val="12"/>
            </w:pPr>
          </w:p>
        </w:tc>
        <w:tc>
          <w:tcPr>
            <w:tcW w:w="2551"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1.11</w:t>
            </w:r>
          </w:p>
        </w:tc>
        <w:tc>
          <w:tcPr>
            <w:tcW w:w="2551" w:type="dxa"/>
            <w:vAlign w:val="center"/>
          </w:tcPr>
          <w:p>
            <w:pPr>
              <w:pStyle w:val="12"/>
            </w:pPr>
          </w:p>
        </w:tc>
        <w:tc>
          <w:tcPr>
            <w:tcW w:w="2551" w:type="dxa"/>
            <w:vAlign w:val="center"/>
          </w:tcPr>
          <w:p>
            <w:pPr>
              <w:pStyle w:val="12"/>
            </w:pPr>
            <w:r>
              <w:t>1.11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rPr>
                <w:rFonts w:hint="eastAsia"/>
                <w:lang w:val="en-US" w:eastAsia="zh-CN"/>
              </w:rPr>
              <w:t>2</w:t>
            </w:r>
            <w:r>
              <w:t>.00</w:t>
            </w:r>
          </w:p>
        </w:tc>
        <w:tc>
          <w:tcPr>
            <w:tcW w:w="2381" w:type="dxa"/>
            <w:vAlign w:val="center"/>
          </w:tcPr>
          <w:p>
            <w:pPr>
              <w:pStyle w:val="16"/>
            </w:pPr>
            <w:r>
              <w:rPr>
                <w:rFonts w:hint="eastAsia"/>
                <w:lang w:val="en-US" w:eastAsia="zh-CN"/>
              </w:rPr>
              <w:t>2</w:t>
            </w:r>
            <w:r>
              <w:t>.00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rPr>
                <w:rFonts w:hint="eastAsia" w:eastAsia="方正书宋_GBK"/>
                <w:lang w:val="en-US" w:eastAsia="zh-CN"/>
              </w:rPr>
            </w:pPr>
            <w:r>
              <w:rPr>
                <w:rFonts w:hint="eastAsia"/>
                <w:lang w:val="en-US" w:eastAsia="zh-CN"/>
              </w:rPr>
              <w:t>2</w:t>
            </w:r>
          </w:p>
        </w:tc>
        <w:tc>
          <w:tcPr>
            <w:tcW w:w="2381" w:type="dxa"/>
            <w:vAlign w:val="center"/>
          </w:tcPr>
          <w:p>
            <w:pPr>
              <w:pStyle w:val="12"/>
              <w:rPr>
                <w:rFonts w:hint="eastAsia" w:eastAsia="方正书宋_GBK"/>
                <w:lang w:eastAsia="zh-CN"/>
              </w:rPr>
            </w:pPr>
            <w:r>
              <w:rPr>
                <w:rFonts w:hint="eastAsia"/>
                <w:lang w:val="en-US" w:eastAsia="zh-CN"/>
              </w:rPr>
              <w:t>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rPr>
                <w:rFonts w:hint="eastAsia" w:eastAsia="方正书宋_GBK"/>
                <w:lang w:eastAsia="zh-CN"/>
              </w:rPr>
            </w:pPr>
            <w:r>
              <w:rPr>
                <w:rFonts w:hint="eastAsia"/>
                <w:lang w:val="en-US" w:eastAsia="zh-CN"/>
              </w:rPr>
              <w:t>2</w:t>
            </w:r>
          </w:p>
        </w:tc>
        <w:tc>
          <w:tcPr>
            <w:tcW w:w="2381" w:type="dxa"/>
            <w:vAlign w:val="center"/>
          </w:tcPr>
          <w:p>
            <w:pPr>
              <w:pStyle w:val="12"/>
              <w:rPr>
                <w:rFonts w:hint="eastAsia" w:eastAsia="方正书宋_GBK"/>
                <w:lang w:eastAsia="zh-CN"/>
              </w:rPr>
            </w:pPr>
            <w:r>
              <w:rPr>
                <w:rFonts w:hint="eastAsia"/>
                <w:lang w:val="en-US" w:eastAsia="zh-CN"/>
              </w:rPr>
              <w:t>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中共石家庄市井陉矿区委巡察工作领导小组办公室2026年部门预算信息公开情况说明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中共石家庄市井陉矿区委巡察工作领导小组办公室2026年部门预算信息公开情况说明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按照《中华人民共和国预算法》、《地方预决算公开操作规程》和《关于进一步推进预算公开工作的实施意见》规定，现将中共石家庄市井陉矿区委巡察工作领导小组办公室2026年部门预算公开如下：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根据《区委巡察工作领导小组办公室职能配置、内设机构和人员编制规定》，区委巡察工作领导小组办公室的主要职责是：</w:t>
      </w:r>
    </w:p>
    <w:p>
      <w:pPr>
        <w:pStyle w:val="18"/>
      </w:pPr>
      <w:r>
        <w:t>（一）贯彻落实党中央、省委、市委、区委和区委巡察工作领导小组的决策部署,向市委巡察工作领导小组办公室和区委巡察工作领导小组报告工作情况。</w:t>
      </w:r>
    </w:p>
    <w:p>
      <w:pPr>
        <w:pStyle w:val="18"/>
      </w:pPr>
      <w:r>
        <w:t>（二）统筹、协调、指导开展巡察工作。</w:t>
      </w:r>
    </w:p>
    <w:p>
      <w:pPr>
        <w:pStyle w:val="18"/>
      </w:pPr>
      <w:r>
        <w:t>（三）承担政策研究、制度建设等工作。</w:t>
      </w:r>
    </w:p>
    <w:p>
      <w:pPr>
        <w:pStyle w:val="18"/>
      </w:pPr>
      <w:r>
        <w:t>（四）对区委、区委巡察工作领导小组决定的事项进行督办,会同区委巡察组对巡察整改工作进行专项检查。</w:t>
      </w:r>
    </w:p>
    <w:p>
      <w:pPr>
        <w:pStyle w:val="18"/>
      </w:pPr>
      <w:r>
        <w:t>（五）配合有关部门对巡察工作人员进行培训、考核、监督和管理。</w:t>
      </w:r>
    </w:p>
    <w:p>
      <w:pPr>
        <w:pStyle w:val="18"/>
      </w:pPr>
      <w:r>
        <w:t>（六）完成市委巡察工作领导小组办公室和区委巡察工作领导小组交办的其他任务。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中共石家庄市井陉矿区委巡察工作领导小组办公室</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按照预算管理有关规定，目前部门预算的编制实行综合预算管理，即全部收入和支出都反映在预算中。中共石家庄市井陉矿区委巡察工作领导小组办公室机关及所属事业单位的收支包含在部门预算中。</w:t>
      </w:r>
    </w:p>
    <w:p>
      <w:pPr>
        <w:pStyle w:val="19"/>
      </w:pPr>
      <w:r>
        <w:t>1、收入说明</w:t>
      </w:r>
    </w:p>
    <w:p>
      <w:pPr>
        <w:pStyle w:val="19"/>
      </w:pPr>
      <w:r>
        <w:t>反映本部门当年全部收入。2026年预算收入112.19万元，其中：一般公共预算收入112.19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井陉矿区委巡察工作领导小组办公室年度部门预算中支出预算的总体情况。2026年支出预算112.19万元，其中基本支出112.19万元，包括人员经费102.90万元和日常公用经费9.29万元；项目支出0.00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112.19万元，较2025年预算减少4.12万元，其中：基本支出增加5.88万元，主要为在职人员工资晋级晋档，各类社保基数调整，基本支出增加；本年度无交叉巡察计划，巡察项目支出减少，整体预算减少。项目支出减少10.00万元，主要为本年度无交叉巡察计划，项目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2026年，我部门机关运行经费共计安排9.29万元，</w:t>
      </w:r>
      <w:r>
        <w:rPr>
          <w:rFonts w:hint="eastAsia" w:ascii="Times New Roman" w:hAnsi="Times New Roman" w:eastAsia="方正仿宋_GBK" w:cs="Times New Roman"/>
          <w:sz w:val="28"/>
          <w:szCs w:val="24"/>
          <w:lang w:val="en-US" w:eastAsia="uk-UA" w:bidi="ar-SA"/>
        </w:rPr>
        <w:t>主要用于保证机关正常运转的办公及印刷费、邮电费、差旅费、公务车运行维护费等支出。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rPr>
        <w:t>2026年，我单位财政拨款“三公”经费预算安排</w:t>
      </w:r>
      <w:r>
        <w:rPr>
          <w:rFonts w:hint="eastAsia"/>
          <w:lang w:val="en-US" w:eastAsia="zh-CN"/>
        </w:rPr>
        <w:t>2</w:t>
      </w:r>
      <w:r>
        <w:rPr>
          <w:rFonts w:hint="eastAsia"/>
        </w:rPr>
        <w:t>万元，其中：因公出国（境）费0万元；公务用车购置及运维费</w:t>
      </w:r>
      <w:r>
        <w:rPr>
          <w:rFonts w:hint="eastAsia"/>
          <w:lang w:val="en-US" w:eastAsia="zh-CN"/>
        </w:rPr>
        <w:t>2</w:t>
      </w:r>
      <w:r>
        <w:rPr>
          <w:rFonts w:hint="eastAsia"/>
        </w:rPr>
        <w:t>万元（其中：</w:t>
      </w:r>
      <w:r>
        <w:rPr>
          <w:rFonts w:hint="eastAsia"/>
          <w:lang w:val="en-US" w:eastAsia="zh-CN"/>
        </w:rPr>
        <w:t>2</w:t>
      </w:r>
      <w:r>
        <w:rPr>
          <w:rFonts w:hint="eastAsia"/>
        </w:rPr>
        <w:t>公务用车运行维护费</w:t>
      </w:r>
      <w:r>
        <w:rPr>
          <w:rFonts w:hint="eastAsia"/>
          <w:lang w:val="en-US" w:eastAsia="zh-CN"/>
        </w:rPr>
        <w:t>2</w:t>
      </w:r>
      <w:r>
        <w:rPr>
          <w:rFonts w:hint="eastAsia"/>
        </w:rPr>
        <w:t>万元)；公务接待费</w:t>
      </w:r>
      <w:r>
        <w:rPr>
          <w:rFonts w:hint="eastAsia"/>
          <w:lang w:val="en-US" w:eastAsia="zh-CN"/>
        </w:rPr>
        <w:t>0</w:t>
      </w:r>
      <w:r>
        <w:rPr>
          <w:rFonts w:hint="eastAsia"/>
        </w:rPr>
        <w:t>万元。“三公”经费较上年增加</w:t>
      </w:r>
      <w:r>
        <w:rPr>
          <w:rFonts w:hint="eastAsia"/>
          <w:lang w:val="en-US" w:eastAsia="zh-CN"/>
        </w:rPr>
        <w:t>0</w:t>
      </w:r>
      <w:r>
        <w:rPr>
          <w:rFonts w:hint="eastAsia"/>
        </w:rPr>
        <w:t>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深化政治巡察，坚守“两个维护”根本任务，把学习贯彻落实《中国共产党纪律处分条例》《中国共产党巡视工作条例》作为巡察工作主线，围绕“四个聚焦”和区委“1+3+5”工作思路，通过查找政治偏差，规范工作、推动落实，着力推动纠正政治偏差，督促各级党组织和党员干部切实把思想和行动统一到党中央决策部署及省委、市委和区委工作要求上来，不断提升政治巡察的实际成效。</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不断深化政治巡察。坚守“两个维护”根本任务，把学习贯彻落实《中国共产党纪律处分条例》《中国共产党巡视工作条例》作为巡察工作主线，围绕“四个聚焦”和区委“1+3+5”工作思路，不断提升政治巡察的实际成效。</w:t>
      </w:r>
    </w:p>
    <w:p>
      <w:pPr>
        <w:pStyle w:val="23"/>
      </w:pPr>
      <w:r>
        <w:t>2.高质推进巡察全覆盖。统筹运用常规巡察、专项巡察、机动巡察、联动巡察和巡察整改“回头看”，深化贯通协同机制，着力提升发现问题质量，扎实推进巡察有形有效覆盖，确保2025年巡察全覆盖完成率达到95%以上。</w:t>
      </w:r>
    </w:p>
    <w:p>
      <w:pPr>
        <w:pStyle w:val="23"/>
      </w:pPr>
      <w:r>
        <w:t>3.做实巡察“后半篇文章”。切实发挥统筹协调、跟踪督促、汇总报告作用，优化巡察整改督导工作流程、加强调度指导、强化监督审核、落实质效评估、推动系统施治，最大限度巩固拓展巡察整改成果。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组织领导。区委常委会议统筹谋划巡察工作，研究审定巡察工作规划、年度工作计划，定期听取巡察情况、整改落实情况和年度工作汇报，研究决定重要事项。区委书记专题会议及时听取每轮巡察情况汇报，研究解决问题，提出工作要求。</w:t>
      </w:r>
    </w:p>
    <w:p>
      <w:pPr>
        <w:pStyle w:val="24"/>
      </w:pPr>
      <w:r>
        <w:t>2.加强基础建设。抓班子带队伍，加强人才库管理与培训，推行优秀年轻科级干部参加巡视巡察制度，建设业务过硬巡察铁军。不断优化巡察制度，进一步精简、整合，确保有效管用、便于操作。切实加强信息化建设，全面运用现场巡察单机系统和网络平台，以信息化助推巡察工作规范化。</w:t>
      </w:r>
    </w:p>
    <w:p>
      <w:pPr>
        <w:pStyle w:val="24"/>
        <w:sectPr>
          <w:pgSz w:w="16840" w:h="11900" w:orient="landscape"/>
          <w:pgMar w:top="1361" w:right="1020" w:bottom="1361" w:left="1020" w:header="720" w:footer="720" w:gutter="0"/>
          <w:cols w:space="720" w:num="1"/>
        </w:sectPr>
      </w:pPr>
      <w:r>
        <w:t>3.加强贯通融合。充分发挥纽带作用，进一步促进巡察监督与纪律、监察、派驻、组织等监督有效贯通，与审计、财会、统计、群众、舆论等监督协调协作，整合监督力量，增强监督合力，减少重复监督，共享共用信息、资源、力量、手段和监督成果。</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无相关专项资金。</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ind w:firstLine="64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本年度无项目安排。</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1.47</w:t>
            </w:r>
          </w:p>
        </w:tc>
        <w:tc>
          <w:tcPr>
            <w:tcW w:w="964" w:type="dxa"/>
            <w:vAlign w:val="center"/>
          </w:tcPr>
          <w:p>
            <w:pPr>
              <w:pStyle w:val="16"/>
            </w:pPr>
            <w:r>
              <w:t>1.47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中共石家庄市井陉矿区委巡察工作领导小组办公室小计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1.47</w:t>
            </w:r>
          </w:p>
        </w:tc>
        <w:tc>
          <w:tcPr>
            <w:tcW w:w="964" w:type="dxa"/>
            <w:vAlign w:val="center"/>
          </w:tcPr>
          <w:p>
            <w:pPr>
              <w:pStyle w:val="16"/>
            </w:pPr>
            <w:r>
              <w:t>1.47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3.08</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箱</w:t>
            </w:r>
          </w:p>
        </w:tc>
        <w:tc>
          <w:tcPr>
            <w:tcW w:w="850" w:type="dxa"/>
            <w:vAlign w:val="center"/>
          </w:tcPr>
          <w:p>
            <w:pPr>
              <w:pStyle w:val="12"/>
            </w:pPr>
            <w:r>
              <w:t>15</w:t>
            </w:r>
          </w:p>
        </w:tc>
        <w:tc>
          <w:tcPr>
            <w:tcW w:w="850" w:type="dxa"/>
            <w:vAlign w:val="center"/>
          </w:tcPr>
          <w:p>
            <w:pPr>
              <w:pStyle w:val="12"/>
            </w:pPr>
            <w:r>
              <w:t>0.02</w:t>
            </w:r>
          </w:p>
        </w:tc>
        <w:tc>
          <w:tcPr>
            <w:tcW w:w="964" w:type="dxa"/>
            <w:vAlign w:val="center"/>
          </w:tcPr>
          <w:p>
            <w:pPr>
              <w:pStyle w:val="12"/>
            </w:pPr>
            <w:r>
              <w:t>0.27</w:t>
            </w:r>
          </w:p>
        </w:tc>
        <w:tc>
          <w:tcPr>
            <w:tcW w:w="964" w:type="dxa"/>
            <w:vAlign w:val="center"/>
          </w:tcPr>
          <w:p>
            <w:pPr>
              <w:pStyle w:val="12"/>
            </w:pPr>
            <w:r>
              <w:t>0.27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3.08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24</w:t>
            </w:r>
          </w:p>
        </w:tc>
        <w:tc>
          <w:tcPr>
            <w:tcW w:w="850" w:type="dxa"/>
            <w:vAlign w:val="center"/>
          </w:tcPr>
          <w:p>
            <w:pPr>
              <w:pStyle w:val="12"/>
            </w:pPr>
            <w:r>
              <w:t>0.05</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中共石家庄市井陉矿区委巡察工作领导小组办公室（含所属单位）上年末固定资产金额为0.00万元（详见下表）。本年度拟购置固定资产总额为0.00万元，已按要求列入政府采购预算，详见政府采购预算表。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224中共石家庄市井陉矿区委巡察工作领导小组办公室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spacing w:before="0" w:after="0"/>
              <w:ind w:firstLine="0" w:firstLineChars="0"/>
              <w:jc w:val="left"/>
              <w:outlineLvl w:val="9"/>
              <w:rPr>
                <w:rFonts w:hint="eastAsia"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资产总额</w:t>
            </w:r>
          </w:p>
        </w:tc>
        <w:tc>
          <w:tcPr>
            <w:tcW w:w="2835" w:type="dxa"/>
            <w:vAlign w:val="center"/>
          </w:tcPr>
          <w:p>
            <w:pPr>
              <w:spacing w:before="0" w:after="0"/>
              <w:ind w:firstLine="0" w:firstLineChars="0"/>
              <w:jc w:val="center"/>
              <w:outlineLvl w:val="9"/>
              <w:rPr>
                <w:rFonts w:hint="default"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82</w:t>
            </w:r>
          </w:p>
        </w:tc>
        <w:tc>
          <w:tcPr>
            <w:tcW w:w="2835" w:type="dxa"/>
            <w:vAlign w:val="center"/>
          </w:tcPr>
          <w:p>
            <w:pPr>
              <w:spacing w:before="0" w:after="0"/>
              <w:ind w:firstLine="0" w:firstLineChars="0"/>
              <w:jc w:val="right"/>
              <w:outlineLvl w:val="9"/>
              <w:rPr>
                <w:rFonts w:hint="default"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33.03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spacing w:before="0" w:after="0"/>
              <w:ind w:firstLine="0" w:firstLineChars="0"/>
              <w:jc w:val="left"/>
              <w:outlineLvl w:val="9"/>
              <w:rPr>
                <w:rFonts w:hint="eastAsia"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1、房屋（平方米）</w:t>
            </w:r>
          </w:p>
        </w:tc>
        <w:tc>
          <w:tcPr>
            <w:tcW w:w="0" w:type="auto"/>
            <w:vAlign w:val="center"/>
          </w:tcPr>
          <w:p>
            <w:pPr>
              <w:spacing w:before="0" w:after="0"/>
              <w:ind w:firstLine="0" w:firstLineChars="0"/>
              <w:jc w:val="center"/>
              <w:outlineLvl w:val="9"/>
              <w:rPr>
                <w:rFonts w:ascii="方正书宋_GBK" w:hAnsi="方正书宋_GBK" w:eastAsia="方正书宋_GBK" w:cs="方正书宋_GBK"/>
                <w:sz w:val="21"/>
                <w:szCs w:val="24"/>
                <w:lang w:val="en-US" w:eastAsia="uk-UA" w:bidi="ar-SA"/>
              </w:rPr>
            </w:pPr>
          </w:p>
        </w:tc>
        <w:tc>
          <w:tcPr>
            <w:tcW w:w="0" w:type="auto"/>
            <w:vAlign w:val="center"/>
          </w:tcPr>
          <w:p>
            <w:pPr>
              <w:spacing w:before="0" w:after="0"/>
              <w:ind w:firstLine="0" w:firstLineChars="0"/>
              <w:jc w:val="right"/>
              <w:outlineLvl w:val="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spacing w:before="0" w:after="0"/>
              <w:ind w:firstLine="0" w:firstLineChars="0"/>
              <w:jc w:val="left"/>
              <w:outlineLvl w:val="9"/>
              <w:rPr>
                <w:rFonts w:hint="eastAsia"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 xml:space="preserve">   其中：办公用房（平方米）</w:t>
            </w:r>
          </w:p>
        </w:tc>
        <w:tc>
          <w:tcPr>
            <w:tcW w:w="0" w:type="auto"/>
            <w:vAlign w:val="center"/>
          </w:tcPr>
          <w:p>
            <w:pPr>
              <w:spacing w:before="0" w:after="0"/>
              <w:ind w:firstLine="0" w:firstLineChars="0"/>
              <w:jc w:val="center"/>
              <w:outlineLvl w:val="9"/>
              <w:rPr>
                <w:rFonts w:ascii="方正书宋_GBK" w:hAnsi="方正书宋_GBK" w:eastAsia="方正书宋_GBK" w:cs="方正书宋_GBK"/>
                <w:sz w:val="21"/>
                <w:szCs w:val="24"/>
                <w:lang w:val="en-US" w:eastAsia="uk-UA" w:bidi="ar-SA"/>
              </w:rPr>
            </w:pPr>
          </w:p>
        </w:tc>
        <w:tc>
          <w:tcPr>
            <w:tcW w:w="0" w:type="auto"/>
            <w:vAlign w:val="center"/>
          </w:tcPr>
          <w:p>
            <w:pPr>
              <w:spacing w:before="0" w:after="0"/>
              <w:ind w:firstLine="0" w:firstLineChars="0"/>
              <w:jc w:val="right"/>
              <w:outlineLvl w:val="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spacing w:before="0" w:after="0"/>
              <w:ind w:firstLine="0" w:firstLineChars="0"/>
              <w:jc w:val="left"/>
              <w:outlineLvl w:val="9"/>
              <w:rPr>
                <w:rFonts w:hint="eastAsia"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2、车辆（台、辆）</w:t>
            </w:r>
          </w:p>
        </w:tc>
        <w:tc>
          <w:tcPr>
            <w:tcW w:w="0" w:type="auto"/>
            <w:vAlign w:val="center"/>
          </w:tcPr>
          <w:p>
            <w:pPr>
              <w:spacing w:before="0" w:after="0"/>
              <w:ind w:firstLine="0" w:firstLineChars="0"/>
              <w:jc w:val="center"/>
              <w:outlineLvl w:val="9"/>
              <w:rPr>
                <w:rFonts w:hint="eastAsia"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1</w:t>
            </w:r>
          </w:p>
        </w:tc>
        <w:tc>
          <w:tcPr>
            <w:tcW w:w="0" w:type="auto"/>
            <w:vAlign w:val="center"/>
          </w:tcPr>
          <w:p>
            <w:pPr>
              <w:spacing w:before="0" w:after="0"/>
              <w:ind w:firstLine="0" w:firstLineChars="0"/>
              <w:jc w:val="right"/>
              <w:outlineLvl w:val="9"/>
              <w:rPr>
                <w:rFonts w:hint="default"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16.28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spacing w:before="0" w:after="0"/>
              <w:ind w:firstLine="0" w:firstLineChars="0"/>
              <w:jc w:val="left"/>
              <w:outlineLvl w:val="9"/>
              <w:rPr>
                <w:rFonts w:hint="eastAsia"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3、单价在20万元以上的设备</w:t>
            </w:r>
          </w:p>
        </w:tc>
        <w:tc>
          <w:tcPr>
            <w:tcW w:w="0" w:type="auto"/>
            <w:vAlign w:val="center"/>
          </w:tcPr>
          <w:p>
            <w:pPr>
              <w:spacing w:before="0" w:after="0"/>
              <w:ind w:firstLine="0" w:firstLineChars="0"/>
              <w:jc w:val="center"/>
              <w:outlineLvl w:val="9"/>
              <w:rPr>
                <w:rFonts w:hint="eastAsia" w:ascii="方正书宋_GBK" w:hAnsi="方正书宋_GBK" w:cs="方正书宋_GBK" w:eastAsiaTheme="minorEastAsia"/>
                <w:sz w:val="21"/>
                <w:szCs w:val="24"/>
                <w:lang w:val="en-US" w:eastAsia="zh-CN" w:bidi="ar-SA"/>
              </w:rPr>
            </w:pPr>
          </w:p>
        </w:tc>
        <w:tc>
          <w:tcPr>
            <w:tcW w:w="0" w:type="auto"/>
            <w:vAlign w:val="center"/>
          </w:tcPr>
          <w:p>
            <w:pPr>
              <w:spacing w:before="0" w:after="0"/>
              <w:ind w:firstLine="0" w:firstLineChars="0"/>
              <w:jc w:val="right"/>
              <w:outlineLvl w:val="9"/>
              <w:rPr>
                <w:rFonts w:hint="eastAsia" w:ascii="方正书宋_GBK" w:hAnsi="方正书宋_GBK" w:cs="方正书宋_GBK" w:eastAsiaTheme="minorEastAsia"/>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spacing w:before="0" w:after="0"/>
              <w:ind w:firstLine="0" w:firstLineChars="0"/>
              <w:jc w:val="left"/>
              <w:outlineLvl w:val="9"/>
              <w:rPr>
                <w:rFonts w:hint="eastAsia"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4、其他固定资产</w:t>
            </w:r>
          </w:p>
        </w:tc>
        <w:tc>
          <w:tcPr>
            <w:tcW w:w="0" w:type="auto"/>
            <w:vAlign w:val="center"/>
          </w:tcPr>
          <w:p>
            <w:pPr>
              <w:spacing w:before="0" w:after="0"/>
              <w:ind w:firstLine="0" w:firstLineChars="0"/>
              <w:jc w:val="center"/>
              <w:outlineLvl w:val="9"/>
              <w:rPr>
                <w:rFonts w:hint="default"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81</w:t>
            </w:r>
          </w:p>
        </w:tc>
        <w:tc>
          <w:tcPr>
            <w:tcW w:w="0" w:type="auto"/>
            <w:vAlign w:val="center"/>
          </w:tcPr>
          <w:p>
            <w:pPr>
              <w:spacing w:before="0" w:after="0"/>
              <w:ind w:firstLine="0" w:firstLineChars="0"/>
              <w:jc w:val="right"/>
              <w:outlineLvl w:val="9"/>
              <w:rPr>
                <w:rFonts w:hint="default" w:ascii="方正书宋_GBK" w:hAnsi="方正书宋_GBK" w:cs="方正书宋_GBK" w:eastAsiaTheme="minorEastAsia"/>
                <w:sz w:val="21"/>
                <w:szCs w:val="24"/>
                <w:lang w:val="en-US" w:eastAsia="zh-CN" w:bidi="ar-SA"/>
              </w:rPr>
            </w:pPr>
            <w:r>
              <w:rPr>
                <w:rFonts w:hint="eastAsia" w:ascii="方正书宋_GBK" w:hAnsi="方正书宋_GBK" w:cs="方正书宋_GBK" w:eastAsiaTheme="minorEastAsia"/>
                <w:sz w:val="21"/>
                <w:szCs w:val="24"/>
                <w:lang w:val="en-US" w:eastAsia="zh-CN" w:bidi="ar-SA"/>
              </w:rPr>
              <w:t>16.75</w:t>
            </w:r>
            <w:bookmarkStart w:id="20" w:name="_GoBack"/>
            <w:bookmarkEnd w:id="20"/>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8" w:name="_Toc_3_3_0000000019"/>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B907EC"/>
    <w:multiLevelType w:val="singleLevel"/>
    <w:tmpl w:val="97B907EC"/>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370A7F65"/>
    <w:rsid w:val="752F0D8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13</TotalTime>
  <ScaleCrop>false</ScaleCrop>
  <LinksUpToDate>false</LinksUpToDate>
  <Application>WPS Office_11.1.0.10359_F1E327BC-269C-435d-A152-05C5408002CA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2026-02-11T09:23:00Z</dcterms:created>
  <dc:creator>LJ</dc:creator>
  <cp:lastModifiedBy>LJ</cp:lastModifiedBy>
  <dcterms:modified xsi:type="dcterms:W3CDTF">2026-02-11T02:06:48Z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2052-11.1.0.10359</vt:lpwstr>
  </property>
  <property fmtid="{D5CDD505-2E9C-101B-9397-08002B2CF9AE}" pid="3" name="ICV">
    <vt:lpwstr>12366BE5EB3140A9AB5E4CE345C1A642</vt:lpwstr>
  </property>
</Properties>
</file>