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一、中共石家庄市井陉矿区委巡察工作领导小组办公室收支预算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一、中共石家庄市井陉矿区委巡察工作领导小组办公室收支预算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112.19</w:t>
            </w:r>
          </w:p>
        </w:tc>
        <w:tc>
          <w:tcPr>
            <w:tcW w:w="4535" w:type="dxa"/>
            <w:vAlign w:val="center"/>
          </w:tcPr>
          <w:p>
            <w:pPr>
              <w:pStyle w:val="12"/>
            </w:pPr>
            <w:r>
              <w:t>一、一般公共服务支出</w:t>
            </w:r>
          </w:p>
        </w:tc>
        <w:tc>
          <w:tcPr>
            <w:tcW w:w="2126" w:type="dxa"/>
            <w:vAlign w:val="center"/>
          </w:tcPr>
          <w:p>
            <w:pPr>
              <w:pStyle w:val="11"/>
            </w:pPr>
            <w:r>
              <w:t>85.28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7.77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112.19</w:t>
            </w:r>
          </w:p>
        </w:tc>
        <w:tc>
          <w:tcPr>
            <w:tcW w:w="4535" w:type="dxa"/>
            <w:vAlign w:val="center"/>
          </w:tcPr>
          <w:p>
            <w:pPr>
              <w:pStyle w:val="14"/>
            </w:pPr>
            <w:r>
              <w:t>本年支出合计</w:t>
            </w:r>
          </w:p>
        </w:tc>
        <w:tc>
          <w:tcPr>
            <w:tcW w:w="2126" w:type="dxa"/>
            <w:vAlign w:val="center"/>
          </w:tcPr>
          <w:p>
            <w:pPr>
              <w:pStyle w:val="15"/>
            </w:pPr>
            <w:r>
              <w:t>112.19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112.19</w:t>
            </w:r>
          </w:p>
        </w:tc>
        <w:tc>
          <w:tcPr>
            <w:tcW w:w="4535" w:type="dxa"/>
            <w:vAlign w:val="center"/>
          </w:tcPr>
          <w:p>
            <w:pPr>
              <w:pStyle w:val="14"/>
            </w:pPr>
            <w:r>
              <w:t>支出总计</w:t>
            </w:r>
          </w:p>
        </w:tc>
        <w:tc>
          <w:tcPr>
            <w:tcW w:w="2126" w:type="dxa"/>
            <w:vAlign w:val="center"/>
          </w:tcPr>
          <w:p>
            <w:pPr>
              <w:pStyle w:val="15"/>
            </w:pPr>
            <w:r>
              <w:t>112.19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112.19</w:t>
            </w:r>
          </w:p>
        </w:tc>
        <w:tc>
          <w:tcPr>
            <w:tcW w:w="1134" w:type="dxa"/>
            <w:vAlign w:val="center"/>
          </w:tcPr>
          <w:p>
            <w:pPr>
              <w:pStyle w:val="15"/>
            </w:pPr>
            <w:r>
              <w:t>112.19</w:t>
            </w:r>
          </w:p>
        </w:tc>
        <w:tc>
          <w:tcPr>
            <w:tcW w:w="1134" w:type="dxa"/>
            <w:vAlign w:val="center"/>
          </w:tcPr>
          <w:p>
            <w:pPr>
              <w:pStyle w:val="15"/>
            </w:pPr>
            <w:r>
              <w:t>112.19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85.28</w:t>
            </w:r>
          </w:p>
        </w:tc>
        <w:tc>
          <w:tcPr>
            <w:tcW w:w="1134" w:type="dxa"/>
            <w:vAlign w:val="center"/>
          </w:tcPr>
          <w:p>
            <w:pPr>
              <w:pStyle w:val="11"/>
            </w:pPr>
            <w:r>
              <w:t>85.28</w:t>
            </w:r>
          </w:p>
        </w:tc>
        <w:tc>
          <w:tcPr>
            <w:tcW w:w="1134" w:type="dxa"/>
            <w:vAlign w:val="center"/>
          </w:tcPr>
          <w:p>
            <w:pPr>
              <w:pStyle w:val="11"/>
            </w:pPr>
            <w:r>
              <w:t>85.28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r>
              <w:t>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85.24</w:t>
            </w:r>
          </w:p>
        </w:tc>
        <w:tc>
          <w:tcPr>
            <w:tcW w:w="1134" w:type="dxa"/>
            <w:vAlign w:val="center"/>
          </w:tcPr>
          <w:p>
            <w:pPr>
              <w:pStyle w:val="11"/>
            </w:pPr>
            <w:r>
              <w:t>85.24</w:t>
            </w:r>
          </w:p>
        </w:tc>
        <w:tc>
          <w:tcPr>
            <w:tcW w:w="1134" w:type="dxa"/>
            <w:vAlign w:val="center"/>
          </w:tcPr>
          <w:p>
            <w:pPr>
              <w:pStyle w:val="11"/>
            </w:pPr>
            <w:r>
              <w:t>85.24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85.24</w:t>
            </w:r>
          </w:p>
        </w:tc>
        <w:tc>
          <w:tcPr>
            <w:tcW w:w="1134" w:type="dxa"/>
            <w:vAlign w:val="center"/>
          </w:tcPr>
          <w:p>
            <w:pPr>
              <w:pStyle w:val="11"/>
            </w:pPr>
            <w:r>
              <w:t>85.24</w:t>
            </w:r>
          </w:p>
        </w:tc>
        <w:tc>
          <w:tcPr>
            <w:tcW w:w="1134" w:type="dxa"/>
            <w:vAlign w:val="center"/>
          </w:tcPr>
          <w:p>
            <w:pPr>
              <w:pStyle w:val="11"/>
            </w:pPr>
            <w:r>
              <w:t>85.24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10.66</w:t>
            </w:r>
          </w:p>
        </w:tc>
        <w:tc>
          <w:tcPr>
            <w:tcW w:w="1134" w:type="dxa"/>
            <w:vAlign w:val="center"/>
          </w:tcPr>
          <w:p>
            <w:pPr>
              <w:pStyle w:val="11"/>
            </w:pPr>
            <w:r>
              <w:t>10.66</w:t>
            </w:r>
          </w:p>
        </w:tc>
        <w:tc>
          <w:tcPr>
            <w:tcW w:w="1134" w:type="dxa"/>
            <w:vAlign w:val="center"/>
          </w:tcPr>
          <w:p>
            <w:pPr>
              <w:pStyle w:val="11"/>
            </w:pPr>
            <w:r>
              <w:t>10.66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10.40</w:t>
            </w:r>
          </w:p>
        </w:tc>
        <w:tc>
          <w:tcPr>
            <w:tcW w:w="1134" w:type="dxa"/>
            <w:vAlign w:val="center"/>
          </w:tcPr>
          <w:p>
            <w:pPr>
              <w:pStyle w:val="11"/>
            </w:pPr>
            <w:r>
              <w:t>10.40</w:t>
            </w:r>
          </w:p>
        </w:tc>
        <w:tc>
          <w:tcPr>
            <w:tcW w:w="1134" w:type="dxa"/>
            <w:vAlign w:val="center"/>
          </w:tcPr>
          <w:p>
            <w:pPr>
              <w:pStyle w:val="11"/>
            </w:pPr>
            <w:r>
              <w:t>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10.40</w:t>
            </w:r>
          </w:p>
        </w:tc>
        <w:tc>
          <w:tcPr>
            <w:tcW w:w="1134" w:type="dxa"/>
            <w:vAlign w:val="center"/>
          </w:tcPr>
          <w:p>
            <w:pPr>
              <w:pStyle w:val="11"/>
            </w:pPr>
            <w:r>
              <w:t>10.40</w:t>
            </w:r>
          </w:p>
        </w:tc>
        <w:tc>
          <w:tcPr>
            <w:tcW w:w="1134" w:type="dxa"/>
            <w:vAlign w:val="center"/>
          </w:tcPr>
          <w:p>
            <w:pPr>
              <w:pStyle w:val="11"/>
            </w:pPr>
            <w:r>
              <w:t>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7.77</w:t>
            </w:r>
          </w:p>
        </w:tc>
        <w:tc>
          <w:tcPr>
            <w:tcW w:w="1134" w:type="dxa"/>
            <w:vAlign w:val="center"/>
          </w:tcPr>
          <w:p>
            <w:pPr>
              <w:pStyle w:val="11"/>
            </w:pPr>
            <w:r>
              <w:t>7.77</w:t>
            </w:r>
          </w:p>
        </w:tc>
        <w:tc>
          <w:tcPr>
            <w:tcW w:w="1134" w:type="dxa"/>
            <w:vAlign w:val="center"/>
          </w:tcPr>
          <w:p>
            <w:pPr>
              <w:pStyle w:val="11"/>
            </w:pPr>
            <w:r>
              <w:t>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7.77</w:t>
            </w:r>
          </w:p>
        </w:tc>
        <w:tc>
          <w:tcPr>
            <w:tcW w:w="1134" w:type="dxa"/>
            <w:vAlign w:val="center"/>
          </w:tcPr>
          <w:p>
            <w:pPr>
              <w:pStyle w:val="11"/>
            </w:pPr>
            <w:r>
              <w:t>7.77</w:t>
            </w:r>
          </w:p>
        </w:tc>
        <w:tc>
          <w:tcPr>
            <w:tcW w:w="1134" w:type="dxa"/>
            <w:vAlign w:val="center"/>
          </w:tcPr>
          <w:p>
            <w:pPr>
              <w:pStyle w:val="11"/>
            </w:pPr>
            <w:r>
              <w:t>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r>
              <w:t>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r>
              <w:t>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112.19</w:t>
            </w:r>
          </w:p>
        </w:tc>
        <w:tc>
          <w:tcPr>
            <w:tcW w:w="1361" w:type="dxa"/>
            <w:vAlign w:val="center"/>
          </w:tcPr>
          <w:p>
            <w:pPr>
              <w:pStyle w:val="15"/>
            </w:pPr>
            <w:r>
              <w:t>112.19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85.28</w:t>
            </w:r>
          </w:p>
        </w:tc>
        <w:tc>
          <w:tcPr>
            <w:tcW w:w="1361" w:type="dxa"/>
            <w:vAlign w:val="center"/>
          </w:tcPr>
          <w:p>
            <w:pPr>
              <w:pStyle w:val="11"/>
            </w:pPr>
            <w:r>
              <w:t>85.28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0.04</w:t>
            </w:r>
          </w:p>
        </w:tc>
        <w:tc>
          <w:tcPr>
            <w:tcW w:w="1361" w:type="dxa"/>
            <w:vAlign w:val="center"/>
          </w:tcPr>
          <w:p>
            <w:pPr>
              <w:pStyle w:val="11"/>
            </w:pPr>
            <w:r>
              <w:t>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0.04</w:t>
            </w:r>
          </w:p>
        </w:tc>
        <w:tc>
          <w:tcPr>
            <w:tcW w:w="1361" w:type="dxa"/>
            <w:vAlign w:val="center"/>
          </w:tcPr>
          <w:p>
            <w:pPr>
              <w:pStyle w:val="11"/>
            </w:pPr>
            <w:r>
              <w:t>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85.24</w:t>
            </w:r>
          </w:p>
        </w:tc>
        <w:tc>
          <w:tcPr>
            <w:tcW w:w="1361" w:type="dxa"/>
            <w:vAlign w:val="center"/>
          </w:tcPr>
          <w:p>
            <w:pPr>
              <w:pStyle w:val="11"/>
            </w:pPr>
            <w:r>
              <w:t>85.24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85.24</w:t>
            </w:r>
          </w:p>
        </w:tc>
        <w:tc>
          <w:tcPr>
            <w:tcW w:w="1361" w:type="dxa"/>
            <w:vAlign w:val="center"/>
          </w:tcPr>
          <w:p>
            <w:pPr>
              <w:pStyle w:val="11"/>
            </w:pPr>
            <w:r>
              <w:t>85.24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10.66</w:t>
            </w:r>
          </w:p>
        </w:tc>
        <w:tc>
          <w:tcPr>
            <w:tcW w:w="1361" w:type="dxa"/>
            <w:vAlign w:val="center"/>
          </w:tcPr>
          <w:p>
            <w:pPr>
              <w:pStyle w:val="11"/>
            </w:pPr>
            <w:r>
              <w:t>10.66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10.40</w:t>
            </w:r>
          </w:p>
        </w:tc>
        <w:tc>
          <w:tcPr>
            <w:tcW w:w="1361" w:type="dxa"/>
            <w:vAlign w:val="center"/>
          </w:tcPr>
          <w:p>
            <w:pPr>
              <w:pStyle w:val="11"/>
            </w:pPr>
            <w:r>
              <w:t>10.40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10.40</w:t>
            </w:r>
          </w:p>
        </w:tc>
        <w:tc>
          <w:tcPr>
            <w:tcW w:w="1361" w:type="dxa"/>
            <w:vAlign w:val="center"/>
          </w:tcPr>
          <w:p>
            <w:pPr>
              <w:pStyle w:val="11"/>
            </w:pPr>
            <w:r>
              <w:t>10.40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0.26</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7.77</w:t>
            </w:r>
          </w:p>
        </w:tc>
        <w:tc>
          <w:tcPr>
            <w:tcW w:w="1361" w:type="dxa"/>
            <w:vAlign w:val="center"/>
          </w:tcPr>
          <w:p>
            <w:pPr>
              <w:pStyle w:val="11"/>
            </w:pPr>
            <w:r>
              <w:t>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7.77</w:t>
            </w:r>
          </w:p>
        </w:tc>
        <w:tc>
          <w:tcPr>
            <w:tcW w:w="1361" w:type="dxa"/>
            <w:vAlign w:val="center"/>
          </w:tcPr>
          <w:p>
            <w:pPr>
              <w:pStyle w:val="11"/>
            </w:pPr>
            <w:r>
              <w:t>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3.37</w:t>
            </w:r>
          </w:p>
        </w:tc>
        <w:tc>
          <w:tcPr>
            <w:tcW w:w="1361" w:type="dxa"/>
            <w:vAlign w:val="center"/>
          </w:tcPr>
          <w:p>
            <w:pPr>
              <w:pStyle w:val="11"/>
            </w:pPr>
            <w:r>
              <w:t>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8.48</w:t>
            </w:r>
          </w:p>
        </w:tc>
        <w:tc>
          <w:tcPr>
            <w:tcW w:w="1361" w:type="dxa"/>
            <w:vAlign w:val="center"/>
          </w:tcPr>
          <w:p>
            <w:pPr>
              <w:pStyle w:val="11"/>
            </w:pPr>
            <w:r>
              <w:t>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112.19</w:t>
            </w:r>
          </w:p>
        </w:tc>
        <w:tc>
          <w:tcPr>
            <w:tcW w:w="3402" w:type="dxa"/>
            <w:vAlign w:val="center"/>
          </w:tcPr>
          <w:p>
            <w:pPr>
              <w:pStyle w:val="12"/>
            </w:pPr>
            <w:r>
              <w:t>一、一般公共服务支出</w:t>
            </w:r>
          </w:p>
        </w:tc>
        <w:tc>
          <w:tcPr>
            <w:tcW w:w="1474" w:type="dxa"/>
            <w:vAlign w:val="center"/>
          </w:tcPr>
          <w:p>
            <w:pPr>
              <w:pStyle w:val="11"/>
            </w:pPr>
            <w:r>
              <w:t>85.28</w:t>
            </w:r>
          </w:p>
        </w:tc>
        <w:tc>
          <w:tcPr>
            <w:tcW w:w="1474" w:type="dxa"/>
            <w:vAlign w:val="center"/>
          </w:tcPr>
          <w:p>
            <w:pPr>
              <w:pStyle w:val="11"/>
            </w:pPr>
            <w:r>
              <w:t>85.28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10.66</w:t>
            </w:r>
          </w:p>
        </w:tc>
        <w:tc>
          <w:tcPr>
            <w:tcW w:w="1474" w:type="dxa"/>
            <w:vAlign w:val="center"/>
          </w:tcPr>
          <w:p>
            <w:pPr>
              <w:pStyle w:val="11"/>
            </w:pPr>
            <w:r>
              <w:t>10.66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7.77</w:t>
            </w:r>
          </w:p>
        </w:tc>
        <w:tc>
          <w:tcPr>
            <w:tcW w:w="1474" w:type="dxa"/>
            <w:vAlign w:val="center"/>
          </w:tcPr>
          <w:p>
            <w:pPr>
              <w:pStyle w:val="11"/>
            </w:pPr>
            <w:r>
              <w:t>7.77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8.48</w:t>
            </w:r>
          </w:p>
        </w:tc>
        <w:tc>
          <w:tcPr>
            <w:tcW w:w="1474" w:type="dxa"/>
            <w:vAlign w:val="center"/>
          </w:tcPr>
          <w:p>
            <w:pPr>
              <w:pStyle w:val="11"/>
            </w:pPr>
            <w:r>
              <w:t>8.48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112.19</w:t>
            </w:r>
          </w:p>
        </w:tc>
        <w:tc>
          <w:tcPr>
            <w:tcW w:w="3402" w:type="dxa"/>
            <w:vAlign w:val="center"/>
          </w:tcPr>
          <w:p>
            <w:pPr>
              <w:pStyle w:val="14"/>
            </w:pPr>
            <w:r>
              <w:t>本年支出合计</w:t>
            </w:r>
          </w:p>
        </w:tc>
        <w:tc>
          <w:tcPr>
            <w:tcW w:w="1474" w:type="dxa"/>
            <w:vAlign w:val="center"/>
          </w:tcPr>
          <w:p>
            <w:pPr>
              <w:pStyle w:val="15"/>
            </w:pPr>
            <w:r>
              <w:t>112.19</w:t>
            </w:r>
          </w:p>
        </w:tc>
        <w:tc>
          <w:tcPr>
            <w:tcW w:w="1474" w:type="dxa"/>
            <w:vAlign w:val="center"/>
          </w:tcPr>
          <w:p>
            <w:pPr>
              <w:pStyle w:val="15"/>
            </w:pPr>
            <w:r>
              <w:t>112.19</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112.19</w:t>
            </w:r>
          </w:p>
        </w:tc>
        <w:tc>
          <w:tcPr>
            <w:tcW w:w="3402" w:type="dxa"/>
            <w:vAlign w:val="center"/>
          </w:tcPr>
          <w:p>
            <w:pPr>
              <w:pStyle w:val="14"/>
            </w:pPr>
            <w:r>
              <w:t>支出总计</w:t>
            </w:r>
          </w:p>
        </w:tc>
        <w:tc>
          <w:tcPr>
            <w:tcW w:w="1474" w:type="dxa"/>
            <w:vAlign w:val="center"/>
          </w:tcPr>
          <w:p>
            <w:pPr>
              <w:pStyle w:val="15"/>
            </w:pPr>
            <w:r>
              <w:t>112.19</w:t>
            </w:r>
          </w:p>
        </w:tc>
        <w:tc>
          <w:tcPr>
            <w:tcW w:w="1474" w:type="dxa"/>
            <w:vAlign w:val="center"/>
          </w:tcPr>
          <w:p>
            <w:pPr>
              <w:pStyle w:val="15"/>
            </w:pPr>
            <w:r>
              <w:t>112.19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112.19</w:t>
            </w:r>
          </w:p>
        </w:tc>
        <w:tc>
          <w:tcPr>
            <w:tcW w:w="2551" w:type="dxa"/>
            <w:vAlign w:val="center"/>
          </w:tcPr>
          <w:p>
            <w:pPr>
              <w:pStyle w:val="15"/>
            </w:pPr>
            <w:r>
              <w:t>112.19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85.28</w:t>
            </w:r>
          </w:p>
        </w:tc>
        <w:tc>
          <w:tcPr>
            <w:tcW w:w="2551" w:type="dxa"/>
            <w:vAlign w:val="center"/>
          </w:tcPr>
          <w:p>
            <w:pPr>
              <w:pStyle w:val="11"/>
            </w:pPr>
            <w:r>
              <w:t>85.28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0.04</w:t>
            </w:r>
          </w:p>
        </w:tc>
        <w:tc>
          <w:tcPr>
            <w:tcW w:w="2551" w:type="dxa"/>
            <w:vAlign w:val="center"/>
          </w:tcPr>
          <w:p>
            <w:pPr>
              <w:pStyle w:val="11"/>
            </w:pPr>
            <w:r>
              <w:t>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85.24</w:t>
            </w:r>
          </w:p>
        </w:tc>
        <w:tc>
          <w:tcPr>
            <w:tcW w:w="2551" w:type="dxa"/>
            <w:vAlign w:val="center"/>
          </w:tcPr>
          <w:p>
            <w:pPr>
              <w:pStyle w:val="11"/>
            </w:pPr>
            <w:r>
              <w:t>85.24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85.24</w:t>
            </w:r>
          </w:p>
        </w:tc>
        <w:tc>
          <w:tcPr>
            <w:tcW w:w="2551" w:type="dxa"/>
            <w:vAlign w:val="center"/>
          </w:tcPr>
          <w:p>
            <w:pPr>
              <w:pStyle w:val="11"/>
            </w:pPr>
            <w:r>
              <w:t>85.24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7.77</w:t>
            </w:r>
          </w:p>
        </w:tc>
        <w:tc>
          <w:tcPr>
            <w:tcW w:w="2551" w:type="dxa"/>
            <w:vAlign w:val="center"/>
          </w:tcPr>
          <w:p>
            <w:pPr>
              <w:pStyle w:val="11"/>
            </w:pPr>
            <w:r>
              <w:t>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7.77</w:t>
            </w:r>
          </w:p>
        </w:tc>
        <w:tc>
          <w:tcPr>
            <w:tcW w:w="2551" w:type="dxa"/>
            <w:vAlign w:val="center"/>
          </w:tcPr>
          <w:p>
            <w:pPr>
              <w:pStyle w:val="11"/>
            </w:pPr>
            <w:r>
              <w:t>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112.19</w:t>
            </w:r>
          </w:p>
        </w:tc>
        <w:tc>
          <w:tcPr>
            <w:tcW w:w="2551" w:type="dxa"/>
            <w:vAlign w:val="center"/>
          </w:tcPr>
          <w:p>
            <w:pPr>
              <w:pStyle w:val="15"/>
            </w:pPr>
            <w:r>
              <w:t>102.90</w:t>
            </w:r>
          </w:p>
        </w:tc>
        <w:tc>
          <w:tcPr>
            <w:tcW w:w="2551" w:type="dxa"/>
            <w:vAlign w:val="center"/>
          </w:tcPr>
          <w:p>
            <w:pPr>
              <w:pStyle w:val="15"/>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102.90</w:t>
            </w:r>
          </w:p>
        </w:tc>
        <w:tc>
          <w:tcPr>
            <w:tcW w:w="2551" w:type="dxa"/>
            <w:vAlign w:val="center"/>
          </w:tcPr>
          <w:p>
            <w:pPr>
              <w:pStyle w:val="11"/>
            </w:pPr>
            <w:r>
              <w:t>102.90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31.27</w:t>
            </w:r>
          </w:p>
        </w:tc>
        <w:tc>
          <w:tcPr>
            <w:tcW w:w="2551" w:type="dxa"/>
            <w:vAlign w:val="center"/>
          </w:tcPr>
          <w:p>
            <w:pPr>
              <w:pStyle w:val="11"/>
            </w:pPr>
            <w:r>
              <w:t>31.27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23.27</w:t>
            </w:r>
          </w:p>
        </w:tc>
        <w:tc>
          <w:tcPr>
            <w:tcW w:w="2551" w:type="dxa"/>
            <w:vAlign w:val="center"/>
          </w:tcPr>
          <w:p>
            <w:pPr>
              <w:pStyle w:val="11"/>
            </w:pPr>
            <w:r>
              <w:t>23.27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21.45</w:t>
            </w:r>
          </w:p>
        </w:tc>
        <w:tc>
          <w:tcPr>
            <w:tcW w:w="2551" w:type="dxa"/>
            <w:vAlign w:val="center"/>
          </w:tcPr>
          <w:p>
            <w:pPr>
              <w:pStyle w:val="11"/>
            </w:pPr>
            <w:r>
              <w:t>21.45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10.40</w:t>
            </w:r>
          </w:p>
        </w:tc>
        <w:tc>
          <w:tcPr>
            <w:tcW w:w="2551" w:type="dxa"/>
            <w:vAlign w:val="center"/>
          </w:tcPr>
          <w:p>
            <w:pPr>
              <w:pStyle w:val="11"/>
            </w:pPr>
            <w:r>
              <w:t>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3.37</w:t>
            </w:r>
          </w:p>
        </w:tc>
        <w:tc>
          <w:tcPr>
            <w:tcW w:w="2551" w:type="dxa"/>
            <w:vAlign w:val="center"/>
          </w:tcPr>
          <w:p>
            <w:pPr>
              <w:pStyle w:val="11"/>
            </w:pPr>
            <w:r>
              <w:t>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0.26</w:t>
            </w:r>
          </w:p>
        </w:tc>
        <w:tc>
          <w:tcPr>
            <w:tcW w:w="2551" w:type="dxa"/>
            <w:vAlign w:val="center"/>
          </w:tcPr>
          <w:p>
            <w:pPr>
              <w:pStyle w:val="11"/>
            </w:pPr>
            <w:r>
              <w:t>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8.48</w:t>
            </w:r>
          </w:p>
        </w:tc>
        <w:tc>
          <w:tcPr>
            <w:tcW w:w="2551" w:type="dxa"/>
            <w:vAlign w:val="center"/>
          </w:tcPr>
          <w:p>
            <w:pPr>
              <w:pStyle w:val="11"/>
            </w:pPr>
            <w:r>
              <w:t>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9.29</w:t>
            </w:r>
          </w:p>
        </w:tc>
        <w:tc>
          <w:tcPr>
            <w:tcW w:w="2551" w:type="dxa"/>
            <w:vAlign w:val="center"/>
          </w:tcPr>
          <w:p>
            <w:pPr>
              <w:pStyle w:val="11"/>
            </w:pPr>
          </w:p>
        </w:tc>
        <w:tc>
          <w:tcPr>
            <w:tcW w:w="2551" w:type="dxa"/>
            <w:vAlign w:val="center"/>
          </w:tcPr>
          <w:p>
            <w:pPr>
              <w:pStyle w:val="11"/>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rPr>
                <w:rFonts w:ascii="方正书宋_GBK" w:hAnsi="方正书宋_GBK" w:eastAsia="方正书宋_GBK" w:cs="方正书宋_GBK"/>
                <w:sz w:val="21"/>
                <w:szCs w:val="22"/>
              </w:rPr>
            </w:pPr>
            <w:r>
              <w:t>1</w:t>
            </w:r>
          </w:p>
        </w:tc>
        <w:tc>
          <w:tcPr>
            <w:tcW w:w="3798" w:type="dxa"/>
            <w:vAlign w:val="center"/>
          </w:tcPr>
          <w:p>
            <w:pPr>
              <w:pStyle w:val="14"/>
              <w:ind w:firstLine="0" w:firstLineChars="0"/>
              <w:rPr>
                <w:rFonts w:ascii="方正书宋_GBK" w:hAnsi="方正书宋_GBK" w:eastAsia="方正书宋_GBK" w:cs="方正书宋_GBK"/>
                <w:b/>
                <w:sz w:val="21"/>
                <w:szCs w:val="22"/>
              </w:rPr>
            </w:pPr>
            <w:r>
              <w:t>“三公”经费小计</w:t>
            </w:r>
          </w:p>
        </w:tc>
        <w:tc>
          <w:tcPr>
            <w:tcW w:w="2381" w:type="dxa"/>
            <w:vAlign w:val="center"/>
          </w:tcPr>
          <w:p>
            <w:pPr>
              <w:pStyle w:val="15"/>
              <w:ind w:firstLine="0" w:firstLineChars="0"/>
              <w:rPr>
                <w:rFonts w:ascii="方正书宋_GBK" w:hAnsi="方正书宋_GBK" w:eastAsia="方正书宋_GBK" w:cs="方正书宋_GBK"/>
                <w:b/>
                <w:sz w:val="21"/>
                <w:szCs w:val="22"/>
              </w:rPr>
            </w:pPr>
            <w:r>
              <w:rPr>
                <w:rFonts w:hint="eastAsia"/>
                <w:lang w:val="en-US" w:eastAsia="zh-CN"/>
              </w:rPr>
              <w:t>2</w:t>
            </w:r>
            <w:r>
              <w:t>.00</w:t>
            </w:r>
          </w:p>
        </w:tc>
        <w:tc>
          <w:tcPr>
            <w:tcW w:w="2381" w:type="dxa"/>
            <w:vAlign w:val="center"/>
          </w:tcPr>
          <w:p>
            <w:pPr>
              <w:pStyle w:val="15"/>
              <w:ind w:firstLine="0" w:firstLineChars="0"/>
              <w:rPr>
                <w:rFonts w:ascii="方正书宋_GBK" w:hAnsi="方正书宋_GBK" w:eastAsia="方正书宋_GBK" w:cs="方正书宋_GBK"/>
                <w:b/>
                <w:sz w:val="21"/>
                <w:szCs w:val="22"/>
              </w:rPr>
            </w:pPr>
            <w:r>
              <w:rPr>
                <w:rFonts w:hint="eastAsia"/>
                <w:lang w:val="en-US" w:eastAsia="zh-CN"/>
              </w:rPr>
              <w:t>2</w:t>
            </w:r>
            <w:r>
              <w:t>.00</w:t>
            </w:r>
          </w:p>
        </w:tc>
        <w:tc>
          <w:tcPr>
            <w:tcW w:w="2381" w:type="dxa"/>
            <w:vAlign w:val="center"/>
          </w:tcPr>
          <w:p>
            <w:pPr>
              <w:pStyle w:val="15"/>
              <w:ind w:firstLine="0" w:firstLineChars="0"/>
              <w:rPr>
                <w:rFonts w:ascii="方正书宋_GBK" w:hAnsi="方正书宋_GBK" w:eastAsia="方正书宋_GBK" w:cs="方正书宋_GBK"/>
                <w:b/>
                <w:sz w:val="21"/>
                <w:szCs w:val="22"/>
              </w:rPr>
            </w:pPr>
          </w:p>
        </w:tc>
        <w:tc>
          <w:tcPr>
            <w:tcW w:w="2381" w:type="dxa"/>
            <w:vAlign w:val="center"/>
          </w:tcPr>
          <w:p>
            <w:pPr>
              <w:pStyle w:val="15"/>
              <w:ind w:firstLine="0" w:firstLineChars="0"/>
              <w:rPr>
                <w:rFonts w:ascii="方正书宋_GBK" w:hAnsi="方正书宋_GBK" w:eastAsia="方正书宋_GBK" w:cs="方正书宋_GBK"/>
                <w:b/>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2</w:t>
            </w:r>
          </w:p>
        </w:tc>
        <w:tc>
          <w:tcPr>
            <w:tcW w:w="0" w:type="auto"/>
            <w:vAlign w:val="center"/>
          </w:tcPr>
          <w:p>
            <w:pPr>
              <w:pStyle w:val="12"/>
              <w:ind w:firstLine="0" w:firstLineChars="0"/>
              <w:rPr>
                <w:rFonts w:ascii="方正书宋_GBK" w:hAnsi="方正书宋_GBK" w:eastAsia="方正书宋_GBK" w:cs="方正书宋_GBK"/>
                <w:sz w:val="21"/>
                <w:szCs w:val="22"/>
              </w:rPr>
            </w:pPr>
            <w:r>
              <w:t>一、因公出国（境）费</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3</w:t>
            </w:r>
          </w:p>
        </w:tc>
        <w:tc>
          <w:tcPr>
            <w:tcW w:w="0" w:type="auto"/>
            <w:vAlign w:val="center"/>
          </w:tcPr>
          <w:p>
            <w:pPr>
              <w:pStyle w:val="12"/>
              <w:ind w:firstLine="0" w:firstLineChars="0"/>
              <w:rPr>
                <w:rFonts w:ascii="方正书宋_GBK" w:hAnsi="方正书宋_GBK" w:eastAsia="方正书宋_GBK" w:cs="方正书宋_GBK"/>
                <w:sz w:val="21"/>
                <w:szCs w:val="22"/>
              </w:rPr>
            </w:pPr>
            <w:r>
              <w:t xml:space="preserve">    其中：教学科研人员因公出国（境）费</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4</w:t>
            </w:r>
          </w:p>
        </w:tc>
        <w:tc>
          <w:tcPr>
            <w:tcW w:w="0" w:type="auto"/>
            <w:vAlign w:val="center"/>
          </w:tcPr>
          <w:p>
            <w:pPr>
              <w:pStyle w:val="12"/>
              <w:ind w:firstLine="0" w:firstLineChars="0"/>
              <w:rPr>
                <w:rFonts w:ascii="方正书宋_GBK" w:hAnsi="方正书宋_GBK" w:eastAsia="方正书宋_GBK" w:cs="方正书宋_GBK"/>
                <w:sz w:val="21"/>
                <w:szCs w:val="22"/>
              </w:rPr>
            </w:pPr>
            <w:r>
              <w:t xml:space="preserve">          其他因公出国（境）费</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5</w:t>
            </w:r>
          </w:p>
        </w:tc>
        <w:tc>
          <w:tcPr>
            <w:tcW w:w="0" w:type="auto"/>
            <w:vAlign w:val="center"/>
          </w:tcPr>
          <w:p>
            <w:pPr>
              <w:pStyle w:val="12"/>
              <w:ind w:firstLine="0" w:firstLineChars="0"/>
              <w:rPr>
                <w:rFonts w:ascii="方正书宋_GBK" w:hAnsi="方正书宋_GBK" w:eastAsia="方正书宋_GBK" w:cs="方正书宋_GBK"/>
                <w:sz w:val="21"/>
                <w:szCs w:val="22"/>
              </w:rPr>
            </w:pPr>
            <w:r>
              <w:t>二、公务用车购置及运维费</w:t>
            </w:r>
          </w:p>
        </w:tc>
        <w:tc>
          <w:tcPr>
            <w:tcW w:w="0" w:type="auto"/>
            <w:vAlign w:val="center"/>
          </w:tcPr>
          <w:p>
            <w:pPr>
              <w:pStyle w:val="11"/>
              <w:ind w:firstLine="0" w:firstLineChars="0"/>
              <w:rPr>
                <w:rFonts w:hint="eastAsia" w:ascii="方正书宋_GBK" w:hAnsi="方正书宋_GBK" w:eastAsia="方正书宋_GBK" w:cs="方正书宋_GBK"/>
                <w:sz w:val="21"/>
                <w:szCs w:val="22"/>
                <w:lang w:val="en-US" w:eastAsia="zh-CN"/>
              </w:rPr>
            </w:pPr>
            <w:r>
              <w:rPr>
                <w:rFonts w:hint="eastAsia"/>
                <w:lang w:val="en-US" w:eastAsia="zh-CN"/>
              </w:rPr>
              <w:t>2</w:t>
            </w:r>
          </w:p>
        </w:tc>
        <w:tc>
          <w:tcPr>
            <w:tcW w:w="0" w:type="auto"/>
            <w:vAlign w:val="center"/>
          </w:tcPr>
          <w:p>
            <w:pPr>
              <w:pStyle w:val="11"/>
              <w:ind w:firstLine="0" w:firstLineChars="0"/>
              <w:rPr>
                <w:rFonts w:hint="eastAsia" w:ascii="方正书宋_GBK" w:hAnsi="方正书宋_GBK" w:eastAsia="方正书宋_GBK" w:cs="方正书宋_GBK"/>
                <w:sz w:val="21"/>
                <w:szCs w:val="22"/>
                <w:lang w:eastAsia="zh-CN"/>
              </w:rPr>
            </w:pPr>
            <w:r>
              <w:rPr>
                <w:rFonts w:hint="eastAsia"/>
                <w:lang w:val="en-US" w:eastAsia="zh-CN"/>
              </w:rPr>
              <w:t>2</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6</w:t>
            </w:r>
          </w:p>
        </w:tc>
        <w:tc>
          <w:tcPr>
            <w:tcW w:w="0" w:type="auto"/>
            <w:vAlign w:val="center"/>
          </w:tcPr>
          <w:p>
            <w:pPr>
              <w:pStyle w:val="12"/>
              <w:ind w:firstLine="0" w:firstLineChars="0"/>
              <w:rPr>
                <w:rFonts w:ascii="方正书宋_GBK" w:hAnsi="方正书宋_GBK" w:eastAsia="方正书宋_GBK" w:cs="方正书宋_GBK"/>
                <w:sz w:val="21"/>
                <w:szCs w:val="22"/>
              </w:rPr>
            </w:pPr>
            <w:r>
              <w:t xml:space="preserve">    其中：公务用车购置费</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7</w:t>
            </w:r>
          </w:p>
        </w:tc>
        <w:tc>
          <w:tcPr>
            <w:tcW w:w="0" w:type="auto"/>
            <w:vAlign w:val="center"/>
          </w:tcPr>
          <w:p>
            <w:pPr>
              <w:pStyle w:val="12"/>
              <w:ind w:firstLine="0" w:firstLineChars="0"/>
              <w:rPr>
                <w:rFonts w:ascii="方正书宋_GBK" w:hAnsi="方正书宋_GBK" w:eastAsia="方正书宋_GBK" w:cs="方正书宋_GBK"/>
                <w:sz w:val="21"/>
                <w:szCs w:val="22"/>
              </w:rPr>
            </w:pPr>
            <w:r>
              <w:t xml:space="preserve">          公务用车运行维护费</w:t>
            </w:r>
          </w:p>
        </w:tc>
        <w:tc>
          <w:tcPr>
            <w:tcW w:w="0" w:type="auto"/>
            <w:vAlign w:val="center"/>
          </w:tcPr>
          <w:p>
            <w:pPr>
              <w:pStyle w:val="11"/>
              <w:ind w:firstLine="0" w:firstLineChars="0"/>
              <w:rPr>
                <w:rFonts w:hint="eastAsia" w:ascii="方正书宋_GBK" w:hAnsi="方正书宋_GBK" w:eastAsia="方正书宋_GBK" w:cs="方正书宋_GBK"/>
                <w:sz w:val="21"/>
                <w:szCs w:val="22"/>
                <w:lang w:eastAsia="zh-CN"/>
              </w:rPr>
            </w:pPr>
            <w:r>
              <w:rPr>
                <w:rFonts w:hint="eastAsia"/>
                <w:lang w:val="en-US" w:eastAsia="zh-CN"/>
              </w:rPr>
              <w:t>2</w:t>
            </w:r>
          </w:p>
        </w:tc>
        <w:tc>
          <w:tcPr>
            <w:tcW w:w="0" w:type="auto"/>
            <w:vAlign w:val="center"/>
          </w:tcPr>
          <w:p>
            <w:pPr>
              <w:pStyle w:val="11"/>
              <w:ind w:firstLine="0" w:firstLineChars="0"/>
              <w:rPr>
                <w:rFonts w:hint="eastAsia" w:ascii="方正书宋_GBK" w:hAnsi="方正书宋_GBK" w:eastAsia="方正书宋_GBK" w:cs="方正书宋_GBK"/>
                <w:sz w:val="21"/>
                <w:szCs w:val="22"/>
                <w:lang w:eastAsia="zh-CN"/>
              </w:rPr>
            </w:pPr>
            <w:r>
              <w:rPr>
                <w:rFonts w:hint="eastAsia"/>
                <w:lang w:val="en-US" w:eastAsia="zh-CN"/>
              </w:rPr>
              <w:t>2</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2"/>
              </w:rPr>
            </w:pPr>
            <w:r>
              <w:t>8</w:t>
            </w:r>
          </w:p>
        </w:tc>
        <w:tc>
          <w:tcPr>
            <w:tcW w:w="0" w:type="auto"/>
            <w:vAlign w:val="center"/>
          </w:tcPr>
          <w:p>
            <w:pPr>
              <w:pStyle w:val="12"/>
              <w:ind w:firstLine="0" w:firstLineChars="0"/>
              <w:rPr>
                <w:rFonts w:ascii="方正书宋_GBK" w:hAnsi="方正书宋_GBK" w:eastAsia="方正书宋_GBK" w:cs="方正书宋_GBK"/>
                <w:sz w:val="21"/>
                <w:szCs w:val="22"/>
              </w:rPr>
            </w:pPr>
            <w:r>
              <w:t>三、公务接待费</w:t>
            </w: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c>
          <w:tcPr>
            <w:tcW w:w="0" w:type="auto"/>
            <w:vAlign w:val="center"/>
          </w:tcPr>
          <w:p>
            <w:pPr>
              <w:pStyle w:val="11"/>
              <w:ind w:firstLine="0" w:firstLineChars="0"/>
              <w:rPr>
                <w:rFonts w:ascii="方正书宋_GBK" w:hAnsi="方正书宋_GBK" w:eastAsia="方正书宋_GBK" w:cs="方正书宋_GBK"/>
                <w:sz w:val="21"/>
                <w:szCs w:val="22"/>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中共石家庄市井陉矿区委巡察工作领导小组办公室2026年单位预算信息公开情况说明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按照《中华人民共和国预算法》、《地方预决算公开操作规程》和《关于进一步推进预算公开工作的实施意见》规定，现将中共石家庄市井陉矿区委巡察工作领导小组办公室2026年单位预算公开如下：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根据《区委巡察工作领导小组办公室职能配置、内设机构和人员编制规定》，区委巡察工作领导小组办公室的主要职责是：</w:t>
      </w:r>
    </w:p>
    <w:p>
      <w:pPr>
        <w:pStyle w:val="17"/>
      </w:pPr>
      <w:r>
        <w:t>（一）贯彻落实党中央、省委、市委、区委和区委巡察工作领导小组的决策部署,向市委巡察工作领导小组办公室和区委巡察工作领导小组报告工作情况。</w:t>
      </w:r>
    </w:p>
    <w:p>
      <w:pPr>
        <w:pStyle w:val="17"/>
      </w:pPr>
      <w:r>
        <w:t>（二）统筹、协调、指导开展巡察工作。</w:t>
      </w:r>
    </w:p>
    <w:p>
      <w:pPr>
        <w:pStyle w:val="17"/>
      </w:pPr>
      <w:r>
        <w:t>（三）承担政策研究、制度建设等工作。</w:t>
      </w:r>
    </w:p>
    <w:p>
      <w:pPr>
        <w:pStyle w:val="17"/>
      </w:pPr>
      <w:r>
        <w:t>（四）对区委、区委巡察工作领导小组决定的事项进行督办,会同区委巡察组对巡察整改工作进行专项检查。</w:t>
      </w:r>
    </w:p>
    <w:p>
      <w:pPr>
        <w:pStyle w:val="17"/>
      </w:pPr>
      <w:r>
        <w:t>（五）配合有关部门对巡察工作人员进行培训、考核、监督和管理。</w:t>
      </w:r>
    </w:p>
    <w:p>
      <w:pPr>
        <w:pStyle w:val="17"/>
      </w:pPr>
      <w:r>
        <w:t>（六）完成市委巡察工作领导小组办公室和区委巡察工作领导小组交办的其他任务。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中共石家庄市井陉矿区委巡察工作领导小组办公室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112.19万元，其中：一般公共预算收入112.19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井陉矿区委巡察工作领导小组办公室年度单位预算中支出预算的总体情况。2026年支出预算112.19万元，其中基本支出112.19万元，包括人员经费102.90万元和日常公用经费9.29万元；项目支出0.00万元，主要为本年度无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112.19万元，较2025年预算减少4.12万元，其中：基本支出增加5.88万元，主要为在职人员工资晋级晋档，各类社保基数调整，基本支出增加；本年度无交叉巡察计划，巡察项目支出减少，整体预算减少。项目支出减少10.00万元，主要为本年度无交叉巡察计划，项目支出减少。预计下年使用的单位资金结余增加0.00万元。</w:t>
      </w:r>
    </w:p>
    <w:p>
      <w:pPr>
        <w:spacing w:before="10" w:after="10" w:line="360" w:lineRule="auto"/>
        <w:ind w:firstLine="640"/>
        <w:jc w:val="left"/>
        <w:outlineLvl w:val="2"/>
      </w:pPr>
      <w:bookmarkStart w:id="1" w:name="_Toc_3_3_0000000012"/>
      <w:r>
        <w:rPr>
          <w:rFonts w:ascii="黑体" w:hAnsi="黑体" w:eastAsia="黑体" w:cs="黑体"/>
          <w:color w:val="000000"/>
          <w:sz w:val="32"/>
        </w:rPr>
        <w:t>三、机关运行经费安排情况</w:t>
      </w:r>
      <w:bookmarkEnd w:id="1"/>
    </w:p>
    <w:p>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2026年，我部门机关运行经费共计安排9.29万元，</w:t>
      </w:r>
      <w:r>
        <w:rPr>
          <w:rFonts w:hint="eastAsia" w:ascii="Times New Roman" w:hAnsi="Times New Roman" w:eastAsia="方正仿宋_GBK" w:cs="Times New Roman"/>
          <w:sz w:val="28"/>
          <w:szCs w:val="24"/>
          <w:lang w:val="en-US" w:eastAsia="uk-UA" w:bidi="ar-SA"/>
        </w:rPr>
        <w:t>主要用于保证机关正常运转的办公及印刷费、邮电费、差旅费、公务车运行维护费等支出。</w:t>
      </w:r>
    </w:p>
    <w:p>
      <w:pPr>
        <w:spacing w:before="10" w:after="10" w:line="360" w:lineRule="auto"/>
        <w:ind w:firstLine="640"/>
        <w:jc w:val="left"/>
        <w:outlineLvl w:val="2"/>
      </w:pPr>
      <w:bookmarkStart w:id="2" w:name="_Toc_3_3_0000000013"/>
      <w:r>
        <w:rPr>
          <w:rFonts w:ascii="黑体" w:hAnsi="黑体" w:eastAsia="黑体" w:cs="黑体"/>
          <w:color w:val="000000"/>
          <w:sz w:val="32"/>
        </w:rPr>
        <w:t>四、财政拨款“三公”经费预算情况及增减变化原因</w:t>
      </w:r>
      <w:bookmarkEnd w:id="2"/>
    </w:p>
    <w:p>
      <w:pPr>
        <w:pStyle w:val="23"/>
      </w:pPr>
      <w:r>
        <w:rPr>
          <w:rFonts w:hint="eastAsia"/>
        </w:rPr>
        <w:t>2026年，我单位财政拨款“三公”经费预算安排</w:t>
      </w:r>
      <w:r>
        <w:rPr>
          <w:rFonts w:hint="eastAsia"/>
          <w:lang w:val="en-US" w:eastAsia="zh-CN"/>
        </w:rPr>
        <w:t>2</w:t>
      </w:r>
      <w:r>
        <w:rPr>
          <w:rFonts w:hint="eastAsia"/>
        </w:rPr>
        <w:t>万元，其中：因公出国（境）费0万元；公务用车购置及运维费</w:t>
      </w:r>
      <w:r>
        <w:rPr>
          <w:rFonts w:hint="eastAsia"/>
          <w:lang w:val="en-US" w:eastAsia="zh-CN"/>
        </w:rPr>
        <w:t>2</w:t>
      </w:r>
      <w:r>
        <w:rPr>
          <w:rFonts w:hint="eastAsia"/>
        </w:rPr>
        <w:t>万元（其中：</w:t>
      </w:r>
      <w:r>
        <w:rPr>
          <w:rFonts w:hint="eastAsia"/>
          <w:lang w:val="en-US" w:eastAsia="zh-CN"/>
        </w:rPr>
        <w:t>2</w:t>
      </w:r>
      <w:r>
        <w:rPr>
          <w:rFonts w:hint="eastAsia"/>
        </w:rPr>
        <w:t>公务用车运行维护费</w:t>
      </w:r>
      <w:r>
        <w:rPr>
          <w:rFonts w:hint="eastAsia"/>
          <w:lang w:val="en-US" w:eastAsia="zh-CN"/>
        </w:rPr>
        <w:t>2</w:t>
      </w:r>
      <w:r>
        <w:rPr>
          <w:rFonts w:hint="eastAsia"/>
        </w:rPr>
        <w:t>万元)；公务接待费</w:t>
      </w:r>
      <w:r>
        <w:rPr>
          <w:rFonts w:hint="eastAsia"/>
          <w:lang w:val="en-US" w:eastAsia="zh-CN"/>
        </w:rPr>
        <w:t>0</w:t>
      </w:r>
      <w:r>
        <w:rPr>
          <w:rFonts w:hint="eastAsia"/>
        </w:rPr>
        <w:t>万元。“三公”经费较上年增加</w:t>
      </w:r>
      <w:r>
        <w:rPr>
          <w:rFonts w:hint="eastAsia"/>
          <w:lang w:val="en-US" w:eastAsia="zh-CN"/>
        </w:rPr>
        <w:t>0</w:t>
      </w:r>
      <w:r>
        <w:rPr>
          <w:rFonts w:hint="eastAsia"/>
        </w:rPr>
        <w:t>万元。</w:t>
      </w:r>
    </w:p>
    <w:p>
      <w:pPr>
        <w:pStyle w:val="20"/>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640" w:firstLineChars="2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本年度无项目安排。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1.47</w:t>
            </w:r>
          </w:p>
        </w:tc>
        <w:tc>
          <w:tcPr>
            <w:tcW w:w="964" w:type="dxa"/>
            <w:vAlign w:val="center"/>
          </w:tcPr>
          <w:p>
            <w:pPr>
              <w:pStyle w:val="15"/>
            </w:pPr>
            <w:r>
              <w:t>1.47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中共石家庄市井陉矿区委巡察工作领导小组办公室小计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1.47</w:t>
            </w:r>
          </w:p>
        </w:tc>
        <w:tc>
          <w:tcPr>
            <w:tcW w:w="964" w:type="dxa"/>
            <w:vAlign w:val="center"/>
          </w:tcPr>
          <w:p>
            <w:pPr>
              <w:pStyle w:val="15"/>
            </w:pPr>
            <w:r>
              <w:t>1.47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3.08</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0.27</w:t>
            </w:r>
          </w:p>
        </w:tc>
        <w:tc>
          <w:tcPr>
            <w:tcW w:w="964" w:type="dxa"/>
            <w:vAlign w:val="center"/>
          </w:tcPr>
          <w:p>
            <w:pPr>
              <w:pStyle w:val="11"/>
            </w:pPr>
            <w:r>
              <w:t>0.27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24</w:t>
            </w:r>
          </w:p>
        </w:tc>
        <w:tc>
          <w:tcPr>
            <w:tcW w:w="850" w:type="dxa"/>
            <w:vAlign w:val="center"/>
          </w:tcPr>
          <w:p>
            <w:pPr>
              <w:pStyle w:val="11"/>
            </w:pPr>
            <w:r>
              <w:t>0.05</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中共石家庄市井陉矿区委巡察工作领导小组办公室上年末固定资产金额为16.28万元（详见下表）。本年度拟购置固定资产总额为0.00万元，已按要求列入政府采购预算，详见政府采购预算表。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224001中共石家庄市井陉矿区委巡察工作领导小组办公室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82</w:t>
            </w:r>
            <w:bookmarkStart w:id="3" w:name="_GoBack"/>
            <w:bookmarkEnd w:id="3"/>
          </w:p>
        </w:tc>
        <w:tc>
          <w:tcPr>
            <w:tcW w:w="2835" w:type="dxa"/>
            <w:vAlign w:val="center"/>
          </w:tcPr>
          <w:p>
            <w:pPr>
              <w:pStyle w:val="11"/>
              <w:rPr>
                <w:rFonts w:hint="default" w:eastAsia="方正书宋_GBK"/>
                <w:lang w:val="en-US" w:eastAsia="zh-CN"/>
              </w:rPr>
            </w:pPr>
            <w:r>
              <w:rPr>
                <w:rFonts w:hint="eastAsia"/>
                <w:lang w:val="en-US" w:eastAsia="zh-CN"/>
              </w:rPr>
              <w:t>33.03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81</w:t>
            </w:r>
          </w:p>
        </w:tc>
        <w:tc>
          <w:tcPr>
            <w:tcW w:w="2835" w:type="dxa"/>
            <w:vAlign w:val="center"/>
          </w:tcPr>
          <w:p>
            <w:pPr>
              <w:pStyle w:val="11"/>
              <w:rPr>
                <w:rFonts w:hint="default" w:eastAsia="方正书宋_GBK"/>
                <w:lang w:val="en-US" w:eastAsia="zh-CN"/>
              </w:rPr>
            </w:pPr>
            <w:r>
              <w:rPr>
                <w:rFonts w:hint="eastAsia"/>
                <w:lang w:val="en-US" w:eastAsia="zh-CN"/>
              </w:rPr>
              <w:t>16.75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4D56DC"/>
    <w:multiLevelType w:val="singleLevel"/>
    <w:tmpl w:val="FF4D56D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7744D1F"/>
    <w:rsid w:val="29B32EA4"/>
    <w:rsid w:val="46615D91"/>
    <w:rsid w:val="7FD237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TotalTime>3</TotalTime>
  <ScaleCrop>false</ScaleCrop>
  <LinksUpToDate>false</LinksUpToDate>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2026-02-11T09:47:00Z</dcterms:created>
  <dc:creator>LJ</dc:creator>
  <cp:lastModifiedBy>LJ</cp:lastModifiedBy>
  <dcterms:modified xsi:type="dcterms:W3CDTF">2026-02-11T02:06:36Z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ICV">
    <vt:lpwstr>F469F237297E495382B608986E4F6C86</vt:lpwstr>
  </property>
</Properties>
</file>